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line="878" w:lineRule="exact"/>
        <w:ind w:left="38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
          <w:sz w:val="20"/>
          <w:szCs w:val="20"/>
        </w:rPr>
        <w:drawing>
          <wp:inline distT="0" distB="0" distL="0" distR="0">
            <wp:extent cx="1408176" cy="5577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08176" cy="557783"/>
                    </a:xfrm>
                    <a:prstGeom prst="rect">
                      <a:avLst/>
                    </a:prstGeom>
                  </pic:spPr>
                </pic:pic>
              </a:graphicData>
            </a:graphic>
          </wp:inline>
        </w:drawing>
      </w:r>
      <w:r>
        <w:rPr>
          <w:rFonts w:ascii="Times New Roman" w:hAnsi="Times New Roman" w:cs="Times New Roman" w:eastAsia="Times New Roman" w:hint="default"/>
          <w:position w:val="-17"/>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2782" w:right="2785" w:firstLine="0"/>
        <w:jc w:val="center"/>
        <w:rPr>
          <w:rFonts w:ascii="宋体" w:hAnsi="宋体" w:cs="宋体" w:eastAsia="宋体" w:hint="default"/>
          <w:sz w:val="36"/>
          <w:szCs w:val="36"/>
        </w:rPr>
      </w:pPr>
      <w:r>
        <w:rPr>
          <w:rFonts w:ascii="宋体" w:hAnsi="宋体" w:cs="宋体" w:eastAsia="宋体" w:hint="default"/>
          <w:b/>
          <w:bCs/>
          <w:sz w:val="36"/>
          <w:szCs w:val="36"/>
        </w:rPr>
        <w:t>山东瑞康医药股份有限公司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2"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2782" w:right="278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1" w:top="1060" w:bottom="118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第一节 重要提示、目录和释义 "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4"/>
        <w:ind w:left="152" w:right="169" w:firstLine="561"/>
        <w:jc w:val="both"/>
        <w:rPr>
          <w:rFonts w:ascii="宋体" w:hAnsi="宋体" w:cs="宋体" w:eastAsia="宋体" w:hint="default"/>
          <w:sz w:val="28"/>
          <w:szCs w:val="28"/>
        </w:rPr>
      </w:pPr>
      <w:r>
        <w:rPr>
          <w:rFonts w:ascii="宋体" w:hAnsi="宋体" w:cs="宋体" w:eastAsia="宋体" w:hint="default"/>
          <w:b/>
          <w:bCs/>
          <w:sz w:val="28"/>
          <w:szCs w:val="28"/>
        </w:rPr>
        <w:t>本公司董事会、监事会及董事、监事、高级管理人员保证年度报告内容的</w:t>
      </w:r>
      <w:r>
        <w:rPr>
          <w:rFonts w:ascii="宋体" w:hAnsi="宋体" w:cs="宋体" w:eastAsia="宋体" w:hint="default"/>
          <w:b/>
          <w:bCs/>
          <w:w w:val="100"/>
          <w:sz w:val="28"/>
          <w:szCs w:val="28"/>
        </w:rPr>
        <w:t> </w:t>
      </w:r>
      <w:r>
        <w:rPr>
          <w:rFonts w:ascii="宋体" w:hAnsi="宋体" w:cs="宋体" w:eastAsia="宋体" w:hint="default"/>
          <w:b/>
          <w:bCs/>
          <w:sz w:val="28"/>
          <w:szCs w:val="28"/>
        </w:rPr>
        <w:t>真实、准确、完整，不存在虚假记载、误导性陈述或重大遗漏，并承担个别和</w:t>
      </w:r>
      <w:r>
        <w:rPr>
          <w:rFonts w:ascii="宋体" w:hAnsi="宋体" w:cs="宋体" w:eastAsia="宋体" w:hint="default"/>
          <w:b/>
          <w:bCs/>
          <w:spacing w:val="-93"/>
          <w:sz w:val="28"/>
          <w:szCs w:val="28"/>
        </w:rPr>
        <w:t> </w:t>
      </w:r>
      <w:r>
        <w:rPr>
          <w:rFonts w:ascii="宋体" w:hAnsi="宋体" w:cs="宋体" w:eastAsia="宋体" w:hint="default"/>
          <w:b/>
          <w:bCs/>
          <w:spacing w:val="-93"/>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5"/>
        <w:gridCol w:w="2210"/>
        <w:gridCol w:w="2210"/>
        <w:gridCol w:w="2213"/>
      </w:tblGrid>
      <w:tr>
        <w:trPr>
          <w:trHeight w:val="401"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张莲梅</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因身体原因</w:t>
            </w:r>
          </w:p>
        </w:tc>
        <w:tc>
          <w:tcPr>
            <w:tcW w:w="22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吴国芝</w:t>
            </w:r>
          </w:p>
        </w:tc>
      </w:tr>
    </w:tbl>
    <w:p>
      <w:pPr>
        <w:spacing w:line="240" w:lineRule="auto" w:before="2"/>
        <w:rPr>
          <w:rFonts w:ascii="宋体" w:hAnsi="宋体" w:cs="宋体" w:eastAsia="宋体" w:hint="default"/>
          <w:b/>
          <w:bCs/>
          <w:sz w:val="13"/>
          <w:szCs w:val="13"/>
        </w:rPr>
      </w:pPr>
    </w:p>
    <w:p>
      <w:pPr>
        <w:spacing w:line="386" w:lineRule="auto" w:before="14"/>
        <w:ind w:left="152" w:right="116" w:firstLine="561"/>
        <w:jc w:val="both"/>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277,271,744</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b/>
          <w:bCs/>
          <w:w w:val="100"/>
          <w:sz w:val="28"/>
          <w:szCs w:val="28"/>
        </w:rPr>
        <w:t> </w:t>
      </w:r>
      <w:r>
        <w:rPr>
          <w:rFonts w:ascii="宋体" w:hAnsi="宋体" w:cs="宋体" w:eastAsia="宋体" w:hint="default"/>
          <w:b/>
          <w:bCs/>
          <w:spacing w:val="-1"/>
          <w:w w:val="100"/>
          <w:sz w:val="28"/>
          <w:szCs w:val="28"/>
        </w:rPr>
        <w:t>向全体股东每</w:t>
      </w:r>
      <w:r>
        <w:rPr>
          <w:rFonts w:ascii="宋体" w:hAnsi="宋体" w:cs="宋体" w:eastAsia="宋体" w:hint="default"/>
          <w:b/>
          <w:bCs/>
          <w:spacing w:val="-71"/>
          <w:w w:val="100"/>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1"/>
          <w:w w:val="100"/>
          <w:sz w:val="28"/>
          <w:szCs w:val="28"/>
        </w:rPr>
        <w:t>股派发现金红利</w:t>
      </w:r>
      <w:r>
        <w:rPr>
          <w:rFonts w:ascii="宋体" w:hAnsi="宋体" w:cs="宋体" w:eastAsia="宋体" w:hint="default"/>
          <w:b/>
          <w:bCs/>
          <w:spacing w:val="-71"/>
          <w:w w:val="100"/>
          <w:sz w:val="28"/>
          <w:szCs w:val="28"/>
        </w:rPr>
        <w:t> </w:t>
      </w:r>
      <w:r>
        <w:rPr>
          <w:rFonts w:ascii="Times New Roman" w:hAnsi="Times New Roman" w:cs="Times New Roman" w:eastAsia="Times New Roman" w:hint="default"/>
          <w:b/>
          <w:bCs/>
          <w:w w:val="100"/>
          <w:sz w:val="28"/>
          <w:szCs w:val="28"/>
        </w:rPr>
        <w:t>0.66</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spacing w:val="-23"/>
          <w:w w:val="100"/>
          <w:sz w:val="28"/>
          <w:szCs w:val="28"/>
        </w:rPr>
        <w:t>元（含税），送红股</w:t>
      </w:r>
      <w:r>
        <w:rPr>
          <w:rFonts w:ascii="宋体" w:hAnsi="宋体" w:cs="宋体" w:eastAsia="宋体" w:hint="default"/>
          <w:b/>
          <w:bCs/>
          <w:spacing w:val="-70"/>
          <w:w w:val="10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24"/>
          <w:w w:val="100"/>
          <w:sz w:val="28"/>
          <w:szCs w:val="28"/>
        </w:rPr>
        <w:t>股（含税），不以公</w:t>
      </w:r>
      <w:r>
        <w:rPr>
          <w:rFonts w:ascii="宋体" w:hAnsi="宋体" w:cs="宋体" w:eastAsia="宋体" w:hint="default"/>
          <w:b/>
          <w:bCs/>
          <w:spacing w:val="-139"/>
          <w:w w:val="100"/>
          <w:sz w:val="28"/>
          <w:szCs w:val="28"/>
        </w:rPr>
        <w:t> </w:t>
      </w:r>
      <w:r>
        <w:rPr>
          <w:rFonts w:ascii="宋体" w:hAnsi="宋体" w:cs="宋体" w:eastAsia="宋体" w:hint="default"/>
          <w:b/>
          <w:bCs/>
          <w:spacing w:val="-139"/>
          <w:w w:val="100"/>
          <w:sz w:val="28"/>
          <w:szCs w:val="28"/>
        </w:rPr>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line="386" w:lineRule="auto" w:before="187"/>
        <w:ind w:left="152" w:right="172" w:firstLine="561"/>
        <w:jc w:val="both"/>
        <w:rPr>
          <w:rFonts w:ascii="宋体" w:hAnsi="宋体" w:cs="宋体" w:eastAsia="宋体" w:hint="default"/>
          <w:sz w:val="28"/>
          <w:szCs w:val="28"/>
        </w:rPr>
      </w:pPr>
      <w:r>
        <w:rPr>
          <w:rFonts w:ascii="宋体" w:hAnsi="宋体" w:cs="宋体" w:eastAsia="宋体" w:hint="default"/>
          <w:b/>
          <w:bCs/>
          <w:spacing w:val="3"/>
          <w:sz w:val="28"/>
          <w:szCs w:val="28"/>
        </w:rPr>
        <w:t>公司负责人</w:t>
      </w:r>
      <w:r>
        <w:rPr>
          <w:rFonts w:ascii="宋体" w:hAnsi="宋体" w:cs="宋体" w:eastAsia="宋体" w:hint="default"/>
          <w:b/>
          <w:bCs/>
          <w:spacing w:val="13"/>
          <w:sz w:val="28"/>
          <w:szCs w:val="28"/>
        </w:rPr>
        <w:t> </w:t>
      </w:r>
      <w:r>
        <w:rPr>
          <w:rFonts w:ascii="宋体" w:hAnsi="宋体" w:cs="宋体" w:eastAsia="宋体" w:hint="default"/>
          <w:b/>
          <w:bCs/>
          <w:spacing w:val="3"/>
          <w:sz w:val="28"/>
          <w:szCs w:val="28"/>
        </w:rPr>
        <w:t>韩旭、主管会计工作负责人苏立臣及会计机构负责人</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会计主</w:t>
      </w:r>
      <w:r>
        <w:rPr>
          <w:rFonts w:ascii="宋体" w:hAnsi="宋体" w:cs="宋体" w:eastAsia="宋体" w:hint="default"/>
          <w:b/>
          <w:bCs/>
          <w:w w:val="100"/>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程学功声明：保证年度报告中财务报告的真实、准确、完整。</w:t>
      </w:r>
      <w:r>
        <w:rPr>
          <w:rFonts w:ascii="宋体" w:hAnsi="宋体" w:cs="宋体" w:eastAsia="宋体" w:hint="default"/>
          <w:sz w:val="28"/>
          <w:szCs w:val="28"/>
        </w:rPr>
      </w:r>
    </w:p>
    <w:p>
      <w:pPr>
        <w:spacing w:line="408" w:lineRule="auto" w:before="145"/>
        <w:ind w:left="152" w:right="170" w:firstLine="561"/>
        <w:jc w:val="both"/>
        <w:rPr>
          <w:rFonts w:ascii="宋体" w:hAnsi="宋体" w:cs="宋体" w:eastAsia="宋体" w:hint="default"/>
          <w:sz w:val="28"/>
          <w:szCs w:val="28"/>
        </w:rPr>
      </w:pPr>
      <w:r>
        <w:rPr>
          <w:rFonts w:ascii="宋体" w:hAnsi="宋体" w:cs="宋体" w:eastAsia="宋体" w:hint="default"/>
          <w:b/>
          <w:bCs/>
          <w:sz w:val="28"/>
          <w:szCs w:val="28"/>
        </w:rPr>
        <w:t>本报告中所涉及的未来计划、发展战略等前瞻性描述不构成公司对投资者</w:t>
      </w:r>
      <w:r>
        <w:rPr>
          <w:rFonts w:ascii="宋体" w:hAnsi="宋体" w:cs="宋体" w:eastAsia="宋体" w:hint="default"/>
          <w:b/>
          <w:bCs/>
          <w:w w:val="100"/>
          <w:sz w:val="28"/>
          <w:szCs w:val="28"/>
        </w:rPr>
        <w:t> </w:t>
      </w:r>
      <w:r>
        <w:rPr>
          <w:rFonts w:ascii="宋体" w:hAnsi="宋体" w:cs="宋体" w:eastAsia="宋体" w:hint="default"/>
          <w:b/>
          <w:bCs/>
          <w:sz w:val="28"/>
          <w:szCs w:val="28"/>
        </w:rPr>
        <w:t>的实质承诺，敬请投资者注意投资风险。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1" w:header="745" w:top="1060" w:bottom="1180" w:left="980" w:right="96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2782"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20"/>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20"/>
              </w:rPr>
              <w:t> </w:t>
            </w:r>
            <w:r>
              <w:rPr/>
              <w:t>公司简介</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20"/>
              </w:rPr>
              <w:t> </w:t>
            </w:r>
            <w:r>
              <w:rPr/>
              <w:t>会计数据和财务指标摘要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32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20"/>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20"/>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0"/>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0"/>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0"/>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0"/>
              </w:rPr>
              <w:t> </w:t>
            </w:r>
            <w:r>
              <w:rPr/>
              <w:t>内部控制</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65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155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81" w:top="1060" w:bottom="1180" w:left="980" w:right="980"/>
        </w:sectPr>
      </w:pPr>
    </w:p>
    <w:p>
      <w:pPr>
        <w:spacing w:before="944"/>
        <w:ind w:left="2782"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8"/>
        <w:gridCol w:w="543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山东瑞康医药股份有限公司</w:t>
            </w:r>
          </w:p>
        </w:tc>
      </w:tr>
      <w:tr>
        <w:trPr>
          <w:trHeight w:val="403"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《山东瑞康医药股份有限公司公司章程》</w:t>
            </w:r>
          </w:p>
        </w:tc>
      </w:tr>
      <w:tr>
        <w:trPr>
          <w:trHeight w:val="401"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1"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w w:val="100"/>
                <w:sz w:val="18"/>
                <w:szCs w:val="18"/>
              </w:rPr>
              <w:t>指</w:t>
            </w:r>
          </w:p>
        </w:tc>
        <w:tc>
          <w:tcPr>
            <w:tcW w:w="54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before="0"/>
        <w:ind w:left="2782" w:right="2783"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0" w:firstLine="561"/>
        <w:jc w:val="left"/>
        <w:rPr>
          <w:rFonts w:ascii="Microsoft Sans Serif" w:hAnsi="Microsoft Sans Serif" w:cs="Microsoft Sans Serif" w:eastAsia="Microsoft Sans Serif" w:hint="default"/>
          <w:sz w:val="28"/>
          <w:szCs w:val="28"/>
        </w:rPr>
      </w:pPr>
      <w:r>
        <w:rPr>
          <w:rFonts w:ascii="宋体" w:hAnsi="宋体" w:cs="宋体" w:eastAsia="宋体" w:hint="default"/>
          <w:b/>
          <w:bCs/>
          <w:sz w:val="28"/>
          <w:szCs w:val="28"/>
        </w:rPr>
        <w:t>可能存在行业竞争、经营与管理、市场、国家政策等风险，敬请广大投资</w:t>
      </w:r>
      <w:r>
        <w:rPr>
          <w:rFonts w:ascii="宋体" w:hAnsi="宋体" w:cs="宋体" w:eastAsia="宋体" w:hint="default"/>
          <w:b/>
          <w:bCs/>
          <w:w w:val="100"/>
          <w:sz w:val="28"/>
          <w:szCs w:val="28"/>
        </w:rPr>
        <w:t> </w:t>
      </w:r>
      <w:r>
        <w:rPr>
          <w:rFonts w:ascii="宋体" w:hAnsi="宋体" w:cs="宋体" w:eastAsia="宋体" w:hint="default"/>
          <w:b/>
          <w:bCs/>
          <w:sz w:val="28"/>
          <w:szCs w:val="28"/>
        </w:rPr>
        <w:t>者注意投资风险。</w:t>
      </w:r>
      <w:r>
        <w:rPr>
          <w:rFonts w:ascii="Microsoft Sans Serif" w:hAnsi="Microsoft Sans Serif" w:cs="Microsoft Sans Serif" w:eastAsia="Microsoft Sans Serif" w:hint="default"/>
          <w:b/>
          <w:bCs/>
          <w:w w:val="100"/>
          <w:sz w:val="28"/>
          <w:szCs w:val="28"/>
        </w:rPr>
        <w:t> </w:t>
      </w:r>
      <w:r>
        <w:rPr>
          <w:rFonts w:ascii="Microsoft Sans Serif" w:hAnsi="Microsoft Sans Serif" w:cs="Microsoft Sans Serif" w:eastAsia="Microsoft Sans Serif" w:hint="default"/>
          <w:w w:val="100"/>
          <w:sz w:val="28"/>
          <w:szCs w:val="28"/>
        </w:rPr>
      </w:r>
    </w:p>
    <w:p>
      <w:pPr>
        <w:spacing w:after="0" w:line="408" w:lineRule="auto"/>
        <w:jc w:val="left"/>
        <w:rPr>
          <w:rFonts w:ascii="Microsoft Sans Serif" w:hAnsi="Microsoft Sans Serif" w:cs="Microsoft Sans Serif" w:eastAsia="Microsoft Sans Serif" w:hint="default"/>
          <w:sz w:val="28"/>
          <w:szCs w:val="28"/>
        </w:rPr>
        <w:sectPr>
          <w:pgSz w:w="11910" w:h="16840"/>
          <w:pgMar w:header="745" w:footer="981" w:top="1060" w:bottom="1180" w:left="980" w:right="980"/>
        </w:sectPr>
      </w:pPr>
    </w:p>
    <w:p>
      <w:pPr>
        <w:spacing w:line="240" w:lineRule="auto" w:before="0"/>
        <w:rPr>
          <w:rFonts w:ascii="Microsoft Sans Serif" w:hAnsi="Microsoft Sans Serif" w:cs="Microsoft Sans Serif" w:eastAsia="Microsoft Sans Serif" w:hint="default"/>
          <w:b/>
          <w:bCs/>
          <w:sz w:val="20"/>
          <w:szCs w:val="20"/>
        </w:rPr>
      </w:pPr>
      <w:r>
        <w:rPr/>
        <w:pict>
          <v:group style="position:absolute;margin-left:171.119995pt;margin-top:269.160004pt;width:362.65pt;height:20.8pt;mso-position-horizontal-relative:page;mso-position-vertical-relative:page;z-index:-898888" coordorigin="3422,5383" coordsize="7253,416">
            <v:group style="position:absolute;left:3434;top:5395;width:2;height:392" coordorigin="3434,5395" coordsize="2,392">
              <v:shape style="position:absolute;left:3434;top:5395;width:2;height:392" coordorigin="3434,5395" coordsize="0,392" path="m3434,5395l3434,5786e" filled="false" stroked="true" strokeweight="1.2pt" strokecolor="#ffffff">
                <v:path arrowok="t"/>
              </v:shape>
            </v:group>
            <v:group style="position:absolute;left:3446;top:5395;width:7229;height:392" coordorigin="3446,5395" coordsize="7229,392">
              <v:shape style="position:absolute;left:3446;top:5395;width:7229;height:392" coordorigin="3446,5395" coordsize="7229,392" path="m3446,5395l10675,5395,10675,5786,3446,5786,3446,5395xe" filled="true" fillcolor="#ffffff" stroked="false">
                <v:path arrowok="t"/>
                <v:fill type="solid"/>
              </v:shape>
            </v:group>
            <w10:wrap type="none"/>
          </v:group>
        </w:pict>
      </w:r>
    </w:p>
    <w:p>
      <w:pPr>
        <w:spacing w:line="240" w:lineRule="auto" w:before="0"/>
        <w:rPr>
          <w:rFonts w:ascii="Microsoft Sans Serif" w:hAnsi="Microsoft Sans Serif" w:cs="Microsoft Sans Serif" w:eastAsia="Microsoft Sans Serif" w:hint="default"/>
          <w:b/>
          <w:bCs/>
          <w:sz w:val="20"/>
          <w:szCs w:val="20"/>
        </w:rPr>
      </w:pPr>
    </w:p>
    <w:p>
      <w:pPr>
        <w:spacing w:line="240" w:lineRule="auto" w:before="1"/>
        <w:rPr>
          <w:rFonts w:ascii="Microsoft Sans Serif" w:hAnsi="Microsoft Sans Serif" w:cs="Microsoft Sans Serif" w:eastAsia="Microsoft Sans Serif" w:hint="default"/>
          <w:b/>
          <w:bCs/>
          <w:sz w:val="24"/>
          <w:szCs w:val="24"/>
        </w:rPr>
      </w:pPr>
    </w:p>
    <w:p>
      <w:pPr>
        <w:pStyle w:val="Heading1"/>
        <w:spacing w:line="240" w:lineRule="auto"/>
        <w:ind w:right="2783"/>
        <w:jc w:val="center"/>
        <w:rPr>
          <w:b w:val="0"/>
          <w:bCs w:val="0"/>
        </w:rPr>
      </w:pPr>
      <w:bookmarkStart w:name="第二节 公司简介 " w:id="3"/>
      <w:bookmarkEnd w:id="3"/>
      <w:r>
        <w:rPr>
          <w:b w:val="0"/>
          <w:bCs w:val="0"/>
        </w:rPr>
      </w:r>
      <w:bookmarkStart w:name="_bookmark1" w:id="4"/>
      <w:bookmarkEnd w:id="4"/>
      <w:r>
        <w:rPr>
          <w:b w:val="0"/>
          <w:bCs w:val="0"/>
        </w:rPr>
      </w:r>
      <w:r>
        <w:rPr/>
        <w:t>第二节</w:t>
      </w:r>
      <w:r>
        <w:rPr>
          <w:spacing w:val="-6"/>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2"/>
        <w:gridCol w:w="2975"/>
        <w:gridCol w:w="2132"/>
        <w:gridCol w:w="2188"/>
      </w:tblGrid>
      <w:tr>
        <w:trPr>
          <w:trHeight w:val="402"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5" w:type="dxa"/>
            <w:tcBorders>
              <w:top w:val="single" w:sz="4" w:space="0" w:color="000000"/>
              <w:left w:val="single" w:sz="12" w:space="0" w:color="D3D3D3"/>
              <w:bottom w:val="single" w:sz="4" w:space="0" w:color="000000"/>
              <w:right w:val="single" w:sz="13" w:space="0" w:color="D3D3D3"/>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瑞康医药</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002589</w:t>
            </w:r>
          </w:p>
        </w:tc>
      </w:tr>
      <w:tr>
        <w:trPr>
          <w:trHeight w:val="402"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山东瑞康医药股份有限公司</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瑞康医药</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SHANDONG REALCAN PHARMACEUTICAL</w:t>
            </w:r>
            <w:r>
              <w:rPr>
                <w:rFonts w:ascii="Times New Roman"/>
                <w:spacing w:val="-18"/>
                <w:sz w:val="18"/>
              </w:rPr>
              <w:t> </w:t>
            </w:r>
            <w:r>
              <w:rPr>
                <w:rFonts w:ascii="Times New Roman"/>
                <w:spacing w:val="-3"/>
                <w:sz w:val="18"/>
              </w:rPr>
              <w:t>CO.,LTD.</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公司的外文名称缩写（如有</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89"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Realcan</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264004</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264004</w:t>
            </w:r>
          </w:p>
        </w:tc>
      </w:tr>
      <w:tr>
        <w:trPr>
          <w:trHeight w:val="401"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www.realcan.cn</w:t>
              </w:r>
            </w:hyperlink>
          </w:p>
        </w:tc>
      </w:tr>
      <w:tr>
        <w:trPr>
          <w:trHeight w:val="403" w:hRule="exact"/>
        </w:trPr>
        <w:tc>
          <w:tcPr>
            <w:tcW w:w="2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二、联系人和联系方式 " w:id="6"/>
            <w:bookmarkEnd w:id="6"/>
            <w:r>
              <w:rPr/>
            </w:r>
            <w:r>
              <w:rPr>
                <w:rFonts w:ascii="宋体" w:hAnsi="宋体" w:cs="宋体" w:eastAsia="宋体" w:hint="default"/>
                <w:sz w:val="18"/>
                <w:szCs w:val="18"/>
              </w:rPr>
              <w:t>电子信箱</w:t>
            </w:r>
          </w:p>
        </w:tc>
        <w:tc>
          <w:tcPr>
            <w:tcW w:w="7295" w:type="dxa"/>
            <w:gridSpan w:val="3"/>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stock@realcan.cn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周彬</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烟台市芝罘区机场路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0535-6735656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0535-6737695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0535-6737695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0535-6737695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三、信息披露及备置地点 " w:id="7"/>
            <w:bookmarkEnd w:id="7"/>
            <w:r>
              <w:rPr/>
            </w:r>
            <w:r>
              <w:rPr>
                <w:rFonts w:ascii="宋体" w:hAnsi="宋体" w:cs="宋体" w:eastAsia="宋体" w:hint="default"/>
                <w:sz w:val="18"/>
                <w:szCs w:val="18"/>
              </w:rPr>
              <w:t>电子信箱</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zhouyun@realcan.cn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stock@realcan.cn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91"/>
        <w:gridCol w:w="5578"/>
      </w:tblGrid>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《中国证券报</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《证券时</w:t>
            </w:r>
            <w:r>
              <w:rPr>
                <w:rFonts w:ascii="宋体" w:hAnsi="宋体" w:cs="宋体" w:eastAsia="宋体" w:hint="default"/>
                <w:spacing w:val="2"/>
                <w:w w:val="100"/>
                <w:sz w:val="18"/>
                <w:szCs w:val="18"/>
              </w:rPr>
              <w:t>报</w:t>
            </w:r>
            <w:r>
              <w:rPr>
                <w:rFonts w:ascii="宋体" w:hAnsi="宋体" w:cs="宋体" w:eastAsia="宋体" w:hint="default"/>
                <w:spacing w:val="-92"/>
                <w:w w:val="100"/>
                <w:sz w:val="18"/>
                <w:szCs w:val="18"/>
              </w:rPr>
              <w:t>》</w:t>
            </w:r>
            <w:r>
              <w:rPr>
                <w:rFonts w:ascii="宋体" w:hAnsi="宋体" w:cs="宋体" w:eastAsia="宋体" w:hint="default"/>
                <w:spacing w:val="-90"/>
                <w:w w:val="100"/>
                <w:sz w:val="18"/>
                <w:szCs w:val="18"/>
              </w:rPr>
              <w:t>、</w:t>
            </w:r>
            <w:r>
              <w:rPr>
                <w:rFonts w:ascii="宋体" w:hAnsi="宋体" w:cs="宋体" w:eastAsia="宋体" w:hint="default"/>
                <w:spacing w:val="-1"/>
                <w:w w:val="100"/>
                <w:sz w:val="18"/>
                <w:szCs w:val="18"/>
              </w:rPr>
              <w:t>《证券日报</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《上海证券报</w:t>
            </w:r>
            <w:r>
              <w:rPr>
                <w:rFonts w:ascii="宋体" w:hAnsi="宋体" w:cs="宋体" w:eastAsia="宋体" w:hint="default"/>
                <w:w w:val="100"/>
                <w:sz w:val="18"/>
                <w:szCs w:val="18"/>
              </w:rPr>
              <w:t>》</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公司证券管理部、深圳证券交易所</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 w:id="8"/>
      <w:bookmarkEnd w:id="8"/>
      <w:r>
        <w:rPr>
          <w:b w:val="0"/>
          <w:bCs w:val="0"/>
        </w:rPr>
      </w: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525" w:right="69" w:hanging="452"/>
              <w:jc w:val="left"/>
              <w:rPr>
                <w:rFonts w:ascii="宋体" w:hAnsi="宋体" w:cs="宋体" w:eastAsia="宋体" w:hint="default"/>
                <w:sz w:val="18"/>
                <w:szCs w:val="18"/>
              </w:rPr>
            </w:pPr>
            <w:r>
              <w:rPr>
                <w:rFonts w:ascii="宋体" w:hAnsi="宋体" w:cs="宋体" w:eastAsia="宋体" w:hint="default"/>
                <w:sz w:val="18"/>
                <w:szCs w:val="18"/>
              </w:rPr>
              <w:t>企业法人营业执照</w:t>
            </w:r>
            <w:r>
              <w:rPr>
                <w:rFonts w:ascii="宋体" w:hAnsi="宋体" w:cs="宋体" w:eastAsia="宋体" w:hint="default"/>
                <w:w w:val="100"/>
                <w:sz w:val="18"/>
                <w:szCs w:val="18"/>
              </w:rPr>
              <w:t> </w:t>
            </w:r>
            <w:r>
              <w:rPr>
                <w:rFonts w:ascii="宋体" w:hAnsi="宋体" w:cs="宋体" w:eastAsia="宋体" w:hint="default"/>
                <w:sz w:val="18"/>
                <w:szCs w:val="18"/>
              </w:rPr>
              <w:t>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84"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0" w:hRule="exact"/>
        </w:trPr>
        <w:tc>
          <w:tcPr>
            <w:tcW w:w="15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9"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烟台市芝罘区机场</w:t>
            </w:r>
            <w:r>
              <w:rPr>
                <w:rFonts w:ascii="宋体" w:hAnsi="宋体" w:cs="宋体" w:eastAsia="宋体" w:hint="default"/>
                <w:w w:val="100"/>
                <w:sz w:val="18"/>
                <w:szCs w:val="18"/>
              </w:rPr>
              <w:t> </w:t>
            </w: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370602228025440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370602766690447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76669044-7</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烟台市芝罘区机场</w:t>
            </w:r>
            <w:r>
              <w:rPr>
                <w:rFonts w:ascii="宋体" w:hAnsi="宋体" w:cs="宋体" w:eastAsia="宋体" w:hint="default"/>
                <w:w w:val="100"/>
                <w:sz w:val="18"/>
                <w:szCs w:val="18"/>
              </w:rPr>
              <w:t> </w:t>
            </w:r>
            <w:r>
              <w:rPr>
                <w:rFonts w:ascii="宋体" w:hAnsi="宋体" w:cs="宋体" w:eastAsia="宋体" w:hint="default"/>
                <w:sz w:val="18"/>
                <w:szCs w:val="18"/>
              </w:rPr>
              <w:t>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370602228025440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370602766690447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76669044-7</w:t>
            </w:r>
          </w:p>
        </w:tc>
      </w:tr>
      <w:tr>
        <w:trPr>
          <w:trHeight w:val="392" w:hRule="exact"/>
        </w:trPr>
        <w:tc>
          <w:tcPr>
            <w:tcW w:w="15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3D3D3"/>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r>
              <w:rPr>
                <w:rFonts w:ascii="宋体" w:hAnsi="宋体" w:cs="宋体" w:eastAsia="宋体" w:hint="default"/>
                <w:w w:val="100"/>
                <w:sz w:val="18"/>
                <w:szCs w:val="18"/>
              </w:rPr>
              <w:t> </w:t>
            </w:r>
            <w:r>
              <w:rPr>
                <w:rFonts w:ascii="宋体" w:hAnsi="宋体" w:cs="宋体" w:eastAsia="宋体" w:hint="default"/>
                <w:sz w:val="18"/>
                <w:szCs w:val="18"/>
              </w:rPr>
              <w:t>有）</w:t>
            </w:r>
          </w:p>
        </w:tc>
        <w:tc>
          <w:tcPr>
            <w:tcW w:w="6377" w:type="dxa"/>
            <w:gridSpan w:val="4"/>
            <w:tcBorders>
              <w:top w:val="single" w:sz="4" w:space="0" w:color="000000"/>
              <w:left w:val="single" w:sz="12"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公司上市以来主营业务未发生显著变化。</w:t>
            </w:r>
          </w:p>
        </w:tc>
      </w:tr>
      <w:tr>
        <w:trPr>
          <w:trHeight w:val="401"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五、其他有关资料 " w:id="9"/>
            <w:bookmarkEnd w:id="9"/>
            <w:r>
              <w:rPr/>
            </w:r>
            <w:r>
              <w:rPr>
                <w:rFonts w:ascii="宋体" w:hAnsi="宋体" w:cs="宋体" w:eastAsia="宋体" w:hint="default"/>
                <w:sz w:val="18"/>
                <w:szCs w:val="18"/>
              </w:rPr>
              <w:t>历次控股股东的变更情况（如有）</w:t>
            </w:r>
          </w:p>
        </w:tc>
        <w:tc>
          <w:tcPr>
            <w:tcW w:w="6377" w:type="dxa"/>
            <w:gridSpan w:val="4"/>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7"/>
      </w:tblGrid>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北京天圆全会计师事务所（特殊普通合伙）</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号方圆大厦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tabs>
                <w:tab w:pos="657" w:val="left" w:leader="none"/>
              </w:tabs>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
                <w:sz w:val="18"/>
                <w:szCs w:val="18"/>
              </w:rPr>
              <w:t>周瑕</w:t>
              <w:tab/>
              <w:t>杜宪超</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397"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华林证券有限责任公司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5"/>
              <w:ind w:left="21" w:right="19"/>
              <w:jc w:val="left"/>
              <w:rPr>
                <w:rFonts w:ascii="宋体" w:hAnsi="宋体" w:cs="宋体" w:eastAsia="宋体" w:hint="default"/>
                <w:sz w:val="18"/>
                <w:szCs w:val="18"/>
              </w:rPr>
            </w:pPr>
            <w:r>
              <w:rPr>
                <w:rFonts w:ascii="宋体" w:hAnsi="宋体" w:cs="宋体" w:eastAsia="宋体" w:hint="default"/>
                <w:sz w:val="18"/>
                <w:szCs w:val="18"/>
              </w:rPr>
              <w:t>深圳市福田区民田路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号华</w:t>
            </w:r>
            <w:r>
              <w:rPr>
                <w:rFonts w:ascii="宋体" w:hAnsi="宋体" w:cs="宋体" w:eastAsia="宋体" w:hint="default"/>
                <w:w w:val="100"/>
                <w:sz w:val="18"/>
                <w:szCs w:val="18"/>
              </w:rPr>
              <w:t> </w:t>
            </w:r>
            <w:r>
              <w:rPr>
                <w:rFonts w:ascii="宋体" w:hAnsi="宋体" w:cs="宋体" w:eastAsia="宋体" w:hint="default"/>
                <w:sz w:val="18"/>
                <w:szCs w:val="18"/>
              </w:rPr>
              <w:t>融大厦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tabs>
                <w:tab w:pos="839" w:val="left" w:leader="none"/>
              </w:tabs>
              <w:spacing w:line="240" w:lineRule="auto"/>
              <w:ind w:left="26" w:right="0"/>
              <w:jc w:val="left"/>
              <w:rPr>
                <w:rFonts w:ascii="宋体" w:hAnsi="宋体" w:cs="宋体" w:eastAsia="宋体" w:hint="default"/>
                <w:sz w:val="18"/>
                <w:szCs w:val="18"/>
              </w:rPr>
            </w:pPr>
            <w:r>
              <w:rPr>
                <w:rFonts w:ascii="宋体" w:hAnsi="宋体" w:cs="宋体" w:eastAsia="宋体" w:hint="default"/>
                <w:spacing w:val="-1"/>
                <w:sz w:val="18"/>
                <w:szCs w:val="18"/>
              </w:rPr>
              <w:t>秦洪波</w:t>
              <w:tab/>
              <w:t>曹玉江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上海市浦东新区芳甸路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1088</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号紫竹国际大厦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839" w:val="left" w:leader="none"/>
              </w:tabs>
              <w:spacing w:line="240" w:lineRule="auto"/>
              <w:ind w:left="26" w:right="0"/>
              <w:jc w:val="left"/>
              <w:rPr>
                <w:rFonts w:ascii="宋体" w:hAnsi="宋体" w:cs="宋体" w:eastAsia="宋体" w:hint="default"/>
                <w:sz w:val="18"/>
                <w:szCs w:val="18"/>
              </w:rPr>
            </w:pPr>
            <w:r>
              <w:rPr>
                <w:rFonts w:ascii="宋体" w:hAnsi="宋体" w:cs="宋体" w:eastAsia="宋体" w:hint="default"/>
                <w:spacing w:val="-1"/>
                <w:sz w:val="18"/>
                <w:szCs w:val="18"/>
              </w:rPr>
              <w:t>曹玉江</w:t>
              <w:tab/>
              <w:t>余波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641" w:right="0"/>
        <w:jc w:val="left"/>
        <w:rPr>
          <w:b w:val="0"/>
          <w:bCs w:val="0"/>
        </w:rPr>
      </w:pPr>
      <w:bookmarkStart w:name="第三节 会计数据和财务指标摘要 " w:id="10"/>
      <w:bookmarkEnd w:id="10"/>
      <w:r>
        <w:rPr>
          <w:b w:val="0"/>
          <w:bCs w:val="0"/>
        </w:rPr>
      </w:r>
      <w:bookmarkStart w:name="_bookmark2" w:id="11"/>
      <w:bookmarkEnd w:id="11"/>
      <w:r>
        <w:rPr>
          <w:b w:val="0"/>
          <w:bCs w:val="0"/>
        </w:rPr>
      </w:r>
      <w:r>
        <w:rPr/>
        <w:t>第三节</w:t>
      </w:r>
      <w:r>
        <w:rPr>
          <w:spacing w:val="-12"/>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主要会计数据和财务指标 " w:id="12"/>
      <w:bookmarkEnd w:id="12"/>
      <w:r>
        <w:rPr>
          <w:b w:val="0"/>
          <w:bCs w:val="0"/>
        </w:rPr>
      </w: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8"/>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7,785,907,077.03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5,925,841,691.21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4,622,237,618.23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180,986,792.67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143,554,930.80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110,651,372.88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5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r>
              <w:rPr>
                <w:rFonts w:ascii="宋体" w:hAnsi="宋体" w:cs="宋体" w:eastAsia="宋体" w:hint="default"/>
                <w:w w:val="100"/>
                <w:sz w:val="18"/>
                <w:szCs w:val="18"/>
              </w:rPr>
              <w:t> </w:t>
            </w:r>
            <w:r>
              <w:rPr>
                <w:rFonts w:ascii="宋体" w:hAnsi="宋体" w:cs="宋体" w:eastAsia="宋体" w:hint="default"/>
                <w:sz w:val="18"/>
                <w:szCs w:val="18"/>
              </w:rPr>
              <w:t>常性损益的净利润（元）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175,307,461.35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145,125,545.94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113,729,647.60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-163,621,029.09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-274,459,109.88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-170,520,249.69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0.59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2"/>
              <w:jc w:val="right"/>
              <w:rPr>
                <w:rFonts w:ascii="宋体" w:hAnsi="宋体" w:cs="宋体" w:eastAsia="宋体" w:hint="default"/>
                <w:sz w:val="18"/>
                <w:szCs w:val="18"/>
              </w:rPr>
            </w:pPr>
            <w:r>
              <w:rPr>
                <w:rFonts w:ascii="宋体" w:hAnsi="宋体" w:cs="宋体" w:eastAsia="宋体" w:hint="default"/>
                <w:spacing w:val="-1"/>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5,678,331,771.15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4,454,233,212.00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3,120,368,885.79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1,797,890,332.01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1,631,688,315.98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916,408,654.69</w:t>
            </w:r>
          </w:p>
        </w:tc>
      </w:tr>
    </w:tbl>
    <w:p>
      <w:pPr>
        <w:pStyle w:val="BodyText"/>
        <w:spacing w:line="319" w:lineRule="auto" w:before="49"/>
        <w:ind w:right="0"/>
        <w:jc w:val="left"/>
      </w:pPr>
      <w:r>
        <w:rPr>
          <w:spacing w:val="-3"/>
        </w:rPr>
        <w:t>公司报告期末至年度报告披露日股本是否因发行新股、增发、配股、股权激励行权、回购等原因发生变化且影响所有者权益</w:t>
      </w:r>
      <w:r>
        <w:rPr>
          <w:spacing w:val="-47"/>
        </w:rPr>
        <w:t> </w:t>
      </w:r>
      <w:r>
        <w:rPr>
          <w:spacing w:val="-47"/>
        </w:rPr>
      </w:r>
      <w:r>
        <w:rPr/>
        <w:t>金额</w:t>
      </w:r>
    </w:p>
    <w:p>
      <w:pPr>
        <w:pStyle w:val="BodyText"/>
        <w:spacing w:line="240" w:lineRule="auto" w:before="5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2"/>
        <w:rPr>
          <w:rFonts w:ascii="宋体" w:hAnsi="宋体" w:cs="宋体" w:eastAsia="宋体" w:hint="default"/>
          <w:sz w:val="6"/>
          <w:szCs w:val="6"/>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407;width:4515;height:2" coordorigin="10,407" coordsize="4515,2">
              <v:shape style="position:absolute;left:10;top:407;width:4515;height:2" coordorigin="10,407" coordsize="4515,0" path="m10,407l4524,407e" filled="false" stroked="true" strokeweight=".1pt" strokecolor="#d3d3d3">
                <v:path arrowok="t"/>
              </v:shape>
            </v:group>
            <v:group style="position:absolute;left:22;top:14;width:2;height:392" coordorigin="22,14" coordsize="2,392">
              <v:shape style="position:absolute;left:22;top:14;width:2;height:392" coordorigin="22,14" coordsize="0,392" path="m22,14l22,406e" filled="false" stroked="true" strokeweight="1.2pt" strokecolor="#d3d3d3">
                <v:path arrowok="t"/>
              </v:shape>
            </v:group>
            <v:group style="position:absolute;left:4513;top:14;width:2;height:392" coordorigin="4513,14" coordsize="2,392">
              <v:shape style="position:absolute;left:4513;top:14;width:2;height:392" coordorigin="4513,14" coordsize="0,392" path="m4513,14l4513,406e" filled="false" stroked="true" strokeweight="1.08pt" strokecolor="#d3d3d3">
                <v:path arrowok="t"/>
              </v:shape>
            </v:group>
            <v:group style="position:absolute;left:34;top:14;width:4469;height:392" coordorigin="34,14" coordsize="4469,392">
              <v:shape style="position:absolute;left:34;top:14;width:4469;height:392" coordorigin="34,14" coordsize="4469,392" path="m34,14l4502,14,4502,406,34,406,34,14xe" filled="true" fillcolor="#d3d3d3" stroked="false">
                <v:path arrowok="t"/>
                <v:fill type="solid"/>
              </v:shape>
            </v:group>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5036;height:2" coordorigin="4534,10" coordsize="5036,2">
              <v:shape style="position:absolute;left:4534;top:10;width:5036;height:2" coordorigin="4534,10" coordsize="5036,0" path="m4534,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515;height:2" coordorigin="10,413" coordsize="4515,2">
              <v:shape style="position:absolute;left:10;top:413;width:4515;height:2" coordorigin="10,413" coordsize="4515,0" path="m10,413l4524,413e" filled="false" stroked="true" strokeweight=".48pt" strokecolor="#000000">
                <v:path arrowok="t"/>
              </v:shape>
            </v:group>
            <v:group style="position:absolute;left:4529;top:5;width:2;height:413" coordorigin="4529,5" coordsize="2,413">
              <v:shape style="position:absolute;left:4529;top:5;width:2;height:413" coordorigin="4529,5" coordsize="0,413" path="m4529,5l4529,418e" filled="false" stroked="true" strokeweight=".48pt" strokecolor="#000000">
                <v:path arrowok="t"/>
              </v:shape>
            </v:group>
            <v:group style="position:absolute;left:4534;top:413;width:5036;height:2" coordorigin="4534,413" coordsize="5036,2">
              <v:shape style="position:absolute;left:4534;top:413;width:5036;height:2" coordorigin="4534,413" coordsize="5036,0" path="m4534,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524;height:404" type="#_x0000_t202" filled="false" stroked="false">
                <v:textbox inset="0,0,0,0">
                  <w:txbxContent>
                    <w:p>
                      <w:pPr>
                        <w:spacing w:before="53"/>
                        <w:ind w:left="28" w:right="0" w:firstLine="0"/>
                        <w:jc w:val="left"/>
                        <w:rPr>
                          <w:rFonts w:ascii="宋体" w:hAnsi="宋体" w:cs="宋体" w:eastAsia="宋体" w:hint="default"/>
                          <w:sz w:val="18"/>
                          <w:szCs w:val="18"/>
                        </w:rPr>
                      </w:pPr>
                      <w:bookmarkStart w:name="二、非经常性损益项目及金额 " w:id="13"/>
                      <w:bookmarkEnd w:id="13"/>
                      <w:r>
                        <w:rPr/>
                      </w: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9047;top:129;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0.6527</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1"/>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3"/>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w:t>
            </w:r>
            <w:r>
              <w:rPr>
                <w:rFonts w:ascii="宋体" w:hAnsi="宋体" w:cs="宋体" w:eastAsia="宋体" w:hint="default"/>
                <w:w w:val="100"/>
                <w:sz w:val="18"/>
                <w:szCs w:val="18"/>
              </w:rPr>
              <w:t> </w:t>
            </w:r>
            <w:r>
              <w:rPr>
                <w:rFonts w:ascii="宋体" w:hAnsi="宋体" w:cs="宋体" w:eastAsia="宋体" w:hint="default"/>
                <w:sz w:val="18"/>
                <w:szCs w:val="18"/>
              </w:rPr>
              <w:t>值准备的冲销部分）</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637,060.76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1" w:right="0"/>
              <w:jc w:val="left"/>
              <w:rPr>
                <w:rFonts w:ascii="Times New Roman" w:hAnsi="Times New Roman" w:cs="Times New Roman" w:eastAsia="Times New Roman" w:hint="default"/>
                <w:sz w:val="18"/>
                <w:szCs w:val="18"/>
              </w:rPr>
            </w:pPr>
            <w:r>
              <w:rPr>
                <w:rFonts w:ascii="Times New Roman"/>
                <w:sz w:val="18"/>
              </w:rPr>
              <w:t>-529,863.69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-135,201.99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r>
              <w:rPr>
                <w:rFonts w:ascii="宋体" w:hAnsi="宋体" w:cs="宋体" w:eastAsia="宋体" w:hint="default"/>
                <w:w w:val="100"/>
                <w:sz w:val="18"/>
                <w:szCs w:val="18"/>
              </w:rPr>
              <w:t> </w:t>
            </w:r>
            <w:r>
              <w:rPr>
                <w:rFonts w:ascii="宋体" w:hAnsi="宋体" w:cs="宋体" w:eastAsia="宋体" w:hint="default"/>
                <w:sz w:val="18"/>
                <w:szCs w:val="18"/>
              </w:rPr>
              <w:t>切相关，按照国家统一标准定额或定量享</w:t>
            </w:r>
            <w:r>
              <w:rPr>
                <w:rFonts w:ascii="宋体" w:hAnsi="宋体" w:cs="宋体" w:eastAsia="宋体" w:hint="default"/>
                <w:w w:val="100"/>
                <w:sz w:val="18"/>
                <w:szCs w:val="18"/>
              </w:rPr>
              <w:t> </w:t>
            </w:r>
            <w:r>
              <w:rPr>
                <w:rFonts w:ascii="宋体" w:hAnsi="宋体" w:cs="宋体" w:eastAsia="宋体" w:hint="default"/>
                <w:sz w:val="18"/>
                <w:szCs w:val="18"/>
              </w:rPr>
              <w:t>受的政府补助除外）</w:t>
            </w:r>
          </w:p>
        </w:tc>
        <w:tc>
          <w:tcPr>
            <w:tcW w:w="15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5,816,110.22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5"/>
        <w:gridCol w:w="1522"/>
        <w:gridCol w:w="1519"/>
        <w:gridCol w:w="1522"/>
        <w:gridCol w:w="1711"/>
      </w:tblGrid>
      <w:tr>
        <w:trPr>
          <w:trHeight w:val="355" w:hRule="exact"/>
        </w:trPr>
        <w:tc>
          <w:tcPr>
            <w:tcW w:w="32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22" w:type="dxa"/>
            <w:tcBorders>
              <w:top w:val="single" w:sz="4" w:space="0" w:color="000000"/>
              <w:left w:val="single" w:sz="4" w:space="0" w:color="000000"/>
              <w:bottom w:val="nil" w:sz="6" w:space="0" w:color="auto"/>
              <w:right w:val="single" w:sz="4" w:space="0" w:color="000000"/>
            </w:tcBorders>
          </w:tcPr>
          <w:p>
            <w:pPr/>
          </w:p>
        </w:tc>
        <w:tc>
          <w:tcPr>
            <w:tcW w:w="1519"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1" w:type="dxa"/>
            <w:vMerge w:val="restart"/>
            <w:tcBorders>
              <w:top w:val="single" w:sz="4" w:space="0" w:color="000000"/>
              <w:left w:val="single" w:sz="4" w:space="0" w:color="000000"/>
              <w:right w:val="single" w:sz="4" w:space="0" w:color="000000"/>
            </w:tcBorders>
          </w:tcPr>
          <w:p>
            <w:pPr/>
          </w:p>
        </w:tc>
      </w:tr>
      <w:tr>
        <w:trPr>
          <w:trHeight w:val="312"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22" w:type="dxa"/>
            <w:tcBorders>
              <w:top w:val="nil" w:sz="6" w:space="0" w:color="auto"/>
              <w:left w:val="single" w:sz="4" w:space="0" w:color="000000"/>
              <w:bottom w:val="nil" w:sz="6" w:space="0" w:color="auto"/>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17"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1,156,496.11</w:t>
            </w: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07" w:hRule="exact"/>
        </w:trPr>
        <w:tc>
          <w:tcPr>
            <w:tcW w:w="32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22" w:type="dxa"/>
            <w:tcBorders>
              <w:top w:val="nil" w:sz="6" w:space="0" w:color="auto"/>
              <w:left w:val="single" w:sz="4" w:space="0" w:color="000000"/>
              <w:bottom w:val="nil" w:sz="6" w:space="0" w:color="auto"/>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1" w:type="dxa"/>
            <w:vMerge/>
            <w:tcBorders>
              <w:left w:val="single" w:sz="4" w:space="0" w:color="000000"/>
              <w:right w:val="single" w:sz="4" w:space="0" w:color="000000"/>
            </w:tcBorders>
          </w:tcPr>
          <w:p>
            <w:pPr/>
          </w:p>
        </w:tc>
      </w:tr>
      <w:tr>
        <w:trPr>
          <w:trHeight w:val="358" w:hRule="exact"/>
        </w:trPr>
        <w:tc>
          <w:tcPr>
            <w:tcW w:w="32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1522" w:type="dxa"/>
            <w:tcBorders>
              <w:top w:val="nil" w:sz="6" w:space="0" w:color="auto"/>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1" w:type="dxa"/>
            <w:vMerge/>
            <w:tcBorders>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-349,361.27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-290,339.30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-1,926.23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-463,364.50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-1,274,308.43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-3,965,607.84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1,117,428.58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-523,504.35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-1,023,263.00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181.42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-1,198.34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5,679,331.32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-1,570,615.14</w:t>
            </w:r>
          </w:p>
        </w:tc>
        <w:tc>
          <w:tcPr>
            <w:tcW w:w="1522" w:type="dxa"/>
            <w:tcBorders>
              <w:top w:val="single" w:sz="4" w:space="0" w:color="000000"/>
              <w:left w:val="single" w:sz="4" w:space="0" w:color="000000"/>
              <w:bottom w:val="single" w:sz="4" w:space="0" w:color="000000"/>
              <w:right w:val="single" w:sz="14"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-3,078,274.72</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4"/>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8"/>
        </w:rPr>
        <w:t>号</w:t>
      </w:r>
      <w:r>
        <w:rPr>
          <w:rFonts w:ascii="Times New Roman" w:hAnsi="Times New Roman" w:cs="Times New Roman" w:eastAsia="Times New Roman" w:hint="default"/>
          <w:spacing w:val="-8"/>
        </w:rPr>
        <w:t>——</w:t>
      </w:r>
      <w:r>
        <w:rPr>
          <w:spacing w:val="-8"/>
        </w:rPr>
        <w:t>非经常性损益》定义界定的非经常性损益项目，以及把《公</w:t>
      </w:r>
    </w:p>
    <w:p>
      <w:pPr>
        <w:pStyle w:val="BodyText"/>
        <w:spacing w:line="300" w:lineRule="auto" w:before="63"/>
        <w:ind w:right="0"/>
        <w:jc w:val="left"/>
      </w:pPr>
      <w:r>
        <w:rPr/>
        <w:t>开发行证券的公司信息披露解释性公告第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非经常性损益》中列举的非经常性损益项目界定为经常性损益的项目，应</w:t>
      </w:r>
      <w:r>
        <w:rPr>
          <w:spacing w:val="-84"/>
        </w:rPr>
        <w:t> </w:t>
      </w:r>
      <w:r>
        <w:rPr>
          <w:spacing w:val="-84"/>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0" w:lineRule="auto" w:before="103"/>
        <w:ind w:right="0"/>
        <w:jc w:val="left"/>
      </w:pPr>
      <w:r>
        <w:rPr/>
        <w:t>公司报告期不存在将根据《公开发行证券的公司信息披露解释性公告第</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4"/>
        </w:rPr>
        <w:t>号</w:t>
      </w:r>
      <w:r>
        <w:rPr>
          <w:rFonts w:ascii="Times New Roman" w:hAnsi="Times New Roman" w:cs="Times New Roman" w:eastAsia="Times New Roman" w:hint="default"/>
          <w:spacing w:val="-4"/>
        </w:rPr>
        <w:t>——</w:t>
      </w:r>
      <w:r>
        <w:rPr>
          <w:spacing w:val="-4"/>
        </w:rPr>
        <w:t>非经常性损益》定义、列举的非经常性损益</w:t>
      </w:r>
      <w:r>
        <w:rPr>
          <w:w w:val="100"/>
        </w:rPr>
        <w:t> </w:t>
      </w:r>
      <w:r>
        <w:rPr/>
        <w:t>项目界定为经常性损益的项目的情形。</w:t>
      </w:r>
    </w:p>
    <w:p>
      <w:pPr>
        <w:spacing w:after="0" w:line="30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590" w:right="3631"/>
        <w:jc w:val="center"/>
        <w:rPr>
          <w:b w:val="0"/>
          <w:bCs w:val="0"/>
        </w:rPr>
      </w:pPr>
      <w:bookmarkStart w:name="第四节 董事会报告 " w:id="14"/>
      <w:bookmarkEnd w:id="14"/>
      <w:r>
        <w:rPr>
          <w:b w:val="0"/>
          <w:bCs w:val="0"/>
        </w:rPr>
      </w:r>
      <w:bookmarkStart w:name="_bookmark3" w:id="15"/>
      <w:bookmarkEnd w:id="15"/>
      <w:r>
        <w:rPr>
          <w:b w:val="0"/>
          <w:bCs w:val="0"/>
        </w:rPr>
      </w:r>
      <w:r>
        <w:rPr/>
        <w:t>第四节</w:t>
      </w:r>
      <w:r>
        <w:rPr>
          <w:spacing w:val="-8"/>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3"/>
        <w:jc w:val="left"/>
        <w:rPr>
          <w:b w:val="0"/>
          <w:bCs w:val="0"/>
        </w:rPr>
      </w:pPr>
      <w:bookmarkStart w:name="一、概述 " w:id="16"/>
      <w:bookmarkEnd w:id="16"/>
      <w:r>
        <w:rPr>
          <w:b w:val="0"/>
          <w:bCs w:val="0"/>
        </w:rPr>
      </w: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190" w:firstLine="359"/>
        <w:jc w:val="both"/>
      </w:pPr>
      <w:r>
        <w:rPr>
          <w:rFonts w:ascii="Times New Roman" w:hAnsi="Times New Roman" w:cs="Times New Roman" w:eastAsia="Times New Roman" w:hint="default"/>
          <w:spacing w:val="-3"/>
        </w:rPr>
        <w:t>2014</w:t>
      </w:r>
      <w:r>
        <w:rPr>
          <w:spacing w:val="-3"/>
        </w:rPr>
        <w:t>年是中国全面深化改革的开启之年，也是宏观经济步入</w:t>
      </w:r>
      <w:r>
        <w:rPr>
          <w:rFonts w:ascii="Times New Roman" w:hAnsi="Times New Roman" w:cs="Times New Roman" w:eastAsia="Times New Roman" w:hint="default"/>
          <w:spacing w:val="-3"/>
        </w:rPr>
        <w:t>“</w:t>
      </w:r>
      <w:r>
        <w:rPr>
          <w:spacing w:val="-3"/>
        </w:rPr>
        <w:t>新常态</w:t>
      </w:r>
      <w:r>
        <w:rPr>
          <w:rFonts w:ascii="Times New Roman" w:hAnsi="Times New Roman" w:cs="Times New Roman" w:eastAsia="Times New Roman" w:hint="default"/>
          <w:spacing w:val="-3"/>
        </w:rPr>
        <w:t>”</w:t>
      </w:r>
      <w:r>
        <w:rPr>
          <w:spacing w:val="-3"/>
        </w:rPr>
        <w:t>的一年。医药行业规模增长同比趋缓，行业集中度</w:t>
      </w:r>
      <w:r>
        <w:rPr>
          <w:w w:val="100"/>
        </w:rPr>
        <w:t> </w:t>
      </w:r>
      <w:r>
        <w:rPr>
          <w:spacing w:val="-2"/>
        </w:rPr>
        <w:t>进一步提升。公司在</w:t>
      </w:r>
      <w:r>
        <w:rPr>
          <w:rFonts w:ascii="Times New Roman" w:hAnsi="Times New Roman" w:cs="Times New Roman" w:eastAsia="Times New Roman" w:hint="default"/>
          <w:spacing w:val="-2"/>
        </w:rPr>
        <w:t>“</w:t>
      </w:r>
      <w:r>
        <w:rPr>
          <w:spacing w:val="-2"/>
        </w:rPr>
        <w:t>业务转型达成内涵式增长</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购并扩张实现外延式发展</w:t>
      </w:r>
      <w:r>
        <w:rPr>
          <w:rFonts w:ascii="Times New Roman" w:hAnsi="Times New Roman" w:cs="Times New Roman" w:eastAsia="Times New Roman" w:hint="default"/>
          <w:spacing w:val="-2"/>
        </w:rPr>
        <w:t>”</w:t>
      </w:r>
      <w:r>
        <w:rPr>
          <w:spacing w:val="-2"/>
        </w:rPr>
        <w:t>两大战略的引领下，更加重视对终端的把控和</w:t>
      </w:r>
      <w:r>
        <w:rPr>
          <w:spacing w:val="-56"/>
        </w:rPr>
        <w:t> </w:t>
      </w:r>
      <w:r>
        <w:rPr>
          <w:spacing w:val="-56"/>
        </w:rPr>
      </w:r>
      <w:r>
        <w:rPr>
          <w:spacing w:val="-2"/>
        </w:rPr>
        <w:t>服务能力的提升，从</w:t>
      </w:r>
      <w:r>
        <w:rPr>
          <w:rFonts w:ascii="Times New Roman" w:hAnsi="Times New Roman" w:cs="Times New Roman" w:eastAsia="Times New Roman" w:hint="default"/>
          <w:spacing w:val="-2"/>
        </w:rPr>
        <w:t>“</w:t>
      </w:r>
      <w:r>
        <w:rPr>
          <w:spacing w:val="-2"/>
        </w:rPr>
        <w:t>存量</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增量</w:t>
      </w:r>
      <w:r>
        <w:rPr>
          <w:rFonts w:ascii="Times New Roman" w:hAnsi="Times New Roman" w:cs="Times New Roman" w:eastAsia="Times New Roman" w:hint="default"/>
          <w:spacing w:val="-2"/>
        </w:rPr>
        <w:t>”</w:t>
      </w:r>
      <w:r>
        <w:rPr>
          <w:spacing w:val="-2"/>
        </w:rPr>
        <w:t>两方面入手，在巩固药品直销核心业务基础上，医疗器械市场的销售也迈上一个新的台</w:t>
      </w:r>
      <w:r>
        <w:rPr>
          <w:spacing w:val="-57"/>
        </w:rPr>
        <w:t> </w:t>
      </w:r>
      <w:r>
        <w:rPr>
          <w:spacing w:val="-57"/>
        </w:rPr>
      </w:r>
      <w:r>
        <w:rPr>
          <w:spacing w:val="-3"/>
        </w:rPr>
        <w:t>阶，经过多年快速发展、规模的持续扩张后，基本确立了山东省医药、器械流通行业的龙头地位。资金、物流、信息、商务</w:t>
      </w:r>
      <w:r>
        <w:rPr>
          <w:spacing w:val="-43"/>
        </w:rPr>
        <w:t> </w:t>
      </w:r>
      <w:r>
        <w:rPr>
          <w:spacing w:val="-43"/>
        </w:rPr>
      </w:r>
      <w:r>
        <w:rPr/>
        <w:t>采购、销售一体化管理，精细规范，创新制胜，服务能力全面提升，整体保持良性、持续的增长。</w:t>
      </w:r>
    </w:p>
    <w:p>
      <w:pPr>
        <w:pStyle w:val="BodyText"/>
        <w:spacing w:line="240" w:lineRule="auto" w:before="68"/>
        <w:ind w:left="512" w:right="93"/>
        <w:jc w:val="left"/>
      </w:pPr>
      <w:r>
        <w:rPr>
          <w:rFonts w:ascii="Times New Roman" w:hAnsi="Times New Roman" w:cs="Times New Roman" w:eastAsia="Times New Roman" w:hint="default"/>
        </w:rPr>
        <w:t>2014</w:t>
      </w:r>
      <w:r>
        <w:rPr/>
        <w:t>年公司实现总收入</w:t>
      </w:r>
      <w:r>
        <w:rPr>
          <w:rFonts w:ascii="Times New Roman" w:hAnsi="Times New Roman" w:cs="Times New Roman" w:eastAsia="Times New Roman" w:hint="default"/>
        </w:rPr>
        <w:t>778,590.71</w:t>
      </w:r>
      <w:r>
        <w:rPr/>
        <w:t>万元，同比增长</w:t>
      </w:r>
      <w:r>
        <w:rPr>
          <w:spacing w:val="67"/>
        </w:rPr>
        <w:t> </w:t>
      </w:r>
      <w:r>
        <w:rPr>
          <w:rFonts w:ascii="Times New Roman" w:hAnsi="Times New Roman" w:cs="Times New Roman" w:eastAsia="Times New Roman" w:hint="default"/>
        </w:rPr>
        <w:t>31.39%</w:t>
      </w:r>
      <w:r>
        <w:rPr/>
        <w:t>，实现归属于母公司所有者净利润</w:t>
      </w:r>
      <w:r>
        <w:rPr>
          <w:rFonts w:ascii="Times New Roman" w:hAnsi="Times New Roman" w:cs="Times New Roman" w:eastAsia="Times New Roman" w:hint="default"/>
        </w:rPr>
        <w:t>18,098.68</w:t>
      </w:r>
      <w:r>
        <w:rPr/>
        <w:t>万元，同比增长</w:t>
      </w:r>
    </w:p>
    <w:p>
      <w:pPr>
        <w:pStyle w:val="BodyText"/>
        <w:spacing w:line="240" w:lineRule="auto" w:before="63"/>
        <w:ind w:right="93"/>
        <w:jc w:val="left"/>
      </w:pPr>
      <w:r>
        <w:rPr>
          <w:rFonts w:ascii="Times New Roman" w:hAnsi="Times New Roman" w:cs="Times New Roman" w:eastAsia="Times New Roman" w:hint="default"/>
        </w:rPr>
        <w:t>26.07%</w:t>
      </w:r>
      <w:r>
        <w:rPr/>
        <w:t>，顺利完成了全年经营管理任务和年度计划目标。</w:t>
      </w:r>
    </w:p>
    <w:p>
      <w:pPr>
        <w:pStyle w:val="BodyText"/>
        <w:spacing w:line="312" w:lineRule="auto" w:before="101"/>
        <w:ind w:right="190" w:firstLine="379"/>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月，公司借助资本市场实施了再融资项目，凭借着瑞康医药在资本市场上的良好形象，募集资金</w:t>
      </w:r>
      <w:r>
        <w:rPr>
          <w:rFonts w:ascii="Times New Roman" w:hAnsi="Times New Roman" w:cs="Times New Roman" w:eastAsia="Times New Roman" w:hint="default"/>
          <w:spacing w:val="-2"/>
        </w:rPr>
        <w:t>12</w:t>
      </w:r>
      <w:r>
        <w:rPr>
          <w:spacing w:val="-2"/>
        </w:rPr>
        <w:t>亿元，公司</w:t>
      </w:r>
      <w:r>
        <w:rPr>
          <w:w w:val="100"/>
        </w:rPr>
        <w:t> </w:t>
      </w:r>
      <w:r>
        <w:rPr>
          <w:spacing w:val="-3"/>
        </w:rPr>
        <w:t>通过本次非公开发行补充流动资金，能够帮助公司进一步扩大主营业务规模，提升盈利能力，为股东提供更多回报。此次融</w:t>
      </w:r>
      <w:r>
        <w:rPr>
          <w:spacing w:val="-45"/>
        </w:rPr>
        <w:t> </w:t>
      </w:r>
      <w:r>
        <w:rPr>
          <w:spacing w:val="-45"/>
        </w:rPr>
      </w:r>
      <w:r>
        <w:rPr>
          <w:spacing w:val="-3"/>
        </w:rPr>
        <w:t>资使公司总资产和净资产有所增加，优化了公司资产负债结构，营运资金更加充足，提高了公司的资金实力和偿债能力，降</w:t>
      </w:r>
      <w:r>
        <w:rPr>
          <w:spacing w:val="-48"/>
        </w:rPr>
        <w:t> </w:t>
      </w:r>
      <w:r>
        <w:rPr>
          <w:spacing w:val="-48"/>
        </w:rPr>
      </w:r>
      <w:r>
        <w:rPr/>
        <w:t>低财务风险，增强了公司发展的资本实力。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93"/>
        <w:jc w:val="left"/>
        <w:rPr>
          <w:b w:val="0"/>
          <w:bCs w:val="0"/>
        </w:rPr>
      </w:pPr>
      <w:bookmarkStart w:name="二、主营业务分析 " w:id="17"/>
      <w:bookmarkEnd w:id="17"/>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bookmarkStart w:name="1、概述 "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3" w:firstLine="359"/>
        <w:jc w:val="both"/>
      </w:pPr>
      <w:r>
        <w:rPr>
          <w:rFonts w:ascii="Times New Roman" w:hAnsi="Times New Roman" w:cs="Times New Roman" w:eastAsia="Times New Roman" w:hint="default"/>
          <w:spacing w:val="-3"/>
        </w:rPr>
        <w:t>2014</w:t>
      </w:r>
      <w:r>
        <w:rPr>
          <w:spacing w:val="-3"/>
        </w:rPr>
        <w:t>年，全体员工、管理层共同努力，按照既定的发展目标，贯彻董事会的战略部署，正确把握行业发展动态和政策信</w:t>
      </w:r>
      <w:r>
        <w:rPr>
          <w:w w:val="100"/>
        </w:rPr>
        <w:t> </w:t>
      </w:r>
      <w:r>
        <w:rPr>
          <w:spacing w:val="-5"/>
        </w:rPr>
        <w:t>息，调整经营策略，优化服务方式、拓展增值服务、提升服务效率等方式巩固原有市场，拓展新的市场；公司业绩稳步增长。</w:t>
      </w:r>
    </w:p>
    <w:p>
      <w:pPr>
        <w:pStyle w:val="BodyText"/>
        <w:spacing w:line="240" w:lineRule="auto" w:before="72"/>
        <w:ind w:left="440" w:right="93"/>
        <w:jc w:val="left"/>
      </w:pPr>
      <w:r>
        <w:rPr/>
        <w:t>目前公司业务分为三大板块：医药板块、医疗器械板块、医疗服务板块。</w:t>
      </w:r>
    </w:p>
    <w:p>
      <w:pPr>
        <w:pStyle w:val="BodyText"/>
        <w:spacing w:line="300" w:lineRule="auto" w:before="117"/>
        <w:ind w:right="190" w:firstLine="215"/>
        <w:jc w:val="both"/>
      </w:pPr>
      <w:r>
        <w:rPr>
          <w:spacing w:val="-2"/>
        </w:rPr>
        <w:t>（</w:t>
      </w:r>
      <w:r>
        <w:rPr>
          <w:rFonts w:ascii="Times New Roman" w:hAnsi="Times New Roman" w:cs="Times New Roman" w:eastAsia="Times New Roman" w:hint="default"/>
          <w:spacing w:val="-2"/>
        </w:rPr>
        <w:t>1</w:t>
      </w:r>
      <w:r>
        <w:rPr>
          <w:spacing w:val="-2"/>
        </w:rPr>
        <w:t>）医药板块；公司药品配送在山东省医疗市场的覆盖已基本完成，在此基础上进一步提升在各单位的份额。二级以上</w:t>
      </w:r>
      <w:r>
        <w:rPr>
          <w:w w:val="100"/>
        </w:rPr>
        <w:t> </w:t>
      </w:r>
      <w:r>
        <w:rPr/>
        <w:t>医院收入</w:t>
      </w:r>
      <w:r>
        <w:rPr>
          <w:rFonts w:ascii="Times New Roman" w:hAnsi="Times New Roman" w:cs="Times New Roman" w:eastAsia="Times New Roman" w:hint="default"/>
        </w:rPr>
        <w:t>49.47</w:t>
      </w:r>
      <w:r>
        <w:rPr/>
        <w:t>亿元，同比增长</w:t>
      </w:r>
      <w:r>
        <w:rPr>
          <w:rFonts w:ascii="Times New Roman" w:hAnsi="Times New Roman" w:cs="Times New Roman" w:eastAsia="Times New Roman" w:hint="default"/>
        </w:rPr>
        <w:t>23.98%</w:t>
      </w:r>
      <w:r>
        <w:rPr/>
        <w:t>；公司是山东省医药战略储备企业，是山东省目前直接销售到终端客户覆盖率最高，</w:t>
      </w:r>
      <w:r>
        <w:rPr>
          <w:spacing w:val="-83"/>
        </w:rPr>
        <w:t> </w:t>
      </w:r>
      <w:r>
        <w:rPr>
          <w:spacing w:val="-83"/>
        </w:rPr>
      </w:r>
      <w:r>
        <w:rPr>
          <w:spacing w:val="-5"/>
          <w:w w:val="100"/>
        </w:rPr>
        <w:t>销售额最大的商业公司，在山东省基层医疗机构采购平台上实现的基本药物销售收入达到</w:t>
      </w:r>
      <w:r>
        <w:rPr>
          <w:rFonts w:ascii="Times New Roman" w:hAnsi="Times New Roman" w:cs="Times New Roman" w:eastAsia="Times New Roman" w:hint="default"/>
          <w:spacing w:val="-5"/>
          <w:w w:val="100"/>
        </w:rPr>
        <w:t>6.78</w:t>
      </w:r>
      <w:r>
        <w:rPr>
          <w:spacing w:val="-5"/>
          <w:w w:val="100"/>
        </w:rPr>
        <w:t>亿元，同比增长</w:t>
      </w:r>
      <w:r>
        <w:rPr>
          <w:rFonts w:ascii="Times New Roman" w:hAnsi="Times New Roman" w:cs="Times New Roman" w:eastAsia="Times New Roman" w:hint="default"/>
          <w:spacing w:val="-5"/>
          <w:w w:val="100"/>
        </w:rPr>
        <w:t>25.78%</w:t>
      </w:r>
      <w:r>
        <w:rPr>
          <w:spacing w:val="-5"/>
          <w:w w:val="100"/>
        </w:rPr>
        <w:t>；在</w:t>
      </w:r>
      <w:r>
        <w:rPr>
          <w:rFonts w:ascii="Times New Roman" w:hAnsi="Times New Roman" w:cs="Times New Roman" w:eastAsia="Times New Roman" w:hint="default"/>
          <w:spacing w:val="-5"/>
          <w:w w:val="100"/>
        </w:rPr>
        <w:t>2014</w:t>
      </w:r>
      <w:r>
        <w:rPr>
          <w:rFonts w:ascii="Times New Roman" w:hAnsi="Times New Roman" w:cs="Times New Roman" w:eastAsia="Times New Roman" w:hint="default"/>
          <w:spacing w:val="-22"/>
          <w:w w:val="100"/>
        </w:rPr>
        <w:t> </w:t>
      </w:r>
      <w:r>
        <w:rPr>
          <w:rFonts w:ascii="Times New Roman" w:hAnsi="Times New Roman" w:cs="Times New Roman" w:eastAsia="Times New Roman" w:hint="default"/>
          <w:spacing w:val="-22"/>
          <w:w w:val="100"/>
        </w:rPr>
      </w:r>
      <w:r>
        <w:rPr>
          <w:spacing w:val="-2"/>
        </w:rPr>
        <w:t>年新版基本药物招标中，公司中标品种达到总招标品种的</w:t>
      </w:r>
      <w:r>
        <w:rPr>
          <w:rFonts w:ascii="Times New Roman" w:hAnsi="Times New Roman" w:cs="Times New Roman" w:eastAsia="Times New Roman" w:hint="default"/>
          <w:spacing w:val="-2"/>
        </w:rPr>
        <w:t>95%</w:t>
      </w:r>
      <w:r>
        <w:rPr>
          <w:spacing w:val="-2"/>
        </w:rPr>
        <w:t>，是山东省取得招标品种最多的医药配送企业，为公司药品业</w:t>
      </w:r>
      <w:r>
        <w:rPr>
          <w:spacing w:val="-71"/>
        </w:rPr>
        <w:t> </w:t>
      </w:r>
      <w:r>
        <w:rPr>
          <w:spacing w:val="-71"/>
        </w:rPr>
      </w:r>
      <w:r>
        <w:rPr>
          <w:spacing w:val="-1"/>
        </w:rPr>
        <w:t>务的发展奠定了坚实的基础。广阔市场营业收入</w:t>
      </w:r>
      <w:r>
        <w:rPr>
          <w:rFonts w:ascii="Times New Roman" w:hAnsi="Times New Roman" w:cs="Times New Roman" w:eastAsia="Times New Roman" w:hint="default"/>
          <w:spacing w:val="-1"/>
        </w:rPr>
        <w:t>15.83</w:t>
      </w:r>
      <w:r>
        <w:rPr>
          <w:spacing w:val="-1"/>
        </w:rPr>
        <w:t>亿元，疫苗业务营业收入</w:t>
      </w:r>
      <w:r>
        <w:rPr>
          <w:rFonts w:ascii="Times New Roman" w:hAnsi="Times New Roman" w:cs="Times New Roman" w:eastAsia="Times New Roman" w:hint="default"/>
          <w:spacing w:val="-1"/>
        </w:rPr>
        <w:t>3,595.67</w:t>
      </w:r>
      <w:r>
        <w:rPr>
          <w:spacing w:val="-1"/>
        </w:rPr>
        <w:t>万元</w:t>
      </w:r>
      <w:r>
        <w:rPr>
          <w:rFonts w:ascii="Times New Roman" w:hAnsi="Times New Roman" w:cs="Times New Roman" w:eastAsia="Times New Roman" w:hint="default"/>
          <w:spacing w:val="-1"/>
        </w:rPr>
        <w:t>,</w:t>
      </w:r>
      <w:r>
        <w:rPr>
          <w:spacing w:val="-1"/>
        </w:rPr>
        <w:t>同比增长</w:t>
      </w:r>
      <w:r>
        <w:rPr>
          <w:rFonts w:ascii="Times New Roman" w:hAnsi="Times New Roman" w:cs="Times New Roman" w:eastAsia="Times New Roman" w:hint="default"/>
          <w:spacing w:val="-1"/>
        </w:rPr>
        <w:t>216.52%</w:t>
      </w:r>
      <w:r>
        <w:rPr>
          <w:spacing w:val="-1"/>
        </w:rPr>
        <w:t>。</w:t>
      </w:r>
      <w:r>
        <w:rPr>
          <w:rFonts w:ascii="Times New Roman" w:hAnsi="Times New Roman" w:cs="Times New Roman" w:eastAsia="Times New Roman" w:hint="default"/>
          <w:spacing w:val="-1"/>
        </w:rPr>
        <w:t>2013</w:t>
      </w:r>
      <w:r>
        <w:rPr>
          <w:spacing w:val="-1"/>
        </w:rPr>
        <w:t>年医药</w:t>
      </w:r>
      <w:r>
        <w:rPr>
          <w:spacing w:val="-66"/>
        </w:rPr>
        <w:t> </w:t>
      </w:r>
      <w:r>
        <w:rPr>
          <w:spacing w:val="-66"/>
        </w:rPr>
      </w:r>
      <w:r>
        <w:rPr>
          <w:spacing w:val="-3"/>
        </w:rPr>
        <w:t>流通行业百强排名，公司排名第</w:t>
      </w:r>
      <w:r>
        <w:rPr>
          <w:rFonts w:ascii="Times New Roman" w:hAnsi="Times New Roman" w:cs="Times New Roman" w:eastAsia="Times New Roman" w:hint="default"/>
          <w:spacing w:val="-3"/>
        </w:rPr>
        <w:t>18</w:t>
      </w:r>
      <w:r>
        <w:rPr>
          <w:spacing w:val="-3"/>
        </w:rPr>
        <w:t>名，提前实现了</w:t>
      </w:r>
      <w:r>
        <w:rPr>
          <w:rFonts w:ascii="Times New Roman" w:hAnsi="Times New Roman" w:cs="Times New Roman" w:eastAsia="Times New Roman" w:hint="default"/>
          <w:spacing w:val="-3"/>
        </w:rPr>
        <w:t>“</w:t>
      </w:r>
      <w:r>
        <w:rPr>
          <w:spacing w:val="-3"/>
        </w:rPr>
        <w:t>十二五</w:t>
      </w:r>
      <w:r>
        <w:rPr>
          <w:rFonts w:ascii="Times New Roman" w:hAnsi="Times New Roman" w:cs="Times New Roman" w:eastAsia="Times New Roman" w:hint="default"/>
          <w:spacing w:val="-3"/>
        </w:rPr>
        <w:t>”</w:t>
      </w:r>
      <w:r>
        <w:rPr>
          <w:spacing w:val="-3"/>
        </w:rPr>
        <w:t>期间进入全国前二十名梯队的战略目标。瑞康医药荣获中华全国</w:t>
      </w:r>
      <w:r>
        <w:rPr>
          <w:spacing w:val="-25"/>
        </w:rPr>
        <w:t> </w:t>
      </w:r>
      <w:r>
        <w:rPr>
          <w:spacing w:val="-25"/>
        </w:rPr>
      </w:r>
      <w:r>
        <w:rPr>
          <w:spacing w:val="-3"/>
        </w:rPr>
        <w:t>工商联医药业商会</w:t>
      </w:r>
      <w:r>
        <w:rPr>
          <w:rFonts w:ascii="Times New Roman" w:hAnsi="Times New Roman" w:cs="Times New Roman" w:eastAsia="Times New Roman" w:hint="default"/>
          <w:spacing w:val="-3"/>
        </w:rPr>
        <w:t>2014</w:t>
      </w:r>
      <w:r>
        <w:rPr>
          <w:spacing w:val="-3"/>
        </w:rPr>
        <w:t>年中国医药行业百强企业；荣获</w:t>
      </w:r>
      <w:r>
        <w:rPr>
          <w:rFonts w:ascii="Times New Roman" w:hAnsi="Times New Roman" w:cs="Times New Roman" w:eastAsia="Times New Roman" w:hint="default"/>
          <w:spacing w:val="-3"/>
        </w:rPr>
        <w:t>2014</w:t>
      </w:r>
      <w:r>
        <w:rPr>
          <w:spacing w:val="-3"/>
        </w:rPr>
        <w:t>年中国医药行业成长</w:t>
      </w:r>
      <w:r>
        <w:rPr>
          <w:rFonts w:ascii="Times New Roman" w:hAnsi="Times New Roman" w:cs="Times New Roman" w:eastAsia="Times New Roman" w:hint="default"/>
          <w:spacing w:val="-3"/>
        </w:rPr>
        <w:t>50</w:t>
      </w:r>
      <w:r>
        <w:rPr>
          <w:spacing w:val="-3"/>
        </w:rPr>
        <w:t>强；荣获</w:t>
      </w:r>
      <w:r>
        <w:rPr>
          <w:rFonts w:ascii="Times New Roman" w:hAnsi="Times New Roman" w:cs="Times New Roman" w:eastAsia="Times New Roman" w:hint="default"/>
          <w:spacing w:val="-3"/>
        </w:rPr>
        <w:t>2014</w:t>
      </w:r>
      <w:r>
        <w:rPr>
          <w:spacing w:val="-3"/>
        </w:rPr>
        <w:t>年中国医药流通业守法诚信</w:t>
      </w:r>
      <w:r>
        <w:rPr>
          <w:spacing w:val="-28"/>
        </w:rPr>
        <w:t> </w:t>
      </w:r>
      <w:r>
        <w:rPr>
          <w:spacing w:val="-28"/>
        </w:rPr>
      </w:r>
      <w:r>
        <w:rPr/>
        <w:t>十佳企业。</w:t>
      </w:r>
    </w:p>
    <w:p>
      <w:pPr>
        <w:pStyle w:val="BodyText"/>
        <w:spacing w:line="309" w:lineRule="auto" w:before="70"/>
        <w:ind w:right="191" w:firstLine="215"/>
        <w:jc w:val="both"/>
      </w:pPr>
      <w:r>
        <w:rPr>
          <w:spacing w:val="-3"/>
        </w:rPr>
        <w:t>（</w:t>
      </w:r>
      <w:r>
        <w:rPr>
          <w:rFonts w:ascii="Times New Roman" w:hAnsi="Times New Roman" w:cs="Times New Roman" w:eastAsia="Times New Roman" w:hint="default"/>
          <w:spacing w:val="-3"/>
        </w:rPr>
        <w:t>2</w:t>
      </w:r>
      <w:r>
        <w:rPr>
          <w:spacing w:val="-3"/>
        </w:rPr>
        <w:t>）医疗器械板块：</w:t>
      </w:r>
      <w:r>
        <w:rPr>
          <w:rFonts w:ascii="Times New Roman" w:hAnsi="Times New Roman" w:cs="Times New Roman" w:eastAsia="Times New Roman" w:hint="default"/>
          <w:spacing w:val="-3"/>
        </w:rPr>
        <w:t>2014</w:t>
      </w:r>
      <w:r>
        <w:rPr>
          <w:spacing w:val="-3"/>
        </w:rPr>
        <w:t>年器械实现营业收入</w:t>
      </w:r>
      <w:r>
        <w:rPr>
          <w:rFonts w:ascii="Times New Roman" w:hAnsi="Times New Roman" w:cs="Times New Roman" w:eastAsia="Times New Roman" w:hint="default"/>
          <w:spacing w:val="-3"/>
        </w:rPr>
        <w:t>5.40</w:t>
      </w:r>
      <w:r>
        <w:rPr>
          <w:spacing w:val="-3"/>
        </w:rPr>
        <w:t>亿元，同比增长</w:t>
      </w:r>
      <w:r>
        <w:rPr>
          <w:rFonts w:ascii="Times New Roman" w:hAnsi="Times New Roman" w:cs="Times New Roman" w:eastAsia="Times New Roman" w:hint="default"/>
          <w:spacing w:val="-3"/>
        </w:rPr>
        <w:t>128.97%</w:t>
      </w:r>
      <w:r>
        <w:rPr>
          <w:spacing w:val="-3"/>
        </w:rPr>
        <w:t>，器械业务的发展成为公司未来业绩增长的强</w:t>
      </w:r>
      <w:r>
        <w:rPr>
          <w:w w:val="100"/>
        </w:rPr>
        <w:t> </w:t>
      </w:r>
      <w:r>
        <w:rPr>
          <w:spacing w:val="-3"/>
        </w:rPr>
        <w:t>劲版块。针对医疗器械产品更新换代速度快、使用特殊，目前公司成立了检验、介入、骨科、设备、医护、眼科、口腔、血</w:t>
      </w:r>
      <w:r>
        <w:rPr>
          <w:spacing w:val="-47"/>
        </w:rPr>
        <w:t> </w:t>
      </w:r>
      <w:r>
        <w:rPr>
          <w:spacing w:val="-47"/>
        </w:rPr>
      </w:r>
      <w:r>
        <w:rPr/>
        <w:t>液透析等专业化销售团队。</w:t>
      </w:r>
    </w:p>
    <w:p>
      <w:pPr>
        <w:pStyle w:val="BodyText"/>
        <w:spacing w:line="309" w:lineRule="auto" w:before="65"/>
        <w:ind w:right="93" w:firstLine="215"/>
        <w:jc w:val="left"/>
      </w:pPr>
      <w:r>
        <w:rPr>
          <w:spacing w:val="-4"/>
        </w:rPr>
        <w:t>（</w:t>
      </w:r>
      <w:r>
        <w:rPr>
          <w:rFonts w:ascii="Times New Roman" w:hAnsi="Times New Roman" w:cs="Times New Roman" w:eastAsia="Times New Roman" w:hint="default"/>
          <w:spacing w:val="-4"/>
        </w:rPr>
        <w:t>3</w:t>
      </w:r>
      <w:r>
        <w:rPr>
          <w:spacing w:val="-4"/>
        </w:rPr>
        <w:t>）医疗服务板块：一是为医疗机构提供被服洗涤、消毒、灭菌、租赁服务，目前此募投基地已建设完毕，设备调试中，</w:t>
      </w:r>
      <w:r>
        <w:rPr>
          <w:w w:val="100"/>
        </w:rPr>
        <w:t> </w:t>
      </w:r>
      <w:r>
        <w:rPr/>
        <w:t>预计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月底投入使用，项目引进全球最先进的德国成套的流水线，采用欧洲医疗布草洗涤标准；二是为医疗机构提供</w:t>
      </w:r>
      <w:r>
        <w:rPr>
          <w:w w:val="100"/>
        </w:rPr>
        <w:t> </w:t>
      </w:r>
      <w:r>
        <w:rPr>
          <w:spacing w:val="-3"/>
        </w:rPr>
        <w:t>社会化第三方手术器械消毒服务，该项目引进欧洲先进设备；三是拓展院内物流业务，提高药品、器械集中配送份额；四是</w:t>
      </w:r>
      <w:r>
        <w:rPr>
          <w:spacing w:val="-50"/>
        </w:rPr>
        <w:t> </w:t>
      </w:r>
      <w:r>
        <w:rPr>
          <w:spacing w:val="-50"/>
        </w:rPr>
      </w:r>
      <w:r>
        <w:rPr>
          <w:spacing w:val="-3"/>
        </w:rPr>
        <w:t>开展医院化验室投放业务，提高医院化验室、检验室试剂集中配送份额。满足不同规模医疗机构的各项需求，为医疗机构提</w:t>
      </w:r>
      <w:r>
        <w:rPr>
          <w:spacing w:val="-44"/>
        </w:rPr>
        <w:t> </w:t>
      </w:r>
      <w:r>
        <w:rPr>
          <w:spacing w:val="-44"/>
        </w:rPr>
      </w:r>
      <w:r>
        <w:rPr/>
        <w:t>供专业、放心的服务。</w:t>
      </w:r>
    </w:p>
    <w:p>
      <w:pPr>
        <w:spacing w:after="0" w:line="309" w:lineRule="auto"/>
        <w:jc w:val="left"/>
        <w:sectPr>
          <w:footerReference w:type="default" r:id="rId13"/>
          <w:pgSz w:w="11910" w:h="16840"/>
          <w:pgMar w:footer="981" w:header="745" w:top="1060" w:bottom="1180" w:left="980" w:right="940"/>
          <w:pgNumType w:start="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57" w:lineRule="auto"/>
        <w:ind w:left="531" w:right="93" w:hanging="380"/>
        <w:jc w:val="left"/>
      </w:pPr>
      <w:r>
        <w:rPr/>
        <w:t>公司回顾总结前期披露的发展战略和经营计划在报告期内的进展情况</w:t>
      </w:r>
      <w:r>
        <w:rPr>
          <w:w w:val="100"/>
        </w:rPr>
        <w:t> </w:t>
      </w:r>
      <w:r>
        <w:rPr/>
        <w:t>公司凭借优质的服务和完善的网络覆盖，吸引上游合作医药及医疗器械生产企业的数量不断增加，客户的满意度不断</w:t>
      </w:r>
    </w:p>
    <w:p>
      <w:pPr>
        <w:pStyle w:val="BodyText"/>
        <w:spacing w:line="224" w:lineRule="exact"/>
        <w:ind w:right="93"/>
        <w:jc w:val="left"/>
      </w:pPr>
      <w:r>
        <w:rPr>
          <w:spacing w:val="-3"/>
        </w:rPr>
        <w:t>提高。上游工业企业数量及产品的增加为公司深耕市场奠定了坚实的基础。在下游进一步深耕老客户，增加业务量；开发新</w:t>
      </w:r>
    </w:p>
    <w:p>
      <w:pPr>
        <w:pStyle w:val="BodyText"/>
        <w:spacing w:line="300" w:lineRule="auto" w:before="76"/>
        <w:ind w:right="93"/>
        <w:jc w:val="left"/>
      </w:pPr>
      <w:r>
        <w:rPr>
          <w:spacing w:val="-4"/>
        </w:rPr>
        <w:t>客户，提高市场覆盖率；器械、疫苗等业务成为公司收入和利润新的增长点。完成了</w:t>
      </w:r>
      <w:r>
        <w:rPr>
          <w:rFonts w:ascii="Times New Roman" w:hAnsi="Times New Roman" w:cs="Times New Roman" w:eastAsia="Times New Roman" w:hint="default"/>
          <w:spacing w:val="-4"/>
        </w:rPr>
        <w:t>2014</w:t>
      </w:r>
      <w:r>
        <w:rPr>
          <w:spacing w:val="-4"/>
        </w:rPr>
        <w:t>年年初制定的营业收入力争</w:t>
      </w:r>
      <w:r>
        <w:rPr>
          <w:rFonts w:ascii="Times New Roman" w:hAnsi="Times New Roman" w:cs="Times New Roman" w:eastAsia="Times New Roman" w:hint="default"/>
          <w:spacing w:val="-4"/>
        </w:rPr>
        <w:t>77</w:t>
      </w:r>
      <w:r>
        <w:rPr>
          <w:spacing w:val="-4"/>
        </w:rPr>
        <w:t>亿元，</w:t>
      </w:r>
      <w:r>
        <w:rPr>
          <w:spacing w:val="-70"/>
        </w:rPr>
        <w:t> </w:t>
      </w:r>
      <w:r>
        <w:rPr>
          <w:spacing w:val="-70"/>
        </w:rPr>
      </w:r>
      <w:r>
        <w:rPr/>
        <w:t>增长</w:t>
      </w:r>
      <w:r>
        <w:rPr>
          <w:rFonts w:ascii="Times New Roman" w:hAnsi="Times New Roman" w:cs="Times New Roman" w:eastAsia="Times New Roman" w:hint="default"/>
        </w:rPr>
        <w:t>30%</w:t>
      </w:r>
      <w:r>
        <w:rPr/>
        <w:t>的年度经营目标。</w:t>
      </w:r>
    </w:p>
    <w:p>
      <w:pPr>
        <w:pStyle w:val="BodyText"/>
        <w:spacing w:line="240" w:lineRule="auto" w:before="53"/>
        <w:ind w:right="93"/>
        <w:jc w:val="left"/>
      </w:pPr>
      <w:r>
        <w:rPr>
          <w:spacing w:val="-1"/>
        </w:rPr>
        <w:t>公司实际经营业绩较曾公开披露过的本年度盈利预测低于或高于</w:t>
      </w:r>
      <w:r>
        <w:rPr>
          <w:spacing w:val="-34"/>
        </w:rPr>
        <w:t> </w:t>
      </w:r>
      <w:r>
        <w:rPr>
          <w:rFonts w:ascii="Times New Roman" w:hAnsi="Times New Roman" w:cs="Times New Roman" w:eastAsia="Times New Roman" w:hint="default"/>
          <w:spacing w:val="-1"/>
        </w:rPr>
        <w:t>20%</w:t>
      </w:r>
      <w:r>
        <w:rPr>
          <w:spacing w:val="-1"/>
        </w:rPr>
        <w:t>以上的差异原因</w:t>
      </w:r>
    </w:p>
    <w:p>
      <w:pPr>
        <w:pStyle w:val="BodyText"/>
        <w:spacing w:line="240" w:lineRule="auto" w:before="103"/>
        <w:ind w:right="93"/>
        <w:jc w:val="left"/>
      </w:pPr>
      <w:bookmarkStart w:name="2、收入 " w:id="19"/>
      <w:bookmarkEnd w:id="19"/>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3"/>
        <w:jc w:val="left"/>
      </w:pPr>
      <w:r>
        <w:rPr/>
        <w:t>说明</w:t>
      </w:r>
    </w:p>
    <w:p>
      <w:pPr>
        <w:pStyle w:val="BodyText"/>
        <w:spacing w:line="240" w:lineRule="auto" w:before="117"/>
        <w:ind w:left="567" w:right="93"/>
        <w:jc w:val="left"/>
      </w:pPr>
      <w:r>
        <w:rPr>
          <w:rFonts w:ascii="Times New Roman" w:hAnsi="Times New Roman" w:cs="Times New Roman" w:eastAsia="Times New Roman" w:hint="default"/>
        </w:rPr>
        <w:t>2014</w:t>
      </w:r>
      <w:r>
        <w:rPr/>
        <w:t>年，在股东的大力支持和董事会的领导下，通过管理层和全体员工的共同努力，加强经营管理工作，使公司保持</w:t>
      </w:r>
    </w:p>
    <w:p>
      <w:pPr>
        <w:pStyle w:val="BodyText"/>
        <w:spacing w:line="300" w:lineRule="auto" w:before="62"/>
        <w:ind w:right="93"/>
        <w:jc w:val="left"/>
      </w:pPr>
      <w:r>
        <w:rPr>
          <w:spacing w:val="-2"/>
        </w:rPr>
        <w:t>良性、持续的增长。公司认真执行年度计划目标，顺利地完成全年经营管理任务。报告期内，公司实现营业收入</w:t>
      </w:r>
      <w:r>
        <w:rPr>
          <w:rFonts w:ascii="Times New Roman" w:hAnsi="Times New Roman" w:cs="Times New Roman" w:eastAsia="Times New Roman" w:hint="default"/>
          <w:spacing w:val="-2"/>
        </w:rPr>
        <w:t>77.86</w:t>
      </w:r>
      <w:r>
        <w:rPr>
          <w:spacing w:val="-2"/>
        </w:rPr>
        <w:t>亿元，</w:t>
      </w:r>
      <w:r>
        <w:rPr>
          <w:spacing w:val="-49"/>
        </w:rPr>
        <w:t> </w:t>
      </w:r>
      <w:r>
        <w:rPr>
          <w:spacing w:val="-49"/>
        </w:rPr>
      </w:r>
      <w:r>
        <w:rPr/>
        <w:t>同比增加</w:t>
      </w:r>
      <w:r>
        <w:rPr>
          <w:rFonts w:ascii="Times New Roman" w:hAnsi="Times New Roman" w:cs="Times New Roman" w:eastAsia="Times New Roman" w:hint="default"/>
        </w:rPr>
        <w:t>18.60</w:t>
      </w:r>
      <w:r>
        <w:rPr/>
        <w:t>亿元，较上年增长</w:t>
      </w:r>
      <w:r>
        <w:rPr>
          <w:rFonts w:ascii="Times New Roman" w:hAnsi="Times New Roman" w:cs="Times New Roman" w:eastAsia="Times New Roman" w:hint="default"/>
        </w:rPr>
        <w:t>31.39%</w:t>
      </w:r>
      <w:r>
        <w:rPr/>
        <w:t>；实现主营业务收入</w:t>
      </w:r>
      <w:r>
        <w:rPr>
          <w:rFonts w:ascii="Times New Roman" w:hAnsi="Times New Roman" w:cs="Times New Roman" w:eastAsia="Times New Roman" w:hint="default"/>
        </w:rPr>
        <w:t>77.84</w:t>
      </w:r>
      <w:r>
        <w:rPr/>
        <w:t>亿元，同加增加</w:t>
      </w:r>
      <w:r>
        <w:rPr>
          <w:rFonts w:ascii="Times New Roman" w:hAnsi="Times New Roman" w:cs="Times New Roman" w:eastAsia="Times New Roman" w:hint="default"/>
        </w:rPr>
        <w:t>18.61</w:t>
      </w:r>
      <w:r>
        <w:rPr/>
        <w:t>亿元，较上年增长</w:t>
      </w:r>
      <w:r>
        <w:rPr>
          <w:rFonts w:ascii="Times New Roman" w:hAnsi="Times New Roman" w:cs="Times New Roman" w:eastAsia="Times New Roman" w:hint="default"/>
        </w:rPr>
        <w:t>31.41%</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spacing w:line="240" w:lineRule="auto"/>
        <w:ind w:right="93"/>
        <w:jc w:val="left"/>
      </w:pPr>
      <w:r>
        <w:rPr/>
        <w:t>公司实物销售收入是否大于劳务收入</w:t>
      </w:r>
    </w:p>
    <w:p>
      <w:pPr>
        <w:pStyle w:val="BodyText"/>
        <w:spacing w:line="240" w:lineRule="auto" w:before="114"/>
        <w:ind w:right="93"/>
        <w:jc w:val="left"/>
      </w:pPr>
      <w:r>
        <w:rPr/>
        <w:t>√ 是 □</w:t>
      </w:r>
      <w:r>
        <w:rPr>
          <w:spacing w:val="1"/>
        </w:rPr>
        <w:t> </w:t>
      </w:r>
      <w:r>
        <w:rPr/>
        <w:t>否</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3D3D3"/>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7,784,331,025.39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5,923,662,049.36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31.41%</w:t>
            </w:r>
          </w:p>
        </w:tc>
      </w:tr>
      <w:tr>
        <w:trPr>
          <w:trHeight w:val="401" w:hRule="exact"/>
        </w:trPr>
        <w:tc>
          <w:tcPr>
            <w:tcW w:w="1608" w:type="dxa"/>
            <w:vMerge/>
            <w:tcBorders>
              <w:left w:val="single" w:sz="4" w:space="0" w:color="000000"/>
              <w:bottom w:val="single" w:sz="4" w:space="0" w:color="000000"/>
              <w:right w:val="single" w:sz="13" w:space="0" w:color="D3D3D3"/>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710,583,512.43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513,355,870.72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38.42%</w:t>
            </w:r>
          </w:p>
        </w:tc>
      </w:tr>
    </w:tbl>
    <w:p>
      <w:pPr>
        <w:pStyle w:val="BodyText"/>
        <w:spacing w:line="240" w:lineRule="auto" w:before="49"/>
        <w:ind w:right="93"/>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pStyle w:val="BodyText"/>
        <w:spacing w:line="357" w:lineRule="auto" w:before="103"/>
        <w:ind w:left="472" w:right="93" w:hanging="320"/>
        <w:jc w:val="left"/>
      </w:pPr>
      <w:r>
        <w:rPr/>
        <w:t>√ 适用 □ 不适用</w:t>
      </w:r>
      <w:r>
        <w:rPr>
          <w:w w:val="100"/>
        </w:rPr>
        <w:t> </w:t>
      </w:r>
      <w:r>
        <w:rPr>
          <w:spacing w:val="-2"/>
        </w:rPr>
        <w:t>报告期内，公司主营业务结构未发生显著变化，公司深耕老客户、拓展器械市场，主营业务收入稳步增长，较上年增长</w:t>
      </w:r>
    </w:p>
    <w:p>
      <w:pPr>
        <w:pStyle w:val="BodyText"/>
        <w:spacing w:line="238" w:lineRule="exact"/>
        <w:ind w:right="93"/>
        <w:jc w:val="left"/>
      </w:pPr>
      <w:r>
        <w:rPr>
          <w:rFonts w:ascii="Times New Roman" w:hAnsi="Times New Roman" w:cs="Times New Roman" w:eastAsia="Times New Roman" w:hint="default"/>
        </w:rPr>
        <w:t>31.41%</w:t>
      </w:r>
      <w:r>
        <w:rPr/>
        <w:t>，销售收入的增长导致存货较上年增长</w:t>
      </w:r>
      <w:r>
        <w:rPr>
          <w:rFonts w:ascii="Times New Roman" w:hAnsi="Times New Roman" w:cs="Times New Roman" w:eastAsia="Times New Roman" w:hint="default"/>
        </w:rPr>
        <w:t>38.42%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93"/>
        <w:jc w:val="left"/>
      </w:pPr>
      <w:r>
        <w:rPr/>
        <w:t>公司重大的在手订单情况</w:t>
      </w:r>
    </w:p>
    <w:p>
      <w:pPr>
        <w:pStyle w:val="BodyText"/>
        <w:spacing w:line="338" w:lineRule="auto" w:before="117"/>
        <w:ind w:right="422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spacing w:val="-1"/>
        </w:rPr>
        <w:t>公司报告期内产品或服务发生重大变化或调整有关情况</w:t>
      </w:r>
    </w:p>
    <w:p>
      <w:pPr>
        <w:pStyle w:val="BodyText"/>
        <w:spacing w:line="340" w:lineRule="auto" w:before="43"/>
        <w:ind w:right="8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t>公司主要销售客户情况</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47"/>
        <w:gridCol w:w="5322"/>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869,984,059.73</w:t>
            </w:r>
          </w:p>
        </w:tc>
      </w:tr>
      <w:tr>
        <w:trPr>
          <w:trHeight w:val="401" w:hRule="exact"/>
        </w:trPr>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w:t>
            </w:r>
          </w:p>
        </w:tc>
      </w:tr>
    </w:tbl>
    <w:p>
      <w:pPr>
        <w:pStyle w:val="BodyText"/>
        <w:spacing w:line="240" w:lineRule="auto" w:before="49"/>
        <w:ind w:right="93"/>
        <w:jc w:val="left"/>
      </w:pPr>
      <w:r>
        <w:rPr/>
        <w:t>公司前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2"/>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1</w:t>
            </w:r>
          </w:p>
        </w:tc>
        <w:tc>
          <w:tcPr>
            <w:tcW w:w="331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8" w:right="0"/>
              <w:jc w:val="left"/>
              <w:rPr>
                <w:rFonts w:ascii="Times New Roman" w:hAnsi="Times New Roman" w:cs="Times New Roman" w:eastAsia="Times New Roman" w:hint="default"/>
                <w:sz w:val="18"/>
                <w:szCs w:val="18"/>
              </w:rPr>
            </w:pPr>
            <w:r>
              <w:rPr>
                <w:rFonts w:ascii="Times New Roman"/>
                <w:sz w:val="18"/>
              </w:rPr>
              <w:t>327,684,996.04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2</w:t>
            </w:r>
          </w:p>
        </w:tc>
        <w:tc>
          <w:tcPr>
            <w:tcW w:w="331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156,843,097.85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3</w:t>
            </w:r>
          </w:p>
        </w:tc>
        <w:tc>
          <w:tcPr>
            <w:tcW w:w="331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132,046,244.03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4</w:t>
            </w:r>
          </w:p>
        </w:tc>
        <w:tc>
          <w:tcPr>
            <w:tcW w:w="331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127,421,903.78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5</w:t>
            </w:r>
          </w:p>
        </w:tc>
        <w:tc>
          <w:tcPr>
            <w:tcW w:w="331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125,987,818.03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3、成本 " w:id="20"/>
            <w:bookmarkEnd w:id="20"/>
            <w:r>
              <w:rPr/>
            </w: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869,984,059.73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 w:right="0"/>
              <w:jc w:val="center"/>
              <w:rPr>
                <w:rFonts w:ascii="Times New Roman" w:hAnsi="Times New Roman" w:cs="Times New Roman" w:eastAsia="Times New Roman" w:hint="default"/>
                <w:sz w:val="18"/>
                <w:szCs w:val="18"/>
              </w:rPr>
            </w:pPr>
            <w:r>
              <w:rPr>
                <w:rFonts w:ascii="Times New Roman"/>
                <w:sz w:val="18"/>
              </w:rPr>
              <w:t>7,080,173,562.97</w:t>
            </w:r>
          </w:p>
        </w:tc>
        <w:tc>
          <w:tcPr>
            <w:tcW w:w="136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5"/>
              <w:ind w:left="46" w:right="0"/>
              <w:jc w:val="center"/>
              <w:rPr>
                <w:rFonts w:ascii="Times New Roman" w:hAnsi="Times New Roman" w:cs="Times New Roman" w:eastAsia="Times New Roman" w:hint="default"/>
                <w:sz w:val="18"/>
                <w:szCs w:val="18"/>
              </w:rPr>
            </w:pPr>
            <w:r>
              <w:rPr>
                <w:rFonts w:ascii="Times New Roman"/>
                <w:sz w:val="18"/>
              </w:rPr>
              <w:t>5,416,171,994.48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9" w:right="0"/>
              <w:jc w:val="left"/>
              <w:rPr>
                <w:rFonts w:ascii="Times New Roman" w:hAnsi="Times New Roman" w:cs="Times New Roman" w:eastAsia="Times New Roman" w:hint="default"/>
                <w:sz w:val="18"/>
                <w:szCs w:val="18"/>
              </w:rPr>
            </w:pPr>
            <w:r>
              <w:rPr>
                <w:rFonts w:ascii="Times New Roman"/>
                <w:sz w:val="18"/>
              </w:rPr>
              <w:t>30.72%</w:t>
            </w:r>
          </w:p>
        </w:tc>
      </w:tr>
    </w:tbl>
    <w:p>
      <w:pPr>
        <w:pStyle w:val="BodyText"/>
        <w:spacing w:line="240" w:lineRule="auto" w:before="49"/>
        <w:ind w:right="0"/>
        <w:jc w:val="left"/>
      </w:pPr>
      <w:r>
        <w:rPr/>
        <w:t>产品分类</w:t>
      </w:r>
    </w:p>
    <w:p>
      <w:pPr>
        <w:pStyle w:val="BodyText"/>
        <w:spacing w:line="240" w:lineRule="auto" w:before="117"/>
        <w:ind w:left="0" w:right="15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8"/>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6,651,677,062.14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5,231,670,560.66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426,722,910.21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181,646,653.52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1,773,590.62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2,854,780.30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-37.87%</w:t>
            </w:r>
          </w:p>
        </w:tc>
      </w:tr>
    </w:tbl>
    <w:p>
      <w:pPr>
        <w:pStyle w:val="BodyText"/>
        <w:spacing w:line="240" w:lineRule="auto" w:before="49"/>
        <w:ind w:right="0"/>
        <w:jc w:val="left"/>
      </w:pPr>
      <w:r>
        <w:rPr/>
        <w:t>说明</w:t>
      </w:r>
    </w:p>
    <w:p>
      <w:pPr>
        <w:pStyle w:val="BodyText"/>
        <w:spacing w:line="676" w:lineRule="auto" w:before="114"/>
        <w:ind w:right="2587" w:firstLine="314"/>
        <w:jc w:val="left"/>
      </w:pPr>
      <w:r>
        <w:rPr/>
        <w:pict>
          <v:shape style="position:absolute;margin-left:56.400002pt;margin-top:56.174709pt;width:479.2pt;height:40.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7"/>
                    <w:gridCol w:w="5322"/>
                  </w:tblGrid>
                  <w:tr>
                    <w:trPr>
                      <w:trHeight w:val="401" w:hRule="exact"/>
                    </w:trPr>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1,308,186,593.27</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w:t>
                        </w:r>
                      </w:p>
                    </w:tc>
                  </w:tr>
                </w:tbl>
                <w:p>
                  <w:pPr/>
                </w:p>
              </w:txbxContent>
            </v:textbox>
            <w10:wrap type="none"/>
          </v:shape>
        </w:pict>
      </w:r>
      <w:r>
        <w:rPr>
          <w:spacing w:val="-1"/>
        </w:rPr>
        <w:t>报告期内，公司成本构成结构无显著变化，成本与收入匹配度较高，增长幅度相近。</w:t>
      </w:r>
      <w:r>
        <w:rPr>
          <w:w w:val="100"/>
        </w:rPr>
        <w:t> </w:t>
      </w:r>
      <w:r>
        <w:rPr/>
        <w:t>公司主要供应商情况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before="44"/>
        <w:ind w:right="0"/>
        <w:jc w:val="left"/>
      </w:pPr>
      <w:r>
        <w:rPr/>
        <w:t>公司前</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名供应商资料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3"/>
        <w:gridCol w:w="3179"/>
        <w:gridCol w:w="2321"/>
        <w:gridCol w:w="3144"/>
      </w:tblGrid>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1</w:t>
            </w:r>
          </w:p>
        </w:tc>
        <w:tc>
          <w:tcPr>
            <w:tcW w:w="317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446,492,160.37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2</w:t>
            </w:r>
          </w:p>
        </w:tc>
        <w:tc>
          <w:tcPr>
            <w:tcW w:w="317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388,581,328.31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3</w:t>
            </w:r>
          </w:p>
        </w:tc>
        <w:tc>
          <w:tcPr>
            <w:tcW w:w="317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184,465,767.81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4</w:t>
            </w:r>
          </w:p>
        </w:tc>
        <w:tc>
          <w:tcPr>
            <w:tcW w:w="317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170,915,584.42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100"/>
                <w:sz w:val="18"/>
              </w:rPr>
              <w:t>5</w:t>
            </w:r>
          </w:p>
        </w:tc>
        <w:tc>
          <w:tcPr>
            <w:tcW w:w="3179"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117,731,752.36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1,308,186,593.27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bookmarkStart w:name="4、费用 "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2" w:firstLine="379"/>
        <w:jc w:val="both"/>
      </w:pPr>
      <w:r>
        <w:rPr/>
        <w:t>销售费用同比增长</w:t>
      </w:r>
      <w:r>
        <w:rPr>
          <w:rFonts w:ascii="Times New Roman" w:hAnsi="Times New Roman" w:cs="Times New Roman" w:eastAsia="Times New Roman" w:hint="default"/>
        </w:rPr>
        <w:t>70.96%</w:t>
      </w:r>
      <w:r>
        <w:rPr/>
        <w:t>，费用率上升</w:t>
      </w:r>
      <w:r>
        <w:rPr>
          <w:rFonts w:ascii="Times New Roman" w:hAnsi="Times New Roman" w:cs="Times New Roman" w:eastAsia="Times New Roman" w:hint="default"/>
        </w:rPr>
        <w:t>0.7</w:t>
      </w:r>
      <w:r>
        <w:rPr/>
        <w:t>个百分点，主要原因为：随着业务的增长，特别是器械业务开拓市场，差旅</w:t>
      </w:r>
      <w:r>
        <w:rPr>
          <w:w w:val="100"/>
        </w:rPr>
        <w:t> </w:t>
      </w:r>
      <w:r>
        <w:rPr/>
        <w:t>费大幅上升，差旅费增加</w:t>
      </w:r>
      <w:r>
        <w:rPr>
          <w:rFonts w:ascii="Times New Roman" w:hAnsi="Times New Roman" w:cs="Times New Roman" w:eastAsia="Times New Roman" w:hint="default"/>
        </w:rPr>
        <w:t>7,371.56</w:t>
      </w:r>
      <w:r>
        <w:rPr/>
        <w:t>万元，增长</w:t>
      </w:r>
      <w:r>
        <w:rPr>
          <w:rFonts w:ascii="Times New Roman" w:hAnsi="Times New Roman" w:cs="Times New Roman" w:eastAsia="Times New Roman" w:hint="default"/>
        </w:rPr>
        <w:t>117.76%</w:t>
      </w:r>
      <w:r>
        <w:rPr/>
        <w:t>。</w:t>
      </w:r>
    </w:p>
    <w:p>
      <w:pPr>
        <w:pStyle w:val="BodyText"/>
        <w:spacing w:line="300" w:lineRule="auto" w:before="51"/>
        <w:ind w:right="101" w:firstLine="379"/>
        <w:jc w:val="both"/>
      </w:pPr>
      <w:r>
        <w:rPr>
          <w:spacing w:val="-1"/>
        </w:rPr>
        <w:t>管理费用同比增长</w:t>
      </w:r>
      <w:r>
        <w:rPr>
          <w:rFonts w:ascii="Times New Roman" w:hAnsi="Times New Roman" w:cs="Times New Roman" w:eastAsia="Times New Roman" w:hint="default"/>
          <w:spacing w:val="-1"/>
        </w:rPr>
        <w:t>47.45%</w:t>
      </w:r>
      <w:r>
        <w:rPr>
          <w:spacing w:val="-1"/>
        </w:rPr>
        <w:t>，费用率上升</w:t>
      </w:r>
      <w:r>
        <w:rPr>
          <w:rFonts w:ascii="Times New Roman" w:hAnsi="Times New Roman" w:cs="Times New Roman" w:eastAsia="Times New Roman" w:hint="default"/>
          <w:spacing w:val="-1"/>
        </w:rPr>
        <w:t>0.18</w:t>
      </w:r>
      <w:r>
        <w:rPr>
          <w:spacing w:val="-1"/>
        </w:rPr>
        <w:t>个百分点，主要原因为：①随着器械业务的开展相应的后勤服务人员增加，</w:t>
      </w:r>
      <w:r>
        <w:rPr>
          <w:w w:val="100"/>
        </w:rPr>
        <w:t> </w:t>
      </w:r>
      <w:r>
        <w:rPr>
          <w:spacing w:val="-4"/>
        </w:rPr>
        <w:t>导致人力成本增长，人力成本增加了</w:t>
      </w:r>
      <w:r>
        <w:rPr>
          <w:rFonts w:ascii="Times New Roman" w:hAnsi="Times New Roman" w:cs="Times New Roman" w:eastAsia="Times New Roman" w:hint="default"/>
          <w:spacing w:val="-4"/>
        </w:rPr>
        <w:t>963.47</w:t>
      </w:r>
      <w:r>
        <w:rPr>
          <w:spacing w:val="-4"/>
        </w:rPr>
        <w:t>万元，增长</w:t>
      </w:r>
      <w:r>
        <w:rPr>
          <w:rFonts w:ascii="Times New Roman" w:hAnsi="Times New Roman" w:cs="Times New Roman" w:eastAsia="Times New Roman" w:hint="default"/>
          <w:spacing w:val="-4"/>
        </w:rPr>
        <w:t>21.87%</w:t>
      </w:r>
      <w:r>
        <w:rPr>
          <w:spacing w:val="-4"/>
        </w:rPr>
        <w:t>；②济南药品现代物流项目、烟台药品现代物流项目投入使用，</w:t>
      </w:r>
      <w:r>
        <w:rPr>
          <w:spacing w:val="-29"/>
        </w:rPr>
        <w:t> </w:t>
      </w:r>
      <w:r>
        <w:rPr>
          <w:spacing w:val="-29"/>
        </w:rPr>
      </w:r>
      <w:r>
        <w:rPr/>
        <w:t>导致折旧增加，折旧费用增加了</w:t>
      </w:r>
      <w:r>
        <w:rPr>
          <w:rFonts w:ascii="Times New Roman" w:hAnsi="Times New Roman" w:cs="Times New Roman" w:eastAsia="Times New Roman" w:hint="default"/>
        </w:rPr>
        <w:t>928.20</w:t>
      </w:r>
      <w:r>
        <w:rPr/>
        <w:t>万元，增长</w:t>
      </w:r>
      <w:r>
        <w:rPr>
          <w:rFonts w:ascii="Times New Roman" w:hAnsi="Times New Roman" w:cs="Times New Roman" w:eastAsia="Times New Roman" w:hint="default"/>
        </w:rPr>
        <w:t>113.94%</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Heading3"/>
        <w:spacing w:line="240" w:lineRule="auto"/>
        <w:ind w:right="93"/>
        <w:jc w:val="left"/>
        <w:rPr>
          <w:b w:val="0"/>
          <w:bCs w:val="0"/>
        </w:rPr>
      </w:pPr>
      <w:bookmarkStart w:name="5、现金流 " w:id="22"/>
      <w:bookmarkEnd w:id="22"/>
      <w:r>
        <w:rPr>
          <w:b w:val="0"/>
          <w:bCs w:val="0"/>
        </w:rPr>
      </w: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0"/>
        <w:gridCol w:w="2401"/>
        <w:gridCol w:w="2393"/>
        <w:gridCol w:w="2393"/>
      </w:tblGrid>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7,326,177,744.64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5,524,199,388.53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32.62%</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7,489,798,773.73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5,798,658,498.41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29.16%</w:t>
            </w:r>
          </w:p>
        </w:tc>
      </w:tr>
      <w:tr>
        <w:trPr>
          <w:trHeight w:val="71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-163,621,029.09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-274,459,109.88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-40.38%</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1,532,847,337.53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294,716.61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520,008.91%</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1,734,700,676.84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171,171,797.38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913.43%</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-201,853,339.31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-170,877,080.77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18.13%</w:t>
            </w:r>
          </w:p>
        </w:tc>
      </w:tr>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2,315,055,363.95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1,940,097,904.93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2,037,596,505.44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1,192,161,149.48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70.92%</w:t>
            </w:r>
          </w:p>
        </w:tc>
      </w:tr>
      <w:tr>
        <w:trPr>
          <w:trHeight w:val="71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277,458,858.51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747,936,755.45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-62.90%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-88,015,509.89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302,600,564.80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-129.09%</w:t>
            </w:r>
          </w:p>
        </w:tc>
      </w:tr>
    </w:tbl>
    <w:p>
      <w:pPr>
        <w:pStyle w:val="BodyText"/>
        <w:spacing w:line="240" w:lineRule="auto" w:before="49"/>
        <w:ind w:right="93"/>
        <w:jc w:val="left"/>
      </w:pPr>
      <w:r>
        <w:rPr/>
        <w:t>相关数据同比发生变动</w:t>
      </w:r>
      <w:r>
        <w:rPr>
          <w:spacing w:val="-59"/>
        </w:rPr>
        <w:t> </w:t>
      </w:r>
      <w:r>
        <w:rPr>
          <w:rFonts w:ascii="Times New Roman" w:hAnsi="Times New Roman" w:cs="Times New Roman" w:eastAsia="Times New Roman" w:hint="default"/>
        </w:rPr>
        <w:t>30%</w:t>
      </w:r>
      <w:r>
        <w:rPr/>
        <w:t>以上的原因说明</w:t>
      </w:r>
    </w:p>
    <w:p>
      <w:pPr>
        <w:pStyle w:val="BodyText"/>
        <w:spacing w:line="240" w:lineRule="auto" w:before="101"/>
        <w:ind w:right="93"/>
        <w:jc w:val="left"/>
      </w:pPr>
      <w:r>
        <w:rPr/>
        <w:t>√ 适用 □</w:t>
      </w:r>
      <w:r>
        <w:rPr>
          <w:spacing w:val="-1"/>
        </w:rPr>
        <w:t> </w:t>
      </w:r>
      <w:r>
        <w:rPr/>
        <w:t>不适用</w:t>
      </w:r>
    </w:p>
    <w:p>
      <w:pPr>
        <w:pStyle w:val="BodyText"/>
        <w:spacing w:line="300" w:lineRule="auto" w:before="117"/>
        <w:ind w:right="93"/>
        <w:jc w:val="left"/>
      </w:pPr>
      <w:r>
        <w:rPr/>
        <w:t>经营活动现金流入小计同比增加</w:t>
      </w:r>
      <w:r>
        <w:rPr>
          <w:rFonts w:ascii="Times New Roman" w:hAnsi="Times New Roman" w:cs="Times New Roman" w:eastAsia="Times New Roman" w:hint="default"/>
        </w:rPr>
        <w:t>32.62%</w:t>
      </w:r>
      <w:r>
        <w:rPr/>
        <w:t>，主要原因是本期销售商品收到的现金增加所致。</w:t>
      </w:r>
      <w:r>
        <w:rPr>
          <w:w w:val="100"/>
        </w:rPr>
        <w:t> </w:t>
      </w:r>
      <w:r>
        <w:rPr/>
        <w:t>经营活动产生的现金流量净额同比减少</w:t>
      </w:r>
      <w:r>
        <w:rPr>
          <w:rFonts w:ascii="Times New Roman" w:hAnsi="Times New Roman" w:cs="Times New Roman" w:eastAsia="Times New Roman" w:hint="default"/>
        </w:rPr>
        <w:t>40.38%</w:t>
      </w:r>
      <w:r>
        <w:rPr/>
        <w:t>，主要原因是本期销售商品收到的现金增加所致。</w:t>
      </w:r>
      <w:r>
        <w:rPr>
          <w:w w:val="100"/>
        </w:rPr>
        <w:t> </w:t>
      </w:r>
      <w:r>
        <w:rPr/>
        <w:t>投资活动现金流入小计同比增加</w:t>
      </w:r>
      <w:r>
        <w:rPr>
          <w:rFonts w:ascii="Times New Roman" w:hAnsi="Times New Roman" w:cs="Times New Roman" w:eastAsia="Times New Roman" w:hint="default"/>
        </w:rPr>
        <w:t>520,008.91%</w:t>
      </w:r>
      <w:r>
        <w:rPr/>
        <w:t>，主要原因是本期投资国债逆回购增加所致。</w:t>
      </w:r>
      <w:r>
        <w:rPr>
          <w:w w:val="100"/>
        </w:rPr>
        <w:t> </w:t>
      </w:r>
      <w:r>
        <w:rPr/>
        <w:t>投资活动现金流出小计同比增加</w:t>
      </w:r>
      <w:r>
        <w:rPr>
          <w:rFonts w:ascii="Times New Roman" w:hAnsi="Times New Roman" w:cs="Times New Roman" w:eastAsia="Times New Roman" w:hint="default"/>
        </w:rPr>
        <w:t>913.43%</w:t>
      </w:r>
      <w:r>
        <w:rPr/>
        <w:t>，主要原因是本期处置国债逆回购增加所致。</w:t>
      </w:r>
      <w:r>
        <w:rPr>
          <w:w w:val="100"/>
        </w:rPr>
        <w:t> </w:t>
      </w:r>
      <w:r>
        <w:rPr/>
        <w:t>筹资活动现金流出小计同比增加</w:t>
      </w:r>
      <w:r>
        <w:rPr>
          <w:rFonts w:ascii="Times New Roman" w:hAnsi="Times New Roman" w:cs="Times New Roman" w:eastAsia="Times New Roman" w:hint="default"/>
        </w:rPr>
        <w:t>70.92%</w:t>
      </w:r>
      <w:r>
        <w:rPr/>
        <w:t>，主要原因是本期偿还债务支付的现金增加所致。</w:t>
      </w:r>
      <w:r>
        <w:rPr>
          <w:w w:val="100"/>
        </w:rPr>
        <w:t> </w:t>
      </w:r>
      <w:r>
        <w:rPr>
          <w:spacing w:val="-1"/>
        </w:rPr>
        <w:t>筹资活动产生的现金流量净额同比减少</w:t>
      </w:r>
      <w:r>
        <w:rPr>
          <w:rFonts w:ascii="Times New Roman" w:hAnsi="Times New Roman" w:cs="Times New Roman" w:eastAsia="Times New Roman" w:hint="default"/>
          <w:spacing w:val="-1"/>
        </w:rPr>
        <w:t>62.90%</w:t>
      </w:r>
      <w:r>
        <w:rPr>
          <w:spacing w:val="-1"/>
        </w:rPr>
        <w:t>，主要原因是本期偿还债务支付的现金增加、同期定向增发所致。</w:t>
      </w:r>
      <w:r>
        <w:rPr>
          <w:spacing w:val="-76"/>
        </w:rPr>
        <w:t> </w:t>
      </w:r>
      <w:r>
        <w:rPr>
          <w:spacing w:val="-76"/>
        </w:rPr>
      </w:r>
      <w:r>
        <w:rPr/>
        <w:t>现金及现金等价物净增加额同比减少</w:t>
      </w:r>
      <w:r>
        <w:rPr>
          <w:rFonts w:ascii="Times New Roman" w:hAnsi="Times New Roman" w:cs="Times New Roman" w:eastAsia="Times New Roman" w:hint="default"/>
        </w:rPr>
        <w:t>129.09%</w:t>
      </w:r>
      <w:r>
        <w:rPr/>
        <w:t>，主要原因是同期定向增发所致。</w:t>
      </w:r>
    </w:p>
    <w:p>
      <w:pPr>
        <w:pStyle w:val="BodyText"/>
        <w:spacing w:line="240" w:lineRule="auto" w:before="53"/>
        <w:ind w:right="93"/>
        <w:jc w:val="left"/>
      </w:pPr>
      <w:r>
        <w:rPr/>
        <w:t>报告期内公司经营活动的现金流量与本年度净利润存在重大差异的原因说明</w:t>
      </w:r>
    </w:p>
    <w:p>
      <w:pPr>
        <w:pStyle w:val="BodyText"/>
        <w:spacing w:line="240" w:lineRule="auto" w:before="115"/>
        <w:ind w:right="93"/>
        <w:jc w:val="left"/>
      </w:pPr>
      <w:r>
        <w:rPr/>
        <w:t>√ 适用 □</w:t>
      </w:r>
      <w:r>
        <w:rPr>
          <w:spacing w:val="-1"/>
        </w:rPr>
        <w:t> </w:t>
      </w:r>
      <w:r>
        <w:rPr/>
        <w:t>不适用</w:t>
      </w:r>
    </w:p>
    <w:p>
      <w:pPr>
        <w:pStyle w:val="BodyText"/>
        <w:spacing w:line="300" w:lineRule="auto" w:before="117"/>
        <w:ind w:right="93" w:firstLine="431"/>
        <w:jc w:val="left"/>
      </w:pPr>
      <w:r>
        <w:rPr/>
        <w:t>报告期内经营活动产生的现金流量净额为</w:t>
      </w:r>
      <w:r>
        <w:rPr>
          <w:rFonts w:ascii="Times New Roman" w:hAnsi="Times New Roman" w:cs="Times New Roman" w:eastAsia="Times New Roman" w:hint="default"/>
        </w:rPr>
        <w:t>-163,621,029.09</w:t>
      </w:r>
      <w:r>
        <w:rPr/>
        <w:t>元，净利润为</w:t>
      </w:r>
      <w:r>
        <w:rPr>
          <w:rFonts w:ascii="Times New Roman" w:hAnsi="Times New Roman" w:cs="Times New Roman" w:eastAsia="Times New Roman" w:hint="default"/>
        </w:rPr>
        <w:t>181,761,174.42</w:t>
      </w:r>
      <w:r>
        <w:rPr/>
        <w:t>元，存在差异的主要原因有：①</w:t>
      </w:r>
      <w:r>
        <w:rPr>
          <w:w w:val="100"/>
        </w:rPr>
        <w:t> </w:t>
      </w:r>
      <w:r>
        <w:rPr>
          <w:spacing w:val="-1"/>
        </w:rPr>
        <w:t>公司业务增长迅速，</w:t>
      </w:r>
      <w:r>
        <w:rPr>
          <w:rFonts w:ascii="Times New Roman" w:hAnsi="Times New Roman" w:cs="Times New Roman" w:eastAsia="Times New Roman" w:hint="default"/>
          <w:spacing w:val="-1"/>
        </w:rPr>
        <w:t>2014</w:t>
      </w:r>
      <w:r>
        <w:rPr>
          <w:spacing w:val="-1"/>
        </w:rPr>
        <w:t>年营业总收入较上年增长</w:t>
      </w:r>
      <w:r>
        <w:rPr>
          <w:rFonts w:ascii="Times New Roman" w:hAnsi="Times New Roman" w:cs="Times New Roman" w:eastAsia="Times New Roman" w:hint="default"/>
          <w:spacing w:val="-1"/>
        </w:rPr>
        <w:t>31.39%</w:t>
      </w:r>
      <w:r>
        <w:rPr>
          <w:spacing w:val="-1"/>
        </w:rPr>
        <w:t>，器械新增客户以及原有客户的增量业务导致应收账款增长较大，</w:t>
      </w:r>
      <w:r>
        <w:rPr>
          <w:spacing w:val="-76"/>
        </w:rPr>
        <w:t> </w:t>
      </w:r>
      <w:r>
        <w:rPr>
          <w:spacing w:val="-76"/>
        </w:rPr>
      </w:r>
      <w:r>
        <w:rPr/>
        <w:t>较年初增长</w:t>
      </w:r>
      <w:r>
        <w:rPr>
          <w:rFonts w:ascii="Times New Roman" w:hAnsi="Times New Roman" w:cs="Times New Roman" w:eastAsia="Times New Roman" w:hint="default"/>
        </w:rPr>
        <w:t>36.51%</w:t>
      </w:r>
      <w:r>
        <w:rPr/>
        <w:t>；②基药和器械供应商预付货款增长较大；③器械配送增加了库存量以及销售增长库存需求量增加，导</w:t>
      </w:r>
    </w:p>
    <w:p>
      <w:pPr>
        <w:spacing w:after="0" w:line="30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bookmarkStart w:name="三、主营业务构成情况 " w:id="23"/>
      <w:bookmarkEnd w:id="23"/>
      <w:r>
        <w:rPr/>
      </w:r>
      <w:r>
        <w:rPr/>
        <w:t>致存货较年初增长</w:t>
      </w:r>
      <w:r>
        <w:rPr>
          <w:rFonts w:ascii="Times New Roman" w:hAnsi="Times New Roman" w:cs="Times New Roman" w:eastAsia="Times New Roman" w:hint="default"/>
        </w:rPr>
        <w:t>38.42%</w:t>
      </w:r>
      <w:r>
        <w:rPr/>
        <w:t>。</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6"/>
        <w:gridCol w:w="1366"/>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8" w:right="45" w:hanging="272"/>
              <w:jc w:val="left"/>
              <w:rPr>
                <w:rFonts w:ascii="宋体" w:hAnsi="宋体" w:cs="宋体" w:eastAsia="宋体" w:hint="default"/>
                <w:sz w:val="18"/>
                <w:szCs w:val="18"/>
              </w:rPr>
            </w:pPr>
            <w:r>
              <w:rPr>
                <w:rFonts w:ascii="宋体" w:hAnsi="宋体" w:cs="宋体" w:eastAsia="宋体" w:hint="default"/>
                <w:sz w:val="18"/>
                <w:szCs w:val="18"/>
              </w:rPr>
              <w:t>营业收入比上年</w:t>
            </w:r>
            <w:r>
              <w:rPr>
                <w:rFonts w:ascii="宋体" w:hAnsi="宋体" w:cs="宋体" w:eastAsia="宋体" w:hint="default"/>
                <w:w w:val="100"/>
                <w:sz w:val="18"/>
                <w:szCs w:val="18"/>
              </w:rPr>
              <w:t> </w:t>
            </w:r>
            <w:r>
              <w:rPr>
                <w:rFonts w:ascii="宋体" w:hAnsi="宋体" w:cs="宋体" w:eastAsia="宋体" w:hint="default"/>
                <w:sz w:val="18"/>
                <w:szCs w:val="18"/>
              </w:rPr>
              <w:t>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18" w:right="45" w:hanging="272"/>
              <w:jc w:val="left"/>
              <w:rPr>
                <w:rFonts w:ascii="宋体" w:hAnsi="宋体" w:cs="宋体" w:eastAsia="宋体" w:hint="default"/>
                <w:sz w:val="18"/>
                <w:szCs w:val="18"/>
              </w:rPr>
            </w:pPr>
            <w:r>
              <w:rPr>
                <w:rFonts w:ascii="宋体" w:hAnsi="宋体" w:cs="宋体" w:eastAsia="宋体" w:hint="default"/>
                <w:sz w:val="18"/>
                <w:szCs w:val="18"/>
              </w:rPr>
              <w:t>营业成本比上年</w:t>
            </w:r>
            <w:r>
              <w:rPr>
                <w:rFonts w:ascii="宋体" w:hAnsi="宋体" w:cs="宋体" w:eastAsia="宋体" w:hint="default"/>
                <w:w w:val="100"/>
                <w:sz w:val="18"/>
                <w:szCs w:val="18"/>
              </w:rPr>
              <w:t> </w:t>
            </w:r>
            <w:r>
              <w:rPr>
                <w:rFonts w:ascii="宋体" w:hAnsi="宋体" w:cs="宋体" w:eastAsia="宋体" w:hint="default"/>
                <w:sz w:val="18"/>
                <w:szCs w:val="18"/>
              </w:rPr>
              <w:t>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09"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w:t>
            </w:r>
            <w:r>
              <w:rPr>
                <w:rFonts w:ascii="宋体" w:hAnsi="宋体" w:cs="宋体" w:eastAsia="宋体" w:hint="default"/>
                <w:w w:val="100"/>
                <w:sz w:val="18"/>
                <w:szCs w:val="18"/>
              </w:rPr>
              <w:t> </w:t>
            </w:r>
            <w:r>
              <w:rPr>
                <w:rFonts w:ascii="宋体" w:hAnsi="宋体" w:cs="宋体" w:eastAsia="宋体" w:hint="default"/>
                <w:sz w:val="18"/>
                <w:szCs w:val="18"/>
              </w:rPr>
              <w:t>期增减</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药品器械销售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7,784,331,025.39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7,080,173,562.97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药品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7,242,676,408.27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6,651,677,062.14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器械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539,670,758.68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426,722,910.21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134.92%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1,983,858.44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1,773,590.62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1,442,394,518.82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1,302,422,915.15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1,269,087,058.98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1,154,907,199.60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1,363,220,602.90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1,219,659,032.62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583,596,195.54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538,004,790.89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27.86%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493,143,058.09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438,212,412.58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2,632,889,591.07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2,426,967,212.13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r>
    </w:tbl>
    <w:p>
      <w:pPr>
        <w:pStyle w:val="BodyText"/>
        <w:spacing w:line="240" w:lineRule="auto" w:before="49"/>
        <w:ind w:right="0"/>
        <w:jc w:val="left"/>
      </w:pPr>
      <w:r>
        <w:rPr/>
        <w:t>公司主营业务数据统计口径在报告期发生调整的情况下，公司最近</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年按报告期末口径调整后的主营业务数据</w:t>
      </w:r>
    </w:p>
    <w:p>
      <w:pPr>
        <w:pStyle w:val="BodyText"/>
        <w:spacing w:line="240" w:lineRule="auto" w:before="103"/>
        <w:ind w:right="0"/>
        <w:jc w:val="left"/>
      </w:pPr>
      <w:bookmarkStart w:name="四、资产、负债状况分析 " w:id="24"/>
      <w:bookmarkEnd w:id="24"/>
      <w:r>
        <w:rPr/>
      </w: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四、资产、负债状况分析</w:t>
      </w:r>
      <w:r>
        <w:rPr>
          <w:b w:val="0"/>
          <w:bCs w:val="0"/>
        </w:rPr>
      </w:r>
    </w:p>
    <w:p>
      <w:pPr>
        <w:spacing w:line="240" w:lineRule="auto" w:before="11"/>
        <w:rPr>
          <w:rFonts w:ascii="宋体" w:hAnsi="宋体" w:cs="宋体" w:eastAsia="宋体" w:hint="default"/>
          <w:b/>
          <w:bCs/>
          <w:sz w:val="24"/>
          <w:szCs w:val="24"/>
        </w:rPr>
      </w:pPr>
    </w:p>
    <w:p>
      <w:pPr>
        <w:pStyle w:val="Heading3"/>
        <w:spacing w:line="240" w:lineRule="auto"/>
        <w:ind w:right="0"/>
        <w:jc w:val="left"/>
        <w:rPr>
          <w:b w:val="0"/>
          <w:bCs w:val="0"/>
        </w:rPr>
      </w:pPr>
      <w:bookmarkStart w:name="1、资产项目重大变动情况 " w:id="25"/>
      <w:bookmarkEnd w:id="25"/>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931"/>
        <w:gridCol w:w="2784"/>
      </w:tblGrid>
      <w:tr>
        <w:trPr>
          <w:trHeight w:val="378" w:hRule="exact"/>
        </w:trPr>
        <w:tc>
          <w:tcPr>
            <w:tcW w:w="1356" w:type="dxa"/>
            <w:tcBorders>
              <w:top w:val="single" w:sz="4" w:space="0" w:color="000000"/>
              <w:left w:val="single" w:sz="4" w:space="0" w:color="000000"/>
              <w:bottom w:val="single" w:sz="16" w:space="0" w:color="FFFFFF"/>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16" w:space="0" w:color="FFFFFF"/>
              <w:right w:val="single" w:sz="4" w:space="0" w:color="000000"/>
            </w:tcBorders>
            <w:shd w:val="clear" w:color="auto" w:fill="D3D3D3"/>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6" w:space="0" w:color="FFFFFF"/>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年末</w:t>
            </w:r>
          </w:p>
        </w:tc>
        <w:tc>
          <w:tcPr>
            <w:tcW w:w="931" w:type="dxa"/>
            <w:tcBorders>
              <w:top w:val="single" w:sz="4" w:space="0" w:color="000000"/>
              <w:left w:val="single" w:sz="4" w:space="0" w:color="000000"/>
              <w:bottom w:val="single" w:sz="16" w:space="0" w:color="FFFFFF"/>
              <w:right w:val="single" w:sz="4" w:space="0" w:color="000000"/>
            </w:tcBorders>
            <w:shd w:val="clear" w:color="auto" w:fill="D3D3D3"/>
          </w:tcPr>
          <w:p>
            <w:pPr/>
          </w:p>
        </w:tc>
        <w:tc>
          <w:tcPr>
            <w:tcW w:w="2784" w:type="dxa"/>
            <w:tcBorders>
              <w:top w:val="single" w:sz="4" w:space="0" w:color="000000"/>
              <w:left w:val="single" w:sz="4" w:space="0" w:color="000000"/>
              <w:bottom w:val="single" w:sz="16" w:space="0" w:color="FFFFFF"/>
              <w:right w:val="single" w:sz="4" w:space="0" w:color="000000"/>
            </w:tcBorders>
            <w:shd w:val="clear" w:color="auto" w:fill="D3D3D3"/>
          </w:tcPr>
          <w:p>
            <w:pPr/>
          </w:p>
        </w:tc>
      </w:tr>
      <w:tr>
        <w:trPr>
          <w:trHeight w:val="186" w:hRule="exact"/>
        </w:trPr>
        <w:tc>
          <w:tcPr>
            <w:tcW w:w="1356" w:type="dxa"/>
            <w:vMerge w:val="restart"/>
            <w:tcBorders>
              <w:top w:val="single" w:sz="16" w:space="0" w:color="FFFFFF"/>
              <w:left w:val="single" w:sz="4" w:space="0" w:color="000000"/>
              <w:right w:val="single" w:sz="4" w:space="0" w:color="000000"/>
            </w:tcBorders>
            <w:shd w:val="clear" w:color="auto" w:fill="D3D3D3"/>
          </w:tcPr>
          <w:p>
            <w:pPr/>
          </w:p>
        </w:tc>
        <w:tc>
          <w:tcPr>
            <w:tcW w:w="1164" w:type="dxa"/>
            <w:tcBorders>
              <w:top w:val="single" w:sz="16" w:space="0" w:color="FFFFFF"/>
              <w:left w:val="single" w:sz="4" w:space="0" w:color="000000"/>
              <w:bottom w:val="nil" w:sz="6" w:space="0" w:color="auto"/>
              <w:right w:val="single" w:sz="4" w:space="0" w:color="000000"/>
            </w:tcBorders>
            <w:shd w:val="clear" w:color="auto" w:fill="D3D3D3"/>
          </w:tcPr>
          <w:p>
            <w:pPr/>
          </w:p>
        </w:tc>
        <w:tc>
          <w:tcPr>
            <w:tcW w:w="1063" w:type="dxa"/>
            <w:vMerge w:val="restart"/>
            <w:tcBorders>
              <w:top w:val="single" w:sz="16" w:space="0" w:color="FFFFFF"/>
              <w:left w:val="single" w:sz="4" w:space="0" w:color="000000"/>
              <w:right w:val="single" w:sz="4" w:space="0" w:color="000000"/>
            </w:tcBorders>
            <w:shd w:val="clear" w:color="auto" w:fill="D3D3D3"/>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1195" w:type="dxa"/>
            <w:tcBorders>
              <w:top w:val="single" w:sz="16" w:space="0" w:color="FFFFFF"/>
              <w:left w:val="single" w:sz="4" w:space="0" w:color="000000"/>
              <w:bottom w:val="nil" w:sz="6" w:space="0" w:color="auto"/>
              <w:right w:val="single" w:sz="4" w:space="0" w:color="000000"/>
            </w:tcBorders>
            <w:shd w:val="clear" w:color="auto" w:fill="D3D3D3"/>
          </w:tcPr>
          <w:p>
            <w:pPr/>
          </w:p>
        </w:tc>
        <w:tc>
          <w:tcPr>
            <w:tcW w:w="1063" w:type="dxa"/>
            <w:vMerge w:val="restart"/>
            <w:tcBorders>
              <w:top w:val="single" w:sz="16" w:space="0" w:color="FFFFFF"/>
              <w:left w:val="single" w:sz="4" w:space="0" w:color="000000"/>
              <w:right w:val="single" w:sz="4" w:space="0" w:color="000000"/>
            </w:tcBorders>
            <w:shd w:val="clear" w:color="auto" w:fill="D3D3D3"/>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931" w:type="dxa"/>
            <w:vMerge w:val="restart"/>
            <w:tcBorders>
              <w:top w:val="single" w:sz="16" w:space="0" w:color="FFFFFF"/>
              <w:left w:val="single" w:sz="4" w:space="0" w:color="000000"/>
              <w:right w:val="single" w:sz="4" w:space="0" w:color="000000"/>
            </w:tcBorders>
            <w:shd w:val="clear" w:color="auto" w:fill="D3D3D3"/>
          </w:tcPr>
          <w:p>
            <w:pPr>
              <w:pStyle w:val="TableParagraph"/>
              <w:spacing w:line="240" w:lineRule="auto" w:before="8"/>
              <w:ind w:left="9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4" w:type="dxa"/>
            <w:vMerge w:val="restart"/>
            <w:tcBorders>
              <w:top w:val="single" w:sz="16" w:space="0" w:color="FFFFFF"/>
              <w:left w:val="single" w:sz="4" w:space="0" w:color="000000"/>
              <w:right w:val="single" w:sz="4" w:space="0" w:color="000000"/>
            </w:tcBorders>
            <w:shd w:val="clear" w:color="auto" w:fill="D3D3D3"/>
          </w:tcPr>
          <w:p>
            <w:pPr>
              <w:pStyle w:val="TableParagraph"/>
              <w:spacing w:line="240" w:lineRule="auto" w:before="8"/>
              <w:ind w:left="84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c>
          <w:tcPr>
            <w:tcW w:w="2784" w:type="dxa"/>
            <w:vMerge/>
            <w:tcBorders>
              <w:left w:val="single" w:sz="4" w:space="0" w:color="000000"/>
              <w:bottom w:val="nil" w:sz="6" w:space="0" w:color="auto"/>
              <w:right w:val="single" w:sz="4" w:space="0" w:color="000000"/>
            </w:tcBorders>
            <w:shd w:val="clear" w:color="auto" w:fill="D3D3D3"/>
          </w:tcPr>
          <w:p>
            <w:pPr/>
          </w:p>
        </w:tc>
      </w:tr>
      <w:tr>
        <w:trPr>
          <w:trHeight w:val="204"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c>
          <w:tcPr>
            <w:tcW w:w="278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2784"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578,518,281.2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10.19%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648,074,433.42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14.55%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-4.36%</w:t>
            </w:r>
          </w:p>
        </w:tc>
        <w:tc>
          <w:tcPr>
            <w:tcW w:w="2784"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4"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4"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3,243,058,702.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57.11%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2,375,667,213.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53.34%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3.77%</w:t>
            </w:r>
          </w:p>
        </w:tc>
        <w:tc>
          <w:tcPr>
            <w:tcW w:w="2784" w:type="dxa"/>
            <w:vMerge w:val="restart"/>
            <w:tcBorders>
              <w:top w:val="single" w:sz="4" w:space="0" w:color="000000"/>
              <w:left w:val="single" w:sz="4" w:space="0" w:color="000000"/>
              <w:right w:val="single" w:sz="4" w:space="0" w:color="000000"/>
            </w:tcBorders>
          </w:tcPr>
          <w:p>
            <w:pP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4" w:type="dxa"/>
            <w:vMerge/>
            <w:tcBorders>
              <w:left w:val="single" w:sz="4" w:space="0" w:color="000000"/>
              <w:right w:val="single" w:sz="4" w:space="0" w:color="000000"/>
            </w:tcBorders>
          </w:tcPr>
          <w:p>
            <w:pPr/>
          </w:p>
        </w:tc>
      </w:tr>
      <w:tr>
        <w:trPr>
          <w:trHeight w:val="160"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4" w:type="dxa"/>
            <w:vMerge/>
            <w:tcBorders>
              <w:left w:val="single" w:sz="4" w:space="0" w:color="000000"/>
              <w:bottom w:val="single" w:sz="4" w:space="0" w:color="000000"/>
              <w:right w:val="single" w:sz="4" w:space="0" w:color="000000"/>
            </w:tcBorders>
          </w:tcPr>
          <w:p>
            <w:pPr/>
          </w:p>
        </w:tc>
      </w:tr>
      <w:tr>
        <w:trPr>
          <w:trHeight w:val="160"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710,583,512.4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12.51%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513,355,870.72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11.53%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0.98%</w:t>
            </w:r>
          </w:p>
        </w:tc>
        <w:tc>
          <w:tcPr>
            <w:tcW w:w="2784"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2784"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2784"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10"/>
              <w:ind w:left="89" w:right="0"/>
              <w:jc w:val="left"/>
              <w:rPr>
                <w:rFonts w:ascii="Times New Roman" w:hAnsi="Times New Roman" w:cs="Times New Roman" w:eastAsia="Times New Roman" w:hint="default"/>
                <w:sz w:val="18"/>
                <w:szCs w:val="18"/>
              </w:rPr>
            </w:pPr>
            <w:r>
              <w:rPr>
                <w:rFonts w:ascii="Times New Roman"/>
                <w:sz w:val="18"/>
              </w:rPr>
              <w:t>403,891,100.9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3" w:right="0"/>
              <w:jc w:val="left"/>
              <w:rPr>
                <w:rFonts w:ascii="Times New Roman" w:hAnsi="Times New Roman" w:cs="Times New Roman" w:eastAsia="Times New Roman" w:hint="default"/>
                <w:sz w:val="18"/>
                <w:szCs w:val="18"/>
              </w:rPr>
            </w:pPr>
            <w:r>
              <w:rPr>
                <w:rFonts w:ascii="Times New Roman"/>
                <w:sz w:val="18"/>
              </w:rPr>
              <w:t>7.11%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224,872,606.95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5.05%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2.06%</w:t>
            </w:r>
          </w:p>
        </w:tc>
        <w:tc>
          <w:tcPr>
            <w:tcW w:w="27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3"/>
        <w:gridCol w:w="1195"/>
        <w:gridCol w:w="1063"/>
        <w:gridCol w:w="931"/>
        <w:gridCol w:w="2784"/>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w w:val="100"/>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27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2、负债项目重大变动情况 " w:id="26"/>
            <w:bookmarkEnd w:id="26"/>
            <w:r>
              <w:rPr/>
            </w: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46,765,560.58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0.82%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94,590,269.67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2.12%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-1.30%</w:t>
            </w:r>
          </w:p>
        </w:tc>
        <w:tc>
          <w:tcPr>
            <w:tcW w:w="27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4"/>
        <w:gridCol w:w="1052"/>
        <w:gridCol w:w="808"/>
        <w:gridCol w:w="2918"/>
      </w:tblGrid>
      <w:tr>
        <w:trPr>
          <w:trHeight w:val="376" w:hRule="exact"/>
        </w:trPr>
        <w:tc>
          <w:tcPr>
            <w:tcW w:w="1356" w:type="dxa"/>
            <w:tcBorders>
              <w:top w:val="single" w:sz="4" w:space="0" w:color="000000"/>
              <w:left w:val="single" w:sz="4" w:space="0" w:color="000000"/>
              <w:bottom w:val="single" w:sz="16" w:space="0" w:color="FFFFFF"/>
              <w:right w:val="single" w:sz="4" w:space="0" w:color="000000"/>
            </w:tcBorders>
            <w:shd w:val="clear" w:color="auto" w:fill="D3D3D3"/>
          </w:tcPr>
          <w:p>
            <w:pPr/>
          </w:p>
        </w:tc>
        <w:tc>
          <w:tcPr>
            <w:tcW w:w="2228" w:type="dxa"/>
            <w:gridSpan w:val="2"/>
            <w:tcBorders>
              <w:top w:val="single" w:sz="4" w:space="0" w:color="000000"/>
              <w:left w:val="single" w:sz="4" w:space="0" w:color="000000"/>
              <w:bottom w:val="single" w:sz="16" w:space="0" w:color="FFFFFF"/>
              <w:right w:val="single" w:sz="4" w:space="0" w:color="000000"/>
            </w:tcBorders>
            <w:shd w:val="clear" w:color="auto" w:fill="D3D3D3"/>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6" w:type="dxa"/>
            <w:gridSpan w:val="2"/>
            <w:tcBorders>
              <w:top w:val="single" w:sz="4" w:space="0" w:color="000000"/>
              <w:left w:val="single" w:sz="4" w:space="0" w:color="000000"/>
              <w:bottom w:val="single" w:sz="16" w:space="0" w:color="FFFFFF"/>
              <w:right w:val="single" w:sz="4" w:space="0" w:color="000000"/>
            </w:tcBorders>
            <w:shd w:val="clear" w:color="auto" w:fill="D3D3D3"/>
          </w:tcPr>
          <w:p>
            <w:pPr>
              <w:pStyle w:val="TableParagraph"/>
              <w:spacing w:line="240" w:lineRule="auto" w:before="49"/>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single" w:sz="16" w:space="0" w:color="FFFFFF"/>
              <w:right w:val="single" w:sz="4" w:space="0" w:color="000000"/>
            </w:tcBorders>
            <w:shd w:val="clear" w:color="auto" w:fill="D3D3D3"/>
          </w:tcPr>
          <w:p>
            <w:pPr/>
          </w:p>
        </w:tc>
        <w:tc>
          <w:tcPr>
            <w:tcW w:w="2918" w:type="dxa"/>
            <w:tcBorders>
              <w:top w:val="single" w:sz="4" w:space="0" w:color="000000"/>
              <w:left w:val="single" w:sz="4" w:space="0" w:color="000000"/>
              <w:bottom w:val="single" w:sz="16" w:space="0" w:color="FFFFFF"/>
              <w:right w:val="single" w:sz="4" w:space="0" w:color="000000"/>
            </w:tcBorders>
            <w:shd w:val="clear" w:color="auto" w:fill="D3D3D3"/>
          </w:tcPr>
          <w:p>
            <w:pPr/>
          </w:p>
        </w:tc>
      </w:tr>
      <w:tr>
        <w:trPr>
          <w:trHeight w:val="185" w:hRule="exact"/>
        </w:trPr>
        <w:tc>
          <w:tcPr>
            <w:tcW w:w="1356" w:type="dxa"/>
            <w:vMerge w:val="restart"/>
            <w:tcBorders>
              <w:top w:val="single" w:sz="16" w:space="0" w:color="FFFFFF"/>
              <w:left w:val="single" w:sz="4" w:space="0" w:color="000000"/>
              <w:right w:val="single" w:sz="4" w:space="0" w:color="000000"/>
            </w:tcBorders>
            <w:shd w:val="clear" w:color="auto" w:fill="D3D3D3"/>
          </w:tcPr>
          <w:p>
            <w:pPr/>
          </w:p>
        </w:tc>
        <w:tc>
          <w:tcPr>
            <w:tcW w:w="1164" w:type="dxa"/>
            <w:tcBorders>
              <w:top w:val="single" w:sz="16" w:space="0" w:color="FFFFFF"/>
              <w:left w:val="single" w:sz="4" w:space="0" w:color="000000"/>
              <w:bottom w:val="nil" w:sz="6" w:space="0" w:color="auto"/>
              <w:right w:val="single" w:sz="4" w:space="0" w:color="000000"/>
            </w:tcBorders>
            <w:shd w:val="clear" w:color="auto" w:fill="D3D3D3"/>
          </w:tcPr>
          <w:p>
            <w:pPr/>
          </w:p>
        </w:tc>
        <w:tc>
          <w:tcPr>
            <w:tcW w:w="1064" w:type="dxa"/>
            <w:vMerge w:val="restart"/>
            <w:tcBorders>
              <w:top w:val="single" w:sz="16" w:space="0" w:color="FFFFFF"/>
              <w:left w:val="single" w:sz="4" w:space="0" w:color="000000"/>
              <w:right w:val="single" w:sz="4" w:space="0" w:color="000000"/>
            </w:tcBorders>
            <w:shd w:val="clear" w:color="auto" w:fill="D3D3D3"/>
          </w:tcPr>
          <w:p>
            <w:pPr>
              <w:pStyle w:val="TableParagraph"/>
              <w:spacing w:line="316" w:lineRule="auto" w:before="58"/>
              <w:ind w:left="436" w:right="75"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1194" w:type="dxa"/>
            <w:tcBorders>
              <w:top w:val="single" w:sz="16" w:space="0" w:color="FFFFFF"/>
              <w:left w:val="single" w:sz="4" w:space="0" w:color="000000"/>
              <w:bottom w:val="nil" w:sz="6" w:space="0" w:color="auto"/>
              <w:right w:val="single" w:sz="4" w:space="0" w:color="000000"/>
            </w:tcBorders>
            <w:shd w:val="clear" w:color="auto" w:fill="D3D3D3"/>
          </w:tcPr>
          <w:p>
            <w:pPr/>
          </w:p>
        </w:tc>
        <w:tc>
          <w:tcPr>
            <w:tcW w:w="1052" w:type="dxa"/>
            <w:vMerge w:val="restart"/>
            <w:tcBorders>
              <w:top w:val="single" w:sz="16" w:space="0" w:color="FFFFFF"/>
              <w:left w:val="single" w:sz="4" w:space="0" w:color="000000"/>
              <w:right w:val="single" w:sz="4" w:space="0" w:color="000000"/>
            </w:tcBorders>
            <w:shd w:val="clear" w:color="auto" w:fill="D3D3D3"/>
          </w:tcPr>
          <w:p>
            <w:pPr>
              <w:pStyle w:val="TableParagraph"/>
              <w:spacing w:line="316" w:lineRule="auto" w:before="58"/>
              <w:ind w:left="436" w:right="63" w:hanging="360"/>
              <w:jc w:val="left"/>
              <w:rPr>
                <w:rFonts w:ascii="宋体" w:hAnsi="宋体" w:cs="宋体" w:eastAsia="宋体" w:hint="default"/>
                <w:sz w:val="18"/>
                <w:szCs w:val="18"/>
              </w:rPr>
            </w:pPr>
            <w:r>
              <w:rPr>
                <w:rFonts w:ascii="宋体" w:hAnsi="宋体" w:cs="宋体" w:eastAsia="宋体" w:hint="default"/>
                <w:sz w:val="18"/>
                <w:szCs w:val="18"/>
              </w:rPr>
              <w:t>占总资产比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808" w:type="dxa"/>
            <w:vMerge w:val="restart"/>
            <w:tcBorders>
              <w:top w:val="single" w:sz="16" w:space="0" w:color="FFFFFF"/>
              <w:left w:val="single" w:sz="4" w:space="0" w:color="000000"/>
              <w:right w:val="single" w:sz="4" w:space="0" w:color="000000"/>
            </w:tcBorders>
            <w:shd w:val="clear" w:color="auto" w:fill="D3D3D3"/>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6" w:space="0" w:color="FFFFFF"/>
              <w:left w:val="single" w:sz="4" w:space="0" w:color="000000"/>
              <w:right w:val="single" w:sz="4" w:space="0" w:color="000000"/>
            </w:tcBorders>
            <w:shd w:val="clear" w:color="auto" w:fill="D3D3D3"/>
          </w:tcPr>
          <w:p>
            <w:pPr>
              <w:pStyle w:val="TableParagraph"/>
              <w:spacing w:line="240" w:lineRule="auto" w:before="1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8" w:hRule="exact"/>
        </w:trPr>
        <w:tc>
          <w:tcPr>
            <w:tcW w:w="1356" w:type="dxa"/>
            <w:vMerge/>
            <w:tcBorders>
              <w:left w:val="single" w:sz="4" w:space="0" w:color="000000"/>
              <w:bottom w:val="nil" w:sz="6" w:space="0" w:color="auto"/>
              <w:right w:val="single" w:sz="4" w:space="0" w:color="000000"/>
            </w:tcBorders>
            <w:shd w:val="clear" w:color="auto" w:fill="D3D3D3"/>
          </w:tcPr>
          <w:p>
            <w:pPr/>
          </w:p>
        </w:tc>
        <w:tc>
          <w:tcPr>
            <w:tcW w:w="11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3D3D3"/>
          </w:tcPr>
          <w:p>
            <w:pPr/>
          </w:p>
        </w:tc>
        <w:tc>
          <w:tcPr>
            <w:tcW w:w="11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3D3D3"/>
          </w:tcPr>
          <w:p>
            <w:pPr/>
          </w:p>
        </w:tc>
        <w:tc>
          <w:tcPr>
            <w:tcW w:w="808" w:type="dxa"/>
            <w:vMerge/>
            <w:tcBorders>
              <w:left w:val="single" w:sz="4" w:space="0" w:color="000000"/>
              <w:bottom w:val="nil" w:sz="6" w:space="0" w:color="auto"/>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56" w:type="dxa"/>
            <w:vMerge w:val="restart"/>
            <w:tcBorders>
              <w:top w:val="nil" w:sz="6" w:space="0" w:color="auto"/>
              <w:left w:val="single" w:sz="4" w:space="0" w:color="000000"/>
              <w:right w:val="single" w:sz="4" w:space="0" w:color="000000"/>
            </w:tcBorders>
            <w:shd w:val="clear" w:color="auto" w:fill="D3D3D3"/>
          </w:tcPr>
          <w:p>
            <w:pPr/>
          </w:p>
        </w:tc>
        <w:tc>
          <w:tcPr>
            <w:tcW w:w="1164" w:type="dxa"/>
            <w:vMerge/>
            <w:tcBorders>
              <w:left w:val="single" w:sz="4" w:space="0" w:color="000000"/>
              <w:bottom w:val="nil" w:sz="6" w:space="0" w:color="auto"/>
              <w:right w:val="single" w:sz="4" w:space="0" w:color="000000"/>
            </w:tcBorders>
            <w:shd w:val="clear" w:color="auto" w:fill="D3D3D3"/>
          </w:tcPr>
          <w:p>
            <w:pPr/>
          </w:p>
        </w:tc>
        <w:tc>
          <w:tcPr>
            <w:tcW w:w="1064"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bottom w:val="nil" w:sz="6" w:space="0" w:color="auto"/>
              <w:right w:val="single" w:sz="4" w:space="0" w:color="000000"/>
            </w:tcBorders>
            <w:shd w:val="clear" w:color="auto" w:fill="D3D3D3"/>
          </w:tcPr>
          <w:p>
            <w:pPr/>
          </w:p>
        </w:tc>
        <w:tc>
          <w:tcPr>
            <w:tcW w:w="1052" w:type="dxa"/>
            <w:vMerge/>
            <w:tcBorders>
              <w:left w:val="single" w:sz="4" w:space="0" w:color="000000"/>
              <w:right w:val="single" w:sz="4" w:space="0" w:color="000000"/>
            </w:tcBorders>
            <w:shd w:val="clear" w:color="auto" w:fill="D3D3D3"/>
          </w:tcPr>
          <w:p>
            <w:pPr/>
          </w:p>
        </w:tc>
        <w:tc>
          <w:tcPr>
            <w:tcW w:w="808" w:type="dxa"/>
            <w:vMerge w:val="restart"/>
            <w:tcBorders>
              <w:top w:val="nil" w:sz="6" w:space="0" w:color="auto"/>
              <w:left w:val="single" w:sz="4" w:space="0" w:color="000000"/>
              <w:right w:val="single" w:sz="4" w:space="0" w:color="000000"/>
            </w:tcBorders>
            <w:shd w:val="clear" w:color="auto" w:fill="D3D3D3"/>
          </w:tcPr>
          <w:p>
            <w:pPr/>
          </w:p>
        </w:tc>
        <w:tc>
          <w:tcPr>
            <w:tcW w:w="2918"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2"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4"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1,272,746,736.</w:t>
            </w:r>
          </w:p>
          <w:p>
            <w:pPr>
              <w:pStyle w:val="TableParagraph"/>
              <w:spacing w:line="240" w:lineRule="auto" w:before="102"/>
              <w:ind w:right="18"/>
              <w:jc w:val="right"/>
              <w:rPr>
                <w:rFonts w:ascii="Times New Roman" w:hAnsi="Times New Roman" w:cs="Times New Roman" w:eastAsia="Times New Roman" w:hint="default"/>
                <w:sz w:val="18"/>
                <w:szCs w:val="18"/>
              </w:rPr>
            </w:pPr>
            <w:bookmarkStart w:name="3、以公允价值计量的资产和负债 " w:id="27"/>
            <w:bookmarkEnd w:id="27"/>
            <w:r>
              <w:rPr/>
            </w:r>
            <w:r>
              <w:rPr>
                <w:rFonts w:ascii="Times New Roman"/>
                <w:sz w:val="18"/>
              </w:rPr>
              <w:t>50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22.41%</w:t>
            </w:r>
          </w:p>
        </w:tc>
        <w:tc>
          <w:tcPr>
            <w:tcW w:w="11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912,712,772.84</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20.49%</w:t>
            </w:r>
          </w:p>
        </w:tc>
        <w:tc>
          <w:tcPr>
            <w:tcW w:w="8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1.92%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3D3D3"/>
              <w:right w:val="single" w:sz="4" w:space="0" w:color="000000"/>
            </w:tcBorders>
          </w:tcPr>
          <w:p>
            <w:pPr/>
          </w:p>
        </w:tc>
        <w:tc>
          <w:tcPr>
            <w:tcW w:w="1064" w:type="dxa"/>
            <w:vMerge/>
            <w:tcBorders>
              <w:left w:val="single" w:sz="4" w:space="0" w:color="000000"/>
              <w:right w:val="single" w:sz="4" w:space="0" w:color="000000"/>
            </w:tcBorders>
          </w:tcPr>
          <w:p>
            <w:pPr/>
          </w:p>
        </w:tc>
        <w:tc>
          <w:tcPr>
            <w:tcW w:w="1194"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0" w:hRule="exact"/>
        </w:trPr>
        <w:tc>
          <w:tcPr>
            <w:tcW w:w="1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4" w:type="dxa"/>
            <w:vMerge/>
            <w:tcBorders>
              <w:left w:val="single" w:sz="9" w:space="0" w:color="D3D3D3"/>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五、核心竞争力分析 " w:id="28"/>
      <w:bookmarkEnd w:id="28"/>
      <w:r>
        <w:rPr/>
      </w:r>
      <w:r>
        <w:rPr/>
        <w:t>□ 适用 √</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31" w:right="0" w:firstLine="52"/>
        <w:jc w:val="left"/>
      </w:pPr>
      <w:r>
        <w:rPr>
          <w:rFonts w:ascii="Times New Roman" w:hAnsi="Times New Roman" w:cs="Times New Roman" w:eastAsia="Times New Roman" w:hint="default"/>
        </w:rPr>
        <w:t>1</w:t>
      </w:r>
      <w:r>
        <w:rPr/>
        <w:t>、销售网络完善，终端直接覆盖能力强</w:t>
      </w:r>
      <w:r>
        <w:rPr>
          <w:w w:val="100"/>
        </w:rPr>
        <w:t> </w:t>
      </w:r>
      <w:r>
        <w:rPr/>
        <w:t>销售网络完善、终端直接覆盖能力强是公司突出的核心竞争优势之一。下游客户数量的增加成为公司业务规模扩张、</w:t>
      </w:r>
    </w:p>
    <w:p>
      <w:pPr>
        <w:pStyle w:val="BodyText"/>
        <w:spacing w:line="316" w:lineRule="auto"/>
        <w:ind w:right="0"/>
        <w:jc w:val="left"/>
      </w:pPr>
      <w:r>
        <w:rPr>
          <w:spacing w:val="-3"/>
        </w:rPr>
        <w:t>收入增加的坚实基础。经过多年持续的销售网络建设，在新一轮招标后，公司通过直销模式对山东省规模以上医院、基层医</w:t>
      </w:r>
      <w:r>
        <w:rPr>
          <w:spacing w:val="-44"/>
        </w:rPr>
        <w:t> </w:t>
      </w:r>
      <w:r>
        <w:rPr>
          <w:spacing w:val="-44"/>
        </w:rPr>
      </w:r>
      <w:r>
        <w:rPr/>
        <w:t>疗机构的覆盖率分别超过</w:t>
      </w:r>
      <w:r>
        <w:rPr>
          <w:rFonts w:ascii="Times New Roman" w:hAnsi="Times New Roman" w:cs="Times New Roman" w:eastAsia="Times New Roman" w:hint="default"/>
        </w:rPr>
        <w:t>98%</w:t>
      </w:r>
      <w:r>
        <w:rPr/>
        <w:t>、</w:t>
      </w:r>
      <w:r>
        <w:rPr>
          <w:rFonts w:ascii="Times New Roman" w:hAnsi="Times New Roman" w:cs="Times New Roman" w:eastAsia="Times New Roman" w:hint="default"/>
        </w:rPr>
        <w:t>95%</w:t>
      </w:r>
      <w:r>
        <w:rPr/>
        <w:t>。此外，公司通过分销客户对全省未直接覆盖的医院及零售市场达成覆盖。</w:t>
      </w:r>
    </w:p>
    <w:p>
      <w:pPr>
        <w:pStyle w:val="BodyText"/>
        <w:spacing w:line="338" w:lineRule="auto" w:before="40"/>
        <w:ind w:left="531" w:right="0" w:firstLine="72"/>
        <w:jc w:val="left"/>
      </w:pPr>
      <w:r>
        <w:rPr>
          <w:rFonts w:ascii="Times New Roman" w:hAnsi="Times New Roman" w:cs="Times New Roman" w:eastAsia="Times New Roman" w:hint="default"/>
        </w:rPr>
        <w:t>2</w:t>
      </w:r>
      <w:r>
        <w:rPr/>
        <w:t>、顺应政策导向，毛利率在同行业较高</w:t>
      </w:r>
      <w:r>
        <w:rPr>
          <w:w w:val="100"/>
        </w:rPr>
        <w:t> </w:t>
      </w:r>
      <w:r>
        <w:rPr>
          <w:spacing w:val="-1"/>
        </w:rPr>
        <w:t>国家在医改中明确提出坚决压缩流通渠道环节，公司较高的终端直接覆盖能力意味着大部分业务模式为</w:t>
      </w:r>
      <w:r>
        <w:rPr>
          <w:rFonts w:ascii="Times New Roman" w:hAnsi="Times New Roman" w:cs="Times New Roman" w:eastAsia="Times New Roman" w:hint="default"/>
          <w:spacing w:val="-1"/>
        </w:rPr>
        <w:t>“</w:t>
      </w:r>
      <w:r>
        <w:rPr>
          <w:spacing w:val="-1"/>
        </w:rPr>
        <w:t>医药工业</w:t>
      </w:r>
      <w:r>
        <w:rPr>
          <w:rFonts w:ascii="Times New Roman" w:hAnsi="Times New Roman" w:cs="Times New Roman" w:eastAsia="Times New Roman" w:hint="default"/>
          <w:spacing w:val="-1"/>
        </w:rPr>
        <w:t>—</w:t>
      </w:r>
      <w:r>
        <w:rPr>
          <w:spacing w:val="-1"/>
        </w:rPr>
        <w:t>医</w:t>
      </w:r>
    </w:p>
    <w:p>
      <w:pPr>
        <w:pStyle w:val="BodyText"/>
        <w:spacing w:line="230" w:lineRule="exact"/>
        <w:ind w:right="0"/>
        <w:jc w:val="left"/>
      </w:pPr>
      <w:r>
        <w:rPr/>
        <w:t>药商业</w:t>
      </w:r>
      <w:r>
        <w:rPr>
          <w:rFonts w:ascii="Times New Roman" w:hAnsi="Times New Roman" w:cs="Times New Roman" w:eastAsia="Times New Roman" w:hint="default"/>
        </w:rPr>
        <w:t>—</w:t>
      </w:r>
      <w:r>
        <w:rPr/>
        <w:t>需求终端</w:t>
      </w:r>
      <w:r>
        <w:rPr>
          <w:rFonts w:ascii="Times New Roman" w:hAnsi="Times New Roman" w:cs="Times New Roman" w:eastAsia="Times New Roman" w:hint="default"/>
        </w:rPr>
        <w:t>”</w:t>
      </w:r>
      <w:r>
        <w:rPr/>
        <w:t>，符合国家的医改政策。另一方面，由于整个医药流通环节的毛利率相对稳定，流通环节越多则每个环</w:t>
      </w:r>
    </w:p>
    <w:p>
      <w:pPr>
        <w:pStyle w:val="BodyText"/>
        <w:spacing w:line="316" w:lineRule="auto" w:before="63"/>
        <w:ind w:right="0"/>
        <w:jc w:val="left"/>
      </w:pPr>
      <w:r>
        <w:rPr>
          <w:spacing w:val="-3"/>
        </w:rPr>
        <w:t>节的利润水平越低，因此较强的终端覆盖能力意味着较高的毛利率水平。公司新增的医疗器械业务，毛利率高于传统的药品</w:t>
      </w:r>
      <w:r>
        <w:rPr>
          <w:spacing w:val="-48"/>
        </w:rPr>
        <w:t> </w:t>
      </w:r>
      <w:r>
        <w:rPr>
          <w:spacing w:val="-48"/>
        </w:rPr>
      </w:r>
      <w:r>
        <w:rPr/>
        <w:t>业务毛利率，随着医疗器械业务的发展，可在一定范围内提高公司整体毛利率。</w:t>
      </w:r>
    </w:p>
    <w:p>
      <w:pPr>
        <w:pStyle w:val="BodyText"/>
        <w:spacing w:line="316" w:lineRule="auto" w:before="59"/>
        <w:ind w:right="149" w:firstLine="379"/>
        <w:jc w:val="both"/>
      </w:pPr>
      <w:r>
        <w:rPr/>
        <w:t>另外，公司自成立以来，公司一直注重费用控制。通过编制合理的预算，有计划地控制费用。建立并执行费用控制的</w:t>
      </w:r>
      <w:r>
        <w:rPr>
          <w:w w:val="100"/>
        </w:rPr>
        <w:t> </w:t>
      </w:r>
      <w:r>
        <w:rPr>
          <w:spacing w:val="-3"/>
        </w:rPr>
        <w:t>归口、分级责任制度等制度，健全奖惩机制，促使全员积极参与费用控制，并设定相应的激励方式，良好的费用管理机制使</w:t>
      </w:r>
      <w:r>
        <w:rPr>
          <w:spacing w:val="-53"/>
        </w:rPr>
        <w:t> </w:t>
      </w:r>
      <w:r>
        <w:rPr>
          <w:spacing w:val="-53"/>
        </w:rPr>
      </w:r>
      <w:r>
        <w:rPr/>
        <w:t>得公司净利率高于同行业其他医药商业公司。</w:t>
      </w:r>
    </w:p>
    <w:p>
      <w:pPr>
        <w:pStyle w:val="BodyText"/>
        <w:spacing w:line="338" w:lineRule="auto" w:before="59"/>
        <w:ind w:left="531" w:right="0" w:firstLine="7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、终端客户质量高，经销品规不断攀升</w:t>
      </w:r>
      <w:r>
        <w:rPr>
          <w:w w:val="100"/>
        </w:rPr>
        <w:t> </w:t>
      </w:r>
      <w:r>
        <w:rPr/>
        <w:t>公司在不同级别的医院均有较高覆盖率，且医院级别越高，公司的覆盖率越高，表明公司终端客户具有较高质量。公</w:t>
      </w:r>
    </w:p>
    <w:p>
      <w:pPr>
        <w:pStyle w:val="BodyText"/>
        <w:spacing w:line="340" w:lineRule="auto" w:before="2"/>
        <w:ind w:left="531" w:right="0" w:hanging="380"/>
        <w:jc w:val="left"/>
      </w:pPr>
      <w:r>
        <w:rPr/>
        <w:t>司在山东省内三级医院覆盖率为</w:t>
      </w:r>
      <w:r>
        <w:rPr>
          <w:rFonts w:ascii="Times New Roman" w:hAnsi="Times New Roman" w:cs="Times New Roman" w:eastAsia="Times New Roman" w:hint="default"/>
        </w:rPr>
        <w:t>100%</w:t>
      </w:r>
      <w:r>
        <w:rPr/>
        <w:t>，实现了三级医院的全覆盖。</w:t>
      </w:r>
      <w:r>
        <w:rPr>
          <w:w w:val="100"/>
        </w:rPr>
        <w:t> </w:t>
      </w:r>
      <w:r>
        <w:rPr/>
        <w:t>高质量的终端客户具有如下几个特性：一是药品需求量大，采购金额较高；二是回款较有保障；三是具有医疗中心的</w:t>
      </w:r>
    </w:p>
    <w:p>
      <w:pPr>
        <w:pStyle w:val="BodyText"/>
        <w:spacing w:line="316" w:lineRule="auto"/>
        <w:ind w:right="0"/>
        <w:jc w:val="left"/>
      </w:pPr>
      <w:r>
        <w:rPr>
          <w:spacing w:val="-3"/>
        </w:rPr>
        <w:t>地位，对市场影响力大。上述特性决定了为这些医疗单位配送的医药商业企业对医药工业企业的谈判能力强，从而可以保证</w:t>
      </w:r>
      <w:r>
        <w:rPr>
          <w:spacing w:val="-50"/>
        </w:rPr>
        <w:t> </w:t>
      </w:r>
      <w:r>
        <w:rPr>
          <w:spacing w:val="-50"/>
        </w:rPr>
      </w:r>
      <w:r>
        <w:rPr/>
        <w:t>公司业务和利润的持续增长。</w:t>
      </w:r>
    </w:p>
    <w:p>
      <w:pPr>
        <w:pStyle w:val="BodyText"/>
        <w:spacing w:line="319" w:lineRule="auto" w:before="59"/>
        <w:ind w:right="150" w:firstLine="379"/>
        <w:jc w:val="both"/>
      </w:pPr>
      <w:r>
        <w:rPr/>
        <w:t>公司一直注重加强与医院的合作，经营重要医院产品的品规数量逐年增加，表明公司在与医院展开合作的基础上，能</w:t>
      </w:r>
      <w:r>
        <w:rPr>
          <w:w w:val="100"/>
        </w:rPr>
        <w:t> </w:t>
      </w:r>
      <w:r>
        <w:rPr/>
        <w:t>够不断增加公司产品在其采购中的份额，这成为公司收入增加的重要保证。</w:t>
      </w:r>
    </w:p>
    <w:p>
      <w:pPr>
        <w:pStyle w:val="BodyText"/>
        <w:spacing w:line="340" w:lineRule="auto" w:before="55"/>
        <w:ind w:left="531" w:right="0"/>
        <w:jc w:val="left"/>
      </w:pPr>
      <w:r>
        <w:rPr>
          <w:rFonts w:ascii="Times New Roman" w:hAnsi="Times New Roman" w:cs="Times New Roman" w:eastAsia="Times New Roman" w:hint="default"/>
        </w:rPr>
        <w:t>4</w:t>
      </w:r>
      <w:r>
        <w:rPr/>
        <w:t>、</w:t>
      </w:r>
      <w:r>
        <w:rPr>
          <w:spacing w:val="-20"/>
        </w:rPr>
        <w:t> </w:t>
      </w:r>
      <w:r>
        <w:rPr/>
        <w:t>上游供应商数量持续增长，采购集中度较低</w:t>
      </w:r>
      <w:r>
        <w:rPr>
          <w:w w:val="100"/>
        </w:rPr>
        <w:t> </w:t>
      </w:r>
      <w:r>
        <w:rPr/>
        <w:t>根据新医改的原则，直销模式将成为未来医药商业的主流模式，在这一背景下高质量医药工业配送权的获得将决定医</w:t>
      </w:r>
    </w:p>
    <w:p>
      <w:pPr>
        <w:pStyle w:val="BodyText"/>
        <w:spacing w:line="316" w:lineRule="auto" w:before="1"/>
        <w:ind w:right="0"/>
        <w:jc w:val="left"/>
      </w:pPr>
      <w:r>
        <w:rPr>
          <w:spacing w:val="-3"/>
        </w:rPr>
        <w:t>药商业企业的市场规模及利润水平。公司上游合作医药工业企业的质量较高，大部分全国工业百强企业均与公司建立了良好</w:t>
      </w:r>
      <w:r>
        <w:rPr>
          <w:spacing w:val="-52"/>
        </w:rPr>
        <w:t> </w:t>
      </w:r>
      <w:r>
        <w:rPr>
          <w:spacing w:val="-52"/>
        </w:rPr>
      </w:r>
      <w:r>
        <w:rPr/>
        <w:t>的业务合作关系。</w:t>
      </w:r>
    </w:p>
    <w:p>
      <w:pPr>
        <w:spacing w:after="0" w:line="316"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90" w:firstLine="431"/>
        <w:jc w:val="both"/>
      </w:pPr>
      <w:r>
        <w:rPr>
          <w:rFonts w:ascii="Times New Roman" w:hAnsi="Times New Roman" w:cs="Times New Roman" w:eastAsia="Times New Roman" w:hint="default"/>
        </w:rPr>
        <w:t>2010-2014</w:t>
      </w:r>
      <w:r>
        <w:rPr/>
        <w:t>年，与公司实际发生业务的供应商数量由</w:t>
      </w:r>
      <w:r>
        <w:rPr>
          <w:rFonts w:ascii="Times New Roman" w:hAnsi="Times New Roman" w:cs="Times New Roman" w:eastAsia="Times New Roman" w:hint="default"/>
        </w:rPr>
        <w:t>2010</w:t>
      </w:r>
      <w:r>
        <w:rPr/>
        <w:t>年的</w:t>
      </w:r>
      <w:r>
        <w:rPr>
          <w:rFonts w:ascii="Times New Roman" w:hAnsi="Times New Roman" w:cs="Times New Roman" w:eastAsia="Times New Roman" w:hint="default"/>
        </w:rPr>
        <w:t>1,380</w:t>
      </w:r>
      <w:r>
        <w:rPr/>
        <w:t>家增加至</w:t>
      </w:r>
      <w:r>
        <w:rPr>
          <w:rFonts w:ascii="Times New Roman" w:hAnsi="Times New Roman" w:cs="Times New Roman" w:eastAsia="Times New Roman" w:hint="default"/>
        </w:rPr>
        <w:t>2618</w:t>
      </w:r>
      <w:r>
        <w:rPr/>
        <w:t>家，增幅达</w:t>
      </w:r>
      <w:r>
        <w:rPr>
          <w:rFonts w:ascii="Times New Roman" w:hAnsi="Times New Roman" w:cs="Times New Roman" w:eastAsia="Times New Roman" w:hint="default"/>
        </w:rPr>
        <w:t>89.71%</w:t>
      </w:r>
      <w:r>
        <w:rPr/>
        <w:t>。每类供应商数量</w:t>
      </w:r>
      <w:r>
        <w:rPr>
          <w:w w:val="100"/>
        </w:rPr>
        <w:t> </w:t>
      </w:r>
      <w:r>
        <w:rPr>
          <w:spacing w:val="-3"/>
        </w:rPr>
        <w:t>均呈增加趋势，这表明随着业务的发展、终端覆盖率的不断提高、向供应商提供服务的持续升级，良好的信誉，公司获得上</w:t>
      </w:r>
      <w:r>
        <w:rPr>
          <w:spacing w:val="-52"/>
        </w:rPr>
        <w:t> </w:t>
      </w:r>
      <w:r>
        <w:rPr>
          <w:spacing w:val="-52"/>
        </w:rPr>
      </w:r>
      <w:r>
        <w:rPr/>
        <w:t>游配送权的能力越来越强，同时，上游配送权的获得也更有利于公司开拓下游客户。</w:t>
      </w:r>
    </w:p>
    <w:p>
      <w:pPr>
        <w:pStyle w:val="BodyText"/>
        <w:spacing w:line="309" w:lineRule="auto" w:before="65"/>
        <w:ind w:right="93" w:firstLine="287"/>
        <w:jc w:val="left"/>
      </w:pPr>
      <w:r>
        <w:rPr>
          <w:spacing w:val="-3"/>
        </w:rPr>
        <w:t>随着业务的不断拓展，公司已从胶东地区的局部强势医药商业企业上升为山东省的强势医院直销商，经销区域持续扩大，</w:t>
      </w:r>
      <w:r>
        <w:rPr>
          <w:w w:val="100"/>
        </w:rPr>
        <w:t> </w:t>
      </w:r>
      <w:r>
        <w:rPr>
          <w:spacing w:val="-3"/>
        </w:rPr>
        <w:t>直销医院数量、覆盖率持续提高，这确保了公司对上游供应商的谈判地位。此外，公司</w:t>
      </w:r>
      <w:r>
        <w:rPr>
          <w:rFonts w:ascii="Times New Roman" w:hAnsi="Times New Roman" w:cs="Times New Roman" w:eastAsia="Times New Roman" w:hint="default"/>
          <w:spacing w:val="-3"/>
        </w:rPr>
        <w:t>2014</w:t>
      </w:r>
      <w:r>
        <w:rPr>
          <w:spacing w:val="-3"/>
        </w:rPr>
        <w:t>年向前五名供应商的合计采购金</w:t>
      </w:r>
      <w:r>
        <w:rPr>
          <w:spacing w:val="-39"/>
        </w:rPr>
        <w:t> </w:t>
      </w:r>
      <w:r>
        <w:rPr>
          <w:spacing w:val="-39"/>
        </w:rPr>
      </w:r>
      <w:r>
        <w:rPr>
          <w:spacing w:val="-2"/>
        </w:rPr>
        <w:t>额占比为</w:t>
      </w:r>
      <w:r>
        <w:rPr>
          <w:rFonts w:ascii="Times New Roman" w:hAnsi="Times New Roman" w:cs="Times New Roman" w:eastAsia="Times New Roman" w:hint="default"/>
          <w:spacing w:val="-2"/>
        </w:rPr>
        <w:t>17.52%</w:t>
      </w:r>
      <w:r>
        <w:rPr>
          <w:spacing w:val="-2"/>
        </w:rPr>
        <w:t>，集中度较低，这意味着公司不存在过多依赖重点客户，也有利于公司对上游供应商形成较强的议价能力。</w:t>
      </w:r>
    </w:p>
    <w:p>
      <w:pPr>
        <w:pStyle w:val="BodyText"/>
        <w:spacing w:line="340" w:lineRule="auto" w:before="43"/>
        <w:ind w:left="512" w:right="93" w:firstLine="7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、现代物流能力和信息化管理助推公司快速成长</w:t>
      </w:r>
      <w:r>
        <w:rPr>
          <w:w w:val="100"/>
        </w:rPr>
        <w:t> </w:t>
      </w:r>
      <w:r>
        <w:rPr>
          <w:spacing w:val="-5"/>
        </w:rPr>
        <w:t>为顺应国家新医改及医药商业企业规范化、规模化的产业发展规划要求，公司购置建设用地，新建和扩建现代物流仓库，</w:t>
      </w:r>
    </w:p>
    <w:p>
      <w:pPr>
        <w:pStyle w:val="BodyText"/>
        <w:spacing w:line="307" w:lineRule="auto"/>
        <w:ind w:right="93"/>
        <w:jc w:val="left"/>
      </w:pPr>
      <w:r>
        <w:rPr>
          <w:spacing w:val="-3"/>
        </w:rPr>
        <w:t>打造配送能力覆盖全省的现代物流平台，按照现代物流标准设计的济南募投项目在</w:t>
      </w:r>
      <w:r>
        <w:rPr>
          <w:rFonts w:ascii="Times New Roman" w:hAnsi="Times New Roman" w:cs="Times New Roman" w:eastAsia="Times New Roman" w:hint="default"/>
          <w:spacing w:val="-3"/>
        </w:rPr>
        <w:t>2013</w:t>
      </w:r>
      <w:r>
        <w:rPr>
          <w:spacing w:val="-3"/>
        </w:rPr>
        <w:t>年竣工投入使用，烟台二期募投项目</w:t>
      </w:r>
      <w:r>
        <w:rPr>
          <w:spacing w:val="-45"/>
        </w:rPr>
        <w:t> </w:t>
      </w:r>
      <w:r>
        <w:rPr>
          <w:spacing w:val="-45"/>
        </w:rPr>
      </w:r>
      <w:r>
        <w:rPr/>
        <w:t>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月竣工投入使用，公司总仓库面积达到</w:t>
      </w:r>
      <w:r>
        <w:rPr>
          <w:rFonts w:ascii="Times New Roman" w:hAnsi="Times New Roman" w:cs="Times New Roman" w:eastAsia="Times New Roman" w:hint="default"/>
        </w:rPr>
        <w:t>6</w:t>
      </w:r>
      <w:r>
        <w:rPr/>
        <w:t>万平米。实现了仓储管理系统（</w:t>
      </w:r>
      <w:r>
        <w:rPr>
          <w:rFonts w:ascii="Times New Roman" w:hAnsi="Times New Roman" w:cs="Times New Roman" w:eastAsia="Times New Roman" w:hint="default"/>
        </w:rPr>
        <w:t>WMS</w:t>
      </w:r>
      <w:r>
        <w:rPr/>
        <w:t>）、设备控制系统（</w:t>
      </w:r>
      <w:r>
        <w:rPr>
          <w:rFonts w:ascii="Times New Roman" w:hAnsi="Times New Roman" w:cs="Times New Roman" w:eastAsia="Times New Roman" w:hint="default"/>
        </w:rPr>
        <w:t>WCS</w:t>
      </w:r>
      <w:r>
        <w:rPr/>
        <w:t>）、运</w:t>
      </w:r>
      <w:r>
        <w:rPr>
          <w:w w:val="100"/>
        </w:rPr>
        <w:t> </w:t>
      </w:r>
      <w:r>
        <w:rPr>
          <w:spacing w:val="-2"/>
        </w:rPr>
        <w:t>输管理系统（</w:t>
      </w:r>
      <w:r>
        <w:rPr>
          <w:rFonts w:ascii="Times New Roman" w:hAnsi="Times New Roman" w:cs="Times New Roman" w:eastAsia="Times New Roman" w:hint="default"/>
          <w:spacing w:val="-2"/>
        </w:rPr>
        <w:t>TMS</w:t>
      </w:r>
      <w:r>
        <w:rPr>
          <w:spacing w:val="-2"/>
        </w:rPr>
        <w:t>）三大物流软件系统与业务系统完全对接，</w:t>
      </w:r>
      <w:r>
        <w:rPr>
          <w:rFonts w:ascii="Times New Roman" w:hAnsi="Times New Roman" w:cs="Times New Roman" w:eastAsia="Times New Roman" w:hint="default"/>
          <w:spacing w:val="-2"/>
        </w:rPr>
        <w:t>RF</w:t>
      </w:r>
      <w:r>
        <w:rPr>
          <w:spacing w:val="-2"/>
        </w:rPr>
        <w:t>系统和电子标签系统也投入运行，实现了药品收货、存储、</w:t>
      </w:r>
      <w:r>
        <w:rPr>
          <w:spacing w:val="-61"/>
        </w:rPr>
        <w:t> </w:t>
      </w:r>
      <w:r>
        <w:rPr>
          <w:spacing w:val="-61"/>
        </w:rPr>
      </w:r>
      <w:r>
        <w:rPr/>
        <w:t>拣货、传输、运输的机械化和全自动化。济南物流基地已于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月通过</w:t>
      </w:r>
      <w:r>
        <w:rPr>
          <w:rFonts w:ascii="Times New Roman" w:hAnsi="Times New Roman" w:cs="Times New Roman" w:eastAsia="Times New Roman" w:hint="default"/>
        </w:rPr>
        <w:t>GSP</w:t>
      </w:r>
      <w:r>
        <w:rPr/>
        <w:t>药品经营质量管理规范认证，是目前山东地</w:t>
      </w:r>
      <w:r>
        <w:rPr>
          <w:spacing w:val="-86"/>
        </w:rPr>
        <w:t> </w:t>
      </w:r>
      <w:r>
        <w:rPr>
          <w:spacing w:val="-86"/>
        </w:rPr>
      </w:r>
      <w:r>
        <w:rPr>
          <w:spacing w:val="-3"/>
        </w:rPr>
        <w:t>区药品经营企业规模最大、功能最齐全、拆零拣选能力最大、运营水平最高的现代化、专业化医药物流中心。两大物流基地</w:t>
      </w:r>
      <w:r>
        <w:rPr>
          <w:spacing w:val="-52"/>
        </w:rPr>
        <w:t> </w:t>
      </w:r>
      <w:r>
        <w:rPr>
          <w:spacing w:val="-52"/>
        </w:rPr>
      </w:r>
      <w:r>
        <w:rPr>
          <w:spacing w:val="-3"/>
        </w:rPr>
        <w:t>的投入使用，为仓储、运输药品提供了更可靠的质量保障，为市场提供了更加快捷、便利、高效的服务，大大提高公司在山</w:t>
      </w:r>
      <w:r>
        <w:rPr>
          <w:spacing w:val="-47"/>
        </w:rPr>
        <w:t> </w:t>
      </w:r>
      <w:r>
        <w:rPr>
          <w:spacing w:val="-47"/>
        </w:rPr>
      </w:r>
      <w:r>
        <w:rPr>
          <w:spacing w:val="-5"/>
        </w:rPr>
        <w:t>东范围内的药品配送能力和规模，助推公司更加快速成长。同时公司具有第三方物流资格，为上游厂商提供第三方物流服务，</w:t>
      </w:r>
      <w:r>
        <w:rPr>
          <w:spacing w:val="-30"/>
        </w:rPr>
        <w:t> </w:t>
      </w:r>
      <w:r>
        <w:rPr>
          <w:spacing w:val="-30"/>
        </w:rPr>
      </w:r>
      <w:r>
        <w:rPr/>
        <w:t>有效提高了现有仓储基地的使用率，提高服务效率，降低运营成本。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2"/>
        <w:spacing w:line="240" w:lineRule="auto"/>
        <w:ind w:right="93"/>
        <w:jc w:val="left"/>
        <w:rPr>
          <w:b w:val="0"/>
          <w:bCs w:val="0"/>
        </w:rPr>
      </w:pPr>
      <w:bookmarkStart w:name="六、投资状况分析 " w:id="29"/>
      <w:bookmarkEnd w:id="29"/>
      <w:r>
        <w:rPr>
          <w:b w:val="0"/>
          <w:bCs w:val="0"/>
        </w:rPr>
      </w: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bookmarkStart w:name="1、对外股权投资情况 " w:id="30"/>
      <w:bookmarkEnd w:id="30"/>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bookmarkStart w:name="（1）对外投资情况 " w:id="31"/>
      <w:bookmarkEnd w:id="31"/>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t>√ 适用 □</w:t>
      </w:r>
      <w:r>
        <w:rPr>
          <w:spacing w:val="-1"/>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53,520,813.11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159,778,041.63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-66.50%</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烟台天际健康咨询服务有限公司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健康咨询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潍坊瑞康药品配送有限公司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山东滨州瑞康医药有限公司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枣庄际安医疗器械有限责任公司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医疗器械等销售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医疗器械等销售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bookmarkStart w:name="（2）持有金融企业股权情况 " w:id="32"/>
      <w:bookmarkEnd w:id="32"/>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128"/>
        <w:jc w:val="left"/>
      </w:pPr>
      <w:r>
        <w:rPr/>
        <w:t>□ 适用 √ 不适用</w:t>
      </w:r>
      <w:r>
        <w:rPr>
          <w:w w:val="100"/>
        </w:rPr>
        <w:t> </w:t>
      </w:r>
      <w:r>
        <w:rPr>
          <w:spacing w:val="-1"/>
        </w:rPr>
        <w:t>公司报告期未持有金融企业股权。</w:t>
      </w:r>
    </w:p>
    <w:p>
      <w:pPr>
        <w:spacing w:after="0" w:line="360"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证券投资情况 " w:id="33"/>
      <w:bookmarkEnd w:id="33"/>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46"/>
        <w:jc w:val="left"/>
      </w:pPr>
      <w:r>
        <w:rPr/>
        <w:t>□ 适用 √ 不适用</w:t>
      </w:r>
      <w:r>
        <w:rPr>
          <w:w w:val="100"/>
        </w:rPr>
        <w:t> </w:t>
      </w:r>
      <w:bookmarkStart w:name="（4）持有其他上市公司股权情况的说明 " w:id="34"/>
      <w:bookmarkEnd w:id="34"/>
      <w:r>
        <w:rPr>
          <w:spacing w:val="-1"/>
        </w:rPr>
        <w:t>公</w:t>
      </w:r>
      <w:r>
        <w:rPr>
          <w:spacing w:val="-1"/>
        </w:rPr>
        <w:t>司报告期不存在证券投资。</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260"/>
        <w:jc w:val="left"/>
      </w:pPr>
      <w:r>
        <w:rPr/>
        <w:t>□ 适用 √ 不适用</w:t>
      </w:r>
      <w:r>
        <w:rPr>
          <w:w w:val="100"/>
        </w:rPr>
        <w:t> </w:t>
      </w:r>
      <w:bookmarkStart w:name="2、委托理财、衍生品投资和委托贷款情况 " w:id="35"/>
      <w:bookmarkEnd w:id="35"/>
      <w:r>
        <w:rPr/>
        <w:t>公</w:t>
      </w:r>
      <w:r>
        <w:rPr/>
        <w:t>司报告期未持有其他上市公司股权。</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 w:id="36"/>
      <w:bookmarkEnd w:id="3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446"/>
        <w:jc w:val="left"/>
      </w:pPr>
      <w:r>
        <w:rPr/>
        <w:t>□ 适用 √ 不适用</w:t>
      </w:r>
      <w:r>
        <w:rPr>
          <w:w w:val="100"/>
        </w:rPr>
        <w:t> </w:t>
      </w:r>
      <w:bookmarkStart w:name="（2）衍生品投资情况 " w:id="37"/>
      <w:bookmarkEnd w:id="37"/>
      <w:r>
        <w:rPr>
          <w:spacing w:val="-1"/>
        </w:rPr>
        <w:t>公</w:t>
      </w:r>
      <w:r>
        <w:rPr>
          <w:spacing w:val="-1"/>
        </w:rPr>
        <w:t>司报告期不存在委托理财。</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267"/>
        <w:jc w:val="left"/>
      </w:pPr>
      <w:r>
        <w:rPr/>
        <w:t>□ 适用 √ 不适用</w:t>
      </w:r>
      <w:r>
        <w:rPr>
          <w:w w:val="100"/>
        </w:rPr>
        <w:t> </w:t>
      </w:r>
      <w:bookmarkStart w:name="（3）委托贷款情况 " w:id="38"/>
      <w:bookmarkEnd w:id="38"/>
      <w:r>
        <w:rPr>
          <w:spacing w:val="-1"/>
        </w:rPr>
        <w:t>公</w:t>
      </w:r>
      <w:r>
        <w:rPr>
          <w:spacing w:val="-1"/>
        </w:rPr>
        <w:t>司报告期不存在衍生品投资。</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46"/>
        <w:jc w:val="left"/>
      </w:pPr>
      <w:r>
        <w:rPr/>
        <w:t>□ 适用 √ 不适用</w:t>
      </w:r>
      <w:r>
        <w:rPr>
          <w:w w:val="100"/>
        </w:rPr>
        <w:t> </w:t>
      </w:r>
      <w:bookmarkStart w:name="3、募集资金使用情况 " w:id="39"/>
      <w:bookmarkEnd w:id="39"/>
      <w:r>
        <w:rPr>
          <w:spacing w:val="-1"/>
        </w:rPr>
        <w:t>公</w:t>
      </w:r>
      <w:r>
        <w:rPr>
          <w:spacing w:val="-1"/>
        </w:rPr>
        <w:t>司报告期不存在委托贷款。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1）募集资金总体使用情况 " w:id="40"/>
      <w:bookmarkEnd w:id="40"/>
      <w:r>
        <w:rPr/>
      </w: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1"/>
        </w:rPr>
        <w:t> </w:t>
      </w:r>
      <w:r>
        <w:rPr/>
        <w:t>不适用</w:t>
      </w:r>
    </w:p>
    <w:p>
      <w:pPr>
        <w:pStyle w:val="BodyText"/>
        <w:spacing w:line="240" w:lineRule="auto" w:before="115"/>
        <w:ind w:left="0" w:right="152"/>
        <w:jc w:val="right"/>
      </w:pPr>
      <w:r>
        <w:rPr>
          <w:spacing w:val="-1"/>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6"/>
        <w:gridCol w:w="5480"/>
      </w:tblGrid>
      <w:tr>
        <w:trPr>
          <w:trHeight w:val="401"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101,807.4</w:t>
            </w:r>
          </w:p>
        </w:tc>
      </w:tr>
      <w:tr>
        <w:trPr>
          <w:trHeight w:val="403"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8,672.31</w:t>
            </w:r>
          </w:p>
        </w:tc>
      </w:tr>
      <w:tr>
        <w:trPr>
          <w:trHeight w:val="406" w:hRule="exact"/>
        </w:trPr>
        <w:tc>
          <w:tcPr>
            <w:tcW w:w="4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49,354.26</w:t>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6"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tabs>
                <w:tab w:pos="4110" w:val="left" w:leader="none"/>
              </w:tabs>
              <w:spacing w:line="240" w:lineRule="auto" w:before="49"/>
              <w:ind w:left="7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日，本公司累计已使用募集资金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235,040,492.92</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元（其中</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1,282,300.00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元为公司支付给济南财政局的工程施工人员工资保证金和新型外墙材料保证金，均在项目工程结束</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pacing w:val="-1"/>
                <w:w w:val="100"/>
                <w:sz w:val="18"/>
                <w:szCs w:val="18"/>
              </w:rPr>
              <w:t>时退还</w:t>
            </w:r>
            <w:r>
              <w:rPr>
                <w:rFonts w:ascii="宋体" w:hAnsi="宋体" w:cs="宋体" w:eastAsia="宋体" w:hint="default"/>
                <w:spacing w:val="-8"/>
                <w:w w:val="100"/>
                <w:sz w:val="18"/>
                <w:szCs w:val="18"/>
              </w:rPr>
              <w:t>，</w:t>
            </w:r>
            <w:r>
              <w:rPr>
                <w:rFonts w:ascii="宋体" w:hAnsi="宋体" w:cs="宋体" w:eastAsia="宋体" w:hint="default"/>
                <w:spacing w:val="-1"/>
                <w:w w:val="100"/>
                <w:sz w:val="18"/>
                <w:szCs w:val="18"/>
              </w:rPr>
              <w:t>该部分款项不作为公司募集资金投</w:t>
            </w:r>
            <w:r>
              <w:rPr>
                <w:rFonts w:ascii="宋体" w:hAnsi="宋体" w:cs="宋体" w:eastAsia="宋体" w:hint="default"/>
                <w:spacing w:val="-2"/>
                <w:w w:val="100"/>
                <w:sz w:val="18"/>
                <w:szCs w:val="18"/>
              </w:rPr>
              <w:t>入</w:t>
            </w:r>
            <w:r>
              <w:rPr>
                <w:rFonts w:ascii="宋体" w:hAnsi="宋体" w:cs="宋体" w:eastAsia="宋体" w:hint="default"/>
                <w:spacing w:val="-92"/>
                <w:w w:val="100"/>
                <w:sz w:val="18"/>
                <w:szCs w:val="18"/>
              </w:rPr>
              <w:t>）</w:t>
            </w:r>
            <w:r>
              <w:rPr>
                <w:rFonts w:ascii="宋体" w:hAnsi="宋体" w:cs="宋体" w:eastAsia="宋体" w:hint="default"/>
                <w:spacing w:val="-8"/>
                <w:w w:val="100"/>
                <w:sz w:val="18"/>
                <w:szCs w:val="18"/>
              </w:rPr>
              <w:t>。</w:t>
            </w:r>
            <w:r>
              <w:rPr>
                <w:rFonts w:ascii="Microsoft Sans Serif" w:hAnsi="Microsoft Sans Serif" w:cs="Microsoft Sans Serif" w:eastAsia="Microsoft Sans Serif" w:hint="default"/>
                <w:w w:val="100"/>
                <w:sz w:val="18"/>
                <w:szCs w:val="18"/>
              </w:rPr>
              <w:t> </w:t>
            </w:r>
            <w:r>
              <w:rPr>
                <w:rFonts w:ascii="Microsoft Sans Serif" w:hAnsi="Microsoft Sans Serif" w:cs="Microsoft Sans Serif" w:eastAsia="Microsoft Sans Serif" w:hint="default"/>
                <w:sz w:val="18"/>
                <w:szCs w:val="18"/>
              </w:rPr>
              <w:t> </w:t>
            </w:r>
            <w:r>
              <w:rPr>
                <w:rFonts w:ascii="Microsoft Sans Serif" w:hAnsi="Microsoft Sans Serif" w:cs="Microsoft Sans Serif" w:eastAsia="Microsoft Sans Serif" w:hint="default"/>
                <w:spacing w:val="-5"/>
                <w:sz w:val="18"/>
                <w:szCs w:val="18"/>
              </w:rPr>
              <w:t> </w:t>
            </w:r>
            <w:r>
              <w:rPr>
                <w:rFonts w:ascii="Times New Roman" w:hAnsi="Times New Roman" w:cs="Times New Roman" w:eastAsia="Times New Roman" w:hint="default"/>
                <w:spacing w:val="1"/>
                <w:w w:val="100"/>
                <w:sz w:val="18"/>
                <w:szCs w:val="18"/>
              </w:rPr>
              <w:t>20</w:t>
            </w:r>
            <w:r>
              <w:rPr>
                <w:rFonts w:ascii="Times New Roman" w:hAnsi="Times New Roman" w:cs="Times New Roman" w:eastAsia="Times New Roman" w:hint="default"/>
                <w:spacing w:val="-7"/>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100"/>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0"/>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w w:val="100"/>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日</w:t>
            </w:r>
            <w:r>
              <w:rPr>
                <w:rFonts w:ascii="宋体" w:hAnsi="宋体" w:cs="宋体" w:eastAsia="宋体" w:hint="default"/>
                <w:spacing w:val="-8"/>
                <w:w w:val="100"/>
                <w:sz w:val="18"/>
                <w:szCs w:val="18"/>
              </w:rPr>
              <w:t>，</w:t>
            </w:r>
            <w:r>
              <w:rPr>
                <w:rFonts w:ascii="宋体" w:hAnsi="宋体" w:cs="宋体" w:eastAsia="宋体" w:hint="default"/>
                <w:spacing w:val="-1"/>
                <w:w w:val="100"/>
                <w:sz w:val="18"/>
                <w:szCs w:val="18"/>
              </w:rPr>
              <w:t>公司第一届董事会</w:t>
            </w:r>
            <w:r>
              <w:rPr>
                <w:rFonts w:ascii="宋体" w:hAnsi="宋体" w:cs="宋体" w:eastAsia="宋体" w:hint="default"/>
                <w:spacing w:val="-3"/>
                <w:w w:val="100"/>
                <w:sz w:val="18"/>
                <w:szCs w:val="18"/>
              </w:rPr>
              <w:t>第</w:t>
            </w:r>
            <w:r>
              <w:rPr>
                <w:rFonts w:ascii="宋体" w:hAnsi="宋体" w:cs="宋体" w:eastAsia="宋体" w:hint="default"/>
                <w:spacing w:val="-1"/>
                <w:w w:val="100"/>
                <w:sz w:val="18"/>
                <w:szCs w:val="18"/>
              </w:rPr>
              <w:t>十三次会议审议通</w:t>
            </w:r>
            <w:r>
              <w:rPr>
                <w:rFonts w:ascii="宋体" w:hAnsi="宋体" w:cs="宋体" w:eastAsia="宋体" w:hint="default"/>
                <w:spacing w:val="-9"/>
                <w:w w:val="100"/>
                <w:sz w:val="18"/>
                <w:szCs w:val="18"/>
              </w:rPr>
              <w:t>过</w:t>
            </w:r>
            <w:r>
              <w:rPr>
                <w:rFonts w:ascii="宋体" w:hAnsi="宋体" w:cs="宋体" w:eastAsia="宋体" w:hint="default"/>
                <w:spacing w:val="-1"/>
                <w:w w:val="100"/>
                <w:sz w:val="18"/>
                <w:szCs w:val="18"/>
              </w:rPr>
              <w:t>《关于</w:t>
            </w:r>
            <w:r>
              <w:rPr>
                <w:rFonts w:ascii="宋体" w:hAnsi="宋体" w:cs="宋体" w:eastAsia="宋体" w:hint="default"/>
                <w:w w:val="100"/>
                <w:sz w:val="18"/>
                <w:szCs w:val="18"/>
              </w:rPr>
              <w:t>将</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2"/>
        <w:rPr>
          <w:rFonts w:ascii="宋体" w:hAnsi="宋体" w:cs="宋体" w:eastAsia="宋体" w:hint="default"/>
          <w:sz w:val="28"/>
          <w:szCs w:val="28"/>
        </w:rPr>
      </w:pPr>
    </w:p>
    <w:p>
      <w:pPr>
        <w:spacing w:line="4125" w:lineRule="exact"/>
        <w:ind w:left="148" w:right="0" w:firstLine="0"/>
        <w:rPr>
          <w:rFonts w:ascii="宋体" w:hAnsi="宋体" w:cs="宋体" w:eastAsia="宋体" w:hint="default"/>
          <w:sz w:val="20"/>
          <w:szCs w:val="20"/>
        </w:rPr>
      </w:pPr>
      <w:r>
        <w:rPr>
          <w:rFonts w:ascii="宋体" w:hAnsi="宋体" w:cs="宋体" w:eastAsia="宋体" w:hint="default"/>
          <w:position w:val="-82"/>
          <w:sz w:val="20"/>
          <w:szCs w:val="20"/>
        </w:rPr>
        <w:pict>
          <v:group style="width:481.8pt;height:206.3pt;mso-position-horizontal-relative:char;mso-position-vertical-relative:line" coordorigin="0,0" coordsize="9636,4126">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4116" coordorigin="5,5" coordsize="2,4116">
              <v:shape style="position:absolute;left:5;top:5;width:2;height:4116" coordorigin="5,5" coordsize="0,4116" path="m5,5l5,4121e" filled="false" stroked="true" strokeweight=".48pt" strokecolor="#000000">
                <v:path arrowok="t"/>
              </v:shape>
            </v:group>
            <v:group style="position:absolute;left:10;top:4116;width:9560;height:2" coordorigin="10,4116" coordsize="9560,2">
              <v:shape style="position:absolute;left:10;top:4116;width:9560;height:2" coordorigin="10,4116" coordsize="9560,0" path="m10,4116l9569,4116e" filled="false" stroked="true" strokeweight=".48pt" strokecolor="#000000">
                <v:path arrowok="t"/>
              </v:shape>
            </v:group>
            <v:group style="position:absolute;left:9574;top:5;width:2;height:4116" coordorigin="9574,5" coordsize="2,4116">
              <v:shape style="position:absolute;left:9574;top:5;width:2;height:4116" coordorigin="9574,5" coordsize="0,4116" path="m9574,5l9574,4121e" filled="false" stroked="true" strokeweight=".48pt" strokecolor="#000000">
                <v:path arrowok="t"/>
              </v:shape>
              <v:shape style="position:absolute;left:33;top:78;width:8611;height:190" type="#_x0000_t202" filled="false" stroked="false">
                <v:textbox inset="0,0,0,0">
                  <w:txbxContent>
                    <w:p>
                      <w:pPr>
                        <w:spacing w:line="190" w:lineRule="exact" w:before="0"/>
                        <w:ind w:left="0" w:right="0" w:firstLine="0"/>
                        <w:jc w:val="left"/>
                        <w:rPr>
                          <w:rFonts w:ascii="Microsoft Sans Serif" w:hAnsi="Microsoft Sans Serif" w:cs="Microsoft Sans Serif" w:eastAsia="Microsoft Sans Serif" w:hint="default"/>
                          <w:sz w:val="18"/>
                          <w:szCs w:val="18"/>
                        </w:rPr>
                      </w:pPr>
                      <w:r>
                        <w:rPr>
                          <w:rFonts w:ascii="宋体" w:hAnsi="宋体" w:cs="宋体" w:eastAsia="宋体" w:hint="default"/>
                          <w:spacing w:val="-1"/>
                          <w:w w:val="100"/>
                          <w:sz w:val="18"/>
                          <w:szCs w:val="18"/>
                        </w:rPr>
                        <w:t>超募资金用于偿还银行贷款的议</w:t>
                      </w:r>
                      <w:r>
                        <w:rPr>
                          <w:rFonts w:ascii="宋体" w:hAnsi="宋体" w:cs="宋体" w:eastAsia="宋体" w:hint="default"/>
                          <w:spacing w:val="-2"/>
                          <w:w w:val="100"/>
                          <w:sz w:val="18"/>
                          <w:szCs w:val="18"/>
                        </w:rPr>
                        <w:t>案</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决定将超募资</w:t>
                      </w:r>
                      <w:r>
                        <w:rPr>
                          <w:rFonts w:ascii="宋体" w:hAnsi="宋体" w:cs="宋体" w:eastAsia="宋体" w:hint="default"/>
                          <w:w w:val="100"/>
                          <w:sz w:val="18"/>
                          <w:szCs w:val="18"/>
                        </w:rPr>
                        <w:t>金</w:t>
                      </w:r>
                      <w:r>
                        <w:rPr>
                          <w:rFonts w:ascii="宋体" w:hAnsi="宋体" w:cs="宋体" w:eastAsia="宋体" w:hint="default"/>
                          <w:spacing w:val="-55"/>
                          <w:sz w:val="18"/>
                          <w:szCs w:val="18"/>
                        </w:rPr>
                        <w:t> </w:t>
                      </w:r>
                      <w:r>
                        <w:rPr>
                          <w:rFonts w:ascii="Times New Roman" w:hAnsi="Times New Roman" w:cs="Times New Roman" w:eastAsia="Times New Roman" w:hint="default"/>
                          <w:spacing w:val="1"/>
                          <w:w w:val="100"/>
                          <w:sz w:val="18"/>
                          <w:szCs w:val="18"/>
                        </w:rPr>
                        <w:t>160</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9</w:t>
                      </w:r>
                      <w:r>
                        <w:rPr>
                          <w:rFonts w:ascii="Times New Roman" w:hAnsi="Times New Roman" w:cs="Times New Roman" w:eastAsia="Times New Roman" w:hint="default"/>
                          <w:spacing w:val="-2"/>
                          <w:w w:val="100"/>
                          <w:sz w:val="18"/>
                          <w:szCs w:val="18"/>
                        </w:rPr>
                        <w:t>63</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3</w:t>
                      </w:r>
                      <w:r>
                        <w:rPr>
                          <w:rFonts w:ascii="Times New Roman" w:hAnsi="Times New Roman" w:cs="Times New Roman" w:eastAsia="Times New Roman" w:hint="default"/>
                          <w:spacing w:val="-2"/>
                          <w:w w:val="100"/>
                          <w:sz w:val="18"/>
                          <w:szCs w:val="18"/>
                        </w:rPr>
                        <w:t>3</w:t>
                      </w:r>
                      <w:r>
                        <w:rPr>
                          <w:rFonts w:ascii="Times New Roman" w:hAnsi="Times New Roman" w:cs="Times New Roman" w:eastAsia="Times New Roman" w:hint="default"/>
                          <w:spacing w:val="1"/>
                          <w:w w:val="100"/>
                          <w:sz w:val="18"/>
                          <w:szCs w:val="18"/>
                        </w:rPr>
                        <w:t>7</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2"/>
                          <w:w w:val="100"/>
                          <w:sz w:val="18"/>
                          <w:szCs w:val="18"/>
                        </w:rPr>
                        <w:t>3</w:t>
                      </w:r>
                      <w:r>
                        <w:rPr>
                          <w:rFonts w:ascii="Times New Roman" w:hAnsi="Times New Roman" w:cs="Times New Roman" w:eastAsia="Times New Roman" w:hint="default"/>
                          <w:w w:val="100"/>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pacing w:val="-1"/>
                          <w:w w:val="100"/>
                          <w:sz w:val="18"/>
                          <w:szCs w:val="18"/>
                        </w:rPr>
                        <w:t>元</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利</w:t>
                      </w:r>
                      <w:r>
                        <w:rPr>
                          <w:rFonts w:ascii="宋体" w:hAnsi="宋体" w:cs="宋体" w:eastAsia="宋体" w:hint="default"/>
                          <w:w w:val="100"/>
                          <w:sz w:val="18"/>
                          <w:szCs w:val="18"/>
                        </w:rPr>
                        <w:t>息</w:t>
                      </w:r>
                      <w:r>
                        <w:rPr>
                          <w:rFonts w:ascii="宋体" w:hAnsi="宋体" w:cs="宋体" w:eastAsia="宋体" w:hint="default"/>
                          <w:spacing w:val="-55"/>
                          <w:sz w:val="18"/>
                          <w:szCs w:val="18"/>
                        </w:rPr>
                        <w:t> </w:t>
                      </w:r>
                      <w:r>
                        <w:rPr>
                          <w:rFonts w:ascii="Times New Roman" w:hAnsi="Times New Roman" w:cs="Times New Roman" w:eastAsia="Times New Roman" w:hint="default"/>
                          <w:spacing w:val="1"/>
                          <w:w w:val="100"/>
                          <w:sz w:val="18"/>
                          <w:szCs w:val="18"/>
                        </w:rPr>
                        <w:t>61</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spacing w:val="1"/>
                          <w:w w:val="100"/>
                          <w:sz w:val="18"/>
                          <w:szCs w:val="18"/>
                        </w:rPr>
                        <w:t>6</w:t>
                      </w:r>
                      <w:r>
                        <w:rPr>
                          <w:rFonts w:ascii="Times New Roman" w:hAnsi="Times New Roman" w:cs="Times New Roman" w:eastAsia="Times New Roman" w:hint="default"/>
                          <w:spacing w:val="-2"/>
                          <w:w w:val="100"/>
                          <w:sz w:val="18"/>
                          <w:szCs w:val="18"/>
                        </w:rPr>
                        <w:t>2</w:t>
                      </w:r>
                      <w:r>
                        <w:rPr>
                          <w:rFonts w:ascii="Times New Roman" w:hAnsi="Times New Roman" w:cs="Times New Roman" w:eastAsia="Times New Roman" w:hint="default"/>
                          <w:spacing w:val="1"/>
                          <w:w w:val="100"/>
                          <w:sz w:val="18"/>
                          <w:szCs w:val="18"/>
                        </w:rPr>
                        <w:t>5</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0</w:t>
                      </w:r>
                      <w:r>
                        <w:rPr>
                          <w:rFonts w:ascii="Times New Roman" w:hAnsi="Times New Roman" w:cs="Times New Roman" w:eastAsia="Times New Roman" w:hint="default"/>
                          <w:w w:val="100"/>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pacing w:val="-1"/>
                          <w:w w:val="100"/>
                          <w:sz w:val="18"/>
                          <w:szCs w:val="18"/>
                        </w:rPr>
                        <w:t>元</w:t>
                      </w:r>
                      <w:r>
                        <w:rPr>
                          <w:rFonts w:ascii="宋体" w:hAnsi="宋体" w:cs="宋体" w:eastAsia="宋体" w:hint="default"/>
                          <w:spacing w:val="-3"/>
                          <w:w w:val="100"/>
                          <w:sz w:val="18"/>
                          <w:szCs w:val="18"/>
                        </w:rPr>
                        <w:t>用</w:t>
                      </w:r>
                      <w:r>
                        <w:rPr>
                          <w:rFonts w:ascii="宋体" w:hAnsi="宋体" w:cs="宋体" w:eastAsia="宋体" w:hint="default"/>
                          <w:spacing w:val="-1"/>
                          <w:w w:val="100"/>
                          <w:sz w:val="18"/>
                          <w:szCs w:val="18"/>
                        </w:rPr>
                        <w:t>于归还银行贷款。</w:t>
                      </w:r>
                      <w:r>
                        <w:rPr>
                          <w:rFonts w:ascii="Microsoft Sans Serif" w:hAnsi="Microsoft Sans Serif" w:cs="Microsoft Sans Serif" w:eastAsia="Microsoft Sans Serif" w:hint="default"/>
                          <w:w w:val="100"/>
                          <w:sz w:val="18"/>
                          <w:szCs w:val="18"/>
                        </w:rPr>
                        <w:t> </w:t>
                      </w:r>
                    </w:p>
                  </w:txbxContent>
                </v:textbox>
                <w10:wrap type="none"/>
              </v:shape>
              <v:shape style="position:absolute;left:9369;top:78;width:1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100"/>
                          <w:sz w:val="18"/>
                          <w:szCs w:val="18"/>
                        </w:rPr>
                        <w:t>本</w:t>
                      </w:r>
                    </w:p>
                  </w:txbxContent>
                </v:textbox>
                <w10:wrap type="none"/>
              </v:shape>
              <v:shape style="position:absolute;left:33;top:390;width:9603;height:3622" type="#_x0000_t202" filled="false" stroked="false">
                <v:textbox inset="0,0,0,0">
                  <w:txbxContent>
                    <w:p>
                      <w:pPr>
                        <w:tabs>
                          <w:tab w:pos="5766" w:val="left" w:leader="none"/>
                        </w:tabs>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公司募集资金账户累计收到的银行存款利息为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7,328,250.88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日，本募投项目建设完毕</w:t>
                      </w:r>
                    </w:p>
                    <w:p>
                      <w:pPr>
                        <w:tabs>
                          <w:tab w:pos="3067" w:val="left" w:leader="none"/>
                          <w:tab w:pos="5586" w:val="left" w:leader="none"/>
                          <w:tab w:pos="6628" w:val="left" w:leader="none"/>
                        </w:tabs>
                        <w:spacing w:line="300" w:lineRule="auto" w:before="62"/>
                        <w:ind w:left="0" w:right="93" w:firstLine="0"/>
                        <w:jc w:val="both"/>
                        <w:rPr>
                          <w:rFonts w:ascii="宋体" w:hAnsi="宋体" w:cs="宋体" w:eastAsia="宋体" w:hint="default"/>
                          <w:sz w:val="18"/>
                          <w:szCs w:val="18"/>
                        </w:rPr>
                      </w:pPr>
                      <w:r>
                        <w:rPr>
                          <w:rFonts w:ascii="宋体" w:hAnsi="宋体" w:cs="宋体" w:eastAsia="宋体" w:hint="default"/>
                          <w:sz w:val="18"/>
                          <w:szCs w:val="18"/>
                        </w:rPr>
                        <w:t>后已将节余募投资金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万元用于永久性实施的流动资金。</w:t>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日，首发项目募集资金专用</w:t>
                      </w:r>
                      <w:r>
                        <w:rPr>
                          <w:rFonts w:ascii="宋体" w:hAnsi="宋体" w:cs="宋体" w:eastAsia="宋体" w:hint="default"/>
                          <w:w w:val="100"/>
                          <w:sz w:val="18"/>
                          <w:szCs w:val="18"/>
                        </w:rPr>
                        <w:t> </w:t>
                      </w:r>
                      <w:r>
                        <w:rPr>
                          <w:rFonts w:ascii="宋体" w:hAnsi="宋体" w:cs="宋体" w:eastAsia="宋体" w:hint="default"/>
                          <w:spacing w:val="-1"/>
                          <w:sz w:val="18"/>
                          <w:szCs w:val="18"/>
                        </w:rPr>
                        <w:t>账户余额</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23,356,132.96</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元。</w:t>
                      </w:r>
                      <w:r>
                        <w:rPr>
                          <w:rFonts w:ascii="Microsoft Sans Serif" w:hAnsi="Microsoft Sans Serif" w:cs="Microsoft Sans Serif" w:eastAsia="Microsoft Sans Serif" w:hint="default"/>
                          <w:spacing w:val="-1"/>
                          <w:sz w:val="18"/>
                          <w:szCs w:val="18"/>
                        </w:rPr>
                        <w:tab/>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、向特定投资者非公开发行普通股</w:t>
                      </w:r>
                      <w:r>
                        <w:rPr>
                          <w:rFonts w:ascii="Microsoft Sans Serif" w:hAnsi="Microsoft Sans Serif" w:cs="Microsoft Sans Serif" w:eastAsia="Microsoft Sans Serif" w:hint="default"/>
                          <w:spacing w:val="-2"/>
                          <w:sz w:val="18"/>
                          <w:szCs w:val="18"/>
                        </w:rPr>
                        <w:tab/>
                      </w:r>
                      <w:r>
                        <w:rPr>
                          <w:rFonts w:ascii="宋体" w:hAnsi="宋体" w:cs="宋体" w:eastAsia="宋体" w:hint="default"/>
                          <w:spacing w:val="-2"/>
                          <w:sz w:val="18"/>
                          <w:szCs w:val="18"/>
                        </w:rPr>
                        <w:t>非公开发行募投资金用于医疗器械配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送项目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19,460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万元，用于医用织物生产项目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万元，用于洗涤配送项目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年第四次临时股东大会的决议及公司《非公开发行股票发行情况报告暨上市公告书》等相关文件，本次非公开发</w:t>
                      </w:r>
                    </w:p>
                    <w:p>
                      <w:pPr>
                        <w:spacing w:before="62"/>
                        <w:ind w:left="0" w:right="0" w:firstLine="0"/>
                        <w:jc w:val="left"/>
                        <w:rPr>
                          <w:rFonts w:ascii="宋体" w:hAnsi="宋体" w:cs="宋体" w:eastAsia="宋体" w:hint="default"/>
                          <w:sz w:val="18"/>
                          <w:szCs w:val="18"/>
                        </w:rPr>
                      </w:pPr>
                      <w:r>
                        <w:rPr>
                          <w:rFonts w:ascii="宋体" w:hAnsi="宋体" w:cs="宋体" w:eastAsia="宋体" w:hint="default"/>
                          <w:sz w:val="18"/>
                          <w:szCs w:val="18"/>
                        </w:rPr>
                        <w:t>行除了投资医疗器械及医用耗材配送、医用织物生产、医用织物洗涤配送三个项目外，还补充公司流动资金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18,848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before="63"/>
                        <w:ind w:left="0" w:right="0" w:firstLine="0"/>
                        <w:jc w:val="left"/>
                        <w:rPr>
                          <w:rFonts w:ascii="宋体" w:hAnsi="宋体" w:cs="宋体" w:eastAsia="宋体" w:hint="default"/>
                          <w:sz w:val="18"/>
                          <w:szCs w:val="18"/>
                        </w:rPr>
                      </w:pPr>
                      <w:r>
                        <w:rPr>
                          <w:rFonts w:ascii="Microsoft Sans Serif" w:hAnsi="Microsoft Sans Serif" w:cs="Microsoft Sans Serif" w:eastAsia="Microsoft Sans Serif" w:hint="default"/>
                          <w:w w:val="100"/>
                          <w:sz w:val="18"/>
                          <w:szCs w:val="18"/>
                        </w:rPr>
                        <w:t> </w:t>
                      </w:r>
                      <w:r>
                        <w:rPr>
                          <w:rFonts w:ascii="Microsoft Sans Serif" w:hAnsi="Microsoft Sans Serif" w:cs="Microsoft Sans Serif" w:eastAsia="Microsoft Sans Serif" w:hint="default"/>
                          <w:sz w:val="18"/>
                          <w:szCs w:val="18"/>
                        </w:rPr>
                        <w:t> </w:t>
                      </w:r>
                      <w:r>
                        <w:rPr>
                          <w:rFonts w:ascii="Microsoft Sans Serif" w:hAnsi="Microsoft Sans Serif" w:cs="Microsoft Sans Serif" w:eastAsia="Microsoft Sans Serif" w:hint="default"/>
                          <w:spacing w:val="-5"/>
                          <w:sz w:val="18"/>
                          <w:szCs w:val="18"/>
                        </w:rPr>
                        <w:t> </w:t>
                      </w:r>
                      <w:r>
                        <w:rPr>
                          <w:rFonts w:ascii="Times New Roman" w:hAnsi="Times New Roman" w:cs="Times New Roman" w:eastAsia="Times New Roman" w:hint="default"/>
                          <w:spacing w:val="1"/>
                          <w:w w:val="100"/>
                          <w:sz w:val="18"/>
                          <w:szCs w:val="18"/>
                        </w:rPr>
                        <w:t>20</w:t>
                      </w:r>
                      <w:r>
                        <w:rPr>
                          <w:rFonts w:ascii="Times New Roman" w:hAnsi="Times New Roman" w:cs="Times New Roman" w:eastAsia="Times New Roman" w:hint="default"/>
                          <w:spacing w:val="-2"/>
                          <w:w w:val="100"/>
                          <w:sz w:val="18"/>
                          <w:szCs w:val="18"/>
                        </w:rPr>
                        <w:t>1</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w w:val="100"/>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7"/>
                          <w:w w:val="100"/>
                          <w:sz w:val="18"/>
                          <w:szCs w:val="18"/>
                        </w:rPr>
                        <w:t>1</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100"/>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w w:val="100"/>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日第二届</w:t>
                      </w:r>
                      <w:r>
                        <w:rPr>
                          <w:rFonts w:ascii="宋体" w:hAnsi="宋体" w:cs="宋体" w:eastAsia="宋体" w:hint="default"/>
                          <w:spacing w:val="-3"/>
                          <w:w w:val="100"/>
                          <w:sz w:val="18"/>
                          <w:szCs w:val="18"/>
                        </w:rPr>
                        <w:t>董</w:t>
                      </w:r>
                      <w:r>
                        <w:rPr>
                          <w:rFonts w:ascii="宋体" w:hAnsi="宋体" w:cs="宋体" w:eastAsia="宋体" w:hint="default"/>
                          <w:spacing w:val="-1"/>
                          <w:w w:val="100"/>
                          <w:sz w:val="18"/>
                          <w:szCs w:val="18"/>
                        </w:rPr>
                        <w:t>事会第十次会议</w:t>
                      </w:r>
                      <w:r>
                        <w:rPr>
                          <w:rFonts w:ascii="宋体" w:hAnsi="宋体" w:cs="宋体" w:eastAsia="宋体" w:hint="default"/>
                          <w:spacing w:val="-25"/>
                          <w:w w:val="100"/>
                          <w:sz w:val="18"/>
                          <w:szCs w:val="18"/>
                        </w:rPr>
                        <w:t>，</w:t>
                      </w:r>
                      <w:r>
                        <w:rPr>
                          <w:rFonts w:ascii="宋体" w:hAnsi="宋体" w:cs="宋体" w:eastAsia="宋体" w:hint="default"/>
                          <w:spacing w:val="-1"/>
                          <w:w w:val="100"/>
                          <w:sz w:val="18"/>
                          <w:szCs w:val="18"/>
                        </w:rPr>
                        <w:t>审议通</w:t>
                      </w:r>
                      <w:r>
                        <w:rPr>
                          <w:rFonts w:ascii="宋体" w:hAnsi="宋体" w:cs="宋体" w:eastAsia="宋体" w:hint="default"/>
                          <w:spacing w:val="-25"/>
                          <w:w w:val="100"/>
                          <w:sz w:val="18"/>
                          <w:szCs w:val="18"/>
                        </w:rPr>
                        <w:t>过</w:t>
                      </w:r>
                      <w:r>
                        <w:rPr>
                          <w:rFonts w:ascii="宋体" w:hAnsi="宋体" w:cs="宋体" w:eastAsia="宋体" w:hint="default"/>
                          <w:spacing w:val="-1"/>
                          <w:w w:val="100"/>
                          <w:sz w:val="18"/>
                          <w:szCs w:val="18"/>
                        </w:rPr>
                        <w:t>《关于使用非公开发行股票募集资金补充流动性的议</w:t>
                      </w:r>
                      <w:r>
                        <w:rPr>
                          <w:rFonts w:ascii="宋体" w:hAnsi="宋体" w:cs="宋体" w:eastAsia="宋体" w:hint="default"/>
                          <w:spacing w:val="-2"/>
                          <w:w w:val="100"/>
                          <w:sz w:val="18"/>
                          <w:szCs w:val="18"/>
                        </w:rPr>
                        <w:t>案</w:t>
                      </w:r>
                      <w:r>
                        <w:rPr>
                          <w:rFonts w:ascii="宋体" w:hAnsi="宋体" w:cs="宋体" w:eastAsia="宋体" w:hint="default"/>
                          <w:spacing w:val="-92"/>
                          <w:w w:val="100"/>
                          <w:sz w:val="18"/>
                          <w:szCs w:val="18"/>
                        </w:rPr>
                        <w:t>》</w:t>
                      </w:r>
                      <w:r>
                        <w:rPr>
                          <w:rFonts w:ascii="宋体" w:hAnsi="宋体" w:cs="宋体" w:eastAsia="宋体" w:hint="default"/>
                          <w:spacing w:val="-25"/>
                          <w:w w:val="100"/>
                          <w:sz w:val="18"/>
                          <w:szCs w:val="18"/>
                        </w:rPr>
                        <w:t>，</w:t>
                      </w:r>
                      <w:r>
                        <w:rPr>
                          <w:rFonts w:ascii="宋体" w:hAnsi="宋体" w:cs="宋体" w:eastAsia="宋体" w:hint="default"/>
                          <w:spacing w:val="-1"/>
                          <w:w w:val="100"/>
                          <w:sz w:val="18"/>
                          <w:szCs w:val="18"/>
                        </w:rPr>
                        <w:t>永</w:t>
                      </w:r>
                      <w:r>
                        <w:rPr>
                          <w:rFonts w:ascii="宋体" w:hAnsi="宋体" w:cs="宋体" w:eastAsia="宋体" w:hint="default"/>
                          <w:spacing w:val="2"/>
                          <w:w w:val="100"/>
                          <w:sz w:val="18"/>
                          <w:szCs w:val="18"/>
                        </w:rPr>
                        <w:t>久</w:t>
                      </w:r>
                      <w:r>
                        <w:rPr>
                          <w:rFonts w:ascii="宋体" w:hAnsi="宋体" w:cs="宋体" w:eastAsia="宋体" w:hint="default"/>
                          <w:w w:val="100"/>
                          <w:sz w:val="18"/>
                          <w:szCs w:val="18"/>
                        </w:rPr>
                        <w:t>性</w:t>
                      </w:r>
                    </w:p>
                    <w:p>
                      <w:pPr>
                        <w:tabs>
                          <w:tab w:pos="2978" w:val="left" w:leader="none"/>
                        </w:tabs>
                        <w:spacing w:before="62"/>
                        <w:ind w:left="0" w:right="0" w:firstLine="0"/>
                        <w:jc w:val="left"/>
                        <w:rPr>
                          <w:rFonts w:ascii="宋体" w:hAnsi="宋体" w:cs="宋体" w:eastAsia="宋体" w:hint="default"/>
                          <w:sz w:val="18"/>
                          <w:szCs w:val="18"/>
                        </w:rPr>
                      </w:pPr>
                      <w:r>
                        <w:rPr>
                          <w:rFonts w:ascii="宋体" w:hAnsi="宋体" w:cs="宋体" w:eastAsia="宋体" w:hint="default"/>
                          <w:sz w:val="18"/>
                          <w:szCs w:val="18"/>
                        </w:rPr>
                        <w:t>补充流动资金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18,848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日，本公司累计已使用募集资金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259,784,366.24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元，其中永久</w:t>
                      </w:r>
                    </w:p>
                    <w:p>
                      <w:pPr>
                        <w:tabs>
                          <w:tab w:pos="4958" w:val="left" w:leader="none"/>
                          <w:tab w:pos="7864" w:val="left" w:leader="none"/>
                          <w:tab w:pos="8543" w:val="left" w:leader="none"/>
                          <w:tab w:pos="9282" w:val="left" w:leader="none"/>
                        </w:tabs>
                        <w:spacing w:line="310" w:lineRule="atLeast" w:before="2"/>
                        <w:ind w:left="0" w:right="88" w:firstLine="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性补充流动资金</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188,488,884.07</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元（含利息</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8,174.41</w:t>
                      </w:r>
                      <w:r>
                        <w:rPr>
                          <w:rFonts w:ascii="Times New Roman" w:hAnsi="Times New Roman" w:cs="Times New Roman" w:eastAsia="Times New Roman" w:hint="default"/>
                          <w:spacing w:val="-8"/>
                          <w:sz w:val="18"/>
                          <w:szCs w:val="18"/>
                        </w:rPr>
                        <w:t> </w:t>
                      </w:r>
                      <w:r>
                        <w:rPr>
                          <w:rFonts w:ascii="宋体" w:hAnsi="宋体" w:cs="宋体" w:eastAsia="宋体" w:hint="default"/>
                          <w:spacing w:val="-36"/>
                          <w:sz w:val="18"/>
                          <w:szCs w:val="18"/>
                        </w:rPr>
                        <w:t>元）。</w:t>
                      </w:r>
                      <w:r>
                        <w:rPr>
                          <w:rFonts w:ascii="宋体" w:hAnsi="宋体" w:cs="宋体" w:eastAsia="宋体" w:hint="default"/>
                          <w:spacing w:val="-27"/>
                          <w:sz w:val="18"/>
                          <w:szCs w:val="18"/>
                        </w:rPr>
                        <w:t> </w:t>
                      </w:r>
                      <w:r>
                        <w:rPr>
                          <w:rFonts w:ascii="Microsoft Sans Serif" w:hAnsi="Microsoft Sans Serif" w:cs="Microsoft Sans Serif" w:eastAsia="Microsoft Sans Serif" w:hint="default"/>
                          <w:spacing w:val="-27"/>
                          <w:sz w:val="18"/>
                          <w:szCs w:val="18"/>
                        </w:rPr>
                      </w:r>
                      <w:r>
                        <w:rPr>
                          <w:rFonts w:ascii="宋体" w:hAnsi="宋体" w:cs="宋体" w:eastAsia="宋体" w:hint="default"/>
                          <w:sz w:val="18"/>
                          <w:szCs w:val="18"/>
                        </w:rPr>
                        <w:t>经北京天圆全会计师事务所专项审计（报告文号为天圆全专审</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字</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0080899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本公司以增发的募投资金对公司先期垫付的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10,866,663.15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元进行了置换。</w:t>
                        <w:tab/>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本公司募集</w:t>
                      </w:r>
                      <w:r>
                        <w:rPr>
                          <w:rFonts w:ascii="宋体" w:hAnsi="宋体" w:cs="宋体" w:eastAsia="宋体" w:hint="default"/>
                          <w:w w:val="100"/>
                          <w:sz w:val="18"/>
                          <w:szCs w:val="18"/>
                        </w:rPr>
                        <w:t> </w:t>
                      </w:r>
                      <w:r>
                        <w:rPr>
                          <w:rFonts w:ascii="宋体" w:hAnsi="宋体" w:cs="宋体" w:eastAsia="宋体" w:hint="default"/>
                          <w:sz w:val="18"/>
                          <w:szCs w:val="18"/>
                        </w:rPr>
                        <w:t>资金账户累计收到的银行存款利息为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1,290,084.46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本公司以闲置资金补充流动资金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Microsoft Sans Serif" w:hAnsi="Microsoft Sans Serif" w:cs="Microsoft Sans Serif" w:eastAsia="Microsoft Sans Serif" w:hint="default"/>
                          <w:sz w:val="18"/>
                          <w:szCs w:val="18"/>
                        </w:rPr>
                        <w:tab/>
                      </w:r>
                      <w:r>
                        <w:rPr>
                          <w:rFonts w:ascii="宋体" w:hAnsi="宋体" w:cs="宋体" w:eastAsia="宋体" w:hint="default"/>
                          <w:sz w:val="18"/>
                          <w:szCs w:val="18"/>
                        </w:rPr>
                        <w:t>截</w:t>
                      </w:r>
                      <w:r>
                        <w:rPr>
                          <w:rFonts w:ascii="宋体" w:hAnsi="宋体" w:cs="宋体" w:eastAsia="宋体" w:hint="default"/>
                          <w:w w:val="100"/>
                          <w:sz w:val="18"/>
                          <w:szCs w:val="18"/>
                        </w:rPr>
                        <w:t> </w:t>
                      </w:r>
                      <w:bookmarkStart w:name="（2）募集资金承诺项目情况 " w:id="41"/>
                      <w:bookmarkEnd w:id="41"/>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日，非公开发行募投资金项目募集资金专用账户余额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44,486,448.71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Microsoft Sans Serif" w:hAnsi="Microsoft Sans Serif" w:cs="Microsoft Sans Serif" w:eastAsia="Microsoft Sans Serif" w:hint="default"/>
                          <w:w w:val="100"/>
                          <w:sz w:val="18"/>
                          <w:szCs w:val="18"/>
                        </w:rPr>
                        <w:t> </w:t>
                      </w:r>
                    </w:p>
                  </w:txbxContent>
                </v:textbox>
                <w10:wrap type="none"/>
              </v:shape>
            </v:group>
          </v:group>
        </w:pict>
      </w:r>
      <w:r>
        <w:rPr>
          <w:rFonts w:ascii="宋体" w:hAnsi="宋体" w:cs="宋体" w:eastAsia="宋体" w:hint="default"/>
          <w:position w:val="-82"/>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1"/>
        </w:rPr>
        <w:t> </w:t>
      </w:r>
      <w:r>
        <w:rPr/>
        <w:t>不适用</w:t>
      </w:r>
    </w:p>
    <w:p>
      <w:pPr>
        <w:pStyle w:val="BodyText"/>
        <w:spacing w:line="240" w:lineRule="auto" w:before="114"/>
        <w:ind w:left="0" w:right="152"/>
        <w:jc w:val="right"/>
      </w:pPr>
      <w:r>
        <w:rPr>
          <w:spacing w:val="-1"/>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64"/>
        <w:gridCol w:w="775"/>
        <w:gridCol w:w="775"/>
        <w:gridCol w:w="778"/>
        <w:gridCol w:w="780"/>
        <w:gridCol w:w="782"/>
        <w:gridCol w:w="782"/>
        <w:gridCol w:w="780"/>
        <w:gridCol w:w="782"/>
        <w:gridCol w:w="782"/>
        <w:gridCol w:w="787"/>
      </w:tblGrid>
      <w:tr>
        <w:trPr>
          <w:trHeight w:val="1337"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8" w:right="64" w:hanging="452"/>
              <w:jc w:val="left"/>
              <w:rPr>
                <w:rFonts w:ascii="宋体" w:hAnsi="宋体" w:cs="宋体" w:eastAsia="宋体" w:hint="default"/>
                <w:sz w:val="18"/>
                <w:szCs w:val="18"/>
              </w:rPr>
            </w:pPr>
            <w:r>
              <w:rPr>
                <w:rFonts w:ascii="宋体" w:hAnsi="宋体" w:cs="宋体" w:eastAsia="宋体" w:hint="default"/>
                <w:sz w:val="18"/>
                <w:szCs w:val="18"/>
              </w:rPr>
              <w:t>承诺投资项目和超募</w:t>
            </w:r>
            <w:r>
              <w:rPr>
                <w:rFonts w:ascii="宋体" w:hAnsi="宋体" w:cs="宋体" w:eastAsia="宋体" w:hint="default"/>
                <w:w w:val="100"/>
                <w:sz w:val="18"/>
                <w:szCs w:val="18"/>
              </w:rPr>
              <w:t> </w:t>
            </w:r>
            <w:r>
              <w:rPr>
                <w:rFonts w:ascii="宋体" w:hAnsi="宋体" w:cs="宋体" w:eastAsia="宋体" w:hint="default"/>
                <w:sz w:val="18"/>
                <w:szCs w:val="18"/>
              </w:rPr>
              <w:t>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83" w:right="79"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0"/>
                <w:sz w:val="18"/>
                <w:szCs w:val="18"/>
              </w:rPr>
              <w:t> </w:t>
            </w:r>
            <w:r>
              <w:rPr>
                <w:rFonts w:ascii="宋体" w:hAnsi="宋体" w:cs="宋体" w:eastAsia="宋体" w:hint="default"/>
                <w:sz w:val="18"/>
                <w:szCs w:val="18"/>
              </w:rPr>
              <w:t>变更项</w:t>
            </w:r>
            <w:r>
              <w:rPr>
                <w:rFonts w:ascii="宋体" w:hAnsi="宋体" w:cs="宋体" w:eastAsia="宋体" w:hint="default"/>
                <w:w w:val="100"/>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w w:val="100"/>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center"/>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w w:val="100"/>
                <w:sz w:val="18"/>
                <w:szCs w:val="18"/>
              </w:rPr>
              <w:t> </w:t>
            </w:r>
            <w:r>
              <w:rPr>
                <w:rFonts w:ascii="宋体" w:hAnsi="宋体" w:cs="宋体" w:eastAsia="宋体" w:hint="default"/>
                <w:sz w:val="18"/>
                <w:szCs w:val="18"/>
              </w:rPr>
              <w:t>承诺投资</w:t>
            </w:r>
            <w:r>
              <w:rPr>
                <w:rFonts w:ascii="宋体" w:hAnsi="宋体" w:cs="宋体" w:eastAsia="宋体" w:hint="default"/>
                <w:w w:val="100"/>
                <w:sz w:val="18"/>
                <w:szCs w:val="18"/>
              </w:rPr>
              <w:t> </w:t>
            </w:r>
            <w:r>
              <w:rPr>
                <w:rFonts w:ascii="宋体" w:hAnsi="宋体" w:cs="宋体" w:eastAsia="宋体" w:hint="default"/>
                <w:sz w:val="18"/>
                <w:szCs w:val="18"/>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0"/>
                <w:sz w:val="18"/>
                <w:szCs w:val="18"/>
              </w:rPr>
              <w:t> </w:t>
            </w:r>
            <w:r>
              <w:rPr>
                <w:rFonts w:ascii="宋体" w:hAnsi="宋体" w:cs="宋体" w:eastAsia="宋体" w:hint="default"/>
                <w:sz w:val="18"/>
                <w:szCs w:val="18"/>
              </w:rPr>
              <w:t>资总额</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w w:val="100"/>
                <w:sz w:val="18"/>
                <w:szCs w:val="18"/>
              </w:rPr>
              <w:t> </w:t>
            </w:r>
            <w:r>
              <w:rPr>
                <w:rFonts w:ascii="宋体" w:hAnsi="宋体" w:cs="宋体" w:eastAsia="宋体" w:hint="default"/>
                <w:sz w:val="18"/>
                <w:szCs w:val="18"/>
              </w:rPr>
              <w:t>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w w:val="100"/>
                <w:sz w:val="18"/>
                <w:szCs w:val="18"/>
              </w:rPr>
              <w:t> </w:t>
            </w:r>
            <w:r>
              <w:rPr>
                <w:rFonts w:ascii="宋体" w:hAnsi="宋体" w:cs="宋体" w:eastAsia="宋体" w:hint="default"/>
                <w:sz w:val="18"/>
                <w:szCs w:val="18"/>
              </w:rPr>
              <w:t>累计投入</w:t>
            </w:r>
            <w:r>
              <w:rPr>
                <w:rFonts w:ascii="宋体" w:hAnsi="宋体" w:cs="宋体" w:eastAsia="宋体" w:hint="default"/>
                <w:w w:val="100"/>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49"/>
              <w:ind w:left="26"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w w:val="100"/>
                <w:sz w:val="18"/>
                <w:szCs w:val="18"/>
              </w:rPr>
              <w:t> </w:t>
            </w:r>
            <w:r>
              <w:rPr>
                <w:rFonts w:ascii="宋体" w:hAnsi="宋体" w:cs="宋体" w:eastAsia="宋体" w:hint="default"/>
                <w:sz w:val="18"/>
                <w:szCs w:val="18"/>
              </w:rPr>
              <w:t>投资进度</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w:t>
            </w:r>
            <w:r>
              <w:rPr>
                <w:rFonts w:ascii="宋体" w:hAnsi="宋体" w:cs="宋体" w:eastAsia="宋体" w:hint="default"/>
                <w:w w:val="100"/>
                <w:sz w:val="18"/>
                <w:szCs w:val="18"/>
              </w:rPr>
              <w:t> </w:t>
            </w:r>
            <w:r>
              <w:rPr>
                <w:rFonts w:ascii="宋体" w:hAnsi="宋体" w:cs="宋体" w:eastAsia="宋体" w:hint="default"/>
                <w:sz w:val="18"/>
                <w:szCs w:val="18"/>
              </w:rPr>
              <w:t>预定可使</w:t>
            </w:r>
            <w:r>
              <w:rPr>
                <w:rFonts w:ascii="宋体" w:hAnsi="宋体" w:cs="宋体" w:eastAsia="宋体" w:hint="default"/>
                <w:w w:val="100"/>
                <w:sz w:val="18"/>
                <w:szCs w:val="18"/>
              </w:rPr>
              <w:t> </w:t>
            </w:r>
            <w:r>
              <w:rPr>
                <w:rFonts w:ascii="宋体" w:hAnsi="宋体" w:cs="宋体" w:eastAsia="宋体" w:hint="default"/>
                <w:sz w:val="18"/>
                <w:szCs w:val="18"/>
              </w:rPr>
              <w:t>用状态日</w:t>
            </w:r>
            <w:r>
              <w:rPr>
                <w:rFonts w:ascii="宋体" w:hAnsi="宋体" w:cs="宋体" w:eastAsia="宋体" w:hint="default"/>
                <w:w w:val="100"/>
                <w:sz w:val="18"/>
                <w:szCs w:val="18"/>
              </w:rPr>
              <w:t> </w:t>
            </w:r>
            <w:r>
              <w:rPr>
                <w:rFonts w:ascii="宋体" w:hAnsi="宋体" w:cs="宋体" w:eastAsia="宋体" w:hint="default"/>
                <w:sz w:val="18"/>
                <w:szCs w:val="18"/>
              </w:rPr>
              <w:t>期</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4"/>
              <w:jc w:val="center"/>
              <w:rPr>
                <w:rFonts w:ascii="宋体" w:hAnsi="宋体" w:cs="宋体" w:eastAsia="宋体" w:hint="default"/>
                <w:sz w:val="18"/>
                <w:szCs w:val="18"/>
              </w:rPr>
            </w:pPr>
            <w:r>
              <w:rPr>
                <w:rFonts w:ascii="宋体" w:hAnsi="宋体" w:cs="宋体" w:eastAsia="宋体" w:hint="default"/>
                <w:sz w:val="18"/>
                <w:szCs w:val="18"/>
              </w:rPr>
              <w:t>本报告期</w:t>
            </w:r>
            <w:r>
              <w:rPr>
                <w:rFonts w:ascii="宋体" w:hAnsi="宋体" w:cs="宋体" w:eastAsia="宋体" w:hint="default"/>
                <w:w w:val="100"/>
                <w:sz w:val="18"/>
                <w:szCs w:val="18"/>
              </w:rPr>
              <w:t> </w:t>
            </w:r>
            <w:r>
              <w:rPr>
                <w:rFonts w:ascii="宋体" w:hAnsi="宋体" w:cs="宋体" w:eastAsia="宋体" w:hint="default"/>
                <w:sz w:val="18"/>
                <w:szCs w:val="18"/>
              </w:rPr>
              <w:t>实现的效</w:t>
            </w:r>
            <w:r>
              <w:rPr>
                <w:rFonts w:ascii="宋体" w:hAnsi="宋体" w:cs="宋体" w:eastAsia="宋体" w:hint="default"/>
                <w:w w:val="100"/>
                <w:sz w:val="18"/>
                <w:szCs w:val="18"/>
              </w:rPr>
              <w:t> </w:t>
            </w:r>
            <w:r>
              <w:rPr>
                <w:rFonts w:ascii="宋体" w:hAnsi="宋体" w:cs="宋体" w:eastAsia="宋体" w:hint="default"/>
                <w:sz w:val="18"/>
                <w:szCs w:val="18"/>
              </w:rPr>
              <w:t>益</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 w:right="24"/>
              <w:jc w:val="left"/>
              <w:rPr>
                <w:rFonts w:ascii="宋体" w:hAnsi="宋体" w:cs="宋体" w:eastAsia="宋体" w:hint="default"/>
                <w:sz w:val="18"/>
                <w:szCs w:val="18"/>
              </w:rPr>
            </w:pPr>
            <w:r>
              <w:rPr>
                <w:rFonts w:ascii="宋体" w:hAnsi="宋体" w:cs="宋体" w:eastAsia="宋体" w:hint="default"/>
                <w:sz w:val="18"/>
                <w:szCs w:val="18"/>
              </w:rPr>
              <w:t>是否达到</w:t>
            </w:r>
            <w:r>
              <w:rPr>
                <w:rFonts w:ascii="宋体" w:hAnsi="宋体" w:cs="宋体" w:eastAsia="宋体" w:hint="default"/>
                <w:w w:val="100"/>
                <w:sz w:val="18"/>
                <w:szCs w:val="18"/>
              </w:rPr>
              <w:t> </w:t>
            </w:r>
            <w:r>
              <w:rPr>
                <w:rFonts w:ascii="宋体" w:hAnsi="宋体" w:cs="宋体" w:eastAsia="宋体" w:hint="default"/>
                <w:sz w:val="18"/>
                <w:szCs w:val="18"/>
              </w:rPr>
              <w:t>预计效益</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 w:right="29"/>
              <w:jc w:val="center"/>
              <w:rPr>
                <w:rFonts w:ascii="宋体" w:hAnsi="宋体" w:cs="宋体" w:eastAsia="宋体" w:hint="default"/>
                <w:sz w:val="18"/>
                <w:szCs w:val="18"/>
              </w:rPr>
            </w:pPr>
            <w:r>
              <w:rPr>
                <w:rFonts w:ascii="宋体" w:hAnsi="宋体" w:cs="宋体" w:eastAsia="宋体" w:hint="default"/>
                <w:sz w:val="18"/>
                <w:szCs w:val="18"/>
              </w:rPr>
              <w:t>项目可行</w:t>
            </w:r>
            <w:r>
              <w:rPr>
                <w:rFonts w:ascii="宋体" w:hAnsi="宋体" w:cs="宋体" w:eastAsia="宋体" w:hint="default"/>
                <w:w w:val="100"/>
                <w:sz w:val="18"/>
                <w:szCs w:val="18"/>
              </w:rPr>
              <w:t> </w:t>
            </w:r>
            <w:r>
              <w:rPr>
                <w:rFonts w:ascii="宋体" w:hAnsi="宋体" w:cs="宋体" w:eastAsia="宋体" w:hint="default"/>
                <w:sz w:val="18"/>
                <w:szCs w:val="18"/>
              </w:rPr>
              <w:t>性是否发</w:t>
            </w:r>
            <w:r>
              <w:rPr>
                <w:rFonts w:ascii="宋体" w:hAnsi="宋体" w:cs="宋体" w:eastAsia="宋体" w:hint="default"/>
                <w:w w:val="100"/>
                <w:sz w:val="18"/>
                <w:szCs w:val="18"/>
              </w:rPr>
              <w:t> </w:t>
            </w:r>
            <w:r>
              <w:rPr>
                <w:rFonts w:ascii="宋体" w:hAnsi="宋体" w:cs="宋体" w:eastAsia="宋体" w:hint="default"/>
                <w:sz w:val="18"/>
                <w:szCs w:val="18"/>
              </w:rPr>
              <w:t>生重大变</w:t>
            </w:r>
            <w:r>
              <w:rPr>
                <w:rFonts w:ascii="宋体" w:hAnsi="宋体" w:cs="宋体" w:eastAsia="宋体" w:hint="default"/>
                <w:w w:val="100"/>
                <w:sz w:val="18"/>
                <w:szCs w:val="18"/>
              </w:rPr>
              <w:t> </w:t>
            </w:r>
            <w:r>
              <w:rPr>
                <w:rFonts w:ascii="宋体" w:hAnsi="宋体" w:cs="宋体" w:eastAsia="宋体" w:hint="default"/>
                <w:sz w:val="18"/>
                <w:szCs w:val="18"/>
              </w:rPr>
              <w:t>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、烟台药品现代物流</w:t>
            </w:r>
            <w:r>
              <w:rPr>
                <w:rFonts w:ascii="宋体" w:hAnsi="宋体" w:cs="宋体" w:eastAsia="宋体" w:hint="default"/>
                <w:w w:val="100"/>
                <w:sz w:val="18"/>
                <w:szCs w:val="18"/>
              </w:rPr>
              <w:t> </w:t>
            </w:r>
            <w:r>
              <w:rPr>
                <w:rFonts w:ascii="宋体" w:hAnsi="宋体" w:cs="宋体" w:eastAsia="宋体" w:hint="default"/>
                <w:sz w:val="18"/>
                <w:szCs w:val="18"/>
              </w:rPr>
              <w:t>配送项目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6,278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1,394.57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4,623.33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1,128.57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、济南药品现代物流</w:t>
            </w:r>
            <w:r>
              <w:rPr>
                <w:rFonts w:ascii="宋体" w:hAnsi="宋体" w:cs="宋体" w:eastAsia="宋体" w:hint="default"/>
                <w:w w:val="100"/>
                <w:sz w:val="18"/>
                <w:szCs w:val="18"/>
              </w:rPr>
              <w:t> </w:t>
            </w:r>
            <w:r>
              <w:rPr>
                <w:rFonts w:ascii="宋体" w:hAnsi="宋体" w:cs="宋体" w:eastAsia="宋体" w:hint="default"/>
                <w:sz w:val="18"/>
                <w:szCs w:val="18"/>
              </w:rPr>
              <w:t>配送项目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21,135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1,755.46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18,752.49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1,887.11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60" w:hRule="exact"/>
        </w:trPr>
        <w:tc>
          <w:tcPr>
            <w:tcW w:w="176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、医疗器械配送项目</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sz w:val="18"/>
              </w:rPr>
              <w:t>19,460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pacing w:val="-1"/>
                <w:sz w:val="18"/>
              </w:rPr>
              <w:t>19,460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1,793.37</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1,942.19</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9.98%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tc>
        <w:tc>
          <w:tcPr>
            <w:tcW w:w="782" w:type="dxa"/>
            <w:vMerge/>
            <w:tcBorders>
              <w:left w:val="single" w:sz="4" w:space="0" w:color="000000"/>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53" w:hRule="exact"/>
        </w:trPr>
        <w:tc>
          <w:tcPr>
            <w:tcW w:w="176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82"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1764"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2"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
        </w:tc>
        <w:tc>
          <w:tcPr>
            <w:tcW w:w="78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6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、医用织物生产项目</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9,190</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9,190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1,494.86</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2,786.47</w:t>
            </w: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z w:val="18"/>
              </w:rPr>
              <w:t>30.32%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tc>
        <w:tc>
          <w:tcPr>
            <w:tcW w:w="782" w:type="dxa"/>
            <w:vMerge/>
            <w:tcBorders>
              <w:left w:val="single" w:sz="4" w:space="0" w:color="000000"/>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8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55" w:hRule="exact"/>
        </w:trPr>
        <w:tc>
          <w:tcPr>
            <w:tcW w:w="1764"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82"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c>
          <w:tcPr>
            <w:tcW w:w="787"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、医用织物洗涤配送</w:t>
            </w:r>
            <w:r>
              <w:rPr>
                <w:rFonts w:ascii="宋体" w:hAnsi="宋体" w:cs="宋体" w:eastAsia="宋体" w:hint="default"/>
                <w:w w:val="100"/>
                <w:sz w:val="18"/>
                <w:szCs w:val="18"/>
              </w:rPr>
              <w:t> </w:t>
            </w:r>
            <w:r>
              <w:rPr>
                <w:rFonts w:ascii="宋体" w:hAnsi="宋体" w:cs="宋体" w:eastAsia="宋体" w:hint="default"/>
                <w:sz w:val="18"/>
                <w:szCs w:val="18"/>
              </w:rPr>
              <w:t>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2,233.64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、补充流动资金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0.41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18,848.89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7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85,711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85,711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8,672.31</w:t>
            </w:r>
          </w:p>
        </w:tc>
        <w:tc>
          <w:tcPr>
            <w:tcW w:w="782"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49,354.26</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2"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3,015.68</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741"/>
        <w:gridCol w:w="775"/>
        <w:gridCol w:w="786"/>
        <w:gridCol w:w="778"/>
        <w:gridCol w:w="780"/>
        <w:gridCol w:w="782"/>
        <w:gridCol w:w="782"/>
        <w:gridCol w:w="769"/>
        <w:gridCol w:w="805"/>
        <w:gridCol w:w="770"/>
        <w:gridCol w:w="787"/>
      </w:tblGrid>
      <w:tr>
        <w:trPr>
          <w:trHeight w:val="401" w:hRule="exact"/>
        </w:trPr>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34" w:val="left" w:leader="none"/>
              </w:tabs>
              <w:spacing w:line="240" w:lineRule="auto" w:before="49"/>
              <w:ind w:left="-112" w:right="30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6" w:type="dxa"/>
            <w:tcBorders>
              <w:top w:val="single" w:sz="4" w:space="0" w:color="000000"/>
              <w:left w:val="single" w:sz="12" w:space="0" w:color="D3D3D3"/>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16,096.33</w:t>
            </w:r>
          </w:p>
        </w:tc>
        <w:tc>
          <w:tcPr>
            <w:tcW w:w="782" w:type="dxa"/>
            <w:tcBorders>
              <w:top w:val="single" w:sz="4" w:space="0" w:color="000000"/>
              <w:left w:val="single" w:sz="4" w:space="0" w:color="000000"/>
              <w:bottom w:val="single" w:sz="4" w:space="0" w:color="000000"/>
              <w:right w:val="single" w:sz="12" w:space="0" w:color="D3D3D3"/>
            </w:tcBorders>
          </w:tcPr>
          <w:p>
            <w:pPr/>
          </w:p>
        </w:tc>
        <w:tc>
          <w:tcPr>
            <w:tcW w:w="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3D3D3"/>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16,096.33</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2" w:space="0" w:color="D3D3D3"/>
              <w:bottom w:val="single" w:sz="4" w:space="0" w:color="000000"/>
              <w:right w:val="single" w:sz="10" w:space="0" w:color="D3D3D3"/>
            </w:tcBorders>
          </w:tcPr>
          <w:p>
            <w:pP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08"/>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85,711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4" w:right="0"/>
              <w:jc w:val="left"/>
              <w:rPr>
                <w:rFonts w:ascii="Times New Roman" w:hAnsi="Times New Roman" w:cs="Times New Roman" w:eastAsia="Times New Roman" w:hint="default"/>
                <w:sz w:val="18"/>
                <w:szCs w:val="18"/>
              </w:rPr>
            </w:pPr>
            <w:r>
              <w:rPr>
                <w:rFonts w:ascii="Times New Roman"/>
                <w:sz w:val="18"/>
              </w:rPr>
              <w:t>85,711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8,672.31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65,450.59</w:t>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805" w:type="dxa"/>
            <w:tcBorders>
              <w:top w:val="single" w:sz="4" w:space="0" w:color="000000"/>
              <w:left w:val="single" w:sz="12" w:space="0" w:color="D3D3D3"/>
              <w:bottom w:val="single" w:sz="4" w:space="0" w:color="000000"/>
              <w:right w:val="single" w:sz="10" w:space="0" w:color="D3D3D3"/>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3,015.68</w:t>
            </w:r>
          </w:p>
        </w:tc>
        <w:tc>
          <w:tcPr>
            <w:tcW w:w="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97"/>
              <w:jc w:val="left"/>
              <w:rPr>
                <w:rFonts w:ascii="宋体" w:hAnsi="宋体" w:cs="宋体" w:eastAsia="宋体" w:hint="default"/>
                <w:sz w:val="18"/>
                <w:szCs w:val="18"/>
              </w:rPr>
            </w:pPr>
            <w:r>
              <w:rPr>
                <w:rFonts w:ascii="宋体" w:hAnsi="宋体" w:cs="宋体" w:eastAsia="宋体" w:hint="default"/>
                <w:sz w:val="18"/>
                <w:szCs w:val="18"/>
              </w:rPr>
              <w:t>未达到计划进度或预</w:t>
            </w:r>
            <w:r>
              <w:rPr>
                <w:rFonts w:ascii="宋体" w:hAnsi="宋体" w:cs="宋体" w:eastAsia="宋体" w:hint="default"/>
                <w:w w:val="100"/>
                <w:sz w:val="18"/>
                <w:szCs w:val="18"/>
              </w:rPr>
              <w:t> </w:t>
            </w:r>
            <w:r>
              <w:rPr>
                <w:rFonts w:ascii="宋体" w:hAnsi="宋体" w:cs="宋体" w:eastAsia="宋体" w:hint="default"/>
                <w:sz w:val="18"/>
                <w:szCs w:val="18"/>
              </w:rPr>
              <w:t>计收益的情况和原因</w:t>
            </w:r>
          </w:p>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6" w:type="dxa"/>
            <w:gridSpan w:val="10"/>
            <w:tcBorders>
              <w:top w:val="single" w:sz="4" w:space="0" w:color="000000"/>
              <w:left w:val="single" w:sz="12" w:space="0" w:color="D3D3D3"/>
              <w:bottom w:val="single" w:sz="4" w:space="0" w:color="000000"/>
              <w:right w:val="single" w:sz="4" w:space="0" w:color="000000"/>
            </w:tcBorders>
          </w:tcPr>
          <w:p>
            <w:pPr>
              <w:pStyle w:val="TableParagraph"/>
              <w:tabs>
                <w:tab w:pos="5063" w:val="left" w:leader="none"/>
              </w:tabs>
              <w:spacing w:line="309" w:lineRule="auto" w:before="49"/>
              <w:ind w:left="23" w:right="19" w:firstLine="453"/>
              <w:jc w:val="both"/>
              <w:rPr>
                <w:rFonts w:ascii="Microsoft Sans Serif" w:hAnsi="Microsoft Sans Serif" w:cs="Microsoft Sans Serif" w:eastAsia="Microsoft Sans Serif" w:hint="default"/>
                <w:sz w:val="18"/>
                <w:szCs w:val="18"/>
              </w:rPr>
            </w:pPr>
            <w:r>
              <w:rPr>
                <w:rFonts w:ascii="宋体" w:hAnsi="宋体" w:cs="宋体" w:eastAsia="宋体" w:hint="default"/>
                <w:spacing w:val="-4"/>
                <w:sz w:val="18"/>
                <w:szCs w:val="18"/>
              </w:rPr>
              <w:t>采购的相关设备及供应商发生变化，造成工程设计方案也要相应的变更，需要重新经相关政府</w:t>
            </w:r>
            <w:r>
              <w:rPr>
                <w:rFonts w:ascii="宋体" w:hAnsi="宋体" w:cs="宋体" w:eastAsia="宋体" w:hint="default"/>
                <w:w w:val="100"/>
                <w:sz w:val="18"/>
                <w:szCs w:val="18"/>
              </w:rPr>
              <w:t> </w:t>
            </w:r>
            <w:r>
              <w:rPr>
                <w:rFonts w:ascii="宋体" w:hAnsi="宋体" w:cs="宋体" w:eastAsia="宋体" w:hint="default"/>
                <w:sz w:val="18"/>
                <w:szCs w:val="18"/>
              </w:rPr>
              <w:t>部门审批，医疗器械配送项目、医用织物生产项目、医用织物洗涤配送项目未达到原计划</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月份完工的进度。</w:t>
              <w:tab/>
            </w:r>
            <w:r>
              <w:rPr>
                <w:rFonts w:ascii="Microsoft Sans Serif" w:hAnsi="Microsoft Sans Serif" w:cs="Microsoft Sans Serif" w:eastAsia="Microsoft Sans Serif" w:hint="default"/>
                <w:w w:val="100"/>
                <w:sz w:val="18"/>
                <w:szCs w:val="18"/>
              </w:rPr>
              <w:t> </w:t>
            </w:r>
          </w:p>
        </w:tc>
      </w:tr>
      <w:tr>
        <w:trPr>
          <w:trHeight w:val="713" w:hRule="exact"/>
        </w:trPr>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97"/>
              <w:jc w:val="left"/>
              <w:rPr>
                <w:rFonts w:ascii="宋体" w:hAnsi="宋体" w:cs="宋体" w:eastAsia="宋体" w:hint="default"/>
                <w:sz w:val="18"/>
                <w:szCs w:val="18"/>
              </w:rPr>
            </w:pPr>
            <w:r>
              <w:rPr>
                <w:rFonts w:ascii="宋体" w:hAnsi="宋体" w:cs="宋体" w:eastAsia="宋体" w:hint="default"/>
                <w:sz w:val="18"/>
                <w:szCs w:val="18"/>
              </w:rPr>
              <w:t>项目可行性发生重大</w:t>
            </w:r>
            <w:r>
              <w:rPr>
                <w:rFonts w:ascii="宋体" w:hAnsi="宋体" w:cs="宋体" w:eastAsia="宋体" w:hint="default"/>
                <w:w w:val="100"/>
                <w:sz w:val="18"/>
                <w:szCs w:val="18"/>
              </w:rPr>
              <w:t> </w:t>
            </w:r>
            <w:r>
              <w:rPr>
                <w:rFonts w:ascii="宋体" w:hAnsi="宋体" w:cs="宋体" w:eastAsia="宋体" w:hint="default"/>
                <w:sz w:val="18"/>
                <w:szCs w:val="18"/>
              </w:rPr>
              <w:t>变化的情况说明</w:t>
            </w:r>
          </w:p>
        </w:tc>
        <w:tc>
          <w:tcPr>
            <w:tcW w:w="7816" w:type="dxa"/>
            <w:gridSpan w:val="10"/>
            <w:tcBorders>
              <w:top w:val="single" w:sz="4" w:space="0" w:color="000000"/>
              <w:left w:val="single" w:sz="12" w:space="0" w:color="D3D3D3"/>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202" w:hRule="exact"/>
        </w:trPr>
        <w:tc>
          <w:tcPr>
            <w:tcW w:w="1741" w:type="dxa"/>
            <w:tcBorders>
              <w:top w:val="single" w:sz="4" w:space="0" w:color="000000"/>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1" w:hRule="exact"/>
        </w:trPr>
        <w:tc>
          <w:tcPr>
            <w:tcW w:w="1741"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48"/>
              <w:ind w:left="11" w:right="97"/>
              <w:jc w:val="left"/>
              <w:rPr>
                <w:rFonts w:ascii="宋体" w:hAnsi="宋体" w:cs="宋体" w:eastAsia="宋体" w:hint="default"/>
                <w:sz w:val="18"/>
                <w:szCs w:val="18"/>
              </w:rPr>
            </w:pPr>
            <w:r>
              <w:rPr>
                <w:rFonts w:ascii="宋体" w:hAnsi="宋体" w:cs="宋体" w:eastAsia="宋体" w:hint="default"/>
                <w:sz w:val="18"/>
                <w:szCs w:val="18"/>
              </w:rPr>
              <w:t>超募资金的金额、用</w:t>
            </w:r>
            <w:r>
              <w:rPr>
                <w:rFonts w:ascii="宋体" w:hAnsi="宋体" w:cs="宋体" w:eastAsia="宋体" w:hint="default"/>
                <w:w w:val="100"/>
                <w:sz w:val="18"/>
                <w:szCs w:val="18"/>
              </w:rPr>
              <w:t> </w:t>
            </w:r>
            <w:r>
              <w:rPr>
                <w:rFonts w:ascii="宋体" w:hAnsi="宋体" w:cs="宋体" w:eastAsia="宋体" w:hint="default"/>
                <w:sz w:val="18"/>
                <w:szCs w:val="18"/>
              </w:rPr>
              <w:t>途及使用进展情况</w:t>
            </w:r>
          </w:p>
        </w:tc>
        <w:tc>
          <w:tcPr>
            <w:tcW w:w="7816" w:type="dxa"/>
            <w:gridSpan w:val="10"/>
            <w:vMerge/>
            <w:tcBorders>
              <w:left w:val="single" w:sz="9" w:space="0" w:color="D3D3D3"/>
              <w:bottom w:val="single" w:sz="4" w:space="0" w:color="000000"/>
              <w:right w:val="single" w:sz="4" w:space="0" w:color="000000"/>
            </w:tcBorders>
          </w:tcPr>
          <w:p>
            <w:pPr/>
          </w:p>
        </w:tc>
      </w:tr>
      <w:tr>
        <w:trPr>
          <w:trHeight w:val="505" w:hRule="exact"/>
        </w:trPr>
        <w:tc>
          <w:tcPr>
            <w:tcW w:w="1741" w:type="dxa"/>
            <w:vMerge/>
            <w:tcBorders>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spacing w:line="316" w:lineRule="auto" w:before="49"/>
              <w:ind w:left="28" w:right="26" w:firstLine="453"/>
              <w:jc w:val="left"/>
              <w:rPr>
                <w:rFonts w:ascii="宋体" w:hAnsi="宋体" w:cs="宋体" w:eastAsia="宋体" w:hint="default"/>
                <w:sz w:val="18"/>
                <w:szCs w:val="18"/>
              </w:rPr>
            </w:pPr>
            <w:r>
              <w:rPr>
                <w:rFonts w:ascii="宋体" w:hAnsi="宋体" w:cs="宋体" w:eastAsia="宋体" w:hint="default"/>
                <w:spacing w:val="-4"/>
                <w:w w:val="100"/>
                <w:sz w:val="18"/>
                <w:szCs w:val="18"/>
              </w:rPr>
              <w:t>公司第一届董事会第十三次会议审议通过《关于将超募资金用于偿还银行贷款的议案》，决定</w:t>
            </w:r>
            <w:r>
              <w:rPr>
                <w:rFonts w:ascii="宋体" w:hAnsi="宋体" w:cs="宋体" w:eastAsia="宋体" w:hint="default"/>
                <w:w w:val="100"/>
                <w:sz w:val="18"/>
                <w:szCs w:val="18"/>
              </w:rPr>
              <w:t> </w:t>
            </w:r>
            <w:r>
              <w:rPr>
                <w:rFonts w:ascii="宋体" w:hAnsi="宋体" w:cs="宋体" w:eastAsia="宋体" w:hint="default"/>
                <w:sz w:val="18"/>
                <w:szCs w:val="18"/>
              </w:rPr>
              <w:t>将超募资金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16,096.33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万元、利息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万元用于归还银行贷款。</w:t>
            </w:r>
          </w:p>
        </w:tc>
      </w:tr>
      <w:tr>
        <w:trPr>
          <w:trHeight w:val="208" w:hRule="exact"/>
        </w:trPr>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6" w:type="dxa"/>
            <w:gridSpan w:val="10"/>
            <w:vMerge/>
            <w:tcBorders>
              <w:left w:val="single" w:sz="9" w:space="0" w:color="D3D3D3"/>
              <w:bottom w:val="single" w:sz="4" w:space="0" w:color="000000"/>
              <w:right w:val="single" w:sz="4" w:space="0" w:color="000000"/>
            </w:tcBorders>
          </w:tcPr>
          <w:p>
            <w:pPr/>
          </w:p>
        </w:tc>
      </w:tr>
      <w:tr>
        <w:trPr>
          <w:trHeight w:val="245" w:hRule="exact"/>
        </w:trPr>
        <w:tc>
          <w:tcPr>
            <w:tcW w:w="1741" w:type="dxa"/>
            <w:tcBorders>
              <w:top w:val="single" w:sz="4" w:space="0" w:color="000000"/>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9" w:hRule="exact"/>
        </w:trPr>
        <w:tc>
          <w:tcPr>
            <w:tcW w:w="1741"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49"/>
              <w:ind w:left="11" w:right="97"/>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100"/>
                <w:sz w:val="18"/>
                <w:szCs w:val="18"/>
              </w:rPr>
              <w:t> </w:t>
            </w:r>
            <w:r>
              <w:rPr>
                <w:rFonts w:ascii="宋体" w:hAnsi="宋体" w:cs="宋体" w:eastAsia="宋体" w:hint="default"/>
                <w:sz w:val="18"/>
                <w:szCs w:val="18"/>
              </w:rPr>
              <w:t>施地点变更情况</w:t>
            </w:r>
          </w:p>
        </w:tc>
        <w:tc>
          <w:tcPr>
            <w:tcW w:w="7816" w:type="dxa"/>
            <w:gridSpan w:val="10"/>
            <w:vMerge/>
            <w:tcBorders>
              <w:left w:val="single" w:sz="9" w:space="0" w:color="D3D3D3"/>
              <w:bottom w:val="single" w:sz="4" w:space="0" w:color="000000"/>
              <w:right w:val="single" w:sz="4" w:space="0" w:color="000000"/>
            </w:tcBorders>
          </w:tcPr>
          <w:p>
            <w:pPr/>
          </w:p>
        </w:tc>
      </w:tr>
      <w:tr>
        <w:trPr>
          <w:trHeight w:val="401" w:hRule="exact"/>
        </w:trPr>
        <w:tc>
          <w:tcPr>
            <w:tcW w:w="1741" w:type="dxa"/>
            <w:vMerge/>
            <w:tcBorders>
              <w:left w:val="single" w:sz="4" w:space="0" w:color="000000"/>
              <w:right w:val="single" w:sz="4" w:space="0" w:color="000000"/>
            </w:tcBorders>
            <w:shd w:val="clear" w:color="auto" w:fill="D3D3D3"/>
          </w:tcPr>
          <w:p>
            <w:pPr/>
          </w:p>
        </w:tc>
        <w:tc>
          <w:tcPr>
            <w:tcW w:w="7816" w:type="dxa"/>
            <w:gridSpan w:val="10"/>
            <w:tcBorders>
              <w:top w:val="single" w:sz="4" w:space="0" w:color="000000"/>
              <w:left w:val="single" w:sz="12" w:space="0" w:color="D3D3D3"/>
              <w:bottom w:val="single" w:sz="4" w:space="0" w:color="000000"/>
              <w:right w:val="single" w:sz="4" w:space="0" w:color="000000"/>
            </w:tcBorders>
          </w:tcPr>
          <w:p>
            <w:pPr/>
          </w:p>
        </w:tc>
      </w:tr>
      <w:tr>
        <w:trPr>
          <w:trHeight w:val="146" w:hRule="exact"/>
        </w:trPr>
        <w:tc>
          <w:tcPr>
            <w:tcW w:w="1741" w:type="dxa"/>
            <w:vMerge/>
            <w:tcBorders>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
        </w:tc>
      </w:tr>
      <w:tr>
        <w:trPr>
          <w:trHeight w:val="257" w:hRule="exact"/>
        </w:trPr>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6" w:type="dxa"/>
            <w:gridSpan w:val="10"/>
            <w:vMerge/>
            <w:tcBorders>
              <w:left w:val="single" w:sz="9" w:space="0" w:color="D3D3D3"/>
              <w:bottom w:val="single" w:sz="4" w:space="0" w:color="000000"/>
              <w:right w:val="single" w:sz="4" w:space="0" w:color="000000"/>
            </w:tcBorders>
          </w:tcPr>
          <w:p>
            <w:pPr/>
          </w:p>
        </w:tc>
      </w:tr>
      <w:tr>
        <w:trPr>
          <w:trHeight w:val="245" w:hRule="exact"/>
        </w:trPr>
        <w:tc>
          <w:tcPr>
            <w:tcW w:w="1741" w:type="dxa"/>
            <w:tcBorders>
              <w:top w:val="single" w:sz="4" w:space="0" w:color="000000"/>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 w:hRule="exact"/>
        </w:trPr>
        <w:tc>
          <w:tcPr>
            <w:tcW w:w="174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11" w:right="97"/>
              <w:jc w:val="left"/>
              <w:rPr>
                <w:rFonts w:ascii="宋体" w:hAnsi="宋体" w:cs="宋体" w:eastAsia="宋体" w:hint="default"/>
                <w:sz w:val="18"/>
                <w:szCs w:val="18"/>
              </w:rPr>
            </w:pPr>
            <w:r>
              <w:rPr>
                <w:rFonts w:ascii="宋体" w:hAnsi="宋体" w:cs="宋体" w:eastAsia="宋体" w:hint="default"/>
                <w:sz w:val="18"/>
                <w:szCs w:val="18"/>
              </w:rPr>
              <w:t>募集资金投资项目实</w:t>
            </w:r>
            <w:r>
              <w:rPr>
                <w:rFonts w:ascii="宋体" w:hAnsi="宋体" w:cs="宋体" w:eastAsia="宋体" w:hint="default"/>
                <w:w w:val="100"/>
                <w:sz w:val="18"/>
                <w:szCs w:val="18"/>
              </w:rPr>
              <w:t> </w:t>
            </w:r>
            <w:r>
              <w:rPr>
                <w:rFonts w:ascii="宋体" w:hAnsi="宋体" w:cs="宋体" w:eastAsia="宋体" w:hint="default"/>
                <w:sz w:val="18"/>
                <w:szCs w:val="18"/>
              </w:rPr>
              <w:t>施方式调整情况</w:t>
            </w:r>
          </w:p>
        </w:tc>
        <w:tc>
          <w:tcPr>
            <w:tcW w:w="7816" w:type="dxa"/>
            <w:gridSpan w:val="10"/>
            <w:vMerge/>
            <w:tcBorders>
              <w:left w:val="single" w:sz="9" w:space="0" w:color="D3D3D3"/>
              <w:bottom w:val="single" w:sz="4" w:space="0" w:color="000000"/>
              <w:right w:val="single" w:sz="4" w:space="0" w:color="000000"/>
            </w:tcBorders>
          </w:tcPr>
          <w:p>
            <w:pPr/>
          </w:p>
        </w:tc>
      </w:tr>
      <w:tr>
        <w:trPr>
          <w:trHeight w:val="403" w:hRule="exact"/>
        </w:trPr>
        <w:tc>
          <w:tcPr>
            <w:tcW w:w="1741" w:type="dxa"/>
            <w:vMerge/>
            <w:tcBorders>
              <w:left w:val="single" w:sz="4" w:space="0" w:color="000000"/>
              <w:right w:val="single" w:sz="4" w:space="0" w:color="000000"/>
            </w:tcBorders>
            <w:shd w:val="clear" w:color="auto" w:fill="D3D3D3"/>
          </w:tcPr>
          <w:p>
            <w:pPr/>
          </w:p>
        </w:tc>
        <w:tc>
          <w:tcPr>
            <w:tcW w:w="7816" w:type="dxa"/>
            <w:gridSpan w:val="10"/>
            <w:tcBorders>
              <w:top w:val="single" w:sz="4" w:space="0" w:color="000000"/>
              <w:left w:val="single" w:sz="12" w:space="0" w:color="D3D3D3"/>
              <w:bottom w:val="single" w:sz="4" w:space="0" w:color="000000"/>
              <w:right w:val="single" w:sz="4" w:space="0" w:color="000000"/>
            </w:tcBorders>
          </w:tcPr>
          <w:p>
            <w:pPr/>
          </w:p>
        </w:tc>
      </w:tr>
      <w:tr>
        <w:trPr>
          <w:trHeight w:val="145" w:hRule="exact"/>
        </w:trPr>
        <w:tc>
          <w:tcPr>
            <w:tcW w:w="1741" w:type="dxa"/>
            <w:vMerge/>
            <w:tcBorders>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
        </w:tc>
      </w:tr>
      <w:tr>
        <w:trPr>
          <w:trHeight w:val="256" w:hRule="exact"/>
        </w:trPr>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6" w:type="dxa"/>
            <w:gridSpan w:val="10"/>
            <w:vMerge/>
            <w:tcBorders>
              <w:left w:val="single" w:sz="9" w:space="0" w:color="D3D3D3"/>
              <w:bottom w:val="single" w:sz="4" w:space="0" w:color="000000"/>
              <w:right w:val="single" w:sz="4" w:space="0" w:color="000000"/>
            </w:tcBorders>
          </w:tcPr>
          <w:p>
            <w:pPr/>
          </w:p>
        </w:tc>
      </w:tr>
      <w:tr>
        <w:trPr>
          <w:trHeight w:val="403" w:hRule="exact"/>
        </w:trPr>
        <w:tc>
          <w:tcPr>
            <w:tcW w:w="1741" w:type="dxa"/>
            <w:vMerge w:val="restart"/>
            <w:tcBorders>
              <w:top w:val="single" w:sz="4" w:space="0" w:color="000000"/>
              <w:left w:val="single" w:sz="4" w:space="0" w:color="000000"/>
              <w:right w:val="single" w:sz="4" w:space="0" w:color="000000"/>
            </w:tcBorders>
            <w:shd w:val="clear" w:color="auto" w:fill="D3D3D3"/>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1" w:hRule="exact"/>
        </w:trPr>
        <w:tc>
          <w:tcPr>
            <w:tcW w:w="1741" w:type="dxa"/>
            <w:vMerge/>
            <w:tcBorders>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月增发募集资金到账后，经北京天圆全会计师事务所专项审计（报告文号为天圆全</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专审字</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0080899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本公司以增发的募投资金对公司先期垫付的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1,086.67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万元进行了置换，</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其中医疗器械配送项目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30.34 </w:t>
            </w:r>
            <w:r>
              <w:rPr>
                <w:rFonts w:ascii="宋体" w:hAnsi="宋体" w:cs="宋体" w:eastAsia="宋体" w:hint="default"/>
                <w:spacing w:val="-3"/>
                <w:sz w:val="18"/>
                <w:szCs w:val="18"/>
              </w:rPr>
              <w:t>万元，医用织物生产项目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1,009.45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万元，医用织物洗涤配送项目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46.88</w:t>
            </w:r>
          </w:p>
          <w:p>
            <w:pPr>
              <w:pStyle w:val="TableParagraph"/>
              <w:tabs>
                <w:tab w:pos="2968" w:val="left" w:leader="none"/>
              </w:tabs>
              <w:spacing w:line="240" w:lineRule="auto" w:before="62"/>
              <w:ind w:left="28"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万元。</w:t>
              <w:tab/>
            </w:r>
            <w:r>
              <w:rPr>
                <w:rFonts w:ascii="Microsoft Sans Serif" w:hAnsi="Microsoft Sans Serif" w:cs="Microsoft Sans Serif" w:eastAsia="Microsoft Sans Serif" w:hint="default"/>
                <w:w w:val="100"/>
                <w:sz w:val="18"/>
                <w:szCs w:val="18"/>
              </w:rPr>
              <w:t> </w:t>
            </w:r>
          </w:p>
        </w:tc>
      </w:tr>
      <w:tr>
        <w:trPr>
          <w:trHeight w:val="706" w:hRule="exact"/>
        </w:trPr>
        <w:tc>
          <w:tcPr>
            <w:tcW w:w="17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11" w:right="97"/>
              <w:jc w:val="left"/>
              <w:rPr>
                <w:rFonts w:ascii="宋体" w:hAnsi="宋体" w:cs="宋体" w:eastAsia="宋体" w:hint="default"/>
                <w:sz w:val="18"/>
                <w:szCs w:val="18"/>
              </w:rPr>
            </w:pPr>
            <w:r>
              <w:rPr>
                <w:rFonts w:ascii="宋体" w:hAnsi="宋体" w:cs="宋体" w:eastAsia="宋体" w:hint="default"/>
                <w:sz w:val="18"/>
                <w:szCs w:val="18"/>
              </w:rPr>
              <w:t>募集资金投资项目先</w:t>
            </w:r>
            <w:r>
              <w:rPr>
                <w:rFonts w:ascii="宋体" w:hAnsi="宋体" w:cs="宋体" w:eastAsia="宋体" w:hint="default"/>
                <w:w w:val="100"/>
                <w:sz w:val="18"/>
                <w:szCs w:val="18"/>
              </w:rPr>
              <w:t> </w:t>
            </w:r>
            <w:r>
              <w:rPr>
                <w:rFonts w:ascii="宋体" w:hAnsi="宋体" w:cs="宋体" w:eastAsia="宋体" w:hint="default"/>
                <w:sz w:val="18"/>
                <w:szCs w:val="18"/>
              </w:rPr>
              <w:t>期投入及置换情况</w:t>
            </w:r>
          </w:p>
        </w:tc>
        <w:tc>
          <w:tcPr>
            <w:tcW w:w="7816" w:type="dxa"/>
            <w:gridSpan w:val="10"/>
            <w:vMerge/>
            <w:tcBorders>
              <w:left w:val="single" w:sz="9" w:space="0" w:color="D3D3D3"/>
              <w:right w:val="single" w:sz="4" w:space="0" w:color="000000"/>
            </w:tcBorders>
          </w:tcPr>
          <w:p>
            <w:pPr/>
          </w:p>
        </w:tc>
      </w:tr>
      <w:tr>
        <w:trPr>
          <w:trHeight w:val="520" w:hRule="exact"/>
        </w:trPr>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6" w:type="dxa"/>
            <w:gridSpan w:val="10"/>
            <w:vMerge/>
            <w:tcBorders>
              <w:left w:val="single" w:sz="9" w:space="0" w:color="D3D3D3"/>
              <w:bottom w:val="single" w:sz="4" w:space="0" w:color="000000"/>
              <w:right w:val="single" w:sz="4" w:space="0" w:color="000000"/>
            </w:tcBorders>
          </w:tcPr>
          <w:p>
            <w:pPr/>
          </w:p>
        </w:tc>
      </w:tr>
      <w:tr>
        <w:trPr>
          <w:trHeight w:val="403" w:hRule="exact"/>
        </w:trPr>
        <w:tc>
          <w:tcPr>
            <w:tcW w:w="1741" w:type="dxa"/>
            <w:vMerge w:val="restart"/>
            <w:tcBorders>
              <w:top w:val="single" w:sz="4" w:space="0" w:color="000000"/>
              <w:left w:val="single" w:sz="4" w:space="0" w:color="000000"/>
              <w:right w:val="single" w:sz="4" w:space="0" w:color="000000"/>
            </w:tcBorders>
            <w:shd w:val="clear" w:color="auto" w:fill="D3D3D3"/>
          </w:tcPr>
          <w:p>
            <w:pPr/>
          </w:p>
        </w:tc>
        <w:tc>
          <w:tcPr>
            <w:tcW w:w="78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1" w:hRule="exact"/>
        </w:trPr>
        <w:tc>
          <w:tcPr>
            <w:tcW w:w="1741" w:type="dxa"/>
            <w:vMerge/>
            <w:tcBorders>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日，公司董事会第二届第十九次会议审议通过了《关于继续使用部分闲置募集</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pacing w:val="-1"/>
                <w:w w:val="100"/>
                <w:sz w:val="18"/>
                <w:szCs w:val="18"/>
              </w:rPr>
              <w:t>资金临时性补充流动资金的议</w:t>
            </w:r>
            <w:r>
              <w:rPr>
                <w:rFonts w:ascii="宋体" w:hAnsi="宋体" w:cs="宋体" w:eastAsia="宋体" w:hint="default"/>
                <w:spacing w:val="-2"/>
                <w:w w:val="100"/>
                <w:sz w:val="18"/>
                <w:szCs w:val="18"/>
              </w:rPr>
              <w:t>案</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，决定使用部分闲置募集</w:t>
            </w:r>
            <w:r>
              <w:rPr>
                <w:rFonts w:ascii="宋体" w:hAnsi="宋体" w:cs="宋体" w:eastAsia="宋体" w:hint="default"/>
                <w:spacing w:val="2"/>
                <w:w w:val="100"/>
                <w:sz w:val="18"/>
                <w:szCs w:val="18"/>
              </w:rPr>
              <w:t>资</w:t>
            </w:r>
            <w:r>
              <w:rPr>
                <w:rFonts w:ascii="宋体" w:hAnsi="宋体" w:cs="宋体" w:eastAsia="宋体" w:hint="default"/>
                <w:spacing w:val="-1"/>
                <w:w w:val="100"/>
                <w:sz w:val="18"/>
                <w:szCs w:val="18"/>
              </w:rPr>
              <w:t>金人民</w:t>
            </w:r>
            <w:r>
              <w:rPr>
                <w:rFonts w:ascii="宋体" w:hAnsi="宋体" w:cs="宋体" w:eastAsia="宋体" w:hint="default"/>
                <w:w w:val="100"/>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pacing w:val="1"/>
                <w:w w:val="100"/>
                <w:sz w:val="18"/>
                <w:szCs w:val="18"/>
              </w:rPr>
              <w:t>28</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spacing w:val="1"/>
                <w:w w:val="100"/>
                <w:sz w:val="18"/>
                <w:szCs w:val="18"/>
              </w:rPr>
              <w:t>0</w:t>
            </w:r>
            <w:r>
              <w:rPr>
                <w:rFonts w:ascii="Times New Roman" w:hAnsi="Times New Roman" w:cs="Times New Roman" w:eastAsia="Times New Roman" w:hint="default"/>
                <w:spacing w:val="-2"/>
                <w:w w:val="100"/>
                <w:sz w:val="18"/>
                <w:szCs w:val="18"/>
              </w:rPr>
              <w:t>0</w:t>
            </w:r>
            <w:r>
              <w:rPr>
                <w:rFonts w:ascii="Times New Roman" w:hAnsi="Times New Roman" w:cs="Times New Roman" w:eastAsia="Times New Roman" w:hint="default"/>
                <w:spacing w:val="1"/>
                <w:w w:val="100"/>
                <w:sz w:val="18"/>
                <w:szCs w:val="18"/>
              </w:rPr>
              <w:t>0</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spacing w:val="1"/>
                <w:w w:val="100"/>
                <w:sz w:val="18"/>
                <w:szCs w:val="18"/>
              </w:rPr>
              <w:t>0</w:t>
            </w:r>
            <w:r>
              <w:rPr>
                <w:rFonts w:ascii="Times New Roman" w:hAnsi="Times New Roman" w:cs="Times New Roman" w:eastAsia="Times New Roman" w:hint="default"/>
                <w:w w:val="100"/>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万元临时</w:t>
            </w:r>
            <w:r>
              <w:rPr>
                <w:rFonts w:ascii="宋体" w:hAnsi="宋体" w:cs="宋体" w:eastAsia="宋体" w:hint="default"/>
                <w:spacing w:val="-3"/>
                <w:w w:val="100"/>
                <w:sz w:val="18"/>
                <w:szCs w:val="18"/>
              </w:rPr>
              <w:t>性</w:t>
            </w:r>
            <w:r>
              <w:rPr>
                <w:rFonts w:ascii="宋体" w:hAnsi="宋体" w:cs="宋体" w:eastAsia="宋体" w:hint="default"/>
                <w:spacing w:val="-1"/>
                <w:w w:val="100"/>
                <w:sz w:val="18"/>
                <w:szCs w:val="18"/>
              </w:rPr>
              <w:t>补充</w:t>
            </w:r>
            <w:r>
              <w:rPr>
                <w:rFonts w:ascii="宋体" w:hAnsi="宋体" w:cs="宋体" w:eastAsia="宋体" w:hint="default"/>
                <w:w w:val="100"/>
                <w:sz w:val="18"/>
                <w:szCs w:val="18"/>
              </w:rPr>
              <w:t>公</w:t>
            </w:r>
          </w:p>
          <w:p>
            <w:pPr>
              <w:pStyle w:val="TableParagraph"/>
              <w:spacing w:line="240" w:lineRule="auto" w:before="62"/>
              <w:ind w:left="28" w:right="0"/>
              <w:jc w:val="left"/>
              <w:rPr>
                <w:rFonts w:ascii="宋体" w:hAnsi="宋体" w:cs="宋体" w:eastAsia="宋体" w:hint="default"/>
                <w:sz w:val="18"/>
                <w:szCs w:val="18"/>
              </w:rPr>
            </w:pPr>
            <w:r>
              <w:rPr>
                <w:rFonts w:ascii="宋体" w:hAnsi="宋体" w:cs="宋体" w:eastAsia="宋体" w:hint="default"/>
                <w:sz w:val="18"/>
                <w:szCs w:val="18"/>
              </w:rPr>
              <w:t>司日常生产经营所需的流动资金，期限自实际使用日起不超过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w:t>
            </w:r>
          </w:p>
          <w:p>
            <w:pPr>
              <w:pStyle w:val="TableParagraph"/>
              <w:spacing w:line="240" w:lineRule="auto" w:before="104"/>
              <w:ind w:left="448" w:right="0"/>
              <w:jc w:val="left"/>
              <w:rPr>
                <w:rFonts w:ascii="Microsoft Sans Serif" w:hAnsi="Microsoft Sans Serif" w:cs="Microsoft Sans Serif" w:eastAsia="Microsoft Sans Serif" w:hint="default"/>
                <w:sz w:val="18"/>
                <w:szCs w:val="18"/>
              </w:rPr>
            </w:pPr>
            <w:r>
              <w:rPr>
                <w:rFonts w:ascii="Microsoft Sans Serif"/>
                <w:w w:val="100"/>
                <w:sz w:val="18"/>
              </w:rPr>
              <w:t> </w:t>
            </w:r>
          </w:p>
        </w:tc>
      </w:tr>
      <w:tr>
        <w:trPr>
          <w:trHeight w:val="706" w:hRule="exact"/>
        </w:trPr>
        <w:tc>
          <w:tcPr>
            <w:tcW w:w="17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48"/>
              <w:ind w:left="11" w:right="97"/>
              <w:jc w:val="left"/>
              <w:rPr>
                <w:rFonts w:ascii="宋体" w:hAnsi="宋体" w:cs="宋体" w:eastAsia="宋体" w:hint="default"/>
                <w:sz w:val="18"/>
                <w:szCs w:val="18"/>
              </w:rPr>
            </w:pPr>
            <w:r>
              <w:rPr>
                <w:rFonts w:ascii="宋体" w:hAnsi="宋体" w:cs="宋体" w:eastAsia="宋体" w:hint="default"/>
                <w:sz w:val="18"/>
                <w:szCs w:val="18"/>
              </w:rPr>
              <w:t>用闲置募集资金暂时</w:t>
            </w:r>
            <w:r>
              <w:rPr>
                <w:rFonts w:ascii="宋体" w:hAnsi="宋体" w:cs="宋体" w:eastAsia="宋体" w:hint="default"/>
                <w:w w:val="100"/>
                <w:sz w:val="18"/>
                <w:szCs w:val="18"/>
              </w:rPr>
              <w:t> </w:t>
            </w:r>
            <w:r>
              <w:rPr>
                <w:rFonts w:ascii="宋体" w:hAnsi="宋体" w:cs="宋体" w:eastAsia="宋体" w:hint="default"/>
                <w:sz w:val="18"/>
                <w:szCs w:val="18"/>
              </w:rPr>
              <w:t>补充流动资金情况</w:t>
            </w:r>
          </w:p>
        </w:tc>
        <w:tc>
          <w:tcPr>
            <w:tcW w:w="7816" w:type="dxa"/>
            <w:gridSpan w:val="10"/>
            <w:vMerge/>
            <w:tcBorders>
              <w:left w:val="single" w:sz="9" w:space="0" w:color="D3D3D3"/>
              <w:right w:val="single" w:sz="4" w:space="0" w:color="000000"/>
            </w:tcBorders>
          </w:tcPr>
          <w:p>
            <w:pPr/>
          </w:p>
        </w:tc>
      </w:tr>
      <w:tr>
        <w:trPr>
          <w:trHeight w:val="520" w:hRule="exact"/>
        </w:trPr>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6" w:type="dxa"/>
            <w:gridSpan w:val="10"/>
            <w:vMerge/>
            <w:tcBorders>
              <w:left w:val="single" w:sz="9" w:space="0" w:color="D3D3D3"/>
              <w:bottom w:val="single" w:sz="4" w:space="0" w:color="000000"/>
              <w:right w:val="single" w:sz="4" w:space="0" w:color="000000"/>
            </w:tcBorders>
          </w:tcPr>
          <w:p>
            <w:pPr/>
          </w:p>
        </w:tc>
      </w:tr>
      <w:tr>
        <w:trPr>
          <w:trHeight w:val="403" w:hRule="exact"/>
        </w:trPr>
        <w:tc>
          <w:tcPr>
            <w:tcW w:w="174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9"/>
              <w:ind w:left="11" w:right="97"/>
              <w:jc w:val="left"/>
              <w:rPr>
                <w:rFonts w:ascii="宋体" w:hAnsi="宋体" w:cs="宋体" w:eastAsia="宋体" w:hint="default"/>
                <w:sz w:val="18"/>
                <w:szCs w:val="18"/>
              </w:rPr>
            </w:pPr>
            <w:r>
              <w:rPr>
                <w:rFonts w:ascii="宋体" w:hAnsi="宋体" w:cs="宋体" w:eastAsia="宋体" w:hint="default"/>
                <w:sz w:val="18"/>
                <w:szCs w:val="18"/>
              </w:rPr>
              <w:t>项目实施出现募集资</w:t>
            </w:r>
            <w:r>
              <w:rPr>
                <w:rFonts w:ascii="宋体" w:hAnsi="宋体" w:cs="宋体" w:eastAsia="宋体" w:hint="default"/>
                <w:w w:val="100"/>
                <w:sz w:val="18"/>
                <w:szCs w:val="18"/>
              </w:rPr>
              <w:t> </w:t>
            </w:r>
            <w:r>
              <w:rPr>
                <w:rFonts w:ascii="宋体" w:hAnsi="宋体" w:cs="宋体" w:eastAsia="宋体" w:hint="default"/>
                <w:sz w:val="18"/>
                <w:szCs w:val="18"/>
              </w:rPr>
              <w:t>金结余的金额及原因</w:t>
            </w:r>
          </w:p>
        </w:tc>
        <w:tc>
          <w:tcPr>
            <w:tcW w:w="7816" w:type="dxa"/>
            <w:gridSpan w:val="10"/>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41" w:type="dxa"/>
            <w:vMerge/>
            <w:tcBorders>
              <w:left w:val="single" w:sz="4" w:space="0" w:color="000000"/>
              <w:bottom w:val="single" w:sz="4" w:space="0" w:color="000000"/>
              <w:right w:val="single" w:sz="4" w:space="0" w:color="000000"/>
            </w:tcBorders>
            <w:shd w:val="clear" w:color="auto" w:fill="D3D3D3"/>
          </w:tcPr>
          <w:p>
            <w:pPr/>
          </w:p>
        </w:tc>
        <w:tc>
          <w:tcPr>
            <w:tcW w:w="7816" w:type="dxa"/>
            <w:gridSpan w:val="10"/>
            <w:tcBorders>
              <w:top w:val="single" w:sz="4" w:space="0" w:color="000000"/>
              <w:left w:val="single" w:sz="12" w:space="0" w:color="D3D3D3"/>
              <w:bottom w:val="single" w:sz="4" w:space="0" w:color="000000"/>
              <w:right w:val="single" w:sz="4" w:space="0" w:color="000000"/>
            </w:tcBorders>
          </w:tcPr>
          <w:p>
            <w:pPr/>
          </w:p>
        </w:tc>
      </w:tr>
      <w:tr>
        <w:trPr>
          <w:trHeight w:val="715" w:hRule="exact"/>
        </w:trPr>
        <w:tc>
          <w:tcPr>
            <w:tcW w:w="1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97"/>
              <w:jc w:val="left"/>
              <w:rPr>
                <w:rFonts w:ascii="宋体" w:hAnsi="宋体" w:cs="宋体" w:eastAsia="宋体" w:hint="default"/>
                <w:sz w:val="18"/>
                <w:szCs w:val="18"/>
              </w:rPr>
            </w:pPr>
            <w:r>
              <w:rPr>
                <w:rFonts w:ascii="宋体" w:hAnsi="宋体" w:cs="宋体" w:eastAsia="宋体" w:hint="default"/>
                <w:sz w:val="18"/>
                <w:szCs w:val="18"/>
              </w:rPr>
              <w:t>尚未使用的募集资金</w:t>
            </w:r>
            <w:r>
              <w:rPr>
                <w:rFonts w:ascii="宋体" w:hAnsi="宋体" w:cs="宋体" w:eastAsia="宋体" w:hint="default"/>
                <w:w w:val="100"/>
                <w:sz w:val="18"/>
                <w:szCs w:val="18"/>
              </w:rPr>
              <w:t> </w:t>
            </w:r>
            <w:r>
              <w:rPr>
                <w:rFonts w:ascii="宋体" w:hAnsi="宋体" w:cs="宋体" w:eastAsia="宋体" w:hint="default"/>
                <w:sz w:val="18"/>
                <w:szCs w:val="18"/>
              </w:rPr>
              <w:t>用途及去向</w:t>
            </w:r>
          </w:p>
        </w:tc>
        <w:tc>
          <w:tcPr>
            <w:tcW w:w="7816" w:type="dxa"/>
            <w:gridSpan w:val="10"/>
            <w:tcBorders>
              <w:top w:val="single" w:sz="4" w:space="0" w:color="000000"/>
              <w:left w:val="single" w:sz="12" w:space="0" w:color="D3D3D3"/>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存放于募集资金专用账户存储。</w:t>
            </w:r>
          </w:p>
        </w:tc>
      </w:tr>
      <w:tr>
        <w:trPr>
          <w:trHeight w:val="609" w:hRule="exact"/>
        </w:trPr>
        <w:tc>
          <w:tcPr>
            <w:tcW w:w="1741" w:type="dxa"/>
            <w:tcBorders>
              <w:top w:val="single" w:sz="4" w:space="0" w:color="000000"/>
              <w:left w:val="single" w:sz="4" w:space="0" w:color="000000"/>
              <w:bottom w:val="nil" w:sz="6" w:space="0" w:color="auto"/>
              <w:right w:val="single" w:sz="4" w:space="0" w:color="000000"/>
            </w:tcBorders>
            <w:shd w:val="clear" w:color="auto" w:fill="D3D3D3"/>
          </w:tcPr>
          <w:p>
            <w:pPr/>
          </w:p>
        </w:tc>
        <w:tc>
          <w:tcPr>
            <w:tcW w:w="7816" w:type="dxa"/>
            <w:gridSpan w:val="10"/>
            <w:vMerge w:val="restart"/>
            <w:tcBorders>
              <w:top w:val="single" w:sz="4" w:space="0" w:color="000000"/>
              <w:left w:val="single" w:sz="9" w:space="0" w:color="D3D3D3"/>
              <w:right w:val="single" w:sz="4" w:space="0" w:color="000000"/>
            </w:tcBorders>
          </w:tcPr>
          <w:p>
            <w:pPr>
              <w:pStyle w:val="TableParagraph"/>
              <w:tabs>
                <w:tab w:pos="2418" w:val="left" w:leader="none"/>
                <w:tab w:pos="7600" w:val="left" w:leader="none"/>
              </w:tabs>
              <w:spacing w:line="300" w:lineRule="auto" w:before="49"/>
              <w:ind w:left="28" w:right="17" w:firstLine="63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、首发项目</w:t>
            </w:r>
            <w:r>
              <w:rPr>
                <w:rFonts w:ascii="Microsoft Sans Serif" w:hAnsi="Microsoft Sans Serif" w:cs="Microsoft Sans Serif" w:eastAsia="Microsoft Sans Serif" w:hint="default"/>
                <w:spacing w:val="-1"/>
                <w:sz w:val="18"/>
                <w:szCs w:val="18"/>
              </w:rPr>
              <w:tab/>
            </w:r>
            <w:r>
              <w:rPr>
                <w:rFonts w:ascii="宋体" w:hAnsi="宋体" w:cs="宋体" w:eastAsia="宋体" w:hint="default"/>
                <w:spacing w:val="-1"/>
                <w:sz w:val="18"/>
                <w:szCs w:val="18"/>
              </w:rPr>
              <w:t>烟台药品现代物流配送项目中，包含补充流动资金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1,500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万元和固定</w:t>
            </w:r>
            <w:r>
              <w:rPr>
                <w:rFonts w:ascii="宋体" w:hAnsi="宋体" w:cs="宋体" w:eastAsia="宋体" w:hint="default"/>
                <w:w w:val="100"/>
                <w:sz w:val="18"/>
                <w:szCs w:val="18"/>
              </w:rPr>
              <w:t> </w:t>
            </w:r>
            <w:r>
              <w:rPr>
                <w:rFonts w:ascii="宋体" w:hAnsi="宋体" w:cs="宋体" w:eastAsia="宋体" w:hint="default"/>
                <w:sz w:val="18"/>
                <w:szCs w:val="18"/>
              </w:rPr>
              <w:t>资产等投资为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4,778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万元，补充流动资金拟在工程项目完成后一次性投入，实际永久性补充流动资</w:t>
            </w:r>
            <w:r>
              <w:rPr>
                <w:rFonts w:ascii="宋体" w:hAnsi="宋体" w:cs="宋体" w:eastAsia="宋体" w:hint="default"/>
                <w:w w:val="100"/>
                <w:sz w:val="18"/>
                <w:szCs w:val="18"/>
              </w:rPr>
              <w:t> 金</w:t>
            </w:r>
            <w:r>
              <w:rPr>
                <w:rFonts w:ascii="宋体" w:hAnsi="宋体" w:cs="宋体" w:eastAsia="宋体" w:hint="default"/>
                <w:spacing w:val="-46"/>
                <w:w w:val="100"/>
                <w:sz w:val="18"/>
                <w:szCs w:val="18"/>
              </w:rPr>
              <w:t> </w:t>
            </w:r>
            <w:r>
              <w:rPr>
                <w:rFonts w:ascii="Times New Roman" w:hAnsi="Times New Roman" w:cs="Times New Roman" w:eastAsia="Times New Roman" w:hint="default"/>
                <w:spacing w:val="-1"/>
                <w:w w:val="100"/>
                <w:sz w:val="18"/>
                <w:szCs w:val="18"/>
              </w:rPr>
              <w:t>905</w:t>
            </w:r>
            <w:r>
              <w:rPr>
                <w:rFonts w:ascii="Times New Roman" w:hAnsi="Times New Roman" w:cs="Times New Roman" w:eastAsia="Times New Roman" w:hint="default"/>
                <w:spacing w:val="1"/>
                <w:w w:val="100"/>
                <w:sz w:val="18"/>
                <w:szCs w:val="18"/>
              </w:rPr>
              <w:t> </w:t>
            </w:r>
            <w:r>
              <w:rPr>
                <w:rFonts w:ascii="宋体" w:hAnsi="宋体" w:cs="宋体" w:eastAsia="宋体" w:hint="default"/>
                <w:spacing w:val="-8"/>
                <w:w w:val="100"/>
                <w:sz w:val="18"/>
                <w:szCs w:val="18"/>
              </w:rPr>
              <w:t>万元，固定资产等投资已投入</w:t>
            </w:r>
            <w:r>
              <w:rPr>
                <w:rFonts w:ascii="宋体" w:hAnsi="宋体" w:cs="宋体" w:eastAsia="宋体" w:hint="default"/>
                <w:spacing w:val="-46"/>
                <w:w w:val="100"/>
                <w:sz w:val="18"/>
                <w:szCs w:val="18"/>
              </w:rPr>
              <w:t> </w:t>
            </w:r>
            <w:r>
              <w:rPr>
                <w:rFonts w:ascii="Times New Roman" w:hAnsi="Times New Roman" w:cs="Times New Roman" w:eastAsia="Times New Roman" w:hint="default"/>
                <w:spacing w:val="-1"/>
                <w:w w:val="100"/>
                <w:sz w:val="18"/>
                <w:szCs w:val="18"/>
              </w:rPr>
              <w:t>4,623.33</w:t>
            </w:r>
            <w:r>
              <w:rPr>
                <w:rFonts w:ascii="Times New Roman" w:hAnsi="Times New Roman" w:cs="Times New Roman" w:eastAsia="Times New Roman" w:hint="default"/>
                <w:spacing w:val="1"/>
                <w:w w:val="100"/>
                <w:sz w:val="18"/>
                <w:szCs w:val="18"/>
              </w:rPr>
              <w:t> </w:t>
            </w:r>
            <w:r>
              <w:rPr>
                <w:rFonts w:ascii="宋体" w:hAnsi="宋体" w:cs="宋体" w:eastAsia="宋体" w:hint="default"/>
                <w:spacing w:val="-7"/>
                <w:w w:val="100"/>
                <w:sz w:val="18"/>
                <w:szCs w:val="18"/>
              </w:rPr>
              <w:t>万元，占总的固定资产等投资比重</w:t>
            </w:r>
            <w:r>
              <w:rPr>
                <w:rFonts w:ascii="宋体" w:hAnsi="宋体" w:cs="宋体" w:eastAsia="宋体" w:hint="default"/>
                <w:spacing w:val="-46"/>
                <w:w w:val="100"/>
                <w:sz w:val="18"/>
                <w:szCs w:val="18"/>
              </w:rPr>
              <w:t> </w:t>
            </w:r>
            <w:r>
              <w:rPr>
                <w:rFonts w:ascii="Times New Roman" w:hAnsi="Times New Roman" w:cs="Times New Roman" w:eastAsia="Times New Roman" w:hint="default"/>
                <w:spacing w:val="-14"/>
                <w:w w:val="100"/>
                <w:sz w:val="18"/>
                <w:szCs w:val="18"/>
              </w:rPr>
              <w:t>96.76%</w:t>
            </w:r>
            <w:r>
              <w:rPr>
                <w:rFonts w:ascii="宋体" w:hAnsi="宋体" w:cs="宋体" w:eastAsia="宋体" w:hint="default"/>
                <w:spacing w:val="-14"/>
                <w:w w:val="100"/>
                <w:sz w:val="18"/>
                <w:szCs w:val="18"/>
              </w:rPr>
              <w:t>。</w:t>
            </w:r>
            <w:r>
              <w:rPr>
                <w:rFonts w:ascii="Microsoft Sans Serif" w:hAnsi="Microsoft Sans Serif" w:cs="Microsoft Sans Serif" w:eastAsia="Microsoft Sans Serif" w:hint="default"/>
                <w:spacing w:val="-14"/>
                <w:w w:val="100"/>
                <w:sz w:val="18"/>
                <w:szCs w:val="18"/>
              </w:rPr>
              <w:tab/>
            </w:r>
            <w:r>
              <w:rPr>
                <w:rFonts w:ascii="宋体" w:hAnsi="宋体" w:cs="宋体" w:eastAsia="宋体" w:hint="default"/>
                <w:w w:val="100"/>
                <w:sz w:val="18"/>
                <w:szCs w:val="18"/>
              </w:rPr>
              <w:t>济 </w:t>
            </w:r>
            <w:r>
              <w:rPr>
                <w:rFonts w:ascii="宋体" w:hAnsi="宋体" w:cs="宋体" w:eastAsia="宋体" w:hint="default"/>
                <w:sz w:val="18"/>
                <w:szCs w:val="18"/>
              </w:rPr>
              <w:t>南药品现代物流配送项目中，包含补充流动资金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17,635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万元，补充</w:t>
            </w:r>
          </w:p>
          <w:p>
            <w:pPr>
              <w:pStyle w:val="TableParagraph"/>
              <w:tabs>
                <w:tab w:pos="5589" w:val="left" w:leader="none"/>
                <w:tab w:pos="7240" w:val="left" w:leader="none"/>
              </w:tabs>
              <w:spacing w:line="300" w:lineRule="auto" w:before="13"/>
              <w:ind w:left="28" w:right="19"/>
              <w:jc w:val="both"/>
              <w:rPr>
                <w:rFonts w:ascii="宋体" w:hAnsi="宋体" w:cs="宋体" w:eastAsia="宋体" w:hint="default"/>
                <w:sz w:val="18"/>
                <w:szCs w:val="18"/>
              </w:rPr>
            </w:pPr>
            <w:r>
              <w:rPr>
                <w:rFonts w:ascii="宋体" w:hAnsi="宋体" w:cs="宋体" w:eastAsia="宋体" w:hint="default"/>
                <w:sz w:val="18"/>
                <w:szCs w:val="18"/>
              </w:rPr>
              <w:t>流动资金拟在工程项目完成后一次性投入，实际永久性补充流动资金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万元；固定资产等投资</w:t>
            </w:r>
            <w:r>
              <w:rPr>
                <w:rFonts w:ascii="宋体" w:hAnsi="宋体" w:cs="宋体" w:eastAsia="宋体" w:hint="default"/>
                <w:w w:val="100"/>
                <w:sz w:val="18"/>
                <w:szCs w:val="18"/>
              </w:rPr>
              <w:t> </w:t>
            </w:r>
            <w:r>
              <w:rPr>
                <w:rFonts w:ascii="宋体" w:hAnsi="宋体" w:cs="宋体" w:eastAsia="宋体" w:hint="default"/>
                <w:sz w:val="18"/>
                <w:szCs w:val="18"/>
              </w:rPr>
              <w:t>已投入 </w:t>
            </w:r>
            <w:r>
              <w:rPr>
                <w:rFonts w:ascii="Times New Roman" w:hAnsi="Times New Roman" w:cs="Times New Roman" w:eastAsia="Times New Roman" w:hint="default"/>
                <w:sz w:val="18"/>
                <w:szCs w:val="18"/>
              </w:rPr>
              <w:t>18,752.49 </w:t>
            </w:r>
            <w:r>
              <w:rPr>
                <w:rFonts w:ascii="宋体" w:hAnsi="宋体" w:cs="宋体" w:eastAsia="宋体" w:hint="default"/>
                <w:spacing w:val="-3"/>
                <w:sz w:val="18"/>
                <w:szCs w:val="18"/>
              </w:rPr>
              <w:t>万元，占总的固定资产等投资比重</w:t>
            </w:r>
            <w:r>
              <w:rPr>
                <w:rFonts w:ascii="宋体" w:hAnsi="宋体" w:cs="宋体" w:eastAsia="宋体" w:hint="default"/>
                <w:spacing w:val="-72"/>
                <w:sz w:val="18"/>
                <w:szCs w:val="18"/>
              </w:rPr>
              <w:t> </w:t>
            </w:r>
            <w:r>
              <w:rPr>
                <w:rFonts w:ascii="Times New Roman" w:hAnsi="Times New Roman" w:cs="Times New Roman" w:eastAsia="Times New Roman" w:hint="default"/>
                <w:spacing w:val="-4"/>
                <w:sz w:val="18"/>
                <w:szCs w:val="18"/>
              </w:rPr>
              <w:t>106.34%</w:t>
            </w:r>
            <w:r>
              <w:rPr>
                <w:rFonts w:ascii="宋体" w:hAnsi="宋体" w:cs="宋体" w:eastAsia="宋体" w:hint="default"/>
                <w:spacing w:val="-4"/>
                <w:sz w:val="18"/>
                <w:szCs w:val="18"/>
              </w:rPr>
              <w:t>。</w:t>
            </w:r>
            <w:r>
              <w:rPr>
                <w:rFonts w:ascii="Microsoft Sans Serif" w:hAnsi="Microsoft Sans Serif" w:cs="Microsoft Sans Serif" w:eastAsia="Microsoft Sans Serif" w:hint="default"/>
                <w:spacing w:val="-4"/>
                <w:sz w:val="18"/>
                <w:szCs w:val="18"/>
              </w:rPr>
              <w:tab/>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、增发项目</w:t>
            </w:r>
            <w:r>
              <w:rPr>
                <w:rFonts w:ascii="Microsoft Sans Serif" w:hAnsi="Microsoft Sans Serif" w:cs="Microsoft Sans Serif" w:eastAsia="Microsoft Sans Serif" w:hint="default"/>
                <w:spacing w:val="-5"/>
                <w:sz w:val="18"/>
                <w:szCs w:val="18"/>
              </w:rPr>
              <w:tab/>
            </w:r>
            <w:r>
              <w:rPr>
                <w:rFonts w:ascii="宋体" w:hAnsi="宋体" w:cs="宋体" w:eastAsia="宋体" w:hint="default"/>
                <w:sz w:val="18"/>
                <w:szCs w:val="18"/>
              </w:rPr>
              <w:t>济南医</w:t>
            </w:r>
            <w:r>
              <w:rPr>
                <w:rFonts w:ascii="宋体" w:hAnsi="宋体" w:cs="宋体" w:eastAsia="宋体" w:hint="default"/>
                <w:w w:val="100"/>
                <w:sz w:val="18"/>
                <w:szCs w:val="18"/>
              </w:rPr>
              <w:t> </w:t>
            </w:r>
            <w:r>
              <w:rPr>
                <w:rFonts w:ascii="宋体" w:hAnsi="宋体" w:cs="宋体" w:eastAsia="宋体" w:hint="default"/>
                <w:sz w:val="18"/>
                <w:szCs w:val="18"/>
              </w:rPr>
              <w:t>疗器械配送项目中，包含补充流动资金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13,460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万元，固定资产等投</w:t>
            </w:r>
          </w:p>
        </w:tc>
      </w:tr>
      <w:tr>
        <w:trPr>
          <w:trHeight w:val="1016" w:hRule="exact"/>
        </w:trPr>
        <w:tc>
          <w:tcPr>
            <w:tcW w:w="17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11" w:right="97"/>
              <w:jc w:val="both"/>
              <w:rPr>
                <w:rFonts w:ascii="宋体" w:hAnsi="宋体" w:cs="宋体" w:eastAsia="宋体" w:hint="default"/>
                <w:sz w:val="18"/>
                <w:szCs w:val="18"/>
              </w:rPr>
            </w:pPr>
            <w:r>
              <w:rPr>
                <w:rFonts w:ascii="宋体" w:hAnsi="宋体" w:cs="宋体" w:eastAsia="宋体" w:hint="default"/>
                <w:sz w:val="18"/>
                <w:szCs w:val="18"/>
              </w:rPr>
              <w:t>募集资金使用及披露</w:t>
            </w:r>
            <w:r>
              <w:rPr>
                <w:rFonts w:ascii="宋体" w:hAnsi="宋体" w:cs="宋体" w:eastAsia="宋体" w:hint="default"/>
                <w:w w:val="100"/>
                <w:sz w:val="18"/>
                <w:szCs w:val="18"/>
              </w:rPr>
              <w:t> </w:t>
            </w:r>
            <w:r>
              <w:rPr>
                <w:rFonts w:ascii="宋体" w:hAnsi="宋体" w:cs="宋体" w:eastAsia="宋体" w:hint="default"/>
                <w:sz w:val="18"/>
                <w:szCs w:val="18"/>
              </w:rPr>
              <w:t>中存在的问题或其他</w:t>
            </w:r>
            <w:r>
              <w:rPr>
                <w:rFonts w:ascii="宋体" w:hAnsi="宋体" w:cs="宋体" w:eastAsia="宋体" w:hint="default"/>
                <w:w w:val="100"/>
                <w:sz w:val="18"/>
                <w:szCs w:val="18"/>
              </w:rPr>
              <w:t> </w:t>
            </w:r>
            <w:r>
              <w:rPr>
                <w:rFonts w:ascii="宋体" w:hAnsi="宋体" w:cs="宋体" w:eastAsia="宋体" w:hint="default"/>
                <w:sz w:val="18"/>
                <w:szCs w:val="18"/>
              </w:rPr>
              <w:t>情况</w:t>
            </w:r>
          </w:p>
        </w:tc>
        <w:tc>
          <w:tcPr>
            <w:tcW w:w="7816" w:type="dxa"/>
            <w:gridSpan w:val="10"/>
            <w:vMerge/>
            <w:tcBorders>
              <w:left w:val="single" w:sz="9" w:space="0" w:color="D3D3D3"/>
              <w:right w:val="single" w:sz="4" w:space="0" w:color="000000"/>
            </w:tcBorders>
          </w:tcPr>
          <w:p>
            <w:pPr/>
          </w:p>
        </w:tc>
      </w:tr>
      <w:tr>
        <w:trPr>
          <w:trHeight w:val="610" w:hRule="exact"/>
        </w:trPr>
        <w:tc>
          <w:tcPr>
            <w:tcW w:w="17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6" w:type="dxa"/>
            <w:gridSpan w:val="10"/>
            <w:vMerge/>
            <w:tcBorders>
              <w:left w:val="single" w:sz="9" w:space="0" w:color="D3D3D3"/>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629"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2"/>
          <w:sz w:val="20"/>
          <w:szCs w:val="20"/>
        </w:rPr>
        <w:pict>
          <v:group style="width:481.95pt;height:81.5pt;mso-position-horizontal-relative:char;mso-position-vertical-relative:line" coordorigin="0,0" coordsize="9639,1630">
            <v:group style="position:absolute;left:10;top:14;width:1755;height:1601" coordorigin="10,14" coordsize="1755,1601">
              <v:shape style="position:absolute;left:10;top:14;width:1755;height:1601" coordorigin="10,14" coordsize="1755,1601" path="m10,14l1764,14,1764,1615,10,1615,10,14xe" filled="true" fillcolor="#d3d3d3" stroked="false">
                <v:path arrowok="t"/>
                <v:fill type="solid"/>
              </v:shape>
            </v:group>
            <v:group style="position:absolute;left:10;top:10;width:1755;height:2" coordorigin="10,10" coordsize="1755,2">
              <v:shape style="position:absolute;left:10;top:10;width:1755;height:2" coordorigin="10,10" coordsize="1755,0" path="m10,10l1764,10e" filled="false" stroked="true" strokeweight=".48pt" strokecolor="#000000">
                <v:path arrowok="t"/>
              </v:shape>
            </v:group>
            <v:group style="position:absolute;left:1774;top:10;width:7796;height:2" coordorigin="1774,10" coordsize="7796,2">
              <v:shape style="position:absolute;left:1774;top:10;width:7796;height:2" coordorigin="1774,10" coordsize="7796,0" path="m1774,10l9569,10e" filled="false" stroked="true" strokeweight=".48pt" strokecolor="#000000">
                <v:path arrowok="t"/>
              </v:shape>
            </v:group>
            <v:group style="position:absolute;left:5;top:5;width:2;height:1620" coordorigin="5,5" coordsize="2,1620">
              <v:shape style="position:absolute;left:5;top:5;width:2;height:1620" coordorigin="5,5" coordsize="0,1620" path="m5,5l5,1625e" filled="false" stroked="true" strokeweight=".48pt" strokecolor="#000000">
                <v:path arrowok="t"/>
              </v:shape>
            </v:group>
            <v:group style="position:absolute;left:10;top:1620;width:1755;height:2" coordorigin="10,1620" coordsize="1755,2">
              <v:shape style="position:absolute;left:10;top:1620;width:1755;height:2" coordorigin="10,1620" coordsize="1755,0" path="m10,1620l1764,1620e" filled="false" stroked="true" strokeweight=".48pt" strokecolor="#000000">
                <v:path arrowok="t"/>
              </v:shape>
            </v:group>
            <v:group style="position:absolute;left:1769;top:5;width:2;height:1620" coordorigin="1769,5" coordsize="2,1620">
              <v:shape style="position:absolute;left:1769;top:5;width:2;height:1620" coordorigin="1769,5" coordsize="0,1620" path="m1769,5l1769,1625e" filled="false" stroked="true" strokeweight=".48pt" strokecolor="#000000">
                <v:path arrowok="t"/>
              </v:shape>
            </v:group>
            <v:group style="position:absolute;left:1774;top:1620;width:7796;height:2" coordorigin="1774,1620" coordsize="7796,2">
              <v:shape style="position:absolute;left:1774;top:1620;width:7796;height:2" coordorigin="1774,1620" coordsize="7796,0" path="m1774,1620l9569,1620e" filled="false" stroked="true" strokeweight=".48pt" strokecolor="#000000">
                <v:path arrowok="t"/>
              </v:shape>
            </v:group>
            <v:group style="position:absolute;left:9574;top:5;width:2;height:1620" coordorigin="9574,5" coordsize="2,1620">
              <v:shape style="position:absolute;left:9574;top:5;width:2;height:1620" coordorigin="9574,5" coordsize="0,1620" path="m9574,5l9574,1625e" filled="false" stroked="true" strokeweight=".48pt" strokecolor="#000000">
                <v:path arrowok="t"/>
              </v:shape>
              <v:shape style="position:absolute;left:1797;top:78;width:4968;height:190" type="#_x0000_t202" filled="false" stroked="false">
                <v:textbox inset="0,0,0,0">
                  <w:txbxContent>
                    <w:p>
                      <w:pPr>
                        <w:spacing w:line="190" w:lineRule="exact" w:before="0"/>
                        <w:ind w:left="0" w:right="0" w:firstLine="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资已投入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1,942.19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万元，占总的固定资产等投资比重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14.43%</w:t>
                      </w:r>
                      <w:r>
                        <w:rPr>
                          <w:rFonts w:ascii="宋体" w:hAnsi="宋体" w:cs="宋体" w:eastAsia="宋体" w:hint="default"/>
                          <w:sz w:val="18"/>
                          <w:szCs w:val="18"/>
                        </w:rPr>
                        <w:t>。</w:t>
                      </w:r>
                      <w:r>
                        <w:rPr>
                          <w:rFonts w:ascii="Microsoft Sans Serif" w:hAnsi="Microsoft Sans Serif" w:cs="Microsoft Sans Serif" w:eastAsia="Microsoft Sans Serif" w:hint="default"/>
                          <w:w w:val="100"/>
                          <w:sz w:val="18"/>
                          <w:szCs w:val="18"/>
                        </w:rPr>
                        <w:t> </w:t>
                      </w:r>
                    </w:p>
                  </w:txbxContent>
                </v:textbox>
                <w10:wrap type="none"/>
              </v:shape>
              <v:shape style="position:absolute;left:7399;top:78;width:215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济南医用织物生产项目中，</w:t>
                      </w:r>
                    </w:p>
                  </w:txbxContent>
                </v:textbox>
                <w10:wrap type="none"/>
              </v:shape>
              <v:shape style="position:absolute;left:1797;top:390;width:7750;height:1126" type="#_x0000_t202" filled="false" stroked="false">
                <v:textbox inset="0,0,0,0">
                  <w:txbxContent>
                    <w:p>
                      <w:pPr>
                        <w:spacing w:line="194"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包含补充流动资金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8,872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万元，固定资产等投资已投入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2,786.47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tabs>
                          <w:tab w:pos="3549" w:val="left" w:leader="none"/>
                        </w:tabs>
                        <w:spacing w:line="310" w:lineRule="atLeast" w:before="2"/>
                        <w:ind w:left="0" w:right="0" w:firstLine="0"/>
                        <w:jc w:val="both"/>
                        <w:rPr>
                          <w:rFonts w:ascii="宋体" w:hAnsi="宋体" w:cs="宋体" w:eastAsia="宋体" w:hint="default"/>
                          <w:sz w:val="18"/>
                          <w:szCs w:val="18"/>
                        </w:rPr>
                      </w:pPr>
                      <w:r>
                        <w:rPr>
                          <w:rFonts w:ascii="宋体" w:hAnsi="宋体" w:cs="宋体" w:eastAsia="宋体" w:hint="default"/>
                          <w:sz w:val="18"/>
                          <w:szCs w:val="18"/>
                        </w:rPr>
                        <w:t>占总的固定资产等投资比重</w:t>
                      </w:r>
                      <w:r>
                        <w:rPr>
                          <w:rFonts w:ascii="宋体" w:hAnsi="宋体" w:cs="宋体" w:eastAsia="宋体" w:hint="default"/>
                          <w:spacing w:val="-52"/>
                          <w:sz w:val="18"/>
                          <w:szCs w:val="18"/>
                        </w:rPr>
                        <w:t> </w:t>
                      </w:r>
                      <w:r>
                        <w:rPr>
                          <w:rFonts w:ascii="Times New Roman" w:hAnsi="Times New Roman" w:cs="Times New Roman" w:eastAsia="Times New Roman" w:hint="default"/>
                          <w:spacing w:val="-11"/>
                          <w:sz w:val="18"/>
                          <w:szCs w:val="18"/>
                        </w:rPr>
                        <w:t>31.41%</w:t>
                      </w:r>
                      <w:r>
                        <w:rPr>
                          <w:rFonts w:ascii="宋体" w:hAnsi="宋体" w:cs="宋体" w:eastAsia="宋体" w:hint="default"/>
                          <w:spacing w:val="-11"/>
                          <w:sz w:val="18"/>
                          <w:szCs w:val="18"/>
                        </w:rPr>
                        <w:t>。</w:t>
                      </w:r>
                      <w:r>
                        <w:rPr>
                          <w:rFonts w:ascii="Microsoft Sans Serif" w:hAnsi="Microsoft Sans Serif" w:cs="Microsoft Sans Serif" w:eastAsia="Microsoft Sans Serif" w:hint="default"/>
                          <w:spacing w:val="-11"/>
                          <w:sz w:val="18"/>
                          <w:szCs w:val="18"/>
                        </w:rPr>
                        <w:tab/>
                      </w:r>
                      <w:r>
                        <w:rPr>
                          <w:rFonts w:ascii="宋体" w:hAnsi="宋体" w:cs="宋体" w:eastAsia="宋体" w:hint="default"/>
                          <w:spacing w:val="-5"/>
                          <w:sz w:val="18"/>
                          <w:szCs w:val="18"/>
                        </w:rPr>
                        <w:t>济南医用织物洗涤配送项目中，包含补充流动资金</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443</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万元和固定资产等投资为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10,357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万元，固定资产等投资已投入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2,400.89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万元，占总的固定资产等投</w:t>
                      </w:r>
                      <w:r>
                        <w:rPr>
                          <w:rFonts w:ascii="宋体" w:hAnsi="宋体" w:cs="宋体" w:eastAsia="宋体" w:hint="default"/>
                          <w:w w:val="100"/>
                          <w:sz w:val="18"/>
                          <w:szCs w:val="18"/>
                        </w:rPr>
                        <w:t> </w:t>
                      </w:r>
                      <w:bookmarkStart w:name="（3）募集资金变更项目情况 " w:id="42"/>
                      <w:bookmarkEnd w:id="42"/>
                      <w:r>
                        <w:rPr>
                          <w:rFonts w:ascii="宋体" w:hAnsi="宋体" w:cs="宋体" w:eastAsia="宋体" w:hint="default"/>
                          <w:sz w:val="18"/>
                          <w:szCs w:val="18"/>
                        </w:rPr>
                        <w:t>资</w:t>
                      </w:r>
                      <w:r>
                        <w:rPr>
                          <w:rFonts w:ascii="宋体" w:hAnsi="宋体" w:cs="宋体" w:eastAsia="宋体" w:hint="default"/>
                          <w:sz w:val="18"/>
                          <w:szCs w:val="18"/>
                        </w:rPr>
                        <w:t>比重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23.18%</w:t>
                      </w:r>
                      <w:r>
                        <w:rPr>
                          <w:rFonts w:ascii="宋体" w:hAnsi="宋体" w:cs="宋体" w:eastAsia="宋体" w:hint="default"/>
                          <w:sz w:val="18"/>
                          <w:szCs w:val="18"/>
                        </w:rPr>
                        <w:t>。</w:t>
                      </w:r>
                    </w:p>
                  </w:txbxContent>
                </v:textbox>
                <w10:wrap type="none"/>
              </v:shape>
              <v:shape style="position:absolute;left:9458;top:390;width:18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100"/>
                          <w:sz w:val="18"/>
                          <w:szCs w:val="18"/>
                        </w:rPr>
                        <w:t>，</w:t>
                      </w:r>
                    </w:p>
                  </w:txbxContent>
                </v:textbox>
                <w10:wrap type="none"/>
              </v:shape>
            </v:group>
          </v:group>
        </w:pict>
      </w:r>
      <w:r>
        <w:rPr>
          <w:rFonts w:ascii="Times New Roman" w:hAnsi="Times New Roman" w:cs="Times New Roman" w:eastAsia="Times New Roman" w:hint="default"/>
          <w:position w:val="-32"/>
          <w:sz w:val="20"/>
          <w:szCs w:val="20"/>
        </w:rPr>
      </w:r>
    </w:p>
    <w:p>
      <w:pPr>
        <w:spacing w:line="240" w:lineRule="auto" w:before="6"/>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260"/>
        <w:jc w:val="left"/>
      </w:pPr>
      <w:r>
        <w:rPr/>
        <w:t>□ 适用 √ 不适用</w:t>
      </w:r>
      <w:r>
        <w:rPr>
          <w:w w:val="100"/>
        </w:rPr>
        <w:t> </w:t>
      </w:r>
      <w:bookmarkStart w:name="4、主要子公司、参股公司分析 " w:id="43"/>
      <w:bookmarkEnd w:id="43"/>
      <w:r>
        <w:rPr>
          <w:spacing w:val="-1"/>
        </w:rPr>
        <w:t>公</w:t>
      </w:r>
      <w:r>
        <w:rPr>
          <w:spacing w:val="-1"/>
        </w:rPr>
        <w:t>司报告期不存在募集资金变更项目情况。</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4"/>
          <w:pgSz w:w="11910" w:h="16840"/>
          <w:pgMar w:footer="981" w:header="745" w:top="1060" w:bottom="1180" w:left="980" w:right="980"/>
          <w:pgNumType w:start="20"/>
        </w:sectPr>
      </w:pPr>
    </w:p>
    <w:p>
      <w:pPr>
        <w:pStyle w:val="BodyText"/>
        <w:spacing w:line="357" w:lineRule="auto" w:before="44"/>
        <w:ind w:right="-7"/>
        <w:jc w:val="left"/>
      </w:pPr>
      <w:r>
        <w:rPr/>
        <w:t>√ 适用 □ 不适用</w:t>
      </w:r>
      <w:r>
        <w:rPr>
          <w:w w:val="100"/>
        </w:rPr>
        <w:t> </w:t>
      </w:r>
      <w:r>
        <w:rPr>
          <w:spacing w:val="-1"/>
        </w:rPr>
        <w:t>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2" w:equalWidth="0">
            <w:col w:w="2314" w:space="6604"/>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94" w:right="19" w:hanging="269"/>
              <w:jc w:val="left"/>
              <w:rPr>
                <w:rFonts w:ascii="宋体" w:hAnsi="宋体" w:cs="宋体" w:eastAsia="宋体" w:hint="default"/>
                <w:sz w:val="18"/>
                <w:szCs w:val="18"/>
              </w:rPr>
            </w:pPr>
            <w:r>
              <w:rPr>
                <w:rFonts w:ascii="宋体" w:hAnsi="宋体" w:cs="宋体" w:eastAsia="宋体" w:hint="default"/>
                <w:sz w:val="18"/>
                <w:szCs w:val="18"/>
              </w:rPr>
              <w:t>主要产品或</w:t>
            </w:r>
            <w:r>
              <w:rPr>
                <w:rFonts w:ascii="宋体" w:hAnsi="宋体" w:cs="宋体" w:eastAsia="宋体" w:hint="default"/>
                <w:w w:val="100"/>
                <w:sz w:val="18"/>
                <w:szCs w:val="18"/>
              </w:rPr>
              <w:t> </w:t>
            </w:r>
            <w:r>
              <w:rPr>
                <w:rFonts w:ascii="宋体" w:hAnsi="宋体" w:cs="宋体" w:eastAsia="宋体" w:hint="default"/>
                <w:sz w:val="18"/>
                <w:szCs w:val="18"/>
              </w:rPr>
              <w:t>服务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烟台天际健</w:t>
            </w:r>
            <w:r>
              <w:rPr>
                <w:rFonts w:ascii="宋体" w:hAnsi="宋体" w:cs="宋体" w:eastAsia="宋体" w:hint="default"/>
                <w:w w:val="100"/>
                <w:sz w:val="18"/>
                <w:szCs w:val="18"/>
              </w:rPr>
              <w:t> </w:t>
            </w:r>
            <w:r>
              <w:rPr>
                <w:rFonts w:ascii="宋体" w:hAnsi="宋体" w:cs="宋体" w:eastAsia="宋体" w:hint="default"/>
                <w:sz w:val="18"/>
                <w:szCs w:val="18"/>
              </w:rPr>
              <w:t>康咨询服务</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医疗咨询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健康咨询</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9,988,336.7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9,988,336.7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9</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-5,620.11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-7,320.11</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山东瑞祥医</w:t>
            </w:r>
            <w:r>
              <w:rPr>
                <w:rFonts w:ascii="宋体" w:hAnsi="宋体" w:cs="宋体" w:eastAsia="宋体" w:hint="default"/>
                <w:w w:val="100"/>
                <w:sz w:val="18"/>
                <w:szCs w:val="18"/>
              </w:rPr>
              <w:t> </w:t>
            </w:r>
            <w:r>
              <w:rPr>
                <w:rFonts w:ascii="宋体" w:hAnsi="宋体" w:cs="宋体" w:eastAsia="宋体" w:hint="default"/>
                <w:sz w:val="18"/>
                <w:szCs w:val="18"/>
              </w:rPr>
              <w:t>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 w:right="19"/>
              <w:jc w:val="left"/>
              <w:rPr>
                <w:rFonts w:ascii="宋体" w:hAnsi="宋体" w:cs="宋体" w:eastAsia="宋体" w:hint="default"/>
                <w:sz w:val="18"/>
                <w:szCs w:val="18"/>
              </w:rPr>
            </w:pPr>
            <w:r>
              <w:rPr>
                <w:rFonts w:ascii="宋体" w:hAnsi="宋体" w:cs="宋体" w:eastAsia="宋体" w:hint="default"/>
                <w:sz w:val="18"/>
                <w:szCs w:val="18"/>
              </w:rPr>
              <w:t>医疗器械研</w:t>
            </w:r>
            <w:r>
              <w:rPr>
                <w:rFonts w:ascii="宋体" w:hAnsi="宋体" w:cs="宋体" w:eastAsia="宋体" w:hint="default"/>
                <w:w w:val="100"/>
                <w:sz w:val="18"/>
                <w:szCs w:val="18"/>
              </w:rPr>
              <w:t> </w:t>
            </w:r>
            <w:r>
              <w:rPr>
                <w:rFonts w:ascii="宋体" w:hAnsi="宋体" w:cs="宋体" w:eastAsia="宋体" w:hint="default"/>
                <w:sz w:val="18"/>
                <w:szCs w:val="18"/>
              </w:rPr>
              <w:t>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9,979,996.8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9,979,996.8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100"/>
                <w:sz w:val="18"/>
              </w:rPr>
              <w:t>8</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-780.06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-780.06</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西藏金岳医</w:t>
            </w:r>
            <w:r>
              <w:rPr>
                <w:rFonts w:ascii="宋体" w:hAnsi="宋体" w:cs="宋体" w:eastAsia="宋体" w:hint="default"/>
                <w:w w:val="100"/>
                <w:sz w:val="18"/>
                <w:szCs w:val="18"/>
              </w:rPr>
              <w:t> </w:t>
            </w:r>
            <w:r>
              <w:rPr>
                <w:rFonts w:ascii="宋体" w:hAnsi="宋体" w:cs="宋体" w:eastAsia="宋体" w:hint="default"/>
                <w:sz w:val="18"/>
                <w:szCs w:val="18"/>
              </w:rPr>
              <w:t>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19"/>
              <w:jc w:val="left"/>
              <w:rPr>
                <w:rFonts w:ascii="宋体" w:hAnsi="宋体" w:cs="宋体" w:eastAsia="宋体" w:hint="default"/>
                <w:sz w:val="18"/>
                <w:szCs w:val="18"/>
              </w:rPr>
            </w:pPr>
            <w:r>
              <w:rPr>
                <w:rFonts w:ascii="宋体" w:hAnsi="宋体" w:cs="宋体" w:eastAsia="宋体" w:hint="default"/>
                <w:sz w:val="18"/>
                <w:szCs w:val="18"/>
              </w:rPr>
              <w:t>医疗器械销</w:t>
            </w:r>
            <w:r>
              <w:rPr>
                <w:rFonts w:ascii="宋体" w:hAnsi="宋体" w:cs="宋体" w:eastAsia="宋体" w:hint="default"/>
                <w:w w:val="100"/>
                <w:sz w:val="18"/>
                <w:szCs w:val="18"/>
              </w:rPr>
              <w:t> </w:t>
            </w:r>
            <w:r>
              <w:rPr>
                <w:rFonts w:ascii="宋体" w:hAnsi="宋体" w:cs="宋体" w:eastAsia="宋体" w:hint="default"/>
                <w:sz w:val="18"/>
                <w:szCs w:val="18"/>
              </w:rPr>
              <w:t>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57,805,402.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9,324,769.1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4</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-264,189.80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-264,189.80</w:t>
            </w:r>
          </w:p>
        </w:tc>
      </w:tr>
      <w:tr>
        <w:trPr>
          <w:trHeight w:val="354"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济南德一医</w:t>
            </w: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疗器械有限</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月更名</w:t>
            </w:r>
            <w:r>
              <w:rPr>
                <w:rFonts w:ascii="宋体" w:hAnsi="宋体" w:cs="宋体" w:eastAsia="宋体" w:hint="default"/>
                <w:w w:val="100"/>
                <w:sz w:val="18"/>
                <w:szCs w:val="18"/>
              </w:rPr>
              <w:t> </w:t>
            </w:r>
            <w:r>
              <w:rPr>
                <w:rFonts w:ascii="宋体" w:hAnsi="宋体" w:cs="宋体" w:eastAsia="宋体" w:hint="default"/>
                <w:sz w:val="18"/>
                <w:szCs w:val="18"/>
              </w:rPr>
              <w:t>为山东瑞康</w:t>
            </w:r>
            <w:r>
              <w:rPr>
                <w:rFonts w:ascii="宋体" w:hAnsi="宋体" w:cs="宋体" w:eastAsia="宋体" w:hint="default"/>
                <w:w w:val="100"/>
                <w:sz w:val="18"/>
                <w:szCs w:val="18"/>
              </w:rPr>
              <w:t> </w:t>
            </w:r>
            <w:r>
              <w:rPr>
                <w:rFonts w:ascii="宋体" w:hAnsi="宋体" w:cs="宋体" w:eastAsia="宋体" w:hint="default"/>
                <w:sz w:val="18"/>
                <w:szCs w:val="18"/>
              </w:rPr>
              <w:t>德一医疗器</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6" w:right="19"/>
              <w:jc w:val="left"/>
              <w:rPr>
                <w:rFonts w:ascii="宋体" w:hAnsi="宋体" w:cs="宋体" w:eastAsia="宋体" w:hint="default"/>
                <w:sz w:val="18"/>
                <w:szCs w:val="18"/>
              </w:rPr>
            </w:pPr>
            <w:r>
              <w:rPr>
                <w:rFonts w:ascii="宋体" w:hAnsi="宋体" w:cs="宋体" w:eastAsia="宋体" w:hint="default"/>
                <w:sz w:val="18"/>
                <w:szCs w:val="18"/>
              </w:rPr>
              <w:t>医疗器械销</w:t>
            </w:r>
            <w:r>
              <w:rPr>
                <w:rFonts w:ascii="宋体" w:hAnsi="宋体" w:cs="宋体" w:eastAsia="宋体" w:hint="default"/>
                <w:w w:val="100"/>
                <w:sz w:val="18"/>
                <w:szCs w:val="18"/>
              </w:rPr>
              <w:t> </w:t>
            </w:r>
            <w:r>
              <w:rPr>
                <w:rFonts w:ascii="宋体" w:hAnsi="宋体" w:cs="宋体" w:eastAsia="宋体" w:hint="default"/>
                <w:sz w:val="18"/>
                <w:szCs w:val="18"/>
              </w:rPr>
              <w:t>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0"/>
                <w:sz w:val="18"/>
              </w:rPr>
              <w:t>0</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33,172,137.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4,211,315.6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100"/>
                <w:sz w:val="18"/>
              </w:rPr>
              <w:t>5</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pacing w:val="-1"/>
                <w:sz w:val="18"/>
              </w:rPr>
              <w:t>32,075,505.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2,491,323.7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3</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1,868,492.8</w:t>
            </w:r>
          </w:p>
          <w:p>
            <w:pPr>
              <w:pStyle w:val="TableParagraph"/>
              <w:spacing w:line="240" w:lineRule="auto" w:before="102"/>
              <w:ind w:right="25"/>
              <w:jc w:val="right"/>
              <w:rPr>
                <w:rFonts w:ascii="Times New Roman" w:hAnsi="Times New Roman" w:cs="Times New Roman" w:eastAsia="Times New Roman" w:hint="default"/>
                <w:sz w:val="18"/>
                <w:szCs w:val="18"/>
              </w:rPr>
            </w:pPr>
            <w:r>
              <w:rPr>
                <w:rFonts w:ascii="Times New Roman"/>
                <w:w w:val="100"/>
                <w:sz w:val="18"/>
              </w:rPr>
              <w:t>0</w:t>
            </w: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械有限公</w:t>
            </w: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9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济南瑞康医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0"/>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480,037,574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48,651,557.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1,227,469,9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01.56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60,800,894.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45,522,526.</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57</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荣成市业安</w:t>
            </w:r>
            <w:r>
              <w:rPr>
                <w:rFonts w:ascii="宋体" w:hAnsi="宋体" w:cs="宋体" w:eastAsia="宋体" w:hint="default"/>
                <w:w w:val="100"/>
                <w:sz w:val="18"/>
                <w:szCs w:val="18"/>
              </w:rPr>
              <w:t> </w:t>
            </w:r>
            <w:r>
              <w:rPr>
                <w:rFonts w:ascii="宋体" w:hAnsi="宋体" w:cs="宋体" w:eastAsia="宋体" w:hint="default"/>
                <w:sz w:val="18"/>
                <w:szCs w:val="18"/>
              </w:rPr>
              <w:t>医疗器械有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6" w:right="19"/>
              <w:jc w:val="left"/>
              <w:rPr>
                <w:rFonts w:ascii="宋体" w:hAnsi="宋体" w:cs="宋体" w:eastAsia="宋体" w:hint="default"/>
                <w:sz w:val="18"/>
                <w:szCs w:val="18"/>
              </w:rPr>
            </w:pPr>
            <w:r>
              <w:rPr>
                <w:rFonts w:ascii="宋体" w:hAnsi="宋体" w:cs="宋体" w:eastAsia="宋体" w:hint="default"/>
                <w:sz w:val="18"/>
                <w:szCs w:val="18"/>
              </w:rPr>
              <w:t>批发零售医</w:t>
            </w:r>
            <w:r>
              <w:rPr>
                <w:rFonts w:ascii="宋体" w:hAnsi="宋体" w:cs="宋体" w:eastAsia="宋体" w:hint="default"/>
                <w:w w:val="100"/>
                <w:sz w:val="18"/>
                <w:szCs w:val="18"/>
              </w:rPr>
              <w:t> </w:t>
            </w:r>
            <w:r>
              <w:rPr>
                <w:rFonts w:ascii="宋体" w:hAnsi="宋体" w:cs="宋体" w:eastAsia="宋体" w:hint="default"/>
                <w:sz w:val="18"/>
                <w:szCs w:val="18"/>
              </w:rPr>
              <w:t>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4" w:right="0"/>
              <w:jc w:val="left"/>
              <w:rPr>
                <w:rFonts w:ascii="Times New Roman" w:hAnsi="Times New Roman" w:cs="Times New Roman" w:eastAsia="Times New Roman" w:hint="default"/>
                <w:sz w:val="18"/>
                <w:szCs w:val="18"/>
              </w:rPr>
            </w:pPr>
            <w:r>
              <w:rPr>
                <w:rFonts w:ascii="Times New Roman"/>
                <w:sz w:val="18"/>
              </w:rPr>
              <w:t>119,697.72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102,161.07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20,202.41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2,401.19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2,161.07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淄博瑞康药</w:t>
            </w:r>
            <w:r>
              <w:rPr>
                <w:rFonts w:ascii="宋体" w:hAnsi="宋体" w:cs="宋体" w:eastAsia="宋体" w:hint="default"/>
                <w:w w:val="100"/>
                <w:sz w:val="18"/>
                <w:szCs w:val="18"/>
              </w:rPr>
              <w:t> </w:t>
            </w:r>
            <w:r>
              <w:rPr>
                <w:rFonts w:ascii="宋体" w:hAnsi="宋体" w:cs="宋体" w:eastAsia="宋体" w:hint="default"/>
                <w:sz w:val="18"/>
                <w:szCs w:val="18"/>
              </w:rPr>
              <w:t>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317,156,999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43,137,188.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579,312,379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16,989,663.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12,741,066.</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82</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泰安瑞康药</w:t>
            </w:r>
            <w:r>
              <w:rPr>
                <w:rFonts w:ascii="宋体" w:hAnsi="宋体" w:cs="宋体" w:eastAsia="宋体" w:hint="default"/>
                <w:w w:val="100"/>
                <w:sz w:val="18"/>
                <w:szCs w:val="18"/>
              </w:rPr>
              <w:t> </w:t>
            </w:r>
            <w:r>
              <w:rPr>
                <w:rFonts w:ascii="宋体" w:hAnsi="宋体" w:cs="宋体" w:eastAsia="宋体" w:hint="default"/>
                <w:sz w:val="18"/>
                <w:szCs w:val="18"/>
              </w:rPr>
              <w:t>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195,117,732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26,685,187.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311,608,860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10,847,769.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8,124,224.6</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w w:val="100"/>
                <w:sz w:val="18"/>
              </w:rPr>
              <w:t>9</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青岛瑞康药</w:t>
            </w:r>
            <w:r>
              <w:rPr>
                <w:rFonts w:ascii="宋体" w:hAnsi="宋体" w:cs="宋体" w:eastAsia="宋体" w:hint="default"/>
                <w:w w:val="100"/>
                <w:sz w:val="18"/>
                <w:szCs w:val="18"/>
              </w:rPr>
              <w:t> </w:t>
            </w:r>
            <w:r>
              <w:rPr>
                <w:rFonts w:ascii="宋体" w:hAnsi="宋体" w:cs="宋体" w:eastAsia="宋体" w:hint="default"/>
                <w:sz w:val="18"/>
                <w:szCs w:val="18"/>
              </w:rPr>
              <w:t>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224,618,732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58,184,530.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528,491,358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13,369,793.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10,018,559.</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25</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济南明康大</w:t>
            </w:r>
            <w:r>
              <w:rPr>
                <w:rFonts w:ascii="宋体" w:hAnsi="宋体" w:cs="宋体" w:eastAsia="宋体" w:hint="default"/>
                <w:w w:val="100"/>
                <w:sz w:val="18"/>
                <w:szCs w:val="18"/>
              </w:rPr>
              <w:t> </w:t>
            </w:r>
            <w:r>
              <w:rPr>
                <w:rFonts w:ascii="宋体" w:hAnsi="宋体" w:cs="宋体" w:eastAsia="宋体" w:hint="default"/>
                <w:sz w:val="18"/>
                <w:szCs w:val="18"/>
              </w:rPr>
              <w:t>药房有限责</w:t>
            </w:r>
            <w:r>
              <w:rPr>
                <w:rFonts w:ascii="宋体" w:hAnsi="宋体" w:cs="宋体" w:eastAsia="宋体" w:hint="default"/>
                <w:w w:val="100"/>
                <w:sz w:val="18"/>
                <w:szCs w:val="18"/>
              </w:rPr>
              <w:t> </w:t>
            </w:r>
            <w:r>
              <w:rPr>
                <w:rFonts w:ascii="宋体" w:hAnsi="宋体" w:cs="宋体" w:eastAsia="宋体" w:hint="default"/>
                <w:sz w:val="18"/>
                <w:szCs w:val="18"/>
              </w:rPr>
              <w:t>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医药零售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319,802.74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319,782.74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-31,450.74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-31,450.74</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东营瑞康药</w:t>
            </w:r>
            <w:r>
              <w:rPr>
                <w:rFonts w:ascii="宋体" w:hAnsi="宋体" w:cs="宋体" w:eastAsia="宋体" w:hint="default"/>
                <w:w w:val="100"/>
                <w:sz w:val="18"/>
                <w:szCs w:val="18"/>
              </w:rPr>
              <w:t> </w:t>
            </w:r>
            <w:r>
              <w:rPr>
                <w:rFonts w:ascii="宋体" w:hAnsi="宋体" w:cs="宋体" w:eastAsia="宋体" w:hint="default"/>
                <w:sz w:val="18"/>
                <w:szCs w:val="18"/>
              </w:rPr>
              <w:t>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67,723,433.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9,470,227.5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108,951,141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-360,707.98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-277,199.48</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潍坊瑞康药</w:t>
            </w:r>
            <w:r>
              <w:rPr>
                <w:rFonts w:ascii="宋体" w:hAnsi="宋体" w:cs="宋体" w:eastAsia="宋体" w:hint="default"/>
                <w:w w:val="100"/>
                <w:sz w:val="18"/>
                <w:szCs w:val="18"/>
              </w:rPr>
              <w:t> </w:t>
            </w:r>
            <w:r>
              <w:rPr>
                <w:rFonts w:ascii="宋体" w:hAnsi="宋体" w:cs="宋体" w:eastAsia="宋体" w:hint="default"/>
                <w:sz w:val="18"/>
                <w:szCs w:val="18"/>
              </w:rPr>
              <w:t>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1,670,000.0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0"/>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42,669,244.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484,175.49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78,393,784.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911,730.19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695,657.95</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济宁瑞康医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13,659,328.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pacing w:val="-4"/>
                <w:sz w:val="18"/>
              </w:rPr>
              <w:t>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-6,893,834.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56,898,325.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2,439.59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18,013.28</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青岛海誉泰</w:t>
            </w:r>
            <w:r>
              <w:rPr>
                <w:rFonts w:ascii="宋体" w:hAnsi="宋体" w:cs="宋体" w:eastAsia="宋体" w:hint="default"/>
                <w:w w:val="100"/>
                <w:sz w:val="18"/>
                <w:szCs w:val="18"/>
              </w:rPr>
              <w:t> </w:t>
            </w:r>
            <w:r>
              <w:rPr>
                <w:rFonts w:ascii="宋体" w:hAnsi="宋体" w:cs="宋体" w:eastAsia="宋体" w:hint="default"/>
                <w:sz w:val="18"/>
                <w:szCs w:val="18"/>
              </w:rPr>
              <w:t>德商贸有限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批发零售材</w:t>
            </w:r>
            <w:r>
              <w:rPr>
                <w:rFonts w:ascii="宋体" w:hAnsi="宋体" w:cs="宋体" w:eastAsia="宋体" w:hint="default"/>
                <w:w w:val="100"/>
                <w:sz w:val="18"/>
                <w:szCs w:val="18"/>
              </w:rPr>
              <w:t> </w:t>
            </w:r>
            <w:r>
              <w:rPr>
                <w:rFonts w:ascii="宋体" w:hAnsi="宋体" w:cs="宋体" w:eastAsia="宋体" w:hint="default"/>
                <w:sz w:val="18"/>
                <w:szCs w:val="18"/>
              </w:rPr>
              <w:t>料等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56,424,580.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25,968,535.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84,128,282.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17,474,575.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13,065,974.</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pacing w:val="-4"/>
                <w:sz w:val="18"/>
              </w:rPr>
              <w:t>11</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菏泽金岳瑞</w:t>
            </w:r>
            <w:r>
              <w:rPr>
                <w:rFonts w:ascii="宋体" w:hAnsi="宋体" w:cs="宋体" w:eastAsia="宋体" w:hint="default"/>
                <w:w w:val="100"/>
                <w:sz w:val="18"/>
                <w:szCs w:val="18"/>
              </w:rPr>
              <w:t> </w:t>
            </w:r>
            <w:r>
              <w:rPr>
                <w:rFonts w:ascii="宋体" w:hAnsi="宋体" w:cs="宋体" w:eastAsia="宋体" w:hint="default"/>
                <w:sz w:val="18"/>
                <w:szCs w:val="18"/>
              </w:rPr>
              <w:t>康医药有限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10,518,000.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9,159,799.4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9,006,509.4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1,530,934.9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-522,668.85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-521,059.90</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聊城瑞康宏</w:t>
            </w:r>
            <w:r>
              <w:rPr>
                <w:rFonts w:ascii="宋体" w:hAnsi="宋体" w:cs="宋体" w:eastAsia="宋体" w:hint="default"/>
                <w:w w:val="100"/>
                <w:sz w:val="18"/>
                <w:szCs w:val="18"/>
              </w:rPr>
              <w:t> </w:t>
            </w:r>
            <w:r>
              <w:rPr>
                <w:rFonts w:ascii="宋体" w:hAnsi="宋体" w:cs="宋体" w:eastAsia="宋体" w:hint="default"/>
                <w:sz w:val="18"/>
                <w:szCs w:val="18"/>
              </w:rPr>
              <w:t>源医药有限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66,230,027.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23,746,591.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113,270,397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-1,087,143.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-1,086,743.</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95</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山东滨州瑞</w:t>
            </w:r>
            <w:r>
              <w:rPr>
                <w:rFonts w:ascii="宋体" w:hAnsi="宋体" w:cs="宋体" w:eastAsia="宋体" w:hint="default"/>
                <w:w w:val="100"/>
                <w:sz w:val="18"/>
                <w:szCs w:val="18"/>
              </w:rPr>
              <w:t> </w:t>
            </w:r>
            <w:r>
              <w:rPr>
                <w:rFonts w:ascii="宋体" w:hAnsi="宋体" w:cs="宋体" w:eastAsia="宋体" w:hint="default"/>
                <w:sz w:val="18"/>
                <w:szCs w:val="18"/>
              </w:rPr>
              <w:t>康医药有限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医药器械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药品器械等</w:t>
            </w:r>
            <w:r>
              <w:rPr>
                <w:rFonts w:ascii="宋体" w:hAnsi="宋体" w:cs="宋体" w:eastAsia="宋体" w:hint="default"/>
                <w:w w:val="100"/>
                <w:sz w:val="18"/>
                <w:szCs w:val="18"/>
              </w:rPr>
              <w:t> </w:t>
            </w:r>
            <w:r>
              <w:rPr>
                <w:rFonts w:ascii="宋体" w:hAnsi="宋体" w:cs="宋体" w:eastAsia="宋体" w:hint="default"/>
                <w:sz w:val="18"/>
                <w:szCs w:val="18"/>
              </w:rPr>
              <w:t>批发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85,725,068.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22,251,109.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126,357,219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2,899,026.4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2,172,347.2</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w w:val="100"/>
                <w:sz w:val="18"/>
              </w:rPr>
              <w:t>0</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青岛德新康</w:t>
            </w:r>
            <w:r>
              <w:rPr>
                <w:rFonts w:ascii="宋体" w:hAnsi="宋体" w:cs="宋体" w:eastAsia="宋体" w:hint="default"/>
                <w:w w:val="100"/>
                <w:sz w:val="18"/>
                <w:szCs w:val="18"/>
              </w:rPr>
              <w:t> </w:t>
            </w:r>
            <w:r>
              <w:rPr>
                <w:rFonts w:ascii="宋体" w:hAnsi="宋体" w:cs="宋体" w:eastAsia="宋体" w:hint="default"/>
                <w:sz w:val="18"/>
                <w:szCs w:val="18"/>
              </w:rPr>
              <w:t>医药有限公</w:t>
            </w:r>
            <w:r>
              <w:rPr>
                <w:rFonts w:ascii="宋体" w:hAnsi="宋体" w:cs="宋体" w:eastAsia="宋体" w:hint="default"/>
                <w:w w:val="100"/>
                <w:sz w:val="18"/>
                <w:szCs w:val="18"/>
              </w:rPr>
              <w:t> </w:t>
            </w:r>
            <w:r>
              <w:rPr>
                <w:rFonts w:ascii="宋体" w:hAnsi="宋体" w:cs="宋体" w:eastAsia="宋体" w:hint="default"/>
                <w:sz w:val="18"/>
                <w:szCs w:val="18"/>
              </w:rPr>
              <w:t>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医疗器械销</w:t>
            </w:r>
            <w:r>
              <w:rPr>
                <w:rFonts w:ascii="宋体" w:hAnsi="宋体" w:cs="宋体" w:eastAsia="宋体" w:hint="default"/>
                <w:w w:val="100"/>
                <w:sz w:val="18"/>
                <w:szCs w:val="18"/>
              </w:rPr>
              <w:t> </w:t>
            </w:r>
            <w:r>
              <w:rPr>
                <w:rFonts w:ascii="宋体" w:hAnsi="宋体" w:cs="宋体" w:eastAsia="宋体" w:hint="default"/>
                <w:sz w:val="18"/>
                <w:szCs w:val="18"/>
              </w:rPr>
              <w:t>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76,469,646.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76,262,843.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-739,441.62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-739,441.62</w:t>
            </w:r>
          </w:p>
        </w:tc>
      </w:tr>
      <w:tr>
        <w:trPr>
          <w:trHeight w:val="102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枣庄际安医</w:t>
            </w:r>
            <w:r>
              <w:rPr>
                <w:rFonts w:ascii="宋体" w:hAnsi="宋体" w:cs="宋体" w:eastAsia="宋体" w:hint="default"/>
                <w:w w:val="100"/>
                <w:sz w:val="18"/>
                <w:szCs w:val="18"/>
              </w:rPr>
              <w:t> </w:t>
            </w:r>
            <w:r>
              <w:rPr>
                <w:rFonts w:ascii="宋体" w:hAnsi="宋体" w:cs="宋体" w:eastAsia="宋体" w:hint="default"/>
                <w:sz w:val="18"/>
                <w:szCs w:val="18"/>
              </w:rPr>
              <w:t>疗器械有限</w:t>
            </w:r>
            <w:r>
              <w:rPr>
                <w:rFonts w:ascii="宋体" w:hAnsi="宋体" w:cs="宋体" w:eastAsia="宋体" w:hint="default"/>
                <w:w w:val="100"/>
                <w:sz w:val="18"/>
                <w:szCs w:val="18"/>
              </w:rPr>
              <w:t> </w:t>
            </w:r>
            <w:r>
              <w:rPr>
                <w:rFonts w:ascii="宋体" w:hAnsi="宋体" w:cs="宋体" w:eastAsia="宋体" w:hint="default"/>
                <w:sz w:val="18"/>
                <w:szCs w:val="18"/>
              </w:rPr>
              <w:t>责任公司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z w:val="18"/>
                <w:szCs w:val="18"/>
              </w:rPr>
              <w:t>医疗器械等</w:t>
            </w:r>
            <w:r>
              <w:rPr>
                <w:rFonts w:ascii="宋体" w:hAnsi="宋体" w:cs="宋体" w:eastAsia="宋体" w:hint="default"/>
                <w:w w:val="100"/>
                <w:sz w:val="18"/>
                <w:szCs w:val="18"/>
              </w:rPr>
              <w:t> </w:t>
            </w:r>
            <w:r>
              <w:rPr>
                <w:rFonts w:ascii="宋体" w:hAnsi="宋体" w:cs="宋体" w:eastAsia="宋体" w:hint="default"/>
                <w:sz w:val="18"/>
                <w:szCs w:val="18"/>
              </w:rPr>
              <w:t>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604,124.14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442,206.45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72,479.48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-57,793.55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-57,793.55</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尼木祥云医</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医疗器械等</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159,352,377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39,277,521.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pacing w:val="-1"/>
                <w:sz w:val="18"/>
              </w:rPr>
              <w:t>46,018,264.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pacing w:val="-1"/>
                <w:sz w:val="18"/>
              </w:rPr>
              <w:t>18,814,285.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pacing w:val="-1"/>
                <w:sz w:val="18"/>
              </w:rPr>
              <w:t>19,864,675.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60"/>
        <w:gridCol w:w="958"/>
        <w:gridCol w:w="955"/>
        <w:gridCol w:w="958"/>
        <w:gridCol w:w="958"/>
        <w:gridCol w:w="955"/>
        <w:gridCol w:w="958"/>
        <w:gridCol w:w="955"/>
        <w:gridCol w:w="958"/>
        <w:gridCol w:w="958"/>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4"/>
              <w:jc w:val="left"/>
              <w:rPr>
                <w:rFonts w:ascii="宋体" w:hAnsi="宋体" w:cs="宋体" w:eastAsia="宋体" w:hint="default"/>
                <w:sz w:val="18"/>
                <w:szCs w:val="18"/>
              </w:rPr>
            </w:pPr>
            <w:r>
              <w:rPr>
                <w:rFonts w:ascii="宋体" w:hAnsi="宋体" w:cs="宋体" w:eastAsia="宋体" w:hint="default"/>
                <w:sz w:val="18"/>
                <w:szCs w:val="18"/>
              </w:rPr>
              <w:t>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0"/>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05</w:t>
            </w:r>
          </w:p>
        </w:tc>
      </w:tr>
    </w:tbl>
    <w:p>
      <w:pPr>
        <w:pStyle w:val="BodyText"/>
        <w:spacing w:line="357" w:lineRule="auto" w:before="49"/>
        <w:ind w:right="7128"/>
        <w:jc w:val="left"/>
      </w:pPr>
      <w:r>
        <w:rPr/>
        <w:t>主要子公司、参股公司情况说明</w:t>
      </w:r>
      <w:r>
        <w:rPr>
          <w:w w:val="100"/>
        </w:rPr>
        <w:t> </w:t>
      </w:r>
      <w:r>
        <w:rPr>
          <w:spacing w:val="-1"/>
        </w:rPr>
        <w:t>报告期内取得和处置子公司的情况</w:t>
      </w:r>
    </w:p>
    <w:p>
      <w:pPr>
        <w:pStyle w:val="BodyText"/>
        <w:spacing w:line="240" w:lineRule="auto" w:before="29"/>
        <w:ind w:right="93"/>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07"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w:t>
            </w:r>
            <w:r>
              <w:rPr>
                <w:rFonts w:ascii="宋体" w:hAnsi="宋体" w:cs="宋体" w:eastAsia="宋体" w:hint="default"/>
                <w:w w:val="100"/>
                <w:sz w:val="18"/>
                <w:szCs w:val="18"/>
              </w:rPr>
              <w:t> </w:t>
            </w:r>
            <w:r>
              <w:rPr>
                <w:rFonts w:ascii="宋体" w:hAnsi="宋体" w:cs="宋体" w:eastAsia="宋体" w:hint="default"/>
                <w:sz w:val="18"/>
                <w:szCs w:val="18"/>
              </w:rPr>
              <w:t>目的</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12" w:right="107"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w:t>
            </w:r>
            <w:r>
              <w:rPr>
                <w:rFonts w:ascii="宋体" w:hAnsi="宋体" w:cs="宋体" w:eastAsia="宋体" w:hint="default"/>
                <w:w w:val="100"/>
                <w:sz w:val="18"/>
                <w:szCs w:val="18"/>
              </w:rPr>
              <w:t> </w:t>
            </w:r>
            <w:r>
              <w:rPr>
                <w:rFonts w:ascii="宋体" w:hAnsi="宋体" w:cs="宋体" w:eastAsia="宋体" w:hint="default"/>
                <w:sz w:val="18"/>
                <w:szCs w:val="18"/>
              </w:rPr>
              <w:t>方式</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pacing w:val="-1"/>
                <w:sz w:val="18"/>
                <w:szCs w:val="18"/>
              </w:rPr>
              <w:t>对整体生产和业绩的影响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拓展器械市场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收购股权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6"/>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净利润占合并报表净利润的</w:t>
            </w:r>
            <w:r>
              <w:rPr>
                <w:rFonts w:ascii="宋体" w:hAnsi="宋体" w:cs="宋体" w:eastAsia="宋体" w:hint="default"/>
                <w:w w:val="100"/>
                <w:sz w:val="18"/>
                <w:szCs w:val="18"/>
              </w:rPr>
              <w:t> </w:t>
            </w:r>
            <w:r>
              <w:rPr>
                <w:rFonts w:ascii="宋体" w:hAnsi="宋体" w:cs="宋体" w:eastAsia="宋体" w:hint="default"/>
                <w:sz w:val="18"/>
                <w:szCs w:val="18"/>
              </w:rPr>
              <w:t>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10.93%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北京天业爱博科贸有限公司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市场前景较差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收回投资</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6"/>
              <w:jc w:val="right"/>
              <w:rPr>
                <w:rFonts w:ascii="宋体" w:hAnsi="宋体" w:cs="宋体" w:eastAsia="宋体" w:hint="default"/>
                <w:sz w:val="18"/>
                <w:szCs w:val="18"/>
              </w:rPr>
            </w:pPr>
            <w:r>
              <w:rPr>
                <w:rFonts w:ascii="宋体" w:hAnsi="宋体" w:cs="宋体" w:eastAsia="宋体" w:hint="default"/>
                <w:spacing w:val="-1"/>
                <w:sz w:val="18"/>
                <w:szCs w:val="18"/>
              </w:rPr>
              <w:t>对公司本年度业绩影响较小</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6"/>
              <w:jc w:val="left"/>
              <w:rPr>
                <w:rFonts w:ascii="宋体" w:hAnsi="宋体" w:cs="宋体" w:eastAsia="宋体" w:hint="default"/>
                <w:sz w:val="18"/>
                <w:szCs w:val="18"/>
              </w:rPr>
            </w:pPr>
            <w:r>
              <w:rPr>
                <w:rFonts w:ascii="宋体" w:hAnsi="宋体" w:cs="宋体" w:eastAsia="宋体" w:hint="default"/>
                <w:sz w:val="18"/>
                <w:szCs w:val="18"/>
              </w:rPr>
              <w:t>青岛康医堂医疗管理有限公</w:t>
            </w:r>
            <w:r>
              <w:rPr>
                <w:rFonts w:ascii="宋体" w:hAnsi="宋体" w:cs="宋体" w:eastAsia="宋体" w:hint="default"/>
                <w:w w:val="100"/>
                <w:sz w:val="18"/>
                <w:szCs w:val="18"/>
              </w:rPr>
              <w:t> </w:t>
            </w:r>
            <w:bookmarkStart w:name="5、非募集资金投资的重大项目情况 " w:id="44"/>
            <w:bookmarkEnd w:id="44"/>
            <w:r>
              <w:rPr>
                <w:rFonts w:ascii="宋体" w:hAnsi="宋体" w:cs="宋体" w:eastAsia="宋体" w:hint="default"/>
                <w:sz w:val="18"/>
                <w:szCs w:val="18"/>
              </w:rPr>
              <w:t>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市场前景较差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6"/>
              <w:jc w:val="right"/>
              <w:rPr>
                <w:rFonts w:ascii="宋体" w:hAnsi="宋体" w:cs="宋体" w:eastAsia="宋体" w:hint="default"/>
                <w:sz w:val="18"/>
                <w:szCs w:val="18"/>
              </w:rPr>
            </w:pPr>
            <w:r>
              <w:rPr>
                <w:rFonts w:ascii="宋体" w:hAnsi="宋体" w:cs="宋体" w:eastAsia="宋体" w:hint="default"/>
                <w:spacing w:val="-1"/>
                <w:sz w:val="18"/>
                <w:szCs w:val="18"/>
              </w:rPr>
              <w:t>对公司本年度业绩影响较小</w:t>
            </w:r>
          </w:p>
        </w:tc>
      </w:tr>
    </w:tbl>
    <w:p>
      <w:pPr>
        <w:spacing w:line="240" w:lineRule="auto" w:before="3"/>
        <w:rPr>
          <w:rFonts w:ascii="宋体" w:hAnsi="宋体" w:cs="宋体" w:eastAsia="宋体" w:hint="default"/>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93"/>
        <w:jc w:val="left"/>
      </w:pPr>
      <w:r>
        <w:rPr/>
        <w:t>√ 适用 □</w:t>
      </w:r>
      <w:r>
        <w:rPr>
          <w:spacing w:val="-1"/>
        </w:rPr>
        <w:t> </w:t>
      </w:r>
      <w:r>
        <w:rPr/>
        <w:t>不适用</w:t>
      </w:r>
    </w:p>
    <w:p>
      <w:pPr>
        <w:pStyle w:val="BodyText"/>
        <w:spacing w:line="240" w:lineRule="auto" w:before="117"/>
        <w:ind w:left="0" w:right="192"/>
        <w:jc w:val="right"/>
      </w:pPr>
      <w:r>
        <w:rPr>
          <w:spacing w:val="-1"/>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2"/>
              <w:jc w:val="right"/>
              <w:rPr>
                <w:rFonts w:ascii="宋体" w:hAnsi="宋体" w:cs="宋体" w:eastAsia="宋体" w:hint="default"/>
                <w:sz w:val="18"/>
                <w:szCs w:val="18"/>
              </w:rPr>
            </w:pPr>
            <w:r>
              <w:rPr>
                <w:rFonts w:ascii="宋体" w:hAnsi="宋体" w:cs="宋体" w:eastAsia="宋体" w:hint="default"/>
                <w:spacing w:val="-1"/>
                <w:sz w:val="18"/>
                <w:szCs w:val="18"/>
              </w:rPr>
              <w:t>计划投资总额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0" w:right="52" w:hanging="360"/>
              <w:jc w:val="left"/>
              <w:rPr>
                <w:rFonts w:ascii="宋体" w:hAnsi="宋体" w:cs="宋体" w:eastAsia="宋体" w:hint="default"/>
                <w:sz w:val="18"/>
                <w:szCs w:val="18"/>
              </w:rPr>
            </w:pPr>
            <w:r>
              <w:rPr>
                <w:rFonts w:ascii="宋体" w:hAnsi="宋体" w:cs="宋体" w:eastAsia="宋体" w:hint="default"/>
                <w:sz w:val="18"/>
                <w:szCs w:val="18"/>
              </w:rPr>
              <w:t>本报告期投入</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4" w:right="48"/>
              <w:jc w:val="center"/>
              <w:rPr>
                <w:rFonts w:ascii="宋体" w:hAnsi="宋体" w:cs="宋体" w:eastAsia="宋体" w:hint="default"/>
                <w:sz w:val="18"/>
                <w:szCs w:val="18"/>
              </w:rPr>
            </w:pPr>
            <w:r>
              <w:rPr>
                <w:rFonts w:ascii="宋体" w:hAnsi="宋体" w:cs="宋体" w:eastAsia="宋体" w:hint="default"/>
                <w:sz w:val="18"/>
                <w:szCs w:val="18"/>
              </w:rPr>
              <w:t>截至报告期末</w:t>
            </w:r>
            <w:r>
              <w:rPr>
                <w:rFonts w:ascii="宋体" w:hAnsi="宋体" w:cs="宋体" w:eastAsia="宋体" w:hint="default"/>
                <w:w w:val="100"/>
                <w:sz w:val="18"/>
                <w:szCs w:val="18"/>
              </w:rPr>
              <w:t> </w:t>
            </w:r>
            <w:r>
              <w:rPr>
                <w:rFonts w:ascii="宋体" w:hAnsi="宋体" w:cs="宋体" w:eastAsia="宋体" w:hint="default"/>
                <w:sz w:val="18"/>
                <w:szCs w:val="18"/>
              </w:rPr>
              <w:t>累计实际投入</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4"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51" w:hanging="360"/>
              <w:jc w:val="left"/>
              <w:rPr>
                <w:rFonts w:ascii="宋体" w:hAnsi="宋体" w:cs="宋体" w:eastAsia="宋体" w:hint="default"/>
                <w:sz w:val="18"/>
                <w:szCs w:val="18"/>
              </w:rPr>
            </w:pPr>
            <w:r>
              <w:rPr>
                <w:rFonts w:ascii="宋体" w:hAnsi="宋体" w:cs="宋体" w:eastAsia="宋体" w:hint="default"/>
                <w:sz w:val="18"/>
                <w:szCs w:val="18"/>
              </w:rPr>
              <w:t>披露日期（如</w:t>
            </w:r>
            <w:r>
              <w:rPr>
                <w:rFonts w:ascii="宋体" w:hAnsi="宋体" w:cs="宋体" w:eastAsia="宋体" w:hint="default"/>
                <w:w w:val="100"/>
                <w:sz w:val="18"/>
                <w:szCs w:val="18"/>
              </w:rPr>
              <w:t> </w:t>
            </w:r>
            <w:r>
              <w:rPr>
                <w:rFonts w:ascii="宋体" w:hAnsi="宋体" w:cs="宋体" w:eastAsia="宋体" w:hint="default"/>
                <w:sz w:val="18"/>
                <w:szCs w:val="18"/>
              </w:rPr>
              <w:t>有）</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披露索引（如</w:t>
            </w:r>
            <w:r>
              <w:rPr>
                <w:rFonts w:ascii="宋体" w:hAnsi="宋体" w:cs="宋体" w:eastAsia="宋体" w:hint="default"/>
                <w:w w:val="100"/>
                <w:sz w:val="18"/>
                <w:szCs w:val="18"/>
              </w:rPr>
              <w:t> </w:t>
            </w:r>
            <w:r>
              <w:rPr>
                <w:rFonts w:ascii="宋体" w:hAnsi="宋体" w:cs="宋体" w:eastAsia="宋体" w:hint="default"/>
                <w:sz w:val="18"/>
                <w:szCs w:val="18"/>
              </w:rPr>
              <w:t>有）</w:t>
            </w:r>
          </w:p>
        </w:tc>
      </w:tr>
      <w:tr>
        <w:trPr>
          <w:trHeight w:val="355" w:hRule="exact"/>
        </w:trPr>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西藏金岳办公</w:t>
            </w: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r>
      <w:tr>
        <w:trPr>
          <w:trHeight w:val="317" w:hRule="exact"/>
        </w:trPr>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楼及药品分拣</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5,000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1,521.27</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5,739.77</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195"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355" w:hRule="exact"/>
        </w:trPr>
        <w:tc>
          <w:tcPr>
            <w:tcW w:w="11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包装车间</w:t>
            </w:r>
          </w:p>
        </w:tc>
        <w:tc>
          <w:tcPr>
            <w:tcW w:w="1195"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354" w:hRule="exact"/>
        </w:trPr>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青岛药品现代</w:t>
            </w: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r>
      <w:tr>
        <w:trPr>
          <w:trHeight w:val="983" w:hRule="exact"/>
        </w:trPr>
        <w:tc>
          <w:tcPr>
            <w:tcW w:w="1198"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9"/>
              <w:ind w:left="23" w:right="81"/>
              <w:jc w:val="left"/>
              <w:rPr>
                <w:rFonts w:ascii="宋体" w:hAnsi="宋体" w:cs="宋体" w:eastAsia="宋体" w:hint="default"/>
                <w:sz w:val="18"/>
                <w:szCs w:val="18"/>
              </w:rPr>
            </w:pPr>
            <w:r>
              <w:rPr>
                <w:rFonts w:ascii="宋体" w:hAnsi="宋体" w:cs="宋体" w:eastAsia="宋体" w:hint="default"/>
                <w:sz w:val="18"/>
                <w:szCs w:val="18"/>
              </w:rPr>
              <w:t>物流及医疗器</w:t>
            </w:r>
            <w:r>
              <w:rPr>
                <w:rFonts w:ascii="宋体" w:hAnsi="宋体" w:cs="宋体" w:eastAsia="宋体" w:hint="default"/>
                <w:w w:val="100"/>
                <w:sz w:val="18"/>
                <w:szCs w:val="18"/>
              </w:rPr>
              <w:t> </w:t>
            </w:r>
            <w:r>
              <w:rPr>
                <w:rFonts w:ascii="宋体" w:hAnsi="宋体" w:cs="宋体" w:eastAsia="宋体" w:hint="default"/>
                <w:sz w:val="18"/>
                <w:szCs w:val="18"/>
              </w:rPr>
              <w:t>械生产项目</w:t>
            </w: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8,000</w:t>
            </w: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2,607.43</w:t>
            </w: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2,607.43</w:t>
            </w:r>
          </w:p>
        </w:tc>
        <w:tc>
          <w:tcPr>
            <w:tcW w:w="11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32.59%</w:t>
            </w:r>
          </w:p>
        </w:tc>
        <w:tc>
          <w:tcPr>
            <w:tcW w:w="1195"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七、公司控制的特殊目的主体情况 " w:id="45"/>
            <w:bookmarkEnd w:id="45"/>
            <w:r>
              <w:rPr/>
            </w:r>
            <w:r>
              <w:rPr>
                <w:rFonts w:ascii="宋体" w:hAnsi="宋体" w:cs="宋体" w:eastAsia="宋体" w:hint="default"/>
                <w:sz w:val="18"/>
                <w:szCs w:val="18"/>
              </w:rPr>
              <w:t>合计</w:t>
            </w:r>
          </w:p>
        </w:tc>
        <w:tc>
          <w:tcPr>
            <w:tcW w:w="11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4,128.7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8,347.2</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3"/>
        <w:jc w:val="left"/>
        <w:rPr>
          <w:b w:val="0"/>
          <w:bCs w:val="0"/>
        </w:rPr>
      </w:pPr>
      <w:r>
        <w:rPr/>
        <w:t>七、公司控制的特殊目的主体情况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bookmarkStart w:name="八、公司未来发展的展望 " w:id="46"/>
      <w:bookmarkEnd w:id="46"/>
      <w:r>
        <w:rPr/>
      </w:r>
      <w:r>
        <w:rPr/>
        <w:t>□ 适用 √</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八、公司未来发展的展望</w:t>
      </w:r>
      <w:r>
        <w:rPr>
          <w:b w:val="0"/>
          <w:bCs w:val="0"/>
        </w:rPr>
      </w:r>
    </w:p>
    <w:p>
      <w:pPr>
        <w:spacing w:line="240" w:lineRule="auto" w:before="6"/>
        <w:rPr>
          <w:rFonts w:ascii="宋体" w:hAnsi="宋体" w:cs="宋体" w:eastAsia="宋体" w:hint="default"/>
          <w:b/>
          <w:bCs/>
          <w:sz w:val="26"/>
          <w:szCs w:val="26"/>
        </w:rPr>
      </w:pPr>
    </w:p>
    <w:p>
      <w:pPr>
        <w:spacing w:line="360" w:lineRule="auto" w:before="0"/>
        <w:ind w:left="531" w:right="93" w:hanging="164"/>
        <w:jc w:val="left"/>
        <w:rPr>
          <w:rFonts w:ascii="宋体" w:hAnsi="宋体" w:cs="宋体" w:eastAsia="宋体" w:hint="default"/>
          <w:sz w:val="18"/>
          <w:szCs w:val="18"/>
        </w:rPr>
      </w:pPr>
      <w:r>
        <w:rPr>
          <w:rFonts w:ascii="宋体" w:hAnsi="宋体" w:cs="宋体" w:eastAsia="宋体" w:hint="default"/>
          <w:b/>
          <w:bCs/>
          <w:sz w:val="18"/>
          <w:szCs w:val="18"/>
        </w:rPr>
        <w:t>（一）、公司所处行业的发展趋势及面临的市场竞争格局</w:t>
      </w:r>
      <w:r>
        <w:rPr>
          <w:rFonts w:ascii="宋体" w:hAnsi="宋体" w:cs="宋体" w:eastAsia="宋体" w:hint="default"/>
          <w:b/>
          <w:bCs/>
          <w:w w:val="99"/>
          <w:sz w:val="18"/>
          <w:szCs w:val="18"/>
        </w:rPr>
        <w:t> </w:t>
      </w:r>
      <w:r>
        <w:rPr>
          <w:rFonts w:ascii="宋体" w:hAnsi="宋体" w:cs="宋体" w:eastAsia="宋体" w:hint="default"/>
          <w:sz w:val="18"/>
          <w:szCs w:val="18"/>
        </w:rPr>
        <w:t>医药行业与人民群众的日常生活息息相关，是为人民防病治病、康复保健、提高民族素质的特殊产业，在保证国民经</w:t>
      </w:r>
    </w:p>
    <w:p>
      <w:pPr>
        <w:pStyle w:val="BodyText"/>
        <w:spacing w:line="236" w:lineRule="exact"/>
        <w:ind w:right="93"/>
        <w:jc w:val="left"/>
      </w:pPr>
      <w:r>
        <w:rPr>
          <w:spacing w:val="-3"/>
        </w:rPr>
        <w:t>济健康、持续发展中，起到了积极的、不可替代的作用。</w:t>
      </w:r>
      <w:r>
        <w:rPr>
          <w:rFonts w:ascii="Times New Roman" w:hAnsi="Times New Roman" w:cs="Times New Roman" w:eastAsia="Times New Roman" w:hint="default"/>
          <w:spacing w:val="-3"/>
        </w:rPr>
        <w:t>2014</w:t>
      </w:r>
      <w:r>
        <w:rPr>
          <w:spacing w:val="-3"/>
        </w:rPr>
        <w:t>年随着政府对医药卫生投入加大、全民医保、人口老龄化、单</w:t>
      </w:r>
    </w:p>
    <w:p>
      <w:pPr>
        <w:pStyle w:val="BodyText"/>
        <w:spacing w:line="316" w:lineRule="auto" w:before="62"/>
        <w:ind w:right="93"/>
        <w:jc w:val="left"/>
      </w:pPr>
      <w:r>
        <w:rPr>
          <w:spacing w:val="-5"/>
        </w:rPr>
        <w:t>独二胎放开、慢病需求增大、人均用药水平提高以及大健康领域消费升级等利好因素，会对药品流通行业发展起到支撑作用。</w:t>
      </w:r>
      <w:r>
        <w:rPr>
          <w:spacing w:val="-29"/>
        </w:rPr>
        <w:t> </w:t>
      </w:r>
      <w:r>
        <w:rPr>
          <w:spacing w:val="-29"/>
        </w:rPr>
      </w:r>
      <w:r>
        <w:rPr>
          <w:spacing w:val="-3"/>
        </w:rPr>
        <w:t>公司有着丰富的产品资源，先进的经营管理理念，规范的质量保障体系，和严格的内控制度，诚信经营，全心全意为广大老</w:t>
      </w:r>
      <w:r>
        <w:rPr>
          <w:spacing w:val="-51"/>
        </w:rPr>
        <w:t> </w:t>
      </w:r>
      <w:r>
        <w:rPr>
          <w:spacing w:val="-51"/>
        </w:rPr>
      </w:r>
      <w:r>
        <w:rPr>
          <w:spacing w:val="-3"/>
        </w:rPr>
        <w:t>百姓的健康服务。随着国家医疗体制改革进程的深入，公司将抓住机遇，不断实现快速健康的发展，确保市场竞争力得到显</w:t>
      </w:r>
    </w:p>
    <w:p>
      <w:pPr>
        <w:spacing w:after="0" w:line="316"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著提升。医药行业作为国家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加快培育的战略性新兴行业，面临良好的发展时机：</w:t>
      </w:r>
    </w:p>
    <w:p>
      <w:pPr>
        <w:pStyle w:val="BodyText"/>
        <w:spacing w:line="240" w:lineRule="auto" w:before="103"/>
        <w:ind w:left="512" w:right="93"/>
        <w:jc w:val="left"/>
      </w:pPr>
      <w:r>
        <w:rPr>
          <w:rFonts w:ascii="Times New Roman" w:hAnsi="Times New Roman" w:cs="Times New Roman" w:eastAsia="Times New Roman" w:hint="default"/>
          <w:spacing w:val="-5"/>
        </w:rPr>
        <w:t>1</w:t>
      </w:r>
      <w:r>
        <w:rPr>
          <w:spacing w:val="-5"/>
        </w:rPr>
        <w:t>、国家医改投入效果显现：中央政府和各级政府总投入资金达</w:t>
      </w:r>
      <w:r>
        <w:rPr>
          <w:rFonts w:ascii="Times New Roman" w:hAnsi="Times New Roman" w:cs="Times New Roman" w:eastAsia="Times New Roman" w:hint="default"/>
          <w:spacing w:val="-5"/>
        </w:rPr>
        <w:t>3</w:t>
      </w:r>
      <w:r>
        <w:rPr>
          <w:spacing w:val="-5"/>
        </w:rPr>
        <w:t>万亿左右，投入将逐步表现为需求，市场扩容步伐加快。</w:t>
      </w:r>
    </w:p>
    <w:p>
      <w:pPr>
        <w:pStyle w:val="BodyText"/>
        <w:spacing w:line="300" w:lineRule="auto" w:before="101"/>
        <w:ind w:right="93" w:firstLine="359"/>
        <w:jc w:val="left"/>
      </w:pPr>
      <w:r>
        <w:rPr>
          <w:rFonts w:ascii="Times New Roman" w:hAnsi="Times New Roman" w:cs="Times New Roman" w:eastAsia="Times New Roman" w:hint="default"/>
        </w:rPr>
        <w:t>2</w:t>
      </w:r>
      <w:r>
        <w:rPr/>
        <w:t>、国家出台《关于促进健康服务业发展的若干意见》，规划到</w:t>
      </w:r>
      <w:r>
        <w:rPr>
          <w:rFonts w:ascii="Times New Roman" w:hAnsi="Times New Roman" w:cs="Times New Roman" w:eastAsia="Times New Roman" w:hint="default"/>
        </w:rPr>
        <w:t>2020</w:t>
      </w:r>
      <w:r>
        <w:rPr/>
        <w:t>年基本建立覆盖全生命周期、内涵丰富、结构合理</w:t>
      </w:r>
      <w:r>
        <w:rPr>
          <w:w w:val="100"/>
        </w:rPr>
        <w:t> </w:t>
      </w:r>
      <w:r>
        <w:rPr>
          <w:spacing w:val="-3"/>
        </w:rPr>
        <w:t>的健康服务业体系，基本满足广大人民群众的健康服务需求，健康服务业总规模达到</w:t>
      </w:r>
      <w:r>
        <w:rPr>
          <w:rFonts w:ascii="Times New Roman" w:hAnsi="Times New Roman" w:cs="Times New Roman" w:eastAsia="Times New Roman" w:hint="default"/>
          <w:spacing w:val="-3"/>
        </w:rPr>
        <w:t>8</w:t>
      </w:r>
      <w:r>
        <w:rPr>
          <w:spacing w:val="-3"/>
        </w:rPr>
        <w:t>万亿元以上，医药行业企业前景光明。</w:t>
      </w:r>
    </w:p>
    <w:p>
      <w:pPr>
        <w:pStyle w:val="BodyText"/>
        <w:spacing w:line="300" w:lineRule="auto" w:before="53"/>
        <w:ind w:right="93" w:firstLine="359"/>
        <w:jc w:val="left"/>
      </w:pPr>
      <w:r>
        <w:rPr>
          <w:rFonts w:ascii="Times New Roman" w:hAnsi="Times New Roman" w:cs="Times New Roman" w:eastAsia="Times New Roman" w:hint="default"/>
        </w:rPr>
        <w:t>3</w:t>
      </w:r>
      <w:r>
        <w:rPr/>
        <w:t>、新版国家基本药物目录出台，品种数从</w:t>
      </w:r>
      <w:r>
        <w:rPr>
          <w:rFonts w:ascii="Times New Roman" w:hAnsi="Times New Roman" w:cs="Times New Roman" w:eastAsia="Times New Roman" w:hint="default"/>
        </w:rPr>
        <w:t>307</w:t>
      </w:r>
      <w:r>
        <w:rPr/>
        <w:t>个增加到</w:t>
      </w:r>
      <w:r>
        <w:rPr>
          <w:rFonts w:ascii="Times New Roman" w:hAnsi="Times New Roman" w:cs="Times New Roman" w:eastAsia="Times New Roman" w:hint="default"/>
        </w:rPr>
        <w:t>520</w:t>
      </w:r>
      <w:r>
        <w:rPr/>
        <w:t>个，二级以上医疗机构的基本药物使用比例不得低于</w:t>
      </w:r>
      <w:r>
        <w:rPr>
          <w:rFonts w:ascii="Times New Roman" w:hAnsi="Times New Roman" w:cs="Times New Roman" w:eastAsia="Times New Roman" w:hint="default"/>
        </w:rPr>
        <w:t>35%</w:t>
      </w:r>
      <w:r>
        <w:rPr/>
        <w:t>，</w:t>
      </w:r>
      <w:r>
        <w:rPr>
          <w:w w:val="100"/>
        </w:rPr>
        <w:t> </w:t>
      </w:r>
      <w:r>
        <w:rPr>
          <w:spacing w:val="-1"/>
        </w:rPr>
        <w:t>这对在</w:t>
      </w:r>
      <w:r>
        <w:rPr>
          <w:rFonts w:ascii="Times New Roman" w:hAnsi="Times New Roman" w:cs="Times New Roman" w:eastAsia="Times New Roman" w:hint="default"/>
          <w:spacing w:val="-1"/>
        </w:rPr>
        <w:t>2011</w:t>
      </w:r>
      <w:r>
        <w:rPr>
          <w:spacing w:val="-1"/>
        </w:rPr>
        <w:t>年山东省基本药物招标后，在基本药物市场取得全省第一位置的瑞康医药将获得发展先机，企业效益稳定增长。</w:t>
      </w:r>
    </w:p>
    <w:p>
      <w:pPr>
        <w:pStyle w:val="BodyText"/>
        <w:spacing w:line="300" w:lineRule="auto" w:before="53"/>
        <w:ind w:right="189" w:firstLine="359"/>
        <w:jc w:val="both"/>
      </w:pPr>
      <w:r>
        <w:rPr>
          <w:rFonts w:ascii="Times New Roman" w:hAnsi="Times New Roman" w:cs="Times New Roman" w:eastAsia="Times New Roman" w:hint="default"/>
          <w:spacing w:val="-1"/>
        </w:rPr>
        <w:t>4</w:t>
      </w:r>
      <w:r>
        <w:rPr>
          <w:spacing w:val="-1"/>
        </w:rPr>
        <w:t>、从全国来看，我国经济的持续快速增长、庞大的人口基数及老龄化趋势、人民生活水平的提高、健康意识的增强及</w:t>
      </w:r>
      <w:r>
        <w:rPr>
          <w:w w:val="100"/>
        </w:rPr>
        <w:t> </w:t>
      </w:r>
      <w:r>
        <w:rPr>
          <w:spacing w:val="-2"/>
        </w:rPr>
        <w:t>我国政府的积极支持，均对医药企业构成长期利好，行业发展将迎来历史性机遇。据预测，中国医药市场将保持</w:t>
      </w:r>
      <w:r>
        <w:rPr>
          <w:rFonts w:ascii="Times New Roman" w:hAnsi="Times New Roman" w:cs="Times New Roman" w:eastAsia="Times New Roman" w:hint="default"/>
          <w:spacing w:val="-2"/>
        </w:rPr>
        <w:t>20%</w:t>
      </w:r>
      <w:r>
        <w:rPr>
          <w:spacing w:val="-2"/>
        </w:rPr>
        <w:t>左右的</w:t>
      </w:r>
      <w:r>
        <w:rPr>
          <w:spacing w:val="-68"/>
        </w:rPr>
        <w:t> </w:t>
      </w:r>
      <w:r>
        <w:rPr>
          <w:spacing w:val="-68"/>
        </w:rPr>
      </w:r>
      <w:r>
        <w:rPr/>
        <w:t>增速，到</w:t>
      </w:r>
      <w:r>
        <w:rPr>
          <w:rFonts w:ascii="Times New Roman" w:hAnsi="Times New Roman" w:cs="Times New Roman" w:eastAsia="Times New Roman" w:hint="default"/>
        </w:rPr>
        <w:t>2020</w:t>
      </w:r>
      <w:r>
        <w:rPr/>
        <w:t>年将超过美国、日本，成为全球最大的医药市场。</w:t>
      </w:r>
    </w:p>
    <w:p>
      <w:pPr>
        <w:pStyle w:val="BodyText"/>
        <w:spacing w:line="304" w:lineRule="auto" w:before="51"/>
        <w:ind w:right="93" w:firstLine="359"/>
        <w:jc w:val="left"/>
      </w:pP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30</w:t>
      </w:r>
      <w:r>
        <w:rPr>
          <w:spacing w:val="-3"/>
        </w:rPr>
        <w:t>日，国务院发布《关于印发全国医疗卫生服务体系规划纲要</w:t>
      </w:r>
      <w:r>
        <w:rPr>
          <w:rFonts w:ascii="Times New Roman" w:hAnsi="Times New Roman" w:cs="Times New Roman" w:eastAsia="Times New Roman" w:hint="default"/>
          <w:spacing w:val="-3"/>
        </w:rPr>
        <w:t>(2015-2020</w:t>
      </w:r>
      <w:r>
        <w:rPr>
          <w:spacing w:val="-3"/>
        </w:rPr>
        <w:t>年</w:t>
      </w:r>
      <w:r>
        <w:rPr>
          <w:rFonts w:ascii="Times New Roman" w:hAnsi="Times New Roman" w:cs="Times New Roman" w:eastAsia="Times New Roman" w:hint="default"/>
          <w:spacing w:val="-3"/>
        </w:rPr>
        <w:t>)</w:t>
      </w:r>
      <w:r>
        <w:rPr>
          <w:spacing w:val="-3"/>
        </w:rPr>
        <w:t>通知》。该通知中明确提出按</w:t>
      </w:r>
      <w:r>
        <w:rPr>
          <w:w w:val="100"/>
        </w:rPr>
        <w:t> </w:t>
      </w:r>
      <w:r>
        <w:rPr/>
        <w:t>照属地层级实行医疗卫生资源梯度配置，大力发展非公立医疗机构，并提出加强医疗系统信息化建设，在互联网</w:t>
      </w:r>
      <w:r>
        <w:rPr>
          <w:rFonts w:ascii="Times New Roman" w:hAnsi="Times New Roman" w:cs="Times New Roman" w:eastAsia="Times New Roman" w:hint="default"/>
        </w:rPr>
        <w:t>+</w:t>
      </w:r>
      <w:r>
        <w:rPr/>
        <w:t>的基础上</w:t>
      </w:r>
      <w:r>
        <w:rPr>
          <w:w w:val="100"/>
        </w:rPr>
        <w:t> </w:t>
      </w:r>
      <w:r>
        <w:rPr>
          <w:spacing w:val="-3"/>
        </w:rPr>
        <w:t>开展多种形式的健康信息服务和智慧医疗服务。根据规划要求，开展健康中国云服务计划，积极应用移动互联网</w:t>
      </w:r>
      <w:r>
        <w:rPr>
          <w:rFonts w:ascii="Times New Roman" w:hAnsi="Times New Roman" w:cs="Times New Roman" w:eastAsia="Times New Roman" w:hint="default"/>
          <w:spacing w:val="-3"/>
        </w:rPr>
        <w:t>+</w:t>
      </w:r>
      <w:r>
        <w:rPr>
          <w:spacing w:val="-3"/>
        </w:rPr>
        <w:t>、物联网、</w:t>
      </w:r>
      <w:r>
        <w:rPr>
          <w:spacing w:val="-60"/>
        </w:rPr>
        <w:t> </w:t>
      </w:r>
      <w:r>
        <w:rPr>
          <w:spacing w:val="-60"/>
        </w:rPr>
      </w:r>
      <w:r>
        <w:rPr>
          <w:spacing w:val="-5"/>
        </w:rPr>
        <w:t>云计算、可穿戴设备等新技术，推动惠及全民的健康信息服务和智慧医疗服务，推动健康大数据的应用，逐步转变服务模式，</w:t>
      </w:r>
      <w:r>
        <w:rPr>
          <w:spacing w:val="-29"/>
        </w:rPr>
        <w:t> </w:t>
      </w:r>
      <w:r>
        <w:rPr>
          <w:spacing w:val="-29"/>
        </w:rPr>
      </w:r>
      <w:r>
        <w:rPr/>
        <w:t>提高服务能力和管理水平。规划还提出将积极推动移动互联网、远程医疗服务的发展。</w:t>
      </w:r>
    </w:p>
    <w:p>
      <w:pPr>
        <w:pStyle w:val="BodyText"/>
        <w:spacing w:line="309" w:lineRule="auto" w:before="68"/>
        <w:ind w:right="189" w:firstLine="359"/>
        <w:jc w:val="both"/>
      </w:pPr>
      <w:r>
        <w:rPr>
          <w:spacing w:val="-3"/>
        </w:rPr>
        <w:t>除此之外，此次规划还提出了人口健康信息化建设的要求：到</w:t>
      </w:r>
      <w:r>
        <w:rPr>
          <w:rFonts w:ascii="Times New Roman" w:hAnsi="Times New Roman" w:cs="Times New Roman" w:eastAsia="Times New Roman" w:hint="default"/>
          <w:spacing w:val="-3"/>
        </w:rPr>
        <w:t>2020</w:t>
      </w:r>
      <w:r>
        <w:rPr>
          <w:spacing w:val="-3"/>
        </w:rPr>
        <w:t>年，实现全员人口信息、电子健康档案和电子病历三</w:t>
      </w:r>
      <w:r>
        <w:rPr>
          <w:w w:val="100"/>
        </w:rPr>
        <w:t> </w:t>
      </w:r>
      <w:r>
        <w:rPr>
          <w:spacing w:val="-3"/>
        </w:rPr>
        <w:t>大数据库基本覆盖全国人口，并实现信息动态更新，实现公共卫生、计划生育、医疗服务、医疗保障、药品供应、综合管理</w:t>
      </w:r>
      <w:r>
        <w:rPr>
          <w:spacing w:val="-53"/>
        </w:rPr>
        <w:t> </w:t>
      </w:r>
      <w:r>
        <w:rPr>
          <w:spacing w:val="-53"/>
        </w:rPr>
      </w:r>
      <w:r>
        <w:rPr/>
        <w:t>等业务应用系统的互联互通和业务协同。</w:t>
      </w:r>
    </w:p>
    <w:p>
      <w:pPr>
        <w:pStyle w:val="BodyText"/>
        <w:spacing w:line="316" w:lineRule="auto" w:before="65"/>
        <w:ind w:right="93" w:firstLine="379"/>
        <w:jc w:val="left"/>
      </w:pPr>
      <w:r>
        <w:rPr/>
        <w:t>随着医疗体制改革，医疗信息化行业将进一步飞速发展，对外开放程度将不断提高，特别是大型三级医院、区域医疗</w:t>
      </w:r>
      <w:r>
        <w:rPr>
          <w:w w:val="100"/>
        </w:rPr>
        <w:t> </w:t>
      </w:r>
      <w:r>
        <w:rPr/>
        <w:t>的数据中心积累了大量的实时性强、价值量大的数据，行业存在横向、上下游兼并收购及延伸发展的需求和可能。</w:t>
      </w:r>
    </w:p>
    <w:p>
      <w:pPr>
        <w:pStyle w:val="Heading4"/>
        <w:spacing w:line="240" w:lineRule="auto" w:before="57"/>
        <w:ind w:right="93"/>
        <w:jc w:val="left"/>
        <w:rPr>
          <w:b w:val="0"/>
          <w:bCs w:val="0"/>
        </w:rPr>
      </w:pPr>
      <w:r>
        <w:rPr/>
        <w:t>（二）、公司经营计划和主要目标</w:t>
      </w:r>
      <w:r>
        <w:rPr>
          <w:b w:val="0"/>
          <w:bCs w:val="0"/>
        </w:rPr>
      </w:r>
    </w:p>
    <w:p>
      <w:pPr>
        <w:pStyle w:val="BodyText"/>
        <w:spacing w:line="240" w:lineRule="auto" w:before="117"/>
        <w:ind w:left="224" w:right="93"/>
        <w:jc w:val="left"/>
      </w:pPr>
      <w:r>
        <w:rPr>
          <w:rFonts w:ascii="Times New Roman" w:hAnsi="Times New Roman" w:cs="Times New Roman" w:eastAsia="Times New Roman" w:hint="default"/>
        </w:rPr>
        <w:t>1</w:t>
      </w:r>
      <w:r>
        <w:rPr/>
        <w:t>、线下传统业务</w:t>
      </w:r>
    </w:p>
    <w:p>
      <w:pPr>
        <w:pStyle w:val="BodyText"/>
        <w:spacing w:line="240" w:lineRule="auto" w:before="103"/>
        <w:ind w:right="93"/>
        <w:jc w:val="left"/>
      </w:pPr>
      <w:r>
        <w:rPr/>
        <w:t>（</w:t>
      </w:r>
      <w:r>
        <w:rPr>
          <w:rFonts w:ascii="Times New Roman" w:hAnsi="Times New Roman" w:cs="Times New Roman" w:eastAsia="Times New Roman" w:hint="default"/>
        </w:rPr>
        <w:t>1</w:t>
      </w:r>
      <w:r>
        <w:rPr/>
        <w:t>）、山东省药品及耗材发展战略</w:t>
      </w:r>
    </w:p>
    <w:p>
      <w:pPr>
        <w:pStyle w:val="BodyText"/>
        <w:spacing w:line="309" w:lineRule="auto" w:before="101"/>
        <w:ind w:right="93" w:firstLine="362"/>
        <w:jc w:val="left"/>
      </w:pPr>
      <w:r>
        <w:rPr>
          <w:rFonts w:ascii="Times New Roman" w:hAnsi="Times New Roman" w:cs="Times New Roman" w:eastAsia="Times New Roman" w:hint="default"/>
          <w:spacing w:val="-4"/>
        </w:rPr>
        <w:t>A</w:t>
      </w:r>
      <w:r>
        <w:rPr>
          <w:spacing w:val="-4"/>
        </w:rPr>
        <w:t>、</w:t>
      </w:r>
      <w:r>
        <w:rPr>
          <w:rFonts w:ascii="Times New Roman" w:hAnsi="Times New Roman" w:cs="Times New Roman" w:eastAsia="Times New Roman" w:hint="default"/>
          <w:spacing w:val="-4"/>
        </w:rPr>
        <w:t>2015</w:t>
      </w:r>
      <w:r>
        <w:rPr>
          <w:spacing w:val="-4"/>
        </w:rPr>
        <w:t>年是招标年，公司将抓住药品、器械招标、基药使用比例提升、基药品种增补等政策利好，进一步深耕老客户，</w:t>
      </w:r>
      <w:r>
        <w:rPr>
          <w:w w:val="100"/>
        </w:rPr>
        <w:t> </w:t>
      </w:r>
      <w:r>
        <w:rPr>
          <w:spacing w:val="-3"/>
        </w:rPr>
        <w:t>通过自身优势争取更多的基药产品的配送授权，提高药品、器械的配送份额，不断提高市场占有率，增加集中配送的客户数</w:t>
      </w:r>
      <w:r>
        <w:rPr>
          <w:spacing w:val="-45"/>
        </w:rPr>
        <w:t> </w:t>
      </w:r>
      <w:r>
        <w:rPr>
          <w:spacing w:val="-45"/>
        </w:rPr>
      </w:r>
      <w:r>
        <w:rPr/>
        <w:t>量，确保增量发展。</w:t>
      </w:r>
    </w:p>
    <w:p>
      <w:pPr>
        <w:pStyle w:val="BodyText"/>
        <w:spacing w:line="300" w:lineRule="auto" w:before="65"/>
        <w:ind w:right="93" w:firstLine="359"/>
        <w:jc w:val="left"/>
      </w:pPr>
      <w:r>
        <w:rPr>
          <w:rFonts w:ascii="Times New Roman" w:hAnsi="Times New Roman" w:cs="Times New Roman" w:eastAsia="Times New Roman" w:hint="default"/>
          <w:spacing w:val="-2"/>
        </w:rPr>
        <w:t>B</w:t>
      </w:r>
      <w:r>
        <w:rPr>
          <w:spacing w:val="-2"/>
        </w:rPr>
        <w:t>、将继续扩大与生产厂商的业务合作，继续做好对供应商的常规服务和个性化、差异化服务，提高客户满意度和公司</w:t>
      </w:r>
      <w:r>
        <w:rPr>
          <w:w w:val="100"/>
        </w:rPr>
        <w:t> </w:t>
      </w:r>
      <w:r>
        <w:rPr/>
        <w:t>美誉度，吸引更多的上游药品、器械生产企业直接与公司建立战略合作关系，增加供应商数量和产品种类。</w:t>
      </w:r>
    </w:p>
    <w:p>
      <w:pPr>
        <w:pStyle w:val="BodyText"/>
        <w:spacing w:line="300" w:lineRule="auto" w:before="72"/>
        <w:ind w:right="93" w:firstLine="359"/>
        <w:jc w:val="left"/>
      </w:pPr>
      <w:r>
        <w:rPr>
          <w:rFonts w:ascii="Times New Roman" w:hAnsi="Times New Roman" w:cs="Times New Roman" w:eastAsia="Times New Roman" w:hint="default"/>
          <w:spacing w:val="-2"/>
        </w:rPr>
        <w:t>C</w:t>
      </w:r>
      <w:r>
        <w:rPr>
          <w:spacing w:val="-2"/>
        </w:rPr>
        <w:t>、目前公司烟台、济南两大物流基地已投入使用，改善公司的现有物流基地布局，将更好的助推公司业务发展，为公</w:t>
      </w:r>
      <w:r>
        <w:rPr>
          <w:w w:val="100"/>
        </w:rPr>
        <w:t> </w:t>
      </w:r>
      <w:r>
        <w:rPr/>
        <w:t>司的持续快速发展奠定坚实基础。</w:t>
      </w:r>
    </w:p>
    <w:p>
      <w:pPr>
        <w:pStyle w:val="BodyText"/>
        <w:spacing w:line="240" w:lineRule="auto" w:before="69"/>
        <w:ind w:right="93"/>
        <w:jc w:val="left"/>
      </w:pPr>
      <w:r>
        <w:rPr/>
        <w:t>（</w:t>
      </w:r>
      <w:r>
        <w:rPr>
          <w:rFonts w:ascii="Times New Roman" w:hAnsi="Times New Roman" w:cs="Times New Roman" w:eastAsia="Times New Roman" w:hint="default"/>
        </w:rPr>
        <w:t>2</w:t>
      </w:r>
      <w:r>
        <w:rPr/>
        <w:t>）、省外传统业务拓展</w:t>
      </w:r>
    </w:p>
    <w:p>
      <w:pPr>
        <w:pStyle w:val="BodyText"/>
        <w:spacing w:line="240" w:lineRule="auto" w:before="103"/>
        <w:ind w:left="531" w:right="93"/>
        <w:jc w:val="left"/>
      </w:pPr>
      <w:r>
        <w:rPr>
          <w:rFonts w:ascii="Times New Roman" w:hAnsi="Times New Roman" w:cs="Times New Roman" w:eastAsia="Times New Roman" w:hint="default"/>
        </w:rPr>
        <w:t>2015</w:t>
      </w:r>
      <w:r>
        <w:rPr/>
        <w:t>年公司在稳定山东省市场的基础上，将跨省并购医疗器械销售公司，全年完成并购</w:t>
      </w:r>
      <w:r>
        <w:rPr>
          <w:rFonts w:ascii="Times New Roman" w:hAnsi="Times New Roman" w:cs="Times New Roman" w:eastAsia="Times New Roman" w:hint="default"/>
        </w:rPr>
        <w:t>10-20</w:t>
      </w:r>
      <w:r>
        <w:rPr/>
        <w:t>个省份的医疗器械销售公</w:t>
      </w:r>
    </w:p>
    <w:p>
      <w:pPr>
        <w:pStyle w:val="BodyText"/>
        <w:spacing w:line="240" w:lineRule="auto" w:before="63"/>
        <w:ind w:right="93"/>
        <w:jc w:val="left"/>
      </w:pPr>
      <w:r>
        <w:rPr/>
        <w:t>司。</w:t>
      </w:r>
    </w:p>
    <w:p>
      <w:pPr>
        <w:pStyle w:val="BodyText"/>
        <w:spacing w:line="338" w:lineRule="auto" w:before="117"/>
        <w:ind w:left="512" w:right="93" w:hanging="360"/>
        <w:jc w:val="left"/>
      </w:pPr>
      <w:r>
        <w:rPr>
          <w:rFonts w:ascii="Times New Roman" w:hAnsi="Times New Roman" w:cs="Times New Roman" w:eastAsia="Times New Roman" w:hint="default"/>
        </w:rPr>
        <w:t>2</w:t>
      </w:r>
      <w:r>
        <w:rPr/>
        <w:t>、线上创新业务</w:t>
      </w:r>
      <w:r>
        <w:rPr>
          <w:w w:val="100"/>
        </w:rPr>
        <w:t> </w:t>
      </w:r>
      <w:r>
        <w:rPr/>
        <w:t>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迅猛发展的时代，公司以创新驱动转型，大力发展在线服务。中国医改进入深化期，公司紧抓市场机遇，</w:t>
      </w:r>
    </w:p>
    <w:p>
      <w:pPr>
        <w:pStyle w:val="BodyText"/>
        <w:spacing w:line="230" w:lineRule="exact"/>
        <w:ind w:right="93"/>
        <w:jc w:val="left"/>
      </w:pPr>
      <w:r>
        <w:rPr>
          <w:spacing w:val="-3"/>
        </w:rPr>
        <w:t>聚焦全面提升患者用药的</w:t>
      </w:r>
      <w:r>
        <w:rPr>
          <w:rFonts w:ascii="Times New Roman" w:hAnsi="Times New Roman" w:cs="Times New Roman" w:eastAsia="Times New Roman" w:hint="default"/>
          <w:spacing w:val="-3"/>
        </w:rPr>
        <w:t>“</w:t>
      </w:r>
      <w:r>
        <w:rPr>
          <w:spacing w:val="-3"/>
        </w:rPr>
        <w:t>安全性、有效性、经济性、可及性</w:t>
      </w:r>
      <w:r>
        <w:rPr>
          <w:rFonts w:ascii="Times New Roman" w:hAnsi="Times New Roman" w:cs="Times New Roman" w:eastAsia="Times New Roman" w:hint="default"/>
          <w:spacing w:val="-3"/>
        </w:rPr>
        <w:t>”</w:t>
      </w:r>
      <w:r>
        <w:rPr>
          <w:spacing w:val="-3"/>
        </w:rPr>
        <w:t>这一核心目标，充分发挥公司在医药领域多年的深刻理解与丰</w:t>
      </w:r>
    </w:p>
    <w:p>
      <w:pPr>
        <w:pStyle w:val="BodyText"/>
        <w:spacing w:line="300" w:lineRule="auto" w:before="62"/>
        <w:ind w:right="93"/>
        <w:jc w:val="left"/>
      </w:pPr>
      <w:r>
        <w:rPr>
          <w:spacing w:val="-3"/>
        </w:rPr>
        <w:t>富资源，依托先进的信息技术与专业化的交叉领域运营团队，探索建立</w:t>
      </w:r>
      <w:r>
        <w:rPr>
          <w:rFonts w:ascii="Times New Roman" w:hAnsi="Times New Roman" w:cs="Times New Roman" w:eastAsia="Times New Roman" w:hint="default"/>
          <w:spacing w:val="-3"/>
        </w:rPr>
        <w:t>“</w:t>
      </w:r>
      <w:r>
        <w:rPr>
          <w:spacing w:val="-3"/>
        </w:rPr>
        <w:t>临床使用、采购供应、支付理赔、疾病管理</w:t>
      </w:r>
      <w:r>
        <w:rPr>
          <w:rFonts w:ascii="Times New Roman" w:hAnsi="Times New Roman" w:cs="Times New Roman" w:eastAsia="Times New Roman" w:hint="default"/>
          <w:spacing w:val="-3"/>
        </w:rPr>
        <w:t>”</w:t>
      </w:r>
      <w:r>
        <w:rPr>
          <w:spacing w:val="-3"/>
        </w:rPr>
        <w:t>环节的</w:t>
      </w:r>
      <w:r>
        <w:rPr>
          <w:spacing w:val="-27"/>
        </w:rPr>
        <w:t> </w:t>
      </w:r>
      <w:r>
        <w:rPr>
          <w:spacing w:val="-27"/>
        </w:rPr>
      </w:r>
      <w:r>
        <w:rPr/>
        <w:t>合理用药管理与服务闭环，逐步构建完整的线上、线下健康服务体系，助力新医改。</w:t>
      </w:r>
    </w:p>
    <w:p>
      <w:pPr>
        <w:pStyle w:val="BodyText"/>
        <w:spacing w:line="300" w:lineRule="auto" w:before="72"/>
        <w:ind w:right="93" w:firstLine="398"/>
        <w:jc w:val="left"/>
      </w:pPr>
      <w:r>
        <w:rPr>
          <w:rFonts w:ascii="Times New Roman" w:hAnsi="Times New Roman" w:cs="Times New Roman" w:eastAsia="Times New Roman" w:hint="default"/>
          <w:spacing w:val="-2"/>
        </w:rPr>
        <w:t>2015</w:t>
      </w:r>
      <w:r>
        <w:rPr>
          <w:spacing w:val="-2"/>
        </w:rPr>
        <w:t>年，公司将着重在药品福利管理（</w:t>
      </w:r>
      <w:r>
        <w:rPr>
          <w:rFonts w:ascii="Times New Roman" w:hAnsi="Times New Roman" w:cs="Times New Roman" w:eastAsia="Times New Roman" w:hint="default"/>
          <w:spacing w:val="-2"/>
        </w:rPr>
        <w:t>PBM</w:t>
      </w:r>
      <w:r>
        <w:rPr>
          <w:spacing w:val="-2"/>
        </w:rPr>
        <w:t>）、在线药品交易与线下供应服务（</w:t>
      </w:r>
      <w:r>
        <w:rPr>
          <w:rFonts w:ascii="Times New Roman" w:hAnsi="Times New Roman" w:cs="Times New Roman" w:eastAsia="Times New Roman" w:hint="default"/>
          <w:spacing w:val="-2"/>
        </w:rPr>
        <w:t>B2B+O2O</w:t>
      </w:r>
      <w:r>
        <w:rPr>
          <w:spacing w:val="-2"/>
        </w:rPr>
        <w:t>）、远程诊疗与疾病管理等</w:t>
      </w:r>
      <w:r>
        <w:rPr>
          <w:w w:val="100"/>
        </w:rPr>
        <w:t> </w:t>
      </w:r>
      <w:r>
        <w:rPr/>
        <w:t>三大领域拓展相关创新业务。</w:t>
      </w:r>
    </w:p>
    <w:p>
      <w:pPr>
        <w:pStyle w:val="BodyText"/>
        <w:spacing w:line="309" w:lineRule="auto" w:before="72"/>
        <w:ind w:right="189" w:firstLine="215"/>
        <w:jc w:val="both"/>
      </w:pPr>
      <w:r>
        <w:rPr>
          <w:spacing w:val="-2"/>
        </w:rPr>
        <w:t>（</w:t>
      </w:r>
      <w:r>
        <w:rPr>
          <w:rFonts w:ascii="Times New Roman" w:hAnsi="Times New Roman" w:cs="Times New Roman" w:eastAsia="Times New Roman" w:hint="default"/>
          <w:spacing w:val="-2"/>
        </w:rPr>
        <w:t>1</w:t>
      </w:r>
      <w:r>
        <w:rPr>
          <w:spacing w:val="-2"/>
        </w:rPr>
        <w:t>）药品福利管理服务（</w:t>
      </w:r>
      <w:r>
        <w:rPr>
          <w:rFonts w:ascii="Times New Roman" w:hAnsi="Times New Roman" w:cs="Times New Roman" w:eastAsia="Times New Roman" w:hint="default"/>
          <w:spacing w:val="-2"/>
        </w:rPr>
        <w:t>PBM</w:t>
      </w:r>
      <w:r>
        <w:rPr>
          <w:spacing w:val="-2"/>
        </w:rPr>
        <w:t>）：在政府着力推动</w:t>
      </w:r>
      <w:r>
        <w:rPr>
          <w:rFonts w:ascii="Times New Roman" w:hAnsi="Times New Roman" w:cs="Times New Roman" w:eastAsia="Times New Roman" w:hint="default"/>
          <w:spacing w:val="-2"/>
        </w:rPr>
        <w:t>“</w:t>
      </w:r>
      <w:r>
        <w:rPr>
          <w:spacing w:val="-2"/>
        </w:rPr>
        <w:t>以药养医</w:t>
      </w:r>
      <w:r>
        <w:rPr>
          <w:rFonts w:ascii="Times New Roman" w:hAnsi="Times New Roman" w:cs="Times New Roman" w:eastAsia="Times New Roman" w:hint="default"/>
          <w:spacing w:val="-2"/>
        </w:rPr>
        <w:t>”</w:t>
      </w:r>
      <w:r>
        <w:rPr>
          <w:spacing w:val="-2"/>
        </w:rPr>
        <w:t>体制变革与鼓励社会保险机构向第三方机构购买管理服务</w:t>
      </w:r>
      <w:r>
        <w:rPr>
          <w:w w:val="100"/>
        </w:rPr>
        <w:t> </w:t>
      </w:r>
      <w:r>
        <w:rPr>
          <w:spacing w:val="-3"/>
        </w:rPr>
        <w:t>的政策背景下，公司将充分发挥多年的行业积累，通过并购整合与战略性合作相结合的方式整合好人才资源、技术资源与管</w:t>
      </w:r>
      <w:r>
        <w:rPr>
          <w:spacing w:val="-48"/>
        </w:rPr>
        <w:t> </w:t>
      </w:r>
      <w:r>
        <w:rPr>
          <w:spacing w:val="-48"/>
        </w:rPr>
      </w:r>
      <w:r>
        <w:rPr/>
        <w:t>理资源，组建具备丰富医药行业经验与强大的信息技术解决方案实现能力的多领域、专业化服务团队，以</w:t>
      </w:r>
      <w:r>
        <w:rPr>
          <w:rFonts w:ascii="Times New Roman" w:hAnsi="Times New Roman" w:cs="Times New Roman" w:eastAsia="Times New Roman" w:hint="default"/>
        </w:rPr>
        <w:t>“</w:t>
      </w:r>
      <w:r>
        <w:rPr/>
        <w:t>优化临床合理用</w:t>
      </w:r>
    </w:p>
    <w:p>
      <w:pPr>
        <w:spacing w:after="0" w:line="309" w:lineRule="auto"/>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2" w:lineRule="auto" w:before="44"/>
        <w:ind w:right="93"/>
        <w:jc w:val="left"/>
      </w:pPr>
      <w:r>
        <w:rPr/>
        <w:t>药管理</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强化医保支付合规性与合理性管理</w:t>
      </w:r>
      <w:r>
        <w:rPr>
          <w:rFonts w:ascii="Times New Roman" w:hAnsi="Times New Roman" w:cs="Times New Roman" w:eastAsia="Times New Roman" w:hint="default"/>
        </w:rPr>
        <w:t>”</w:t>
      </w:r>
      <w:r>
        <w:rPr/>
        <w:t>为着力点，探索出符合当前医疗服务管理体制与机制、可持续发展的</w:t>
      </w:r>
      <w:r>
        <w:rPr>
          <w:rFonts w:ascii="Times New Roman" w:hAnsi="Times New Roman" w:cs="Times New Roman" w:eastAsia="Times New Roman" w:hint="default"/>
        </w:rPr>
        <w:t>PBM</w:t>
      </w:r>
      <w:r>
        <w:rPr/>
        <w:t>服</w:t>
      </w:r>
      <w:r>
        <w:rPr>
          <w:w w:val="100"/>
        </w:rPr>
        <w:t> </w:t>
      </w:r>
      <w:r>
        <w:rPr>
          <w:spacing w:val="-3"/>
        </w:rPr>
        <w:t>务体系，联合各方共同推进业务覆盖范围，提升服务的专业水平与智能化程度，加速市场布局，探索形成与医疗机构、社会</w:t>
      </w:r>
      <w:r>
        <w:rPr>
          <w:spacing w:val="-52"/>
        </w:rPr>
        <w:t> </w:t>
      </w:r>
      <w:r>
        <w:rPr>
          <w:spacing w:val="-52"/>
        </w:rPr>
      </w:r>
      <w:r>
        <w:rPr>
          <w:spacing w:val="-5"/>
        </w:rPr>
        <w:t>医疗保险管理机构、商业医疗保险机构、药品生产企业及互联网企业在药品福利管理领域的多元化合作模式，实现跨界融合、</w:t>
      </w:r>
      <w:r>
        <w:rPr>
          <w:spacing w:val="-29"/>
        </w:rPr>
        <w:t> </w:t>
      </w:r>
      <w:r>
        <w:rPr>
          <w:spacing w:val="-29"/>
        </w:rPr>
      </w:r>
      <w:r>
        <w:rPr/>
        <w:t>共赢发展。</w:t>
      </w:r>
    </w:p>
    <w:p>
      <w:pPr>
        <w:pStyle w:val="BodyText"/>
        <w:spacing w:line="307" w:lineRule="auto" w:before="63"/>
        <w:ind w:right="93" w:firstLine="215"/>
        <w:jc w:val="left"/>
      </w:pPr>
      <w:r>
        <w:rPr>
          <w:spacing w:val="-2"/>
        </w:rPr>
        <w:t>（</w:t>
      </w:r>
      <w:r>
        <w:rPr>
          <w:rFonts w:ascii="Times New Roman" w:hAnsi="Times New Roman" w:cs="Times New Roman" w:eastAsia="Times New Roman" w:hint="default"/>
          <w:spacing w:val="-2"/>
        </w:rPr>
        <w:t>2</w:t>
      </w:r>
      <w:r>
        <w:rPr>
          <w:spacing w:val="-2"/>
        </w:rPr>
        <w:t>）在线药品交易与线下供应服务（</w:t>
      </w:r>
      <w:r>
        <w:rPr>
          <w:rFonts w:ascii="Times New Roman" w:hAnsi="Times New Roman" w:cs="Times New Roman" w:eastAsia="Times New Roman" w:hint="default"/>
          <w:spacing w:val="-2"/>
        </w:rPr>
        <w:t>B2B+O2O</w:t>
      </w:r>
      <w:r>
        <w:rPr>
          <w:spacing w:val="-2"/>
        </w:rPr>
        <w:t>）：公司在</w:t>
      </w:r>
      <w:r>
        <w:rPr>
          <w:rFonts w:ascii="Times New Roman" w:hAnsi="Times New Roman" w:cs="Times New Roman" w:eastAsia="Times New Roman" w:hint="default"/>
          <w:spacing w:val="-2"/>
        </w:rPr>
        <w:t>2009</w:t>
      </w:r>
      <w:r>
        <w:rPr>
          <w:spacing w:val="-2"/>
        </w:rPr>
        <w:t>年即已取得药品在线交易</w:t>
      </w:r>
      <w:r>
        <w:rPr>
          <w:rFonts w:ascii="Times New Roman" w:hAnsi="Times New Roman" w:cs="Times New Roman" w:eastAsia="Times New Roman" w:hint="default"/>
          <w:spacing w:val="-2"/>
        </w:rPr>
        <w:t>B2B</w:t>
      </w:r>
      <w:r>
        <w:rPr>
          <w:spacing w:val="-2"/>
        </w:rPr>
        <w:t>经营资质，并持续多年开展</w:t>
      </w:r>
      <w:r>
        <w:rPr>
          <w:w w:val="100"/>
        </w:rPr>
        <w:t> </w:t>
      </w:r>
      <w:r>
        <w:rPr>
          <w:spacing w:val="-1"/>
        </w:rPr>
        <w:t>业务。</w:t>
      </w:r>
      <w:r>
        <w:rPr>
          <w:rFonts w:ascii="Times New Roman" w:hAnsi="Times New Roman" w:cs="Times New Roman" w:eastAsia="Times New Roman" w:hint="default"/>
          <w:spacing w:val="-1"/>
        </w:rPr>
        <w:t>2015</w:t>
      </w:r>
      <w:r>
        <w:rPr>
          <w:spacing w:val="-1"/>
        </w:rPr>
        <w:t>年，公司将进一步发挥强大的信息化管理与终端覆盖优势，借鉴海外药品采购组织（</w:t>
      </w:r>
      <w:r>
        <w:rPr>
          <w:rFonts w:ascii="Times New Roman" w:hAnsi="Times New Roman" w:cs="Times New Roman" w:eastAsia="Times New Roman" w:hint="default"/>
          <w:spacing w:val="-1"/>
        </w:rPr>
        <w:t>GPO</w:t>
      </w:r>
      <w:r>
        <w:rPr>
          <w:spacing w:val="-1"/>
        </w:rPr>
        <w:t>）的管理理念与方法，</w:t>
      </w:r>
      <w:r>
        <w:rPr>
          <w:spacing w:val="-73"/>
        </w:rPr>
        <w:t> </w:t>
      </w:r>
      <w:r>
        <w:rPr>
          <w:spacing w:val="-73"/>
        </w:rPr>
      </w:r>
      <w:r>
        <w:rPr>
          <w:spacing w:val="-4"/>
          <w:w w:val="100"/>
        </w:rPr>
        <w:t>通过自主创新团队研发先进的</w:t>
      </w:r>
      <w:r>
        <w:rPr>
          <w:rFonts w:ascii="Times New Roman" w:hAnsi="Times New Roman" w:cs="Times New Roman" w:eastAsia="Times New Roman" w:hint="default"/>
          <w:spacing w:val="-4"/>
          <w:w w:val="100"/>
        </w:rPr>
        <w:t>“</w:t>
      </w:r>
      <w:r>
        <w:rPr>
          <w:spacing w:val="-4"/>
          <w:w w:val="100"/>
        </w:rPr>
        <w:t>在线交易智能优化系统</w:t>
      </w:r>
      <w:r>
        <w:rPr>
          <w:rFonts w:ascii="Times New Roman" w:hAnsi="Times New Roman" w:cs="Times New Roman" w:eastAsia="Times New Roman" w:hint="default"/>
          <w:spacing w:val="-4"/>
          <w:w w:val="100"/>
        </w:rPr>
        <w:t>”</w:t>
      </w:r>
      <w:r>
        <w:rPr>
          <w:spacing w:val="-4"/>
          <w:w w:val="100"/>
        </w:rPr>
        <w:t>，结合线下药品供需关系的深度数据挖掘、交易对接与终端拉动服务，</w:t>
      </w:r>
      <w:r>
        <w:rPr>
          <w:spacing w:val="-74"/>
          <w:w w:val="100"/>
        </w:rPr>
        <w:t> </w:t>
      </w:r>
      <w:r>
        <w:rPr>
          <w:spacing w:val="-74"/>
          <w:w w:val="100"/>
        </w:rPr>
      </w:r>
      <w:r>
        <w:rPr>
          <w:spacing w:val="-3"/>
        </w:rPr>
        <w:t>进一步提升上游供应方与下游采购方的采购决策效率，提升在线交易的服务体验与使用粘性，提高渠道的存货周转效率与资</w:t>
      </w:r>
      <w:r>
        <w:rPr>
          <w:spacing w:val="-52"/>
        </w:rPr>
        <w:t> </w:t>
      </w:r>
      <w:r>
        <w:rPr>
          <w:spacing w:val="-52"/>
        </w:rPr>
      </w:r>
      <w:r>
        <w:rPr>
          <w:spacing w:val="-3"/>
        </w:rPr>
        <w:t>金使用效率，为上下游客户进一步控制成本与风险，做好增值服务，为进一步提升终端用药患者的购药体验与经济性，奠定</w:t>
      </w:r>
      <w:r>
        <w:rPr>
          <w:spacing w:val="-45"/>
        </w:rPr>
        <w:t> </w:t>
      </w:r>
      <w:r>
        <w:rPr>
          <w:spacing w:val="-45"/>
        </w:rPr>
      </w:r>
      <w:r>
        <w:rPr/>
        <w:t>信息化基础。</w:t>
      </w:r>
    </w:p>
    <w:p>
      <w:pPr>
        <w:pStyle w:val="BodyText"/>
        <w:spacing w:line="307" w:lineRule="auto" w:before="64"/>
        <w:ind w:right="93" w:firstLine="215"/>
        <w:jc w:val="left"/>
      </w:pPr>
      <w:r>
        <w:rPr/>
        <w:t>（</w:t>
      </w:r>
      <w:r>
        <w:rPr>
          <w:rFonts w:ascii="Times New Roman" w:hAnsi="Times New Roman" w:cs="Times New Roman" w:eastAsia="Times New Roman" w:hint="default"/>
        </w:rPr>
        <w:t>3</w:t>
      </w:r>
      <w:r>
        <w:rPr/>
        <w:t>）远程诊疗与疾病管理服务：公司将深刻领悟并严格遵循有关部门在</w:t>
      </w:r>
      <w:r>
        <w:rPr>
          <w:rFonts w:ascii="Times New Roman" w:hAnsi="Times New Roman" w:cs="Times New Roman" w:eastAsia="Times New Roman" w:hint="default"/>
        </w:rPr>
        <w:t>“</w:t>
      </w:r>
      <w:r>
        <w:rPr/>
        <w:t>远程医疗服务</w:t>
      </w:r>
      <w:r>
        <w:rPr>
          <w:rFonts w:ascii="Times New Roman" w:hAnsi="Times New Roman" w:cs="Times New Roman" w:eastAsia="Times New Roman" w:hint="default"/>
        </w:rPr>
        <w:t>”</w:t>
      </w:r>
      <w:r>
        <w:rPr/>
        <w:t>领域核心规范性文件的出发点、</w:t>
      </w:r>
      <w:r>
        <w:rPr>
          <w:w w:val="100"/>
        </w:rPr>
        <w:t> </w:t>
      </w:r>
      <w:r>
        <w:rPr>
          <w:spacing w:val="-4"/>
        </w:rPr>
        <w:t>着眼点与监管措施，在确保远程医疗服务的</w:t>
      </w:r>
      <w:r>
        <w:rPr>
          <w:rFonts w:ascii="Times New Roman" w:hAnsi="Times New Roman" w:cs="Times New Roman" w:eastAsia="Times New Roman" w:hint="default"/>
          <w:spacing w:val="-4"/>
        </w:rPr>
        <w:t>“</w:t>
      </w:r>
      <w:r>
        <w:rPr>
          <w:spacing w:val="-4"/>
        </w:rPr>
        <w:t>安全、质量、合规</w:t>
      </w:r>
      <w:r>
        <w:rPr>
          <w:rFonts w:ascii="Times New Roman" w:hAnsi="Times New Roman" w:cs="Times New Roman" w:eastAsia="Times New Roman" w:hint="default"/>
          <w:spacing w:val="-4"/>
        </w:rPr>
        <w:t>”</w:t>
      </w:r>
      <w:r>
        <w:rPr>
          <w:spacing w:val="-4"/>
        </w:rPr>
        <w:t>的前提下，遴选临床供需矛盾突出、信息技术解决方案成熟、</w:t>
      </w:r>
      <w:r>
        <w:rPr>
          <w:spacing w:val="-57"/>
        </w:rPr>
        <w:t> </w:t>
      </w:r>
      <w:r>
        <w:rPr>
          <w:spacing w:val="-57"/>
        </w:rPr>
      </w:r>
      <w:r>
        <w:rPr>
          <w:spacing w:val="-3"/>
        </w:rPr>
        <w:t>收费服务模式清晰的细分治疗领域，与临床医疗机构开展深入合作，充分引进基于移动互联网平台的先进管理模式与运营团</w:t>
      </w:r>
      <w:r>
        <w:rPr>
          <w:spacing w:val="-51"/>
        </w:rPr>
        <w:t> </w:t>
      </w:r>
      <w:r>
        <w:rPr>
          <w:spacing w:val="-51"/>
        </w:rPr>
      </w:r>
      <w:r>
        <w:rPr>
          <w:spacing w:val="-4"/>
        </w:rPr>
        <w:t>队，重点聚焦</w:t>
      </w:r>
      <w:r>
        <w:rPr>
          <w:rFonts w:ascii="Times New Roman" w:hAnsi="Times New Roman" w:cs="Times New Roman" w:eastAsia="Times New Roman" w:hint="default"/>
          <w:spacing w:val="-4"/>
        </w:rPr>
        <w:t>“</w:t>
      </w:r>
      <w:r>
        <w:rPr>
          <w:spacing w:val="-4"/>
        </w:rPr>
        <w:t>高发病率、高依从性、高转化率与高附加值</w:t>
      </w:r>
      <w:r>
        <w:rPr>
          <w:rFonts w:ascii="Times New Roman" w:hAnsi="Times New Roman" w:cs="Times New Roman" w:eastAsia="Times New Roman" w:hint="default"/>
          <w:spacing w:val="-4"/>
        </w:rPr>
        <w:t>”</w:t>
      </w:r>
      <w:r>
        <w:rPr>
          <w:spacing w:val="-4"/>
        </w:rPr>
        <w:t>的患者疾病管理，推动远程诊疗服务与公司配套业务的有序发展。</w:t>
      </w:r>
    </w:p>
    <w:p>
      <w:pPr>
        <w:pStyle w:val="BodyText"/>
        <w:spacing w:line="312" w:lineRule="auto" w:before="48"/>
        <w:ind w:right="192" w:firstLine="359"/>
        <w:jc w:val="both"/>
      </w:pPr>
      <w:r>
        <w:rPr>
          <w:rFonts w:ascii="Times New Roman" w:hAnsi="Times New Roman" w:cs="Times New Roman" w:eastAsia="Times New Roman" w:hint="default"/>
          <w:spacing w:val="-3"/>
        </w:rPr>
        <w:t>2015</w:t>
      </w:r>
      <w:r>
        <w:rPr>
          <w:spacing w:val="-3"/>
        </w:rPr>
        <w:t>年，公司将发挥兼并收购与战略合作等多重优势，实现相关领域快速布局、快速落地、快速发展；完成互联网商务</w:t>
      </w:r>
      <w:r>
        <w:rPr>
          <w:w w:val="100"/>
        </w:rPr>
        <w:t> </w:t>
      </w:r>
      <w:r>
        <w:rPr>
          <w:spacing w:val="-3"/>
        </w:rPr>
        <w:t>平台建设；完成从药品信息发布到在线交易、在线支付的全过程；完成医药生产企业、医药商业企业、医院、药店、个人等</w:t>
      </w:r>
      <w:r>
        <w:rPr>
          <w:spacing w:val="-53"/>
        </w:rPr>
        <w:t> </w:t>
      </w:r>
      <w:r>
        <w:rPr>
          <w:spacing w:val="-53"/>
        </w:rPr>
      </w:r>
      <w:r>
        <w:rPr>
          <w:spacing w:val="-3"/>
        </w:rPr>
        <w:t>销售终端直接联系的模式；完成信息、物品、资金的统一；加强对线下已有实体的经营拓展，完成线上线下服务闭环，进一</w:t>
      </w:r>
      <w:r>
        <w:rPr>
          <w:spacing w:val="-50"/>
        </w:rPr>
        <w:t> </w:t>
      </w:r>
      <w:r>
        <w:rPr>
          <w:spacing w:val="-50"/>
        </w:rPr>
      </w:r>
      <w:r>
        <w:rPr/>
        <w:t>步提升公司整体市场竞争力。</w:t>
      </w:r>
    </w:p>
    <w:p>
      <w:pPr>
        <w:pStyle w:val="BodyText"/>
        <w:spacing w:line="240" w:lineRule="auto" w:before="63"/>
        <w:ind w:left="224" w:right="93"/>
        <w:jc w:val="left"/>
      </w:pPr>
      <w:r>
        <w:rPr>
          <w:rFonts w:ascii="Times New Roman" w:hAnsi="Times New Roman" w:cs="Times New Roman" w:eastAsia="Times New Roman" w:hint="default"/>
        </w:rPr>
        <w:t>3</w:t>
      </w:r>
      <w:r>
        <w:rPr/>
        <w:t>、医疗服务版块</w:t>
      </w:r>
    </w:p>
    <w:p>
      <w:pPr>
        <w:pStyle w:val="BodyText"/>
        <w:spacing w:line="240" w:lineRule="auto" w:before="101"/>
        <w:ind w:left="368" w:right="93"/>
        <w:jc w:val="left"/>
      </w:pPr>
      <w:r>
        <w:rPr/>
        <w:t>（</w:t>
      </w:r>
      <w:r>
        <w:rPr>
          <w:rFonts w:ascii="Times New Roman" w:hAnsi="Times New Roman" w:cs="Times New Roman" w:eastAsia="Times New Roman" w:hint="default"/>
        </w:rPr>
        <w:t>1</w:t>
      </w:r>
      <w:r>
        <w:rPr/>
        <w:t>）拓展院内物流业务</w:t>
      </w:r>
    </w:p>
    <w:p>
      <w:pPr>
        <w:pStyle w:val="BodyText"/>
        <w:spacing w:line="240" w:lineRule="auto" w:before="103"/>
        <w:ind w:left="368" w:right="93"/>
        <w:jc w:val="left"/>
      </w:pPr>
      <w:r>
        <w:rPr/>
        <w:t>（</w:t>
      </w:r>
      <w:r>
        <w:rPr>
          <w:rFonts w:ascii="Times New Roman" w:hAnsi="Times New Roman" w:cs="Times New Roman" w:eastAsia="Times New Roman" w:hint="default"/>
        </w:rPr>
        <w:t>2</w:t>
      </w:r>
      <w:r>
        <w:rPr/>
        <w:t>）拓展医院化验室投放业务</w:t>
      </w:r>
    </w:p>
    <w:p>
      <w:pPr>
        <w:pStyle w:val="BodyText"/>
        <w:spacing w:line="240" w:lineRule="auto" w:before="103"/>
        <w:ind w:left="368" w:right="93"/>
        <w:jc w:val="left"/>
      </w:pPr>
      <w:r>
        <w:rPr/>
        <w:t>（</w:t>
      </w:r>
      <w:r>
        <w:rPr>
          <w:rFonts w:ascii="Times New Roman" w:hAnsi="Times New Roman" w:cs="Times New Roman" w:eastAsia="Times New Roman" w:hint="default"/>
        </w:rPr>
        <w:t>3</w:t>
      </w:r>
      <w:r>
        <w:rPr/>
        <w:t>）拓展医用织物洗涤配送业务</w:t>
      </w:r>
    </w:p>
    <w:p>
      <w:pPr>
        <w:pStyle w:val="BodyText"/>
        <w:spacing w:line="340" w:lineRule="auto" w:before="101"/>
        <w:ind w:left="440" w:right="2144" w:hanging="72"/>
        <w:jc w:val="left"/>
      </w:pPr>
      <w:r>
        <w:rPr/>
        <w:t>（</w:t>
      </w:r>
      <w:r>
        <w:rPr>
          <w:rFonts w:ascii="Times New Roman" w:hAnsi="Times New Roman" w:cs="Times New Roman" w:eastAsia="Times New Roman" w:hint="default"/>
        </w:rPr>
        <w:t>4</w:t>
      </w:r>
      <w:r>
        <w:rPr/>
        <w:t>）拓展手术器械消毒灭菌配送服务业务</w:t>
      </w:r>
      <w:r>
        <w:rPr>
          <w:w w:val="100"/>
        </w:rPr>
        <w:t> </w:t>
      </w:r>
      <w:r>
        <w:rPr>
          <w:spacing w:val="-1"/>
        </w:rPr>
        <w:t>更好、更全面的服务于医疗机构，提升公司综合实力，提高竞争优势。</w:t>
      </w:r>
    </w:p>
    <w:p>
      <w:pPr>
        <w:pStyle w:val="BodyText"/>
        <w:spacing w:line="338" w:lineRule="auto" w:before="41"/>
        <w:ind w:left="512" w:right="93" w:hanging="216"/>
        <w:jc w:val="left"/>
      </w:pPr>
      <w:r>
        <w:rPr>
          <w:rFonts w:ascii="Times New Roman" w:hAnsi="Times New Roman" w:cs="Times New Roman" w:eastAsia="Times New Roman" w:hint="default"/>
        </w:rPr>
        <w:t>4</w:t>
      </w:r>
      <w:r>
        <w:rPr/>
        <w:t>、精细化管理</w:t>
      </w:r>
      <w:r>
        <w:rPr>
          <w:w w:val="100"/>
        </w:rPr>
        <w:t> </w:t>
      </w:r>
      <w:r>
        <w:rPr>
          <w:spacing w:val="-1"/>
        </w:rPr>
        <w:t>加强公司内部管理，从方案、制度和流程三方面细化人力资源成本、采购成本、物流成本、质量控制成本、销售费用、</w:t>
      </w:r>
    </w:p>
    <w:p>
      <w:pPr>
        <w:pStyle w:val="BodyText"/>
        <w:spacing w:line="316" w:lineRule="auto" w:before="2"/>
        <w:ind w:right="93"/>
        <w:jc w:val="left"/>
      </w:pPr>
      <w:r>
        <w:rPr>
          <w:spacing w:val="-3"/>
        </w:rPr>
        <w:t>管理费用、财务费用等成本费用的控制，充分利用公司信息技术的支持，继续坚持对企业成本费用的精细化管理，进一步提</w:t>
      </w:r>
      <w:r>
        <w:rPr>
          <w:spacing w:val="-43"/>
        </w:rPr>
        <w:t> </w:t>
      </w:r>
      <w:r>
        <w:rPr>
          <w:spacing w:val="-43"/>
        </w:rPr>
      </w:r>
      <w:r>
        <w:rPr/>
        <w:t>高公司的盈利能力。</w:t>
      </w:r>
    </w:p>
    <w:p>
      <w:pPr>
        <w:pStyle w:val="BodyText"/>
        <w:spacing w:line="240" w:lineRule="auto" w:before="59"/>
        <w:ind w:left="301" w:right="93"/>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年营业收入预计超过</w:t>
      </w:r>
      <w:r>
        <w:rPr>
          <w:rFonts w:ascii="Times New Roman" w:hAnsi="Times New Roman" w:cs="Times New Roman" w:eastAsia="Times New Roman" w:hint="default"/>
        </w:rPr>
        <w:t>100</w:t>
      </w:r>
      <w:r>
        <w:rPr/>
        <w:t>亿元，增长</w:t>
      </w:r>
      <w:r>
        <w:rPr>
          <w:rFonts w:ascii="Times New Roman" w:hAnsi="Times New Roman" w:cs="Times New Roman" w:eastAsia="Times New Roman" w:hint="default"/>
        </w:rPr>
        <w:t>30%-60%</w:t>
      </w:r>
      <w:r>
        <w:rPr/>
        <w:t>。</w:t>
      </w:r>
    </w:p>
    <w:p>
      <w:pPr>
        <w:pStyle w:val="Heading4"/>
        <w:spacing w:line="240" w:lineRule="auto" w:before="103"/>
        <w:ind w:right="93"/>
        <w:jc w:val="left"/>
        <w:rPr>
          <w:b w:val="0"/>
          <w:bCs w:val="0"/>
        </w:rPr>
      </w:pPr>
      <w:r>
        <w:rPr/>
        <w:t>（三）、公司面临的风险和对策</w:t>
      </w:r>
      <w:r>
        <w:rPr>
          <w:b w:val="0"/>
          <w:bCs w:val="0"/>
        </w:rPr>
      </w:r>
    </w:p>
    <w:p>
      <w:pPr>
        <w:pStyle w:val="BodyText"/>
        <w:spacing w:line="240" w:lineRule="auto" w:before="115"/>
        <w:ind w:left="224" w:right="93"/>
        <w:jc w:val="left"/>
      </w:pPr>
      <w:r>
        <w:rPr>
          <w:rFonts w:ascii="Times New Roman" w:hAnsi="Times New Roman" w:cs="Times New Roman" w:eastAsia="Times New Roman" w:hint="default"/>
        </w:rPr>
        <w:t>1</w:t>
      </w:r>
      <w:r>
        <w:rPr/>
        <w:t>、政策影响</w:t>
      </w:r>
    </w:p>
    <w:p>
      <w:pPr>
        <w:pStyle w:val="BodyText"/>
        <w:spacing w:line="309" w:lineRule="auto" w:before="103"/>
        <w:ind w:right="189" w:firstLine="359"/>
        <w:jc w:val="both"/>
      </w:pPr>
      <w:r>
        <w:rPr>
          <w:rFonts w:ascii="Times New Roman" w:hAnsi="Times New Roman" w:cs="Times New Roman" w:eastAsia="Times New Roman" w:hint="default"/>
          <w:spacing w:val="-3"/>
        </w:rPr>
        <w:t>2015</w:t>
      </w:r>
      <w:r>
        <w:rPr>
          <w:spacing w:val="-3"/>
        </w:rPr>
        <w:t>年医药行业将迎招标大年，各地的基药招标启动、基药使用比例提升等政策因素，将对销售产生一定的影响。公司</w:t>
      </w:r>
      <w:r>
        <w:rPr>
          <w:w w:val="100"/>
        </w:rPr>
        <w:t> </w:t>
      </w:r>
      <w:r>
        <w:rPr>
          <w:spacing w:val="-3"/>
        </w:rPr>
        <w:t>将加强对医改政策的研究，适应市场的变化，加强招标管理和空白市场的开发，同时加强药品、器械业务的拓展及医疗服务</w:t>
      </w:r>
      <w:r>
        <w:rPr>
          <w:spacing w:val="-44"/>
        </w:rPr>
        <w:t> </w:t>
      </w:r>
      <w:r>
        <w:rPr>
          <w:spacing w:val="-44"/>
        </w:rPr>
      </w:r>
      <w:r>
        <w:rPr/>
        <w:t>业的布局整合。</w:t>
      </w:r>
    </w:p>
    <w:p>
      <w:pPr>
        <w:pStyle w:val="BodyText"/>
        <w:spacing w:line="338" w:lineRule="auto" w:before="65"/>
        <w:ind w:left="512" w:right="93" w:hanging="289"/>
        <w:jc w:val="left"/>
      </w:pPr>
      <w:r>
        <w:rPr>
          <w:rFonts w:ascii="Times New Roman" w:hAnsi="Times New Roman" w:cs="Times New Roman" w:eastAsia="Times New Roman" w:hint="default"/>
        </w:rPr>
        <w:t>2</w:t>
      </w:r>
      <w:r>
        <w:rPr/>
        <w:t>、资金需求</w:t>
      </w:r>
      <w:r>
        <w:rPr>
          <w:w w:val="100"/>
        </w:rPr>
        <w:t> </w:t>
      </w:r>
      <w:r>
        <w:rPr>
          <w:spacing w:val="-3"/>
        </w:rPr>
        <w:t>随着企业经营规模的扩大，形成阶段性的资金需求压力。公司将努力提高现金资本管理水平，提高对资金需求及其波动</w:t>
      </w:r>
    </w:p>
    <w:p>
      <w:pPr>
        <w:pStyle w:val="BodyText"/>
        <w:spacing w:line="240" w:lineRule="auto" w:before="2"/>
        <w:ind w:right="93"/>
        <w:jc w:val="left"/>
      </w:pPr>
      <w:r>
        <w:rPr/>
        <w:t>性预测能力，制定应急筹资计划。</w:t>
      </w:r>
    </w:p>
    <w:p>
      <w:pPr>
        <w:pStyle w:val="BodyText"/>
        <w:spacing w:line="340" w:lineRule="auto" w:before="117"/>
        <w:ind w:left="512" w:right="93" w:hanging="289"/>
        <w:jc w:val="left"/>
      </w:pPr>
      <w:r>
        <w:rPr>
          <w:rFonts w:ascii="Times New Roman" w:hAnsi="Times New Roman" w:cs="Times New Roman" w:eastAsia="Times New Roman" w:hint="default"/>
        </w:rPr>
        <w:t>3</w:t>
      </w:r>
      <w:r>
        <w:rPr/>
        <w:t>、应收账款</w:t>
      </w:r>
      <w:r>
        <w:rPr>
          <w:w w:val="100"/>
        </w:rPr>
        <w:t> </w:t>
      </w:r>
      <w:r>
        <w:rPr>
          <w:spacing w:val="-3"/>
        </w:rPr>
        <w:t>随着公司经营规模的不断扩大，应收账款同步上升。如果应收账款催讨不力或控制不当，可能形成坏账，给公司造成损</w:t>
      </w:r>
    </w:p>
    <w:p>
      <w:pPr>
        <w:pStyle w:val="BodyText"/>
        <w:spacing w:line="316" w:lineRule="auto" w:before="1"/>
        <w:ind w:right="93"/>
        <w:jc w:val="left"/>
      </w:pPr>
      <w:r>
        <w:rPr>
          <w:spacing w:val="-3"/>
        </w:rPr>
        <w:t>失。公司高度重视风险管控工作，加强销售客户的授信管理，加大对应收账款的管控力度，加强风险管理培训工作，强化员</w:t>
      </w:r>
      <w:r>
        <w:rPr>
          <w:spacing w:val="-52"/>
        </w:rPr>
        <w:t> </w:t>
      </w:r>
      <w:r>
        <w:rPr>
          <w:spacing w:val="-52"/>
        </w:rPr>
      </w:r>
      <w:r>
        <w:rPr/>
        <w:t>工的风险意识，提高风险防范能力。</w:t>
      </w:r>
    </w:p>
    <w:p>
      <w:pPr>
        <w:pStyle w:val="BodyText"/>
        <w:spacing w:line="240" w:lineRule="auto" w:before="57"/>
        <w:ind w:left="296" w:right="93"/>
        <w:jc w:val="left"/>
      </w:pPr>
      <w:r>
        <w:rPr>
          <w:rFonts w:ascii="Times New Roman" w:hAnsi="Times New Roman" w:cs="Times New Roman" w:eastAsia="Times New Roman" w:hint="default"/>
        </w:rPr>
        <w:t>4</w:t>
      </w:r>
      <w:r>
        <w:rPr/>
        <w:t>、存货风险</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49" w:firstLine="359"/>
        <w:jc w:val="both"/>
      </w:pPr>
      <w:r>
        <w:rPr>
          <w:spacing w:val="-3"/>
        </w:rPr>
        <w:t>随着业务规模的扩张，公司的存货规模也增长迅速，公司目前已具备较高的库存管理能力，但若公司不能有效地实行库</w:t>
      </w:r>
      <w:r>
        <w:rPr>
          <w:w w:val="100"/>
        </w:rPr>
        <w:t> </w:t>
      </w:r>
      <w:r>
        <w:rPr/>
        <w:t>存管理，则公司将面临一定的资金压力。</w:t>
      </w:r>
    </w:p>
    <w:p>
      <w:pPr>
        <w:pStyle w:val="BodyText"/>
        <w:spacing w:line="240" w:lineRule="auto" w:before="59"/>
        <w:ind w:right="0"/>
        <w:jc w:val="left"/>
      </w:pPr>
      <w:r>
        <w:rPr>
          <w:rFonts w:ascii="Times New Roman" w:hAnsi="Times New Roman" w:cs="Times New Roman" w:eastAsia="Times New Roman" w:hint="default"/>
        </w:rPr>
        <w:t>5</w:t>
      </w:r>
      <w:r>
        <w:rPr/>
        <w:t>、管理风险</w:t>
      </w:r>
    </w:p>
    <w:p>
      <w:pPr>
        <w:pStyle w:val="BodyText"/>
        <w:spacing w:line="312" w:lineRule="auto" w:before="101"/>
        <w:ind w:right="149" w:firstLine="359"/>
        <w:jc w:val="both"/>
      </w:pPr>
      <w:r>
        <w:rPr>
          <w:spacing w:val="-3"/>
        </w:rPr>
        <w:t>内生性增长和外延式扩展并存的发展模式是公司</w:t>
      </w:r>
      <w:r>
        <w:rPr>
          <w:rFonts w:ascii="Times New Roman" w:hAnsi="Times New Roman" w:cs="Times New Roman" w:eastAsia="Times New Roman" w:hint="default"/>
          <w:spacing w:val="-3"/>
        </w:rPr>
        <w:t>“</w:t>
      </w:r>
      <w:r>
        <w:rPr>
          <w:spacing w:val="-3"/>
        </w:rPr>
        <w:t>做专做强</w:t>
      </w:r>
      <w:r>
        <w:rPr>
          <w:rFonts w:ascii="Times New Roman" w:hAnsi="Times New Roman" w:cs="Times New Roman" w:eastAsia="Times New Roman" w:hint="default"/>
          <w:spacing w:val="-3"/>
        </w:rPr>
        <w:t>”</w:t>
      </w:r>
      <w:r>
        <w:rPr>
          <w:spacing w:val="-3"/>
        </w:rPr>
        <w:t>的必经之路。随着公司自身经营规模的不断扩大，高级管理</w:t>
      </w:r>
      <w:r>
        <w:rPr>
          <w:w w:val="100"/>
        </w:rPr>
        <w:t> </w:t>
      </w:r>
      <w:r>
        <w:rPr>
          <w:spacing w:val="-3"/>
        </w:rPr>
        <w:t>人才持续引入，公司运营管理难度不断提升；而通过兼并收购实现公司快速扩张更对公司管理整合能力提出更高的挑战，虽</w:t>
      </w:r>
      <w:r>
        <w:rPr>
          <w:spacing w:val="-49"/>
        </w:rPr>
        <w:t> </w:t>
      </w:r>
      <w:r>
        <w:rPr>
          <w:spacing w:val="-49"/>
        </w:rPr>
      </w:r>
      <w:r>
        <w:rPr>
          <w:spacing w:val="-3"/>
        </w:rPr>
        <w:t>然之前有过成功的收购，但其伴生的风险不可避免，但是公司将建立更加有针对性的激励和约束机制，充分调动公司整个团</w:t>
      </w:r>
      <w:r>
        <w:rPr>
          <w:spacing w:val="-47"/>
        </w:rPr>
        <w:t> </w:t>
      </w:r>
      <w:r>
        <w:rPr>
          <w:spacing w:val="-47"/>
        </w:rPr>
      </w:r>
      <w:r>
        <w:rPr/>
        <w:t>队的积极性，加强对子公司、分公司及各部门的科学管理，有效减少或规避公司快速发展带来的风险。</w:t>
      </w:r>
    </w:p>
    <w:p>
      <w:pPr>
        <w:pStyle w:val="BodyText"/>
        <w:spacing w:line="340" w:lineRule="auto" w:before="63"/>
        <w:ind w:left="531" w:right="0" w:hanging="380"/>
        <w:jc w:val="left"/>
      </w:pPr>
      <w:r>
        <w:rPr>
          <w:rFonts w:ascii="Times New Roman" w:hAnsi="Times New Roman" w:cs="Times New Roman" w:eastAsia="Times New Roman" w:hint="default"/>
        </w:rPr>
        <w:t>6</w:t>
      </w:r>
      <w:r>
        <w:rPr/>
        <w:t>、跨区域经营风险</w:t>
      </w:r>
      <w:r>
        <w:rPr>
          <w:w w:val="100"/>
        </w:rPr>
        <w:t> </w:t>
      </w:r>
      <w:r>
        <w:rPr/>
        <w:t>公司通过多年在山东省的精耕细作，现已发展成为山东省医药、器械配送的龙头企业。未来公司计划跨省发展，如果</w:t>
      </w:r>
    </w:p>
    <w:p>
      <w:pPr>
        <w:pStyle w:val="BodyText"/>
        <w:spacing w:line="240" w:lineRule="auto"/>
        <w:ind w:right="0"/>
        <w:jc w:val="left"/>
      </w:pPr>
      <w:r>
        <w:rPr/>
        <w:t>公司不能根据各区域特点及时调整，将面临跨区域经营的风险。</w:t>
      </w:r>
    </w:p>
    <w:p>
      <w:pPr>
        <w:pStyle w:val="BodyText"/>
        <w:spacing w:line="340" w:lineRule="auto" w:before="115"/>
        <w:ind w:left="512" w:right="0" w:hanging="289"/>
        <w:jc w:val="left"/>
      </w:pPr>
      <w:r>
        <w:rPr>
          <w:rFonts w:ascii="Times New Roman" w:hAnsi="Times New Roman" w:cs="Times New Roman" w:eastAsia="Times New Roman" w:hint="default"/>
        </w:rPr>
        <w:t>7</w:t>
      </w:r>
      <w:r>
        <w:rPr/>
        <w:t>、公司线上业务面临的风险及措施</w:t>
      </w:r>
      <w:r>
        <w:rPr>
          <w:w w:val="100"/>
        </w:rPr>
        <w:t> </w:t>
      </w:r>
      <w:r>
        <w:rPr>
          <w:spacing w:val="-3"/>
        </w:rPr>
        <w:t>公司的医药电子交易和电子商务以及医药福利管理业务均与国家医疗体制改革密切相关，有一定的政策风险。公司将随</w:t>
      </w:r>
    </w:p>
    <w:p>
      <w:pPr>
        <w:pStyle w:val="BodyText"/>
        <w:spacing w:line="319" w:lineRule="auto"/>
        <w:ind w:right="0"/>
        <w:jc w:val="left"/>
      </w:pPr>
      <w:r>
        <w:rPr>
          <w:spacing w:val="-3"/>
        </w:rPr>
        <w:t>时关注国家医药卫生政策的发展变动趋势，认真研究各项政策和客户需求，合理安排项目规模和进度。同时结合业务实践在</w:t>
      </w:r>
      <w:r>
        <w:rPr>
          <w:spacing w:val="-48"/>
        </w:rPr>
        <w:t> </w:t>
      </w:r>
      <w:r>
        <w:rPr>
          <w:spacing w:val="-48"/>
        </w:rPr>
      </w:r>
      <w:r>
        <w:rPr/>
        <w:t>原有业务模式基础上积极创新，增强企业对经营环境的适应性，最大限度地降低政策变化可能带来的经营风险。</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九、董事会、监事会对会计师事务所本报告期“非标准审计报告”的说明 " w:id="47"/>
      <w:bookmarkEnd w:id="47"/>
      <w:r>
        <w:rPr>
          <w:b w:val="0"/>
          <w:bCs w:val="0"/>
        </w:rPr>
      </w:r>
      <w:r>
        <w:rPr/>
        <w:t>九、董事会、监事会对会计师事务所本报告期“非标准审计报告”的说明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上年度财务报告相比，会计政策、会计估计和核算方法发生变化的情况说明 " w:id="48"/>
      <w:bookmarkEnd w:id="48"/>
      <w:r>
        <w:rPr>
          <w:b w:val="0"/>
          <w:bCs w:val="0"/>
        </w:rPr>
      </w:r>
      <w:r>
        <w:rPr/>
        <w:t>十、与上年度财务报告相比，会计政策、会计估计和核算方法发生变化的情况说明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2" w:right="5260" w:hanging="360"/>
        <w:jc w:val="left"/>
      </w:pPr>
      <w:r>
        <w:rPr/>
        <w:t>√ 适用 □ 不适用</w:t>
      </w:r>
      <w:r>
        <w:rPr>
          <w:w w:val="100"/>
        </w:rPr>
        <w:t> </w:t>
      </w:r>
      <w:r>
        <w:rPr>
          <w:spacing w:val="-1"/>
        </w:rPr>
        <w:t>因执行新企业会计准则导致的会计政策变更</w:t>
      </w:r>
    </w:p>
    <w:p>
      <w:pPr>
        <w:pStyle w:val="BodyText"/>
        <w:spacing w:line="236" w:lineRule="exact"/>
        <w:ind w:left="512" w:right="0"/>
        <w:jc w:val="left"/>
      </w:pPr>
      <w:r>
        <w:rPr>
          <w:rFonts w:ascii="Times New Roman" w:hAnsi="Times New Roman" w:cs="Times New Roman" w:eastAsia="Times New Roman" w:hint="default"/>
        </w:rPr>
        <w:t>2014</w:t>
      </w:r>
      <w:r>
        <w:rPr/>
        <w:t>年初，财政部分别以财会</w:t>
      </w:r>
      <w:r>
        <w:rPr>
          <w:rFonts w:ascii="Times New Roman" w:hAnsi="Times New Roman" w:cs="Times New Roman" w:eastAsia="Times New Roman" w:hint="default"/>
        </w:rPr>
        <w:t>[2014]6</w:t>
      </w:r>
      <w:r>
        <w:rPr/>
        <w:t>号、</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10</w:t>
      </w:r>
      <w:r>
        <w:rPr/>
        <w:t>号、</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14</w:t>
      </w:r>
      <w:r>
        <w:rPr/>
        <w:t>号及</w:t>
      </w:r>
      <w:r>
        <w:rPr>
          <w:rFonts w:ascii="Times New Roman" w:hAnsi="Times New Roman" w:cs="Times New Roman" w:eastAsia="Times New Roman" w:hint="default"/>
        </w:rPr>
        <w:t>16</w:t>
      </w:r>
      <w:r>
        <w:rPr/>
        <w:t>号发布了《企业会计准则第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w:t>
      </w:r>
    </w:p>
    <w:p>
      <w:pPr>
        <w:pStyle w:val="BodyText"/>
        <w:spacing w:line="300" w:lineRule="auto" w:before="63"/>
        <w:ind w:right="0"/>
        <w:jc w:val="left"/>
      </w:pPr>
      <w:r>
        <w:rPr>
          <w:spacing w:val="-1"/>
        </w:rPr>
        <w:t>价值计量》、《企业会计准则第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w:t>
      </w:r>
      <w:r>
        <w:rPr>
          <w:rFonts w:ascii="Times New Roman" w:hAnsi="Times New Roman" w:cs="Times New Roman" w:eastAsia="Times New Roman" w:hint="default"/>
          <w:spacing w:val="-1"/>
        </w:rPr>
        <w:t>2014</w:t>
      </w:r>
      <w:r>
        <w:rPr>
          <w:spacing w:val="-1"/>
        </w:rPr>
        <w:t>年修订）》、《企业会计准则第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职工薪酬（</w:t>
      </w:r>
      <w:r>
        <w:rPr>
          <w:rFonts w:ascii="Times New Roman" w:hAnsi="Times New Roman" w:cs="Times New Roman" w:eastAsia="Times New Roman" w:hint="default"/>
          <w:spacing w:val="-1"/>
        </w:rPr>
        <w:t>2014</w:t>
      </w:r>
      <w:r>
        <w:rPr>
          <w:spacing w:val="-1"/>
        </w:rPr>
        <w:t>年修</w:t>
      </w:r>
      <w:r>
        <w:rPr>
          <w:spacing w:val="-64"/>
        </w:rPr>
        <w:t> </w:t>
      </w:r>
      <w:r>
        <w:rPr>
          <w:spacing w:val="-64"/>
        </w:rPr>
      </w:r>
      <w:r>
        <w:rPr>
          <w:spacing w:val="-3"/>
        </w:rPr>
        <w:t>订）》、《企业会计准则第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w:t>
      </w:r>
      <w:r>
        <w:rPr>
          <w:rFonts w:ascii="Times New Roman" w:hAnsi="Times New Roman" w:cs="Times New Roman" w:eastAsia="Times New Roman" w:hint="default"/>
          <w:spacing w:val="-3"/>
        </w:rPr>
        <w:t>2014</w:t>
      </w:r>
      <w:r>
        <w:rPr>
          <w:spacing w:val="-3"/>
        </w:rPr>
        <w:t>年修订）》、《企业会计准则第</w:t>
      </w:r>
      <w:r>
        <w:rPr>
          <w:rFonts w:ascii="Times New Roman" w:hAnsi="Times New Roman" w:cs="Times New Roman" w:eastAsia="Times New Roman" w:hint="default"/>
          <w:spacing w:val="-3"/>
        </w:rPr>
        <w:t>40</w:t>
      </w:r>
      <w:r>
        <w:rPr>
          <w:spacing w:val="-3"/>
        </w:rPr>
        <w:t>号</w:t>
      </w:r>
      <w:r>
        <w:rPr>
          <w:rFonts w:ascii="Times New Roman" w:hAnsi="Times New Roman" w:cs="Times New Roman" w:eastAsia="Times New Roman" w:hint="default"/>
          <w:spacing w:val="-3"/>
        </w:rPr>
        <w:t>——</w:t>
      </w:r>
      <w:r>
        <w:rPr>
          <w:spacing w:val="-3"/>
        </w:rPr>
        <w:t>合营安排》、《企业会计</w:t>
      </w:r>
      <w:r>
        <w:rPr>
          <w:spacing w:val="-34"/>
        </w:rPr>
        <w:t> </w:t>
      </w:r>
      <w:r>
        <w:rPr>
          <w:spacing w:val="-34"/>
        </w:rPr>
      </w:r>
      <w:r>
        <w:rPr/>
        <w:t>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2014</w:t>
      </w:r>
      <w:r>
        <w:rPr/>
        <w:t>年修订）》及《企业会计准则第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在其他主体中权益的披露》，要求自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w:t>
      </w:r>
      <w:r>
        <w:rPr/>
        <w:t>日起在所有执行企业会计准则的企业范围内施行，鼓励在境外上市的企业提前执行。同时，财政部以财会</w:t>
      </w:r>
      <w:r>
        <w:rPr>
          <w:rFonts w:ascii="Times New Roman" w:hAnsi="Times New Roman" w:cs="Times New Roman" w:eastAsia="Times New Roman" w:hint="default"/>
        </w:rPr>
        <w:t>[2014]23</w:t>
      </w:r>
      <w:r>
        <w:rPr/>
        <w:t>号发</w:t>
      </w:r>
      <w:r>
        <w:rPr>
          <w:w w:val="100"/>
        </w:rPr>
        <w:t> </w:t>
      </w:r>
      <w:r>
        <w:rPr>
          <w:spacing w:val="-2"/>
        </w:rPr>
        <w:t>布了《企业会计准则第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2014</w:t>
      </w:r>
      <w:r>
        <w:rPr>
          <w:spacing w:val="-2"/>
        </w:rPr>
        <w:t>年修订）》（以下简称</w:t>
      </w:r>
      <w:r>
        <w:rPr>
          <w:rFonts w:ascii="Times New Roman" w:hAnsi="Times New Roman" w:cs="Times New Roman" w:eastAsia="Times New Roman" w:hint="default"/>
          <w:spacing w:val="-2"/>
        </w:rPr>
        <w:t>“</w:t>
      </w:r>
      <w:r>
        <w:rPr>
          <w:spacing w:val="-2"/>
        </w:rPr>
        <w:t>金融工具列报准则</w:t>
      </w:r>
      <w:r>
        <w:rPr>
          <w:rFonts w:ascii="Times New Roman" w:hAnsi="Times New Roman" w:cs="Times New Roman" w:eastAsia="Times New Roman" w:hint="default"/>
          <w:spacing w:val="-2"/>
        </w:rPr>
        <w:t>”</w:t>
      </w:r>
      <w:r>
        <w:rPr>
          <w:spacing w:val="-2"/>
        </w:rPr>
        <w:t>），要求在</w:t>
      </w:r>
      <w:r>
        <w:rPr>
          <w:rFonts w:ascii="Times New Roman" w:hAnsi="Times New Roman" w:cs="Times New Roman" w:eastAsia="Times New Roman" w:hint="default"/>
          <w:spacing w:val="-2"/>
        </w:rPr>
        <w:t>2014</w:t>
      </w:r>
      <w:r>
        <w:rPr>
          <w:spacing w:val="-2"/>
        </w:rPr>
        <w:t>年年度及以</w:t>
      </w:r>
      <w:r>
        <w:rPr>
          <w:spacing w:val="-67"/>
        </w:rPr>
        <w:t> </w:t>
      </w:r>
      <w:r>
        <w:rPr>
          <w:spacing w:val="-67"/>
        </w:rPr>
      </w:r>
      <w:r>
        <w:rPr/>
        <w:t>后期间的财务报告中按照该准则的要求对金融工具进行列报。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0"/>
        <w:jc w:val="left"/>
        <w:rPr>
          <w:b w:val="0"/>
          <w:bCs w:val="0"/>
        </w:rPr>
      </w:pPr>
      <w:bookmarkStart w:name="十一、报告期内发生重大会计差错更正需追溯重述的情况说明 " w:id="49"/>
      <w:bookmarkEnd w:id="49"/>
      <w:r>
        <w:rPr>
          <w:b w:val="0"/>
          <w:bCs w:val="0"/>
        </w:rPr>
      </w:r>
      <w:r>
        <w:rPr/>
        <w:t>十一、报告期内发生重大会计差错更正需追溯重述的情况说明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260"/>
        <w:jc w:val="left"/>
      </w:pPr>
      <w:r>
        <w:rPr/>
        <w:t>□ 适用 √ 不适用</w:t>
      </w:r>
      <w:r>
        <w:rPr>
          <w:w w:val="100"/>
        </w:rPr>
        <w:t> </w:t>
      </w:r>
      <w:r>
        <w:rPr>
          <w:spacing w:val="-1"/>
        </w:rPr>
        <w:t>公司报告期无重大会计差错更正需追溯重述的情况。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二、与上年度财务报告相比，合并报表范围发生变化的情况说明 " w:id="50"/>
      <w:bookmarkEnd w:id="50"/>
      <w:r>
        <w:rPr>
          <w:b w:val="0"/>
          <w:bCs w:val="0"/>
        </w:rPr>
      </w:r>
      <w:r>
        <w:rPr/>
        <w:t>十二、与上年度财务报告相比，合并报表范围发生变化的情况说明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pStyle w:val="BodyText"/>
        <w:spacing w:line="300" w:lineRule="auto" w:before="117"/>
        <w:ind w:right="0" w:firstLine="527"/>
        <w:jc w:val="left"/>
      </w:pPr>
      <w:r>
        <w:rPr>
          <w:rFonts w:ascii="Times New Roman" w:hAnsi="Times New Roman" w:cs="Times New Roman" w:eastAsia="Times New Roman" w:hint="default"/>
          <w:spacing w:val="-3"/>
        </w:rPr>
        <w:t>1</w:t>
      </w:r>
      <w:r>
        <w:rPr>
          <w:spacing w:val="-3"/>
        </w:rPr>
        <w:t>、报告期公司以</w:t>
      </w:r>
      <w:r>
        <w:rPr>
          <w:rFonts w:ascii="Times New Roman" w:hAnsi="Times New Roman" w:cs="Times New Roman" w:eastAsia="Times New Roman" w:hint="default"/>
          <w:spacing w:val="-3"/>
        </w:rPr>
        <w:t>3,200</w:t>
      </w:r>
      <w:r>
        <w:rPr>
          <w:spacing w:val="-3"/>
        </w:rPr>
        <w:t>万元的价格收购尼木祥云医疗器械有限公司</w:t>
      </w:r>
      <w:r>
        <w:rPr>
          <w:rFonts w:ascii="Times New Roman" w:hAnsi="Times New Roman" w:cs="Times New Roman" w:eastAsia="Times New Roman" w:hint="default"/>
          <w:spacing w:val="-3"/>
        </w:rPr>
        <w:t>100%</w:t>
      </w:r>
      <w:r>
        <w:rPr>
          <w:spacing w:val="-3"/>
        </w:rPr>
        <w:t>的股权，尼木祥云医疗器械有限公司分别持有</w:t>
      </w:r>
      <w:r>
        <w:rPr>
          <w:w w:val="100"/>
        </w:rPr>
        <w:t> </w:t>
      </w:r>
      <w:r>
        <w:rPr/>
        <w:t>青岛宝康生物科技有限公司</w:t>
      </w:r>
      <w:r>
        <w:rPr>
          <w:rFonts w:ascii="Times New Roman" w:hAnsi="Times New Roman" w:cs="Times New Roman" w:eastAsia="Times New Roman" w:hint="default"/>
        </w:rPr>
        <w:t>51%</w:t>
      </w:r>
      <w:r>
        <w:rPr/>
        <w:t>的股权、威海神瑞贸易有限公司</w:t>
      </w:r>
      <w:r>
        <w:rPr>
          <w:rFonts w:ascii="Times New Roman" w:hAnsi="Times New Roman" w:cs="Times New Roman" w:eastAsia="Times New Roman" w:hint="default"/>
        </w:rPr>
        <w:t>100%</w:t>
      </w:r>
      <w:r>
        <w:rPr/>
        <w:t>的股权、潍坊耀恒经贸有限公司</w:t>
      </w:r>
      <w:r>
        <w:rPr>
          <w:rFonts w:ascii="Times New Roman" w:hAnsi="Times New Roman" w:cs="Times New Roman" w:eastAsia="Times New Roman" w:hint="default"/>
        </w:rPr>
        <w:t>67%</w:t>
      </w:r>
      <w:r>
        <w:rPr/>
        <w:t>的股权；</w:t>
      </w:r>
    </w:p>
    <w:p>
      <w:pPr>
        <w:pStyle w:val="BodyText"/>
        <w:spacing w:line="240" w:lineRule="auto" w:before="13"/>
        <w:ind w:left="656" w:right="0"/>
        <w:jc w:val="left"/>
      </w:pPr>
      <w:r>
        <w:rPr>
          <w:rFonts w:ascii="Times New Roman" w:hAnsi="Times New Roman" w:cs="Times New Roman" w:eastAsia="Times New Roman" w:hint="default"/>
        </w:rPr>
        <w:t>2</w:t>
      </w:r>
      <w:r>
        <w:rPr/>
        <w:t>、报告期公司出资</w:t>
      </w:r>
      <w:r>
        <w:rPr>
          <w:rFonts w:ascii="Times New Roman" w:hAnsi="Times New Roman" w:cs="Times New Roman" w:eastAsia="Times New Roman" w:hint="default"/>
        </w:rPr>
        <w:t>50</w:t>
      </w:r>
      <w:r>
        <w:rPr/>
        <w:t>万元成立全资子公司枣庄际安医疗器械有限责任公司；</w:t>
      </w:r>
    </w:p>
    <w:p>
      <w:pPr>
        <w:pStyle w:val="BodyText"/>
        <w:spacing w:line="240" w:lineRule="auto" w:before="63"/>
        <w:ind w:left="656" w:right="0"/>
        <w:jc w:val="left"/>
      </w:pPr>
      <w:r>
        <w:rPr>
          <w:rFonts w:ascii="Times New Roman" w:hAnsi="Times New Roman" w:cs="Times New Roman" w:eastAsia="Times New Roman" w:hint="default"/>
        </w:rPr>
        <w:t>3</w:t>
      </w:r>
      <w:r>
        <w:rPr/>
        <w:t>、威海西施康生物工程有限公司已于</w:t>
      </w:r>
      <w:r>
        <w:rPr>
          <w:rFonts w:ascii="Times New Roman" w:hAnsi="Times New Roman" w:cs="Times New Roman" w:eastAsia="Times New Roman" w:hint="default"/>
        </w:rPr>
        <w:t>2013</w:t>
      </w:r>
      <w:r>
        <w:rPr/>
        <w:t>年度转让。</w:t>
      </w:r>
    </w:p>
    <w:p>
      <w:pPr>
        <w:spacing w:after="0" w:line="240" w:lineRule="auto"/>
        <w:jc w:val="left"/>
        <w:sectPr>
          <w:pgSz w:w="11910" w:h="16840"/>
          <w:pgMar w:header="745" w:footer="981"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bookmarkStart w:name="十三、公司利润分配及分红派息情况 " w:id="51"/>
      <w:bookmarkEnd w:id="51"/>
      <w:r>
        <w:rPr>
          <w:b w:val="0"/>
          <w:bCs w:val="0"/>
        </w:rPr>
      </w:r>
      <w:r>
        <w:rPr/>
        <w:t>十三、公司利润分配及分红派息情况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t>报告期内利润分配政策的制定、执行或调整情况</w:t>
      </w:r>
    </w:p>
    <w:p>
      <w:pPr>
        <w:pStyle w:val="BodyText"/>
        <w:spacing w:line="240" w:lineRule="auto" w:before="115"/>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304" w:lineRule="auto" w:before="103"/>
        <w:ind w:right="93" w:firstLine="359"/>
        <w:jc w:val="left"/>
      </w:pPr>
      <w:r>
        <w:rPr>
          <w:spacing w:val="-3"/>
        </w:rPr>
        <w:t>根据中国证监会《上市公司章程指引（</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
        </w:rPr>
        <w:t> </w:t>
      </w:r>
      <w:r>
        <w:rPr>
          <w:spacing w:val="-5"/>
        </w:rPr>
        <w:t>年修订）》、《关于进一步落实上市公司现金分红有关事项的通知》、《上</w:t>
      </w:r>
      <w:r>
        <w:rPr>
          <w:w w:val="100"/>
        </w:rPr>
        <w:t> </w:t>
      </w:r>
      <w:r>
        <w:rPr/>
        <w:t>市公司监管指引第 </w:t>
      </w:r>
      <w:r>
        <w:rPr>
          <w:rFonts w:ascii="Times New Roman" w:hAnsi="Times New Roman" w:cs="Times New Roman" w:eastAsia="Times New Roman" w:hint="default"/>
        </w:rPr>
        <w:t>3 </w:t>
      </w:r>
      <w:r>
        <w:rPr/>
        <w:t>号</w:t>
      </w:r>
      <w:r>
        <w:rPr>
          <w:rFonts w:ascii="Times New Roman" w:hAnsi="Times New Roman" w:cs="Times New Roman" w:eastAsia="Times New Roman" w:hint="default"/>
        </w:rPr>
        <w:t>——</w:t>
      </w:r>
      <w:r>
        <w:rPr/>
        <w:t>上市公司现金分红》的规定，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日公司第二届董事会第十六次会议及</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r>
        <w:rPr>
          <w:w w:val="100"/>
        </w:rPr>
        <w:t> </w:t>
      </w:r>
      <w:r>
        <w:rPr/>
        <w:t>公司</w:t>
      </w:r>
      <w:r>
        <w:rPr>
          <w:rFonts w:ascii="Times New Roman" w:hAnsi="Times New Roman" w:cs="Times New Roman" w:eastAsia="Times New Roman" w:hint="default"/>
        </w:rPr>
        <w:t>2014</w:t>
      </w:r>
      <w:r>
        <w:rPr/>
        <w:t>年第三次临时股东大会审议并通过了《关于修改公司章程的议案》，同意将利润分配政策条款修改为：</w:t>
      </w:r>
      <w:r>
        <w:rPr>
          <w:rFonts w:ascii="Times New Roman" w:hAnsi="Times New Roman" w:cs="Times New Roman" w:eastAsia="Times New Roman" w:hint="default"/>
        </w:rPr>
        <w:t>“</w:t>
      </w:r>
      <w:r>
        <w:rPr/>
        <w:t>第一百五</w:t>
      </w:r>
      <w:r>
        <w:rPr>
          <w:w w:val="100"/>
        </w:rPr>
        <w:t> </w:t>
      </w:r>
      <w:r>
        <w:rPr/>
        <w:t>十九条</w:t>
      </w:r>
      <w:r>
        <w:rPr>
          <w:spacing w:val="-31"/>
        </w:rPr>
        <w:t> </w:t>
      </w:r>
      <w:r>
        <w:rPr/>
        <w:t>公司利润分配政策如下：公司实施连续、稳定的利润分配政策，公司在盈利、现金流满足公司正常经营和长期发展</w:t>
      </w:r>
      <w:r>
        <w:rPr>
          <w:w w:val="100"/>
        </w:rPr>
        <w:t> </w:t>
      </w:r>
      <w:r>
        <w:rPr>
          <w:spacing w:val="-3"/>
        </w:rPr>
        <w:t>的前提下，将实施积极的利润分配政策，公司的利润分配政策为：（一）公司利润分配应重视对投资者的合理回报，利润分</w:t>
      </w:r>
      <w:r>
        <w:rPr>
          <w:spacing w:val="-51"/>
        </w:rPr>
        <w:t> </w:t>
      </w:r>
      <w:r>
        <w:rPr>
          <w:spacing w:val="-51"/>
        </w:rPr>
      </w:r>
      <w:r>
        <w:rPr>
          <w:spacing w:val="-3"/>
        </w:rPr>
        <w:t>配政策应兼顾公司的可持续发展，公司利润分配不得超过累计可分配利润。（二）公司可以采用现金、股票、现金与股票相</w:t>
      </w:r>
      <w:r>
        <w:rPr>
          <w:spacing w:val="-48"/>
        </w:rPr>
        <w:t> </w:t>
      </w:r>
      <w:r>
        <w:rPr>
          <w:spacing w:val="-48"/>
        </w:rPr>
      </w:r>
      <w:r>
        <w:rPr/>
        <w:t>结合或者法律、法规允许的其他方式分配利润。（三）公司实施现金分红应同时满足下列条件：</w:t>
      </w:r>
      <w:r>
        <w:rPr>
          <w:spacing w:val="-57"/>
        </w:rPr>
        <w:t> </w:t>
      </w:r>
      <w:r>
        <w:rPr>
          <w:rFonts w:ascii="Times New Roman" w:hAnsi="Times New Roman" w:cs="Times New Roman" w:eastAsia="Times New Roman" w:hint="default"/>
        </w:rPr>
        <w:t>1</w:t>
      </w:r>
      <w:r>
        <w:rPr/>
        <w:t>、公司该年度实现的可分</w:t>
      </w:r>
      <w:r>
        <w:rPr>
          <w:w w:val="100"/>
        </w:rPr>
        <w:t> </w:t>
      </w:r>
      <w:r>
        <w:rPr/>
        <w:t>配利润（即公司弥补亏损、提取公积金后所余的税后利润）为正值；</w:t>
      </w:r>
      <w:r>
        <w:rPr>
          <w:rFonts w:ascii="Times New Roman" w:hAnsi="Times New Roman" w:cs="Times New Roman" w:eastAsia="Times New Roman" w:hint="default"/>
        </w:rPr>
        <w:t>2</w:t>
      </w:r>
      <w:r>
        <w:rPr/>
        <w:t>、审计机构对公司该年度财务报告出具标准无保留意</w:t>
      </w:r>
      <w:r>
        <w:rPr>
          <w:w w:val="100"/>
        </w:rPr>
        <w:t> </w:t>
      </w:r>
      <w:r>
        <w:rPr/>
        <w:t>见的审计报告； </w:t>
      </w:r>
      <w:r>
        <w:rPr>
          <w:rFonts w:ascii="Times New Roman" w:hAnsi="Times New Roman" w:cs="Times New Roman" w:eastAsia="Times New Roman" w:hint="default"/>
          <w:spacing w:val="-3"/>
        </w:rPr>
        <w:t>3</w:t>
      </w:r>
      <w:r>
        <w:rPr>
          <w:spacing w:val="-3"/>
        </w:rPr>
        <w:t>、公司无重大投资计划或重大现金支出等事项发生（募集资金项目除外）。重大投资计划或重大现金支出</w:t>
      </w:r>
      <w:r>
        <w:rPr>
          <w:spacing w:val="-70"/>
        </w:rPr>
        <w:t> </w:t>
      </w:r>
      <w:r>
        <w:rPr>
          <w:spacing w:val="-70"/>
        </w:rPr>
      </w:r>
      <w:r>
        <w:rPr/>
        <w:t>是指：公司未来十二个月内拟对外投资、收购资产或购买设备的累计支出达到或超过公司最近一期经审计总资产的</w:t>
      </w:r>
      <w:r>
        <w:rPr>
          <w:spacing w:val="-31"/>
        </w:rPr>
        <w:t> </w:t>
      </w:r>
      <w:r>
        <w:rPr>
          <w:rFonts w:ascii="Times New Roman" w:hAnsi="Times New Roman" w:cs="Times New Roman" w:eastAsia="Times New Roman" w:hint="default"/>
        </w:rPr>
        <w:t>30%</w:t>
      </w:r>
      <w:r>
        <w:rPr/>
        <w:t>，</w:t>
      </w:r>
      <w:r>
        <w:rPr>
          <w:w w:val="100"/>
        </w:rPr>
        <w:t> </w:t>
      </w:r>
      <w:r>
        <w:rPr/>
        <w:t>且超过</w:t>
      </w:r>
      <w:r>
        <w:rPr>
          <w:rFonts w:ascii="Times New Roman" w:hAnsi="Times New Roman" w:cs="Times New Roman" w:eastAsia="Times New Roman" w:hint="default"/>
        </w:rPr>
        <w:t>5000</w:t>
      </w:r>
      <w:r>
        <w:rPr>
          <w:rFonts w:ascii="Times New Roman" w:hAnsi="Times New Roman" w:cs="Times New Roman" w:eastAsia="Times New Roman" w:hint="default"/>
          <w:spacing w:val="15"/>
        </w:rPr>
        <w:t> </w:t>
      </w:r>
      <w:r>
        <w:rPr/>
        <w:t>万元人民币。（四）在满足上述现金分红条件的情况下，公司原则上每年度进行一次现金分红，公司董事会可</w:t>
      </w:r>
      <w:r>
        <w:rPr>
          <w:w w:val="100"/>
        </w:rPr>
        <w:t> </w:t>
      </w:r>
      <w:r>
        <w:rPr>
          <w:spacing w:val="-3"/>
        </w:rPr>
        <w:t>以根据公司的盈利状况及资金需求状况提议公司进行中期现金分红。（五）公司每年度以现金方式分配的利润不少于当年实</w:t>
      </w:r>
      <w:r>
        <w:rPr>
          <w:spacing w:val="-50"/>
        </w:rPr>
        <w:t> </w:t>
      </w:r>
      <w:r>
        <w:rPr>
          <w:spacing w:val="-50"/>
        </w:rPr>
      </w:r>
      <w:r>
        <w:rPr>
          <w:spacing w:val="-2"/>
        </w:rPr>
        <w:t>现的可分配利润的</w:t>
      </w:r>
      <w:r>
        <w:rPr>
          <w:rFonts w:ascii="Times New Roman" w:hAnsi="Times New Roman" w:cs="Times New Roman" w:eastAsia="Times New Roman" w:hint="default"/>
          <w:spacing w:val="-2"/>
        </w:rPr>
        <w:t>10%</w:t>
      </w:r>
      <w:r>
        <w:rPr>
          <w:spacing w:val="-2"/>
        </w:rPr>
        <w:t>，且任意三个连续会计年度内，公司以现金方式累计分配的利润不少于该三年实现的年均可分配利润</w:t>
      </w:r>
      <w:r>
        <w:rPr>
          <w:spacing w:val="-70"/>
        </w:rPr>
        <w:t> </w:t>
      </w:r>
      <w:r>
        <w:rPr>
          <w:spacing w:val="-70"/>
        </w:rPr>
      </w:r>
      <w:r>
        <w:rPr/>
        <w:t>的</w:t>
      </w:r>
      <w:r>
        <w:rPr>
          <w:spacing w:val="-30"/>
        </w:rPr>
        <w:t> </w:t>
      </w:r>
      <w:r>
        <w:rPr>
          <w:rFonts w:ascii="Times New Roman" w:hAnsi="Times New Roman" w:cs="Times New Roman" w:eastAsia="Times New Roman" w:hint="default"/>
        </w:rPr>
        <w:t>30%</w:t>
      </w:r>
      <w:r>
        <w:rPr/>
        <w:t>；若公司业绩增长快速，并且董事会认为公司股票价格与公司股本规模不匹配时，可以在满足上述现金股利分配之</w:t>
      </w:r>
      <w:r>
        <w:rPr>
          <w:w w:val="100"/>
        </w:rPr>
        <w:t> </w:t>
      </w:r>
      <w:r>
        <w:rPr>
          <w:spacing w:val="-3"/>
        </w:rPr>
        <w:t>余，提出并实施股票股利分红。在实际分红时，公司董事会应当综合考虑所处行业特点、发展阶段、自身经营模式、盈利水</w:t>
      </w:r>
      <w:r>
        <w:rPr>
          <w:spacing w:val="-47"/>
        </w:rPr>
        <w:t> </w:t>
      </w:r>
      <w:r>
        <w:rPr>
          <w:spacing w:val="-47"/>
        </w:rPr>
      </w:r>
      <w:r>
        <w:rPr>
          <w:spacing w:val="-6"/>
          <w:w w:val="100"/>
        </w:rPr>
        <w:t>平以及是否有重大资金支出安排等因素，区分下列情形，并按照《公司章程》规定的程序，拟定差异化的现金分红政策：（</w:t>
      </w:r>
      <w:r>
        <w:rPr>
          <w:rFonts w:ascii="Times New Roman" w:hAnsi="Times New Roman" w:cs="Times New Roman" w:eastAsia="Times New Roman" w:hint="default"/>
          <w:spacing w:val="-6"/>
          <w:w w:val="100"/>
        </w:rPr>
        <w:t>1</w:t>
      </w:r>
      <w:r>
        <w:rPr>
          <w:spacing w:val="-6"/>
          <w:w w:val="100"/>
        </w:rPr>
        <w:t>）</w:t>
      </w:r>
      <w:r>
        <w:rPr>
          <w:spacing w:val="-70"/>
          <w:w w:val="100"/>
        </w:rPr>
        <w:t> </w:t>
      </w:r>
      <w:r>
        <w:rPr/>
        <w:t>公司发展阶段属成熟期且无重大资金支出安排的，进行利润分配时，现金分红在本次利润分配中所占比例最低应达到</w:t>
      </w:r>
      <w:r>
        <w:rPr>
          <w:rFonts w:ascii="Times New Roman" w:hAnsi="Times New Roman" w:cs="Times New Roman" w:eastAsia="Times New Roman" w:hint="default"/>
        </w:rPr>
        <w:t>80%</w:t>
      </w:r>
      <w:r>
        <w:rPr/>
        <w:t>；</w:t>
      </w:r>
    </w:p>
    <w:p>
      <w:pPr>
        <w:pStyle w:val="BodyText"/>
        <w:spacing w:line="309" w:lineRule="auto" w:before="9"/>
        <w:ind w:right="189"/>
        <w:jc w:val="both"/>
      </w:pPr>
      <w:r>
        <w:rPr>
          <w:spacing w:val="-1"/>
        </w:rPr>
        <w:t>（</w:t>
      </w:r>
      <w:r>
        <w:rPr>
          <w:rFonts w:ascii="Times New Roman" w:hAnsi="Times New Roman" w:cs="Times New Roman" w:eastAsia="Times New Roman" w:hint="default"/>
          <w:spacing w:val="-1"/>
        </w:rPr>
        <w:t>2</w:t>
      </w:r>
      <w:r>
        <w:rPr>
          <w:spacing w:val="-1"/>
        </w:rPr>
        <w:t>）公司发展阶段属成熟期且有重大资金支出安排的，进行利润分配时，现金分红在本次利润分配中所占比例最低应达到</w:t>
      </w:r>
      <w:r>
        <w:rPr>
          <w:spacing w:val="-75"/>
        </w:rPr>
        <w:t> </w:t>
      </w:r>
      <w:r>
        <w:rPr>
          <w:spacing w:val="-75"/>
        </w:rPr>
      </w:r>
      <w:r>
        <w:rPr>
          <w:rFonts w:ascii="Times New Roman" w:hAnsi="Times New Roman" w:cs="Times New Roman" w:eastAsia="Times New Roman" w:hint="default"/>
          <w:spacing w:val="-2"/>
        </w:rPr>
        <w:t>40%</w:t>
      </w:r>
      <w:r>
        <w:rPr>
          <w:spacing w:val="-2"/>
        </w:rPr>
        <w:t>；（</w:t>
      </w:r>
      <w:r>
        <w:rPr>
          <w:rFonts w:ascii="Times New Roman" w:hAnsi="Times New Roman" w:cs="Times New Roman" w:eastAsia="Times New Roman" w:hint="default"/>
          <w:spacing w:val="-2"/>
        </w:rPr>
        <w:t>3</w:t>
      </w:r>
      <w:r>
        <w:rPr>
          <w:spacing w:val="-2"/>
        </w:rPr>
        <w:t>）公司发展阶段属成长期且有重大资金支出安排的，进行利润分配时，现金分红在本</w:t>
      </w:r>
      <w:r>
        <w:rPr>
          <w:rFonts w:ascii="Times New Roman" w:hAnsi="Times New Roman" w:cs="Times New Roman" w:eastAsia="Times New Roman" w:hint="default"/>
          <w:spacing w:val="-2"/>
        </w:rPr>
        <w:t>6</w:t>
      </w:r>
      <w:r>
        <w:rPr>
          <w:spacing w:val="-2"/>
        </w:rPr>
        <w:t>次利润分配中所占比例最低</w:t>
      </w:r>
      <w:r>
        <w:rPr>
          <w:spacing w:val="-67"/>
        </w:rPr>
        <w:t> </w:t>
      </w:r>
      <w:r>
        <w:rPr>
          <w:spacing w:val="-67"/>
        </w:rPr>
      </w:r>
      <w:r>
        <w:rPr>
          <w:spacing w:val="-2"/>
        </w:rPr>
        <w:t>应达到</w:t>
      </w:r>
      <w:r>
        <w:rPr>
          <w:rFonts w:ascii="Times New Roman" w:hAnsi="Times New Roman" w:cs="Times New Roman" w:eastAsia="Times New Roman" w:hint="default"/>
          <w:spacing w:val="-2"/>
        </w:rPr>
        <w:t>20%</w:t>
      </w:r>
      <w:r>
        <w:rPr>
          <w:spacing w:val="-2"/>
        </w:rPr>
        <w:t>；公司在实际分红时根据具体所处阶段，由公司董事会根据具体情形确定。公司发展阶段不易区分但有重大资金</w:t>
      </w:r>
      <w:r>
        <w:rPr>
          <w:spacing w:val="-72"/>
        </w:rPr>
        <w:t> </w:t>
      </w:r>
      <w:r>
        <w:rPr>
          <w:spacing w:val="-72"/>
        </w:rPr>
      </w:r>
      <w:r>
        <w:rPr>
          <w:spacing w:val="-3"/>
        </w:rPr>
        <w:t>支出安排的，可以按照前项规定处理。（六）公司的年度利润分配预案由公司管理层、董事会结合公司章程的规定、盈利情</w:t>
      </w:r>
      <w:r>
        <w:rPr>
          <w:spacing w:val="-50"/>
        </w:rPr>
        <w:t> </w:t>
      </w:r>
      <w:r>
        <w:rPr>
          <w:spacing w:val="-50"/>
        </w:rPr>
      </w:r>
      <w:r>
        <w:rPr>
          <w:spacing w:val="-3"/>
        </w:rPr>
        <w:t>况、资金需求和股东回报规划提出、拟定，经董事会审议通过后提交股东大会审议批准，独立董事应对利润分配预案发表独</w:t>
      </w:r>
      <w:r>
        <w:rPr>
          <w:spacing w:val="-46"/>
        </w:rPr>
        <w:t> </w:t>
      </w:r>
      <w:r>
        <w:rPr>
          <w:spacing w:val="-46"/>
        </w:rPr>
      </w:r>
      <w:r>
        <w:rPr>
          <w:spacing w:val="-3"/>
        </w:rPr>
        <w:t>立意见。独立董事可以征集中小股东的意见，提出分红提案，并直接提交董事会审议。（七）董事会审议现金分红具体方案</w:t>
      </w:r>
      <w:r>
        <w:rPr>
          <w:spacing w:val="-50"/>
        </w:rPr>
        <w:t> </w:t>
      </w:r>
      <w:r>
        <w:rPr>
          <w:spacing w:val="-50"/>
        </w:rPr>
      </w:r>
      <w:r>
        <w:rPr>
          <w:spacing w:val="-3"/>
        </w:rPr>
        <w:t>时，应当认真研究和论证公司现金分红的时机、条件和最低比例、调整的条件及其决策程序要求等事宜，独立董事应当发表</w:t>
      </w:r>
      <w:r>
        <w:rPr>
          <w:spacing w:val="-44"/>
        </w:rPr>
        <w:t> </w:t>
      </w:r>
      <w:r>
        <w:rPr>
          <w:spacing w:val="-44"/>
        </w:rPr>
      </w:r>
      <w:r>
        <w:rPr>
          <w:spacing w:val="-3"/>
        </w:rPr>
        <w:t>明确意见。（八）股东大会对现金分红具体方案进行审议时，应当通过多种渠道主动与股东特别是中小股东进行沟通和交流</w:t>
      </w:r>
    </w:p>
    <w:p>
      <w:pPr>
        <w:pStyle w:val="BodyText"/>
        <w:spacing w:line="316" w:lineRule="auto" w:before="24"/>
        <w:ind w:right="93"/>
        <w:jc w:val="left"/>
        <w:rPr>
          <w:rFonts w:ascii="Times New Roman" w:hAnsi="Times New Roman" w:cs="Times New Roman" w:eastAsia="Times New Roman" w:hint="default"/>
        </w:rPr>
      </w:pPr>
      <w:r>
        <w:rPr>
          <w:spacing w:val="-3"/>
        </w:rPr>
        <w:t>（包括但不限于提供网络投票表决、邀请中小股东参会等），充分听取中小股东的意见和诉求，并及时答复中小股东关心的</w:t>
      </w:r>
      <w:r>
        <w:rPr>
          <w:spacing w:val="-46"/>
        </w:rPr>
        <w:t> </w:t>
      </w:r>
      <w:r>
        <w:rPr>
          <w:spacing w:val="-46"/>
        </w:rPr>
      </w:r>
      <w:r>
        <w:rPr>
          <w:spacing w:val="-3"/>
        </w:rPr>
        <w:t>问题。董事会、独立董事和符合一定条件的股东可以向公司股东征集其在股东大会上的投票权。（九）公司当年盈利，董事</w:t>
      </w:r>
      <w:r>
        <w:rPr>
          <w:spacing w:val="-49"/>
        </w:rPr>
        <w:t> </w:t>
      </w:r>
      <w:r>
        <w:rPr>
          <w:spacing w:val="-49"/>
        </w:rPr>
      </w:r>
      <w:r>
        <w:rPr>
          <w:spacing w:val="-3"/>
        </w:rPr>
        <w:t>会未提出以现金方式进行利润分配预案的，还应说明原因，未用于分红的资金留存公司的用途和使用计划，并由独立董事发</w:t>
      </w:r>
      <w:r>
        <w:rPr>
          <w:spacing w:val="-50"/>
        </w:rPr>
        <w:t> </w:t>
      </w:r>
      <w:r>
        <w:rPr>
          <w:spacing w:val="-50"/>
        </w:rPr>
      </w:r>
      <w:r>
        <w:rPr>
          <w:spacing w:val="-3"/>
        </w:rPr>
        <w:t>表独立意见，董事会审议通过后交股东大会审议批准，同时在召开股东大会时，公司应当提供网络投票等方式以方便中小股</w:t>
      </w:r>
      <w:r>
        <w:rPr>
          <w:spacing w:val="-47"/>
        </w:rPr>
        <w:t> </w:t>
      </w:r>
      <w:r>
        <w:rPr>
          <w:spacing w:val="-47"/>
        </w:rPr>
      </w:r>
      <w:r>
        <w:rPr>
          <w:spacing w:val="-3"/>
        </w:rPr>
        <w:t>东参与股东大会表决。（十）公司根据生产经营情况、投资规划和长期发展的需要，需调整利润分配政策的，应以股东权益</w:t>
      </w:r>
      <w:r>
        <w:rPr>
          <w:spacing w:val="-50"/>
        </w:rPr>
        <w:t> </w:t>
      </w:r>
      <w:r>
        <w:rPr>
          <w:spacing w:val="-50"/>
        </w:rPr>
      </w:r>
      <w:r>
        <w:rPr>
          <w:spacing w:val="-5"/>
        </w:rPr>
        <w:t>保护为出发点，调整后的利润分配政策不得违反相关法律法规、规范性文件及本章程的规定；有关调整利润分配政策的议案，</w:t>
      </w:r>
      <w:r>
        <w:rPr>
          <w:spacing w:val="-30"/>
        </w:rPr>
        <w:t> </w:t>
      </w:r>
      <w:r>
        <w:rPr>
          <w:spacing w:val="-30"/>
        </w:rPr>
      </w:r>
      <w:r>
        <w:rPr/>
        <w:t>由独立董事、监事会发表意见，经公司董事会审议后提交公司股东大会批准，并经出席股东大会的股东所持表决权的</w:t>
      </w:r>
      <w:r>
        <w:rPr>
          <w:spacing w:val="-41"/>
        </w:rPr>
        <w:t> </w:t>
      </w:r>
      <w:r>
        <w:rPr>
          <w:rFonts w:ascii="Times New Roman" w:hAnsi="Times New Roman" w:cs="Times New Roman" w:eastAsia="Times New Roman" w:hint="default"/>
        </w:rPr>
        <w:t>2/3</w:t>
      </w:r>
      <w:r>
        <w:rPr/>
        <w:t>以</w:t>
      </w:r>
      <w:r>
        <w:rPr>
          <w:w w:val="100"/>
        </w:rPr>
        <w:t> </w:t>
      </w:r>
      <w:r>
        <w:rPr/>
        <w:t>上通过。公司同时应当提供网络投票方式以方便中小股东参与股东大会表决。</w:t>
      </w:r>
      <w:r>
        <w:rPr>
          <w:spacing w:val="-32"/>
        </w:rPr>
        <w:t> </w:t>
      </w:r>
      <w:r>
        <w:rPr/>
        <w:t>（十一）公司将严格按照有关规定在年报、</w:t>
      </w:r>
      <w:r>
        <w:rPr>
          <w:w w:val="100"/>
        </w:rPr>
        <w:t> </w:t>
      </w:r>
      <w:r>
        <w:rPr>
          <w:spacing w:val="-3"/>
          <w:w w:val="100"/>
        </w:rPr>
        <w:t>半年报中披露利润分配预案和现金分红政策的执行情况。监事会应对董事会和管理层执行公司分红政策和股东回报规划情况</w:t>
      </w:r>
      <w:r>
        <w:rPr>
          <w:spacing w:val="-63"/>
          <w:w w:val="100"/>
        </w:rPr>
        <w:t> </w:t>
      </w:r>
      <w:r>
        <w:rPr>
          <w:spacing w:val="-63"/>
          <w:w w:val="100"/>
        </w:rPr>
      </w:r>
      <w:r>
        <w:rPr>
          <w:spacing w:val="-3"/>
        </w:rPr>
        <w:t>和决策程序进行监督（十二）存在股东违规占用公司资金情况的，公司在进行利润分配时，应当扣减该股东所分配的现金红</w:t>
      </w:r>
      <w:r>
        <w:rPr>
          <w:spacing w:val="-47"/>
        </w:rPr>
        <w:t> </w:t>
      </w:r>
      <w:r>
        <w:rPr>
          <w:spacing w:val="-47"/>
        </w:rPr>
      </w:r>
      <w:r>
        <w:rPr/>
        <w:t>利，以偿还其占用的资金。</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spacing w:line="422"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21.15pt;mso-position-horizontal-relative:char;mso-position-vertical-relative:line" coordorigin="0,0" coordsize="9579,423">
            <v:group style="position:absolute;left:10;top:407;width:9560;height:2" coordorigin="10,407" coordsize="9560,2">
              <v:shape style="position:absolute;left:10;top:407;width:9560;height:2" coordorigin="10,407" coordsize="9560,0" path="m10,407l9569,407e" filled="false" stroked="true" strokeweight=".1pt" strokecolor="#d3d3d3">
                <v:path arrowok="t"/>
              </v:shape>
            </v:group>
            <v:group style="position:absolute;left:22;top:14;width:2;height:392" coordorigin="22,14" coordsize="2,392">
              <v:shape style="position:absolute;left:22;top:14;width:2;height:392" coordorigin="22,14" coordsize="0,392" path="m22,14l22,406e" filled="false" stroked="true" strokeweight="1.2pt" strokecolor="#d3d3d3">
                <v:path arrowok="t"/>
              </v:shape>
            </v:group>
            <v:group style="position:absolute;left:9558;top:14;width:2;height:392" coordorigin="9558,14" coordsize="2,392">
              <v:shape style="position:absolute;left:9558;top:14;width:2;height:392" coordorigin="9558,14" coordsize="0,392" path="m9558,14l9558,406e" filled="false" stroked="true" strokeweight="1.08pt" strokecolor="#d3d3d3">
                <v:path arrowok="t"/>
              </v:shape>
            </v:group>
            <v:group style="position:absolute;left:34;top:14;width:9514;height:392" coordorigin="34,14" coordsize="9514,392">
              <v:shape style="position:absolute;left:34;top:14;width:9514;height:392" coordorigin="34,14" coordsize="9514,392" path="m34,14l9547,14,9547,406,34,406,34,14xe" filled="true" fillcolor="#d3d3d3" stroked="false">
                <v:path arrowok="t"/>
                <v:fill type="solid"/>
              </v:shape>
            </v:group>
            <v:group style="position:absolute;left:10;top:10;width:9560;height:2" coordorigin="10,10" coordsize="9560,2">
              <v:shape style="position:absolute;left:10;top:10;width:9560;height:2" coordorigin="10,10" coordsize="9560,0" path="m10,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9560;height:2" coordorigin="10,413" coordsize="9560,2">
              <v:shape style="position:absolute;left:10;top:413;width:9560;height:2" coordorigin="10,413" coordsize="9560,0" path="m10,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9569;height:403"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xbxContent>
                </v:textbox>
                <w10:wrap type="none"/>
              </v:shape>
            </v:group>
          </v:group>
        </w:pict>
      </w:r>
      <w:r>
        <w:rPr>
          <w:rFonts w:ascii="Times New Roman" w:hAnsi="Times New Roman" w:cs="Times New Roman" w:eastAsia="Times New Roman" w:hint="default"/>
          <w:position w:val="-7"/>
          <w:sz w:val="20"/>
          <w:szCs w:val="20"/>
        </w:rPr>
      </w:r>
    </w:p>
    <w:p>
      <w:pPr>
        <w:spacing w:after="0" w:line="422" w:lineRule="exact"/>
        <w:rPr>
          <w:rFonts w:ascii="Times New Roman" w:hAnsi="Times New Roman" w:cs="Times New Roman" w:eastAsia="Times New Roman" w:hint="default"/>
          <w:sz w:val="20"/>
          <w:szCs w:val="20"/>
        </w:rPr>
        <w:sectPr>
          <w:pgSz w:w="11910" w:h="16840"/>
          <w:pgMar w:header="745" w:footer="981" w:top="1060" w:bottom="118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67"/>
              <w:jc w:val="left"/>
              <w:rPr>
                <w:rFonts w:ascii="宋体" w:hAnsi="宋体" w:cs="宋体" w:eastAsia="宋体" w:hint="default"/>
                <w:sz w:val="18"/>
                <w:szCs w:val="18"/>
              </w:rPr>
            </w:pPr>
            <w:r>
              <w:rPr>
                <w:rFonts w:ascii="宋体" w:hAnsi="宋体" w:cs="宋体" w:eastAsia="宋体" w:hint="default"/>
                <w:spacing w:val="-1"/>
                <w:sz w:val="18"/>
                <w:szCs w:val="18"/>
              </w:rPr>
              <w:t>中小股东是否有充分表达意见和诉求的机会，其合法权益是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否得到了充分保护：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67"/>
              <w:jc w:val="left"/>
              <w:rPr>
                <w:rFonts w:ascii="宋体" w:hAnsi="宋体" w:cs="宋体" w:eastAsia="宋体" w:hint="default"/>
                <w:sz w:val="18"/>
                <w:szCs w:val="18"/>
              </w:rPr>
            </w:pPr>
            <w:r>
              <w:rPr>
                <w:rFonts w:ascii="宋体" w:hAnsi="宋体" w:cs="宋体" w:eastAsia="宋体" w:hint="default"/>
                <w:spacing w:val="-1"/>
                <w:sz w:val="18"/>
                <w:szCs w:val="18"/>
              </w:rPr>
              <w:t>现金分红政策进行调整或变更的，条件及程序是否合规、透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是</w:t>
            </w:r>
          </w:p>
        </w:tc>
      </w:tr>
    </w:tbl>
    <w:p>
      <w:pPr>
        <w:pStyle w:val="BodyText"/>
        <w:spacing w:line="240" w:lineRule="auto" w:before="49"/>
        <w:ind w:right="0"/>
        <w:jc w:val="both"/>
      </w:pPr>
      <w:r>
        <w:rPr/>
        <w:t>公司近</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年（含报告期）的利润分配预案或方案及资本公积金转增股本预案或方案情况</w:t>
      </w:r>
    </w:p>
    <w:p>
      <w:pPr>
        <w:pStyle w:val="BodyText"/>
        <w:spacing w:line="300" w:lineRule="auto" w:before="101"/>
        <w:ind w:right="186" w:firstLine="398"/>
        <w:jc w:val="both"/>
      </w:pP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24</w:t>
      </w:r>
      <w:r>
        <w:rPr>
          <w:spacing w:val="5"/>
        </w:rPr>
        <w:t>日，公司召开第一届董事会第二十二次会议，经北京天圆全会计师事务所有限公司出具的天圆全审字</w:t>
      </w:r>
      <w:r>
        <w:rPr>
          <w:w w:val="100"/>
        </w:rPr>
        <w:t> </w:t>
      </w:r>
      <w:r>
        <w:rPr>
          <w:rFonts w:ascii="Times New Roman" w:hAnsi="Times New Roman" w:cs="Times New Roman" w:eastAsia="Times New Roman" w:hint="default"/>
        </w:rPr>
        <w:t>[2012]00080238</w:t>
      </w:r>
      <w:r>
        <w:rPr/>
        <w:t>号审计报告确认，公司</w:t>
      </w:r>
      <w:r>
        <w:rPr>
          <w:rFonts w:ascii="Times New Roman" w:hAnsi="Times New Roman" w:cs="Times New Roman" w:eastAsia="Times New Roman" w:hint="default"/>
        </w:rPr>
        <w:t>2011</w:t>
      </w:r>
      <w:r>
        <w:rPr/>
        <w:t>年实现净利润为</w:t>
      </w:r>
      <w:r>
        <w:rPr>
          <w:rFonts w:ascii="Times New Roman" w:hAnsi="Times New Roman" w:cs="Times New Roman" w:eastAsia="Times New Roman" w:hint="default"/>
        </w:rPr>
        <w:t>79,222,887.24</w:t>
      </w:r>
      <w:r>
        <w:rPr/>
        <w:t>元，按《公司章程》规定提取</w:t>
      </w:r>
      <w:r>
        <w:rPr>
          <w:rFonts w:ascii="Times New Roman" w:hAnsi="Times New Roman" w:cs="Times New Roman" w:eastAsia="Times New Roman" w:hint="default"/>
        </w:rPr>
        <w:t>10%</w:t>
      </w:r>
      <w:r>
        <w:rPr/>
        <w:t>的法定盈余公积</w:t>
      </w:r>
      <w:r>
        <w:rPr>
          <w:spacing w:val="-65"/>
        </w:rPr>
        <w:t> </w:t>
      </w:r>
      <w:r>
        <w:rPr>
          <w:spacing w:val="-65"/>
        </w:rPr>
      </w:r>
      <w:r>
        <w:rPr>
          <w:rFonts w:ascii="Times New Roman" w:hAnsi="Times New Roman" w:cs="Times New Roman" w:eastAsia="Times New Roman" w:hint="default"/>
        </w:rPr>
        <w:t>7,922,288.72</w:t>
      </w:r>
      <w:r>
        <w:rPr>
          <w:rFonts w:ascii="Times New Roman" w:hAnsi="Times New Roman" w:cs="Times New Roman" w:eastAsia="Times New Roman" w:hint="default"/>
          <w:spacing w:val="-18"/>
        </w:rPr>
        <w:t> </w:t>
      </w:r>
      <w:r>
        <w:rPr>
          <w:spacing w:val="8"/>
        </w:rPr>
        <w:t>元，</w:t>
      </w:r>
      <w:r>
        <w:rPr>
          <w:spacing w:val="-66"/>
        </w:rPr>
        <w:t> </w:t>
      </w:r>
      <w:r>
        <w:rPr>
          <w:spacing w:val="12"/>
        </w:rPr>
        <w:t>剩余利润</w:t>
      </w:r>
      <w:r>
        <w:rPr>
          <w:spacing w:val="-66"/>
        </w:rPr>
        <w:t> </w:t>
      </w:r>
      <w:r>
        <w:rPr>
          <w:rFonts w:ascii="Times New Roman" w:hAnsi="Times New Roman" w:cs="Times New Roman" w:eastAsia="Times New Roman" w:hint="default"/>
        </w:rPr>
        <w:t>71,300,598.52</w:t>
      </w:r>
      <w:r>
        <w:rPr>
          <w:rFonts w:ascii="Times New Roman" w:hAnsi="Times New Roman" w:cs="Times New Roman" w:eastAsia="Times New Roman" w:hint="default"/>
          <w:spacing w:val="-18"/>
        </w:rPr>
        <w:t> </w:t>
      </w:r>
      <w:r>
        <w:rPr>
          <w:spacing w:val="8"/>
        </w:rPr>
        <w:t>元；</w:t>
      </w:r>
      <w:r>
        <w:rPr>
          <w:spacing w:val="-64"/>
        </w:rPr>
        <w:t> </w:t>
      </w:r>
      <w:r>
        <w:rPr>
          <w:spacing w:val="15"/>
        </w:rPr>
        <w:t>加上上年结转未分配利润</w:t>
      </w:r>
      <w:r>
        <w:rPr>
          <w:spacing w:val="-64"/>
        </w:rPr>
        <w:t> </w:t>
      </w:r>
      <w:r>
        <w:rPr>
          <w:rFonts w:ascii="Times New Roman" w:hAnsi="Times New Roman" w:cs="Times New Roman" w:eastAsia="Times New Roman" w:hint="default"/>
        </w:rPr>
        <w:t>64,234,464.05</w:t>
      </w:r>
      <w:r>
        <w:rPr>
          <w:rFonts w:ascii="Times New Roman" w:hAnsi="Times New Roman" w:cs="Times New Roman" w:eastAsia="Times New Roman" w:hint="default"/>
          <w:spacing w:val="-18"/>
        </w:rPr>
        <w:t> </w:t>
      </w:r>
      <w:r>
        <w:rPr>
          <w:spacing w:val="8"/>
        </w:rPr>
        <w:t>元，</w:t>
      </w:r>
      <w:r>
        <w:rPr>
          <w:spacing w:val="-69"/>
        </w:rPr>
        <w:t> </w:t>
      </w:r>
      <w:r>
        <w:rPr>
          <w:spacing w:val="15"/>
        </w:rPr>
        <w:t>实际可供股东分配的利润为</w:t>
      </w:r>
    </w:p>
    <w:p>
      <w:pPr>
        <w:pStyle w:val="BodyText"/>
        <w:spacing w:line="240" w:lineRule="auto" w:before="13"/>
        <w:ind w:right="0"/>
        <w:jc w:val="both"/>
      </w:pPr>
      <w:r>
        <w:rPr>
          <w:rFonts w:ascii="Times New Roman" w:hAnsi="Times New Roman" w:cs="Times New Roman" w:eastAsia="Times New Roman" w:hint="default"/>
          <w:spacing w:val="5"/>
        </w:rPr>
        <w:t>135,535,062.57</w:t>
      </w:r>
      <w:r>
        <w:rPr>
          <w:spacing w:val="5"/>
        </w:rPr>
        <w:t>元（以上数据来自母公司财务报表）。公司</w:t>
      </w:r>
      <w:r>
        <w:rPr>
          <w:rFonts w:ascii="Times New Roman" w:hAnsi="Times New Roman" w:cs="Times New Roman" w:eastAsia="Times New Roman" w:hint="default"/>
          <w:spacing w:val="5"/>
        </w:rPr>
        <w:t>2011</w:t>
      </w:r>
      <w:r>
        <w:rPr>
          <w:spacing w:val="5"/>
        </w:rPr>
        <w:t>年度利润分配的预案：公司以截止</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日股本</w:t>
      </w:r>
    </w:p>
    <w:p>
      <w:pPr>
        <w:pStyle w:val="BodyText"/>
        <w:spacing w:line="300" w:lineRule="auto" w:before="63"/>
        <w:ind w:right="192"/>
        <w:jc w:val="both"/>
      </w:pPr>
      <w:r>
        <w:rPr>
          <w:rFonts w:ascii="Times New Roman" w:hAnsi="Times New Roman" w:cs="Times New Roman" w:eastAsia="Times New Roman" w:hint="default"/>
        </w:rPr>
        <w:t>93,800,000.00</w:t>
      </w:r>
      <w:r>
        <w:rPr/>
        <w:t>股为基数，以截止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日母公司未分配利润向全体股东按每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元（含税），共计派</w:t>
      </w:r>
      <w:r>
        <w:rPr>
          <w:spacing w:val="-68"/>
        </w:rPr>
        <w:t> </w:t>
      </w:r>
      <w:r>
        <w:rPr>
          <w:spacing w:val="-68"/>
        </w:rPr>
      </w:r>
      <w:r>
        <w:rPr/>
        <w:t>发现金</w:t>
      </w:r>
      <w:r>
        <w:rPr>
          <w:rFonts w:ascii="Times New Roman" w:hAnsi="Times New Roman" w:cs="Times New Roman" w:eastAsia="Times New Roman" w:hint="default"/>
        </w:rPr>
        <w:t>9,380,000.00</w:t>
      </w:r>
      <w:r>
        <w:rPr/>
        <w:t>元；本次不进行资本公积转增股本和送红股。</w:t>
      </w:r>
    </w:p>
    <w:p>
      <w:pPr>
        <w:pStyle w:val="BodyText"/>
        <w:spacing w:line="300" w:lineRule="auto" w:before="13"/>
        <w:ind w:right="190" w:firstLine="359"/>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日，公司召开</w:t>
      </w:r>
      <w:r>
        <w:rPr>
          <w:rFonts w:ascii="Times New Roman" w:hAnsi="Times New Roman" w:cs="Times New Roman" w:eastAsia="Times New Roman" w:hint="default"/>
          <w:spacing w:val="-2"/>
        </w:rPr>
        <w:t>2011</w:t>
      </w:r>
      <w:r>
        <w:rPr>
          <w:spacing w:val="-2"/>
        </w:rPr>
        <w:t>年度股东大会，审议通过《</w:t>
      </w:r>
      <w:r>
        <w:rPr>
          <w:rFonts w:ascii="Times New Roman" w:hAnsi="Times New Roman" w:cs="Times New Roman" w:eastAsia="Times New Roman" w:hint="default"/>
          <w:spacing w:val="-2"/>
        </w:rPr>
        <w:t>2011</w:t>
      </w:r>
      <w:r>
        <w:rPr>
          <w:spacing w:val="-2"/>
        </w:rPr>
        <w:t>年度利润分配的预案》；</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2011</w:t>
      </w:r>
      <w:r>
        <w:rPr>
          <w:spacing w:val="-2"/>
        </w:rPr>
        <w:t>年度现金</w:t>
      </w:r>
      <w:r>
        <w:rPr>
          <w:w w:val="100"/>
        </w:rPr>
        <w:t> </w:t>
      </w:r>
      <w:r>
        <w:rPr/>
        <w:t>分红实施完毕。</w:t>
      </w:r>
    </w:p>
    <w:p>
      <w:pPr>
        <w:pStyle w:val="BodyText"/>
        <w:spacing w:line="300" w:lineRule="auto" w:before="31"/>
        <w:ind w:right="101" w:firstLine="359"/>
        <w:jc w:val="both"/>
      </w:pP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18"/>
        </w:rPr>
        <w:t> </w:t>
      </w:r>
      <w:r>
        <w:rPr>
          <w:spacing w:val="13"/>
        </w:rPr>
        <w:t>月</w:t>
      </w:r>
      <w:r>
        <w:rPr>
          <w:rFonts w:ascii="Times New Roman" w:hAnsi="Times New Roman" w:cs="Times New Roman" w:eastAsia="Times New Roman" w:hint="default"/>
          <w:spacing w:val="13"/>
        </w:rPr>
        <w:t>20</w:t>
      </w:r>
      <w:r>
        <w:rPr>
          <w:spacing w:val="13"/>
        </w:rPr>
        <w:t>日，公司召开第二届董事会第二次会议，经北京天圆全会计师事务所有限公司出具的天圆全审字</w:t>
      </w:r>
      <w:r>
        <w:rPr>
          <w:w w:val="100"/>
        </w:rPr>
        <w:t> </w:t>
      </w:r>
      <w:r>
        <w:rPr>
          <w:rFonts w:ascii="Times New Roman" w:hAnsi="Times New Roman" w:cs="Times New Roman" w:eastAsia="Times New Roman" w:hint="default"/>
        </w:rPr>
        <w:t>[2013]00080146</w:t>
      </w:r>
      <w:r>
        <w:rPr/>
        <w:t>号审计报告确认，公司</w:t>
      </w:r>
      <w:r>
        <w:rPr>
          <w:rFonts w:ascii="Times New Roman" w:hAnsi="Times New Roman" w:cs="Times New Roman" w:eastAsia="Times New Roman" w:hint="default"/>
        </w:rPr>
        <w:t>2012</w:t>
      </w:r>
      <w:r>
        <w:rPr/>
        <w:t>年实现净利润为</w:t>
      </w:r>
      <w:r>
        <w:rPr>
          <w:rFonts w:ascii="Times New Roman" w:hAnsi="Times New Roman" w:cs="Times New Roman" w:eastAsia="Times New Roman" w:hint="default"/>
        </w:rPr>
        <w:t>91,058,301.77</w:t>
      </w:r>
      <w:r>
        <w:rPr/>
        <w:t>元，按《公司章程》规定提取</w:t>
      </w:r>
      <w:r>
        <w:rPr>
          <w:rFonts w:ascii="Times New Roman" w:hAnsi="Times New Roman" w:cs="Times New Roman" w:eastAsia="Times New Roman" w:hint="default"/>
        </w:rPr>
        <w:t>10%</w:t>
      </w:r>
      <w:r>
        <w:rPr/>
        <w:t>的法定盈余公积</w:t>
      </w:r>
      <w:r>
        <w:rPr>
          <w:spacing w:val="-65"/>
        </w:rPr>
        <w:t> </w:t>
      </w:r>
      <w:r>
        <w:rPr>
          <w:spacing w:val="-65"/>
        </w:rPr>
      </w:r>
      <w:r>
        <w:rPr>
          <w:rFonts w:ascii="Times New Roman" w:hAnsi="Times New Roman" w:cs="Times New Roman" w:eastAsia="Times New Roman" w:hint="default"/>
          <w:spacing w:val="-2"/>
        </w:rPr>
        <w:t>9,105,830.18</w:t>
      </w:r>
      <w:r>
        <w:rPr>
          <w:spacing w:val="-2"/>
        </w:rPr>
        <w:t>元，剩余利润</w:t>
      </w:r>
      <w:r>
        <w:rPr>
          <w:rFonts w:ascii="Times New Roman" w:hAnsi="Times New Roman" w:cs="Times New Roman" w:eastAsia="Times New Roman" w:hint="default"/>
          <w:spacing w:val="-2"/>
        </w:rPr>
        <w:t>81,952,471.59</w:t>
      </w:r>
      <w:r>
        <w:rPr>
          <w:spacing w:val="-2"/>
        </w:rPr>
        <w:t>元；加上上年结转未分配利润</w:t>
      </w:r>
      <w:r>
        <w:rPr>
          <w:rFonts w:ascii="Times New Roman" w:hAnsi="Times New Roman" w:cs="Times New Roman" w:eastAsia="Times New Roman" w:hint="default"/>
          <w:spacing w:val="-2"/>
        </w:rPr>
        <w:t>135,535,062.57</w:t>
      </w:r>
      <w:r>
        <w:rPr>
          <w:spacing w:val="-2"/>
        </w:rPr>
        <w:t>元，扣除</w:t>
      </w:r>
      <w:r>
        <w:rPr>
          <w:rFonts w:ascii="Times New Roman" w:hAnsi="Times New Roman" w:cs="Times New Roman" w:eastAsia="Times New Roman" w:hint="default"/>
          <w:spacing w:val="-2"/>
        </w:rPr>
        <w:t>2012</w:t>
      </w:r>
      <w:r>
        <w:rPr>
          <w:spacing w:val="-2"/>
        </w:rPr>
        <w:t>年现金分红</w:t>
      </w:r>
      <w:r>
        <w:rPr>
          <w:rFonts w:ascii="Times New Roman" w:hAnsi="Times New Roman" w:cs="Times New Roman" w:eastAsia="Times New Roman" w:hint="default"/>
          <w:spacing w:val="-2"/>
        </w:rPr>
        <w:t>9,380,000.00</w:t>
      </w:r>
      <w:r>
        <w:rPr>
          <w:spacing w:val="-2"/>
        </w:rPr>
        <w:t>元，</w:t>
      </w:r>
    </w:p>
    <w:p>
      <w:pPr>
        <w:pStyle w:val="BodyText"/>
        <w:spacing w:line="300" w:lineRule="auto" w:before="13"/>
        <w:ind w:right="192"/>
        <w:jc w:val="both"/>
      </w:pPr>
      <w:r>
        <w:rPr>
          <w:rFonts w:ascii="Times New Roman" w:hAnsi="Times New Roman" w:cs="Times New Roman" w:eastAsia="Times New Roman" w:hint="default"/>
        </w:rPr>
        <w:t>2012</w:t>
      </w:r>
      <w:r>
        <w:rPr/>
        <w:t>年末实际可供股东分配的利润为</w:t>
      </w:r>
      <w:r>
        <w:rPr>
          <w:rFonts w:ascii="Times New Roman" w:hAnsi="Times New Roman" w:cs="Times New Roman" w:eastAsia="Times New Roman" w:hint="default"/>
        </w:rPr>
        <w:t>208,107,534.16</w:t>
      </w:r>
      <w:r>
        <w:rPr/>
        <w:t>元（以上数据来自母公司财务报表）。公司</w:t>
      </w:r>
      <w:r>
        <w:rPr>
          <w:rFonts w:ascii="Times New Roman" w:hAnsi="Times New Roman" w:cs="Times New Roman" w:eastAsia="Times New Roman" w:hint="default"/>
        </w:rPr>
        <w:t>2012</w:t>
      </w:r>
      <w:r>
        <w:rPr/>
        <w:t>年度利润分配的预案：</w:t>
      </w:r>
      <w:r>
        <w:rPr>
          <w:spacing w:val="-69"/>
        </w:rPr>
        <w:t> </w:t>
      </w:r>
      <w:r>
        <w:rPr>
          <w:spacing w:val="-69"/>
        </w:rPr>
      </w:r>
      <w:r>
        <w:rPr>
          <w:spacing w:val="-2"/>
        </w:rPr>
        <w:t>公司以截至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93,800,000.00</w:t>
      </w:r>
      <w:r>
        <w:rPr>
          <w:spacing w:val="-2"/>
        </w:rPr>
        <w:t>股为基数，以截至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日母公司未分配利润向全体股东按每</w:t>
      </w:r>
      <w:r>
        <w:rPr>
          <w:rFonts w:ascii="Times New Roman" w:hAnsi="Times New Roman" w:cs="Times New Roman" w:eastAsia="Times New Roman" w:hint="default"/>
          <w:spacing w:val="-2"/>
        </w:rPr>
        <w:t>10</w:t>
      </w:r>
      <w:r>
        <w:rPr>
          <w:spacing w:val="-2"/>
        </w:rPr>
        <w:t>股派发</w:t>
      </w:r>
      <w:r>
        <w:rPr>
          <w:spacing w:val="-28"/>
        </w:rPr>
        <w:t> </w:t>
      </w:r>
      <w:r>
        <w:rPr>
          <w:spacing w:val="-28"/>
        </w:rPr>
      </w:r>
      <w:r>
        <w:rPr/>
        <w:t>现金红利</w:t>
      </w:r>
      <w:r>
        <w:rPr>
          <w:rFonts w:ascii="Times New Roman" w:hAnsi="Times New Roman" w:cs="Times New Roman" w:eastAsia="Times New Roman" w:hint="default"/>
        </w:rPr>
        <w:t>1.20</w:t>
      </w:r>
      <w:r>
        <w:rPr/>
        <w:t>元（含税），共计派发现金</w:t>
      </w:r>
      <w:r>
        <w:rPr>
          <w:rFonts w:ascii="Times New Roman" w:hAnsi="Times New Roman" w:cs="Times New Roman" w:eastAsia="Times New Roman" w:hint="default"/>
        </w:rPr>
        <w:t>11,256,000.00</w:t>
      </w:r>
      <w:r>
        <w:rPr/>
        <w:t>元；本次不进行资本公积转增股本和送红股。</w:t>
      </w:r>
    </w:p>
    <w:p>
      <w:pPr>
        <w:pStyle w:val="BodyText"/>
        <w:spacing w:line="300" w:lineRule="auto" w:before="13"/>
        <w:ind w:right="190" w:firstLine="359"/>
        <w:jc w:val="both"/>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9</w:t>
      </w:r>
      <w:r>
        <w:rPr>
          <w:spacing w:val="-1"/>
        </w:rPr>
        <w:t>日，公司召开</w:t>
      </w:r>
      <w:r>
        <w:rPr>
          <w:rFonts w:ascii="Times New Roman" w:hAnsi="Times New Roman" w:cs="Times New Roman" w:eastAsia="Times New Roman" w:hint="default"/>
          <w:spacing w:val="-1"/>
        </w:rPr>
        <w:t>2012</w:t>
      </w:r>
      <w:r>
        <w:rPr>
          <w:spacing w:val="-1"/>
        </w:rPr>
        <w:t>年度股东大会，审议通过《</w:t>
      </w:r>
      <w:r>
        <w:rPr>
          <w:rFonts w:ascii="Times New Roman" w:hAnsi="Times New Roman" w:cs="Times New Roman" w:eastAsia="Times New Roman" w:hint="default"/>
          <w:spacing w:val="-1"/>
        </w:rPr>
        <w:t>2012</w:t>
      </w:r>
      <w:r>
        <w:rPr>
          <w:spacing w:val="-1"/>
        </w:rPr>
        <w:t>年度利润分配的议案》；</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w:t>
      </w:r>
      <w:r>
        <w:rPr>
          <w:rFonts w:ascii="Times New Roman" w:hAnsi="Times New Roman" w:cs="Times New Roman" w:eastAsia="Times New Roman" w:hint="default"/>
          <w:spacing w:val="-1"/>
        </w:rPr>
        <w:t>2012</w:t>
      </w:r>
      <w:r>
        <w:rPr>
          <w:spacing w:val="-1"/>
        </w:rPr>
        <w:t>年度现金</w:t>
      </w:r>
      <w:r>
        <w:rPr>
          <w:w w:val="100"/>
        </w:rPr>
        <w:t> </w:t>
      </w:r>
      <w:r>
        <w:rPr/>
        <w:t>分红实施完毕。</w:t>
      </w:r>
    </w:p>
    <w:p>
      <w:pPr>
        <w:pStyle w:val="BodyText"/>
        <w:spacing w:line="240" w:lineRule="auto" w:before="31"/>
        <w:ind w:left="512" w:right="93"/>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日，公司召开第二届董事会第十三次会议，公司 </w:t>
      </w:r>
      <w:r>
        <w:rPr>
          <w:rFonts w:ascii="Times New Roman" w:hAnsi="Times New Roman" w:cs="Times New Roman" w:eastAsia="Times New Roman" w:hint="default"/>
        </w:rPr>
        <w:t>2013</w:t>
      </w:r>
      <w:r>
        <w:rPr>
          <w:rFonts w:ascii="Times New Roman" w:hAnsi="Times New Roman" w:cs="Times New Roman" w:eastAsia="Times New Roman" w:hint="default"/>
          <w:spacing w:val="21"/>
        </w:rPr>
        <w:t> </w:t>
      </w:r>
      <w:r>
        <w:rPr/>
        <w:t>年度利润分配的预案：经北京天圆全会计师事务所</w:t>
      </w:r>
    </w:p>
    <w:p>
      <w:pPr>
        <w:pStyle w:val="BodyText"/>
        <w:spacing w:line="240" w:lineRule="auto" w:before="62"/>
        <w:ind w:right="0"/>
        <w:jc w:val="both"/>
      </w:pPr>
      <w:r>
        <w:rPr>
          <w:spacing w:val="-3"/>
        </w:rPr>
        <w:t>（特殊普通合伙）审计，截至</w:t>
      </w:r>
      <w:r>
        <w:rPr>
          <w:spacing w:val="-2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1"/>
        </w:rPr>
        <w:t> </w:t>
      </w:r>
      <w:r>
        <w:rPr/>
        <w:t>年</w:t>
      </w:r>
      <w:r>
        <w:rPr>
          <w:spacing w:val="-25"/>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w:t>
      </w:r>
      <w:r>
        <w:rPr>
          <w:spacing w:val="-25"/>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日止，公司可供分配利润为</w:t>
      </w:r>
      <w:r>
        <w:rPr>
          <w:spacing w:val="-25"/>
        </w:rPr>
        <w:t> </w:t>
      </w:r>
      <w:r>
        <w:rPr>
          <w:rFonts w:ascii="Times New Roman" w:hAnsi="Times New Roman" w:cs="Times New Roman" w:eastAsia="Times New Roman" w:hint="default"/>
        </w:rPr>
        <w:t>294,761,342.96</w:t>
      </w:r>
      <w:r>
        <w:rPr/>
        <w:t>元。经综合考虑，公司</w:t>
      </w:r>
      <w:r>
        <w:rPr>
          <w:spacing w:val="-2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w:t>
      </w:r>
    </w:p>
    <w:p>
      <w:pPr>
        <w:pStyle w:val="BodyText"/>
        <w:spacing w:line="240" w:lineRule="auto" w:before="62"/>
        <w:ind w:right="0"/>
        <w:jc w:val="both"/>
      </w:pPr>
      <w:r>
        <w:rPr/>
        <w:t>度利润分配，拟以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日公司总股本</w:t>
      </w:r>
      <w:r>
        <w:rPr>
          <w:rFonts w:ascii="Times New Roman" w:hAnsi="Times New Roman" w:cs="Times New Roman" w:eastAsia="Times New Roman" w:hint="default"/>
        </w:rPr>
        <w:t>10,894.76 </w:t>
      </w:r>
      <w:r>
        <w:rPr/>
        <w:t>万股为基数，用未分配利润向全体股东每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股派发现金红利</w:t>
      </w:r>
    </w:p>
    <w:p>
      <w:pPr>
        <w:pStyle w:val="BodyText"/>
        <w:spacing w:line="240" w:lineRule="auto" w:before="63"/>
        <w:ind w:right="0"/>
        <w:jc w:val="both"/>
      </w:pPr>
      <w:r>
        <w:rPr>
          <w:rFonts w:ascii="Times New Roman" w:hAnsi="Times New Roman" w:cs="Times New Roman" w:eastAsia="Times New Roman" w:hint="default"/>
        </w:rPr>
        <w:t>1.35 </w:t>
      </w:r>
      <w:r>
        <w:rPr/>
        <w:t>元（含税），共计派发现金红利 </w:t>
      </w:r>
      <w:r>
        <w:rPr>
          <w:rFonts w:ascii="Times New Roman" w:hAnsi="Times New Roman" w:cs="Times New Roman" w:eastAsia="Times New Roman" w:hint="default"/>
        </w:rPr>
        <w:t>14,707,926 </w:t>
      </w:r>
      <w:r>
        <w:rPr/>
        <w:t>元（含税）；同时，以资本公积金向全体股东每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股。</w:t>
      </w:r>
    </w:p>
    <w:p>
      <w:pPr>
        <w:pStyle w:val="BodyText"/>
        <w:spacing w:line="300" w:lineRule="auto" w:before="62"/>
        <w:ind w:right="192" w:firstLine="359"/>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日，公司召开</w:t>
      </w:r>
      <w:r>
        <w:rPr>
          <w:rFonts w:ascii="Times New Roman" w:hAnsi="Times New Roman" w:cs="Times New Roman" w:eastAsia="Times New Roman" w:hint="default"/>
          <w:spacing w:val="-2"/>
        </w:rPr>
        <w:t>2013</w:t>
      </w:r>
      <w:r>
        <w:rPr>
          <w:spacing w:val="-2"/>
        </w:rPr>
        <w:t>年度股东大会，审议通过《</w:t>
      </w:r>
      <w:r>
        <w:rPr>
          <w:rFonts w:ascii="Times New Roman" w:hAnsi="Times New Roman" w:cs="Times New Roman" w:eastAsia="Times New Roman" w:hint="default"/>
          <w:spacing w:val="-2"/>
        </w:rPr>
        <w:t>2013</w:t>
      </w:r>
      <w:r>
        <w:rPr>
          <w:spacing w:val="-2"/>
        </w:rPr>
        <w:t>年度利润分配的议案》；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2013</w:t>
      </w:r>
      <w:r>
        <w:rPr>
          <w:spacing w:val="-2"/>
        </w:rPr>
        <w:t>年度利润</w:t>
      </w:r>
      <w:r>
        <w:rPr>
          <w:w w:val="100"/>
        </w:rPr>
        <w:t> </w:t>
      </w:r>
      <w:r>
        <w:rPr/>
        <w:t>分配实施完毕。</w:t>
      </w:r>
    </w:p>
    <w:p>
      <w:pPr>
        <w:pStyle w:val="BodyText"/>
        <w:spacing w:line="240" w:lineRule="auto" w:before="72"/>
        <w:ind w:right="0"/>
        <w:jc w:val="both"/>
      </w:pPr>
      <w:r>
        <w:rPr/>
        <w:t>公司近三年现金分红情况表</w:t>
      </w:r>
    </w:p>
    <w:p>
      <w:pPr>
        <w:pStyle w:val="BodyText"/>
        <w:spacing w:line="240" w:lineRule="auto" w:before="117"/>
        <w:ind w:left="0" w:right="19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71" w:right="69"/>
              <w:jc w:val="center"/>
              <w:rPr>
                <w:rFonts w:ascii="宋体" w:hAnsi="宋体" w:cs="宋体" w:eastAsia="宋体" w:hint="default"/>
                <w:sz w:val="18"/>
                <w:szCs w:val="18"/>
              </w:rPr>
            </w:pPr>
            <w:r>
              <w:rPr>
                <w:rFonts w:ascii="宋体" w:hAnsi="宋体" w:cs="宋体" w:eastAsia="宋体" w:hint="default"/>
                <w:spacing w:val="-1"/>
                <w:sz w:val="18"/>
                <w:szCs w:val="18"/>
              </w:rPr>
              <w:t>分红年度合并报表</w:t>
            </w:r>
            <w:r>
              <w:rPr>
                <w:rFonts w:ascii="宋体" w:hAnsi="宋体" w:cs="宋体" w:eastAsia="宋体" w:hint="default"/>
                <w:w w:val="100"/>
                <w:sz w:val="18"/>
                <w:szCs w:val="18"/>
              </w:rPr>
              <w:t> </w:t>
            </w:r>
            <w:r>
              <w:rPr>
                <w:rFonts w:ascii="宋体" w:hAnsi="宋体" w:cs="宋体" w:eastAsia="宋体" w:hint="default"/>
                <w:spacing w:val="-1"/>
                <w:sz w:val="18"/>
                <w:szCs w:val="18"/>
              </w:rPr>
              <w:t>中归属于上市公司</w:t>
            </w:r>
            <w:r>
              <w:rPr>
                <w:rFonts w:ascii="宋体" w:hAnsi="宋体" w:cs="宋体" w:eastAsia="宋体" w:hint="default"/>
                <w:w w:val="100"/>
                <w:sz w:val="18"/>
                <w:szCs w:val="18"/>
              </w:rPr>
              <w:t> </w:t>
            </w:r>
            <w:r>
              <w:rPr>
                <w:rFonts w:ascii="宋体" w:hAnsi="宋体" w:cs="宋体" w:eastAsia="宋体" w:hint="default"/>
                <w:sz w:val="18"/>
                <w:szCs w:val="18"/>
              </w:rPr>
              <w:t>股东的净利润</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74" w:right="69"/>
              <w:jc w:val="center"/>
              <w:rPr>
                <w:rFonts w:ascii="宋体" w:hAnsi="宋体" w:cs="宋体" w:eastAsia="宋体" w:hint="default"/>
                <w:sz w:val="18"/>
                <w:szCs w:val="18"/>
              </w:rPr>
            </w:pPr>
            <w:r>
              <w:rPr>
                <w:rFonts w:ascii="宋体" w:hAnsi="宋体" w:cs="宋体" w:eastAsia="宋体" w:hint="default"/>
                <w:spacing w:val="-1"/>
                <w:sz w:val="18"/>
                <w:szCs w:val="18"/>
              </w:rPr>
              <w:t>占合并报表中归属</w:t>
            </w:r>
            <w:r>
              <w:rPr>
                <w:rFonts w:ascii="宋体" w:hAnsi="宋体" w:cs="宋体" w:eastAsia="宋体" w:hint="default"/>
                <w:w w:val="100"/>
                <w:sz w:val="18"/>
                <w:szCs w:val="18"/>
              </w:rPr>
              <w:t> </w:t>
            </w:r>
            <w:r>
              <w:rPr>
                <w:rFonts w:ascii="宋体" w:hAnsi="宋体" w:cs="宋体" w:eastAsia="宋体" w:hint="default"/>
                <w:spacing w:val="-1"/>
                <w:sz w:val="18"/>
                <w:szCs w:val="18"/>
              </w:rPr>
              <w:t>于上市公司股东的</w:t>
            </w:r>
            <w:r>
              <w:rPr>
                <w:rFonts w:ascii="宋体" w:hAnsi="宋体" w:cs="宋体" w:eastAsia="宋体" w:hint="default"/>
                <w:w w:val="100"/>
                <w:sz w:val="18"/>
                <w:szCs w:val="18"/>
              </w:rPr>
              <w:t> </w:t>
            </w:r>
            <w:r>
              <w:rPr>
                <w:rFonts w:ascii="宋体" w:hAnsi="宋体" w:cs="宋体" w:eastAsia="宋体" w:hint="default"/>
                <w:sz w:val="18"/>
                <w:szCs w:val="18"/>
              </w:rPr>
              <w:t>净利润的比率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9" w:right="72"/>
              <w:jc w:val="center"/>
              <w:rPr>
                <w:rFonts w:ascii="宋体" w:hAnsi="宋体" w:cs="宋体" w:eastAsia="宋体" w:hint="default"/>
                <w:sz w:val="18"/>
                <w:szCs w:val="18"/>
              </w:rPr>
            </w:pPr>
            <w:r>
              <w:rPr>
                <w:rFonts w:ascii="宋体" w:hAnsi="宋体" w:cs="宋体" w:eastAsia="宋体" w:hint="default"/>
                <w:spacing w:val="-1"/>
                <w:sz w:val="18"/>
                <w:szCs w:val="18"/>
              </w:rPr>
              <w:t>以现金方式要约回</w:t>
            </w:r>
            <w:r>
              <w:rPr>
                <w:rFonts w:ascii="宋体" w:hAnsi="宋体" w:cs="宋体" w:eastAsia="宋体" w:hint="default"/>
                <w:w w:val="100"/>
                <w:sz w:val="18"/>
                <w:szCs w:val="18"/>
              </w:rPr>
              <w:t> </w:t>
            </w:r>
            <w:r>
              <w:rPr>
                <w:rFonts w:ascii="宋体" w:hAnsi="宋体" w:cs="宋体" w:eastAsia="宋体" w:hint="default"/>
                <w:spacing w:val="-1"/>
                <w:sz w:val="18"/>
                <w:szCs w:val="18"/>
              </w:rPr>
              <w:t>购股份资金计入现</w:t>
            </w:r>
            <w:r>
              <w:rPr>
                <w:rFonts w:ascii="宋体" w:hAnsi="宋体" w:cs="宋体" w:eastAsia="宋体" w:hint="default"/>
                <w:w w:val="100"/>
                <w:sz w:val="18"/>
                <w:szCs w:val="18"/>
              </w:rPr>
              <w:t> </w:t>
            </w:r>
            <w:r>
              <w:rPr>
                <w:rFonts w:ascii="宋体" w:hAnsi="宋体" w:cs="宋体" w:eastAsia="宋体" w:hint="default"/>
                <w:sz w:val="18"/>
                <w:szCs w:val="18"/>
              </w:rPr>
              <w:t>金分红的金额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69" w:right="72"/>
              <w:jc w:val="center"/>
              <w:rPr>
                <w:rFonts w:ascii="宋体" w:hAnsi="宋体" w:cs="宋体" w:eastAsia="宋体" w:hint="default"/>
                <w:sz w:val="18"/>
                <w:szCs w:val="18"/>
              </w:rPr>
            </w:pPr>
            <w:r>
              <w:rPr>
                <w:rFonts w:ascii="宋体" w:hAnsi="宋体" w:cs="宋体" w:eastAsia="宋体" w:hint="default"/>
                <w:spacing w:val="-1"/>
                <w:sz w:val="18"/>
                <w:szCs w:val="18"/>
              </w:rPr>
              <w:t>以现金方式要约回</w:t>
            </w:r>
            <w:r>
              <w:rPr>
                <w:rFonts w:ascii="宋体" w:hAnsi="宋体" w:cs="宋体" w:eastAsia="宋体" w:hint="default"/>
                <w:w w:val="100"/>
                <w:sz w:val="18"/>
                <w:szCs w:val="18"/>
              </w:rPr>
              <w:t> </w:t>
            </w:r>
            <w:r>
              <w:rPr>
                <w:rFonts w:ascii="宋体" w:hAnsi="宋体" w:cs="宋体" w:eastAsia="宋体" w:hint="default"/>
                <w:spacing w:val="-1"/>
                <w:sz w:val="18"/>
                <w:szCs w:val="18"/>
              </w:rPr>
              <w:t>购股份资金计入现</w:t>
            </w:r>
            <w:r>
              <w:rPr>
                <w:rFonts w:ascii="宋体" w:hAnsi="宋体" w:cs="宋体" w:eastAsia="宋体" w:hint="default"/>
                <w:w w:val="100"/>
                <w:sz w:val="18"/>
                <w:szCs w:val="18"/>
              </w:rPr>
              <w:t> </w:t>
            </w:r>
            <w:r>
              <w:rPr>
                <w:rFonts w:ascii="宋体" w:hAnsi="宋体" w:cs="宋体" w:eastAsia="宋体" w:hint="default"/>
                <w:sz w:val="18"/>
                <w:szCs w:val="18"/>
              </w:rPr>
              <w:t>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611" w:right="69" w:hanging="540"/>
              <w:jc w:val="left"/>
              <w:rPr>
                <w:rFonts w:ascii="宋体" w:hAnsi="宋体" w:cs="宋体" w:eastAsia="宋体" w:hint="default"/>
                <w:sz w:val="18"/>
                <w:szCs w:val="18"/>
              </w:rPr>
            </w:pPr>
            <w:r>
              <w:rPr>
                <w:rFonts w:ascii="宋体" w:hAnsi="宋体" w:cs="宋体" w:eastAsia="宋体" w:hint="default"/>
                <w:sz w:val="18"/>
                <w:szCs w:val="18"/>
              </w:rPr>
              <w:t>现金分红金额（含</w:t>
            </w:r>
            <w:r>
              <w:rPr>
                <w:rFonts w:ascii="宋体" w:hAnsi="宋体" w:cs="宋体" w:eastAsia="宋体" w:hint="default"/>
                <w:w w:val="100"/>
                <w:sz w:val="18"/>
                <w:szCs w:val="18"/>
              </w:rPr>
              <w:t> </w:t>
            </w:r>
            <w:r>
              <w:rPr>
                <w:rFonts w:ascii="宋体" w:hAnsi="宋体" w:cs="宋体" w:eastAsia="宋体" w:hint="default"/>
                <w:sz w:val="18"/>
                <w:szCs w:val="18"/>
              </w:rPr>
              <w:t>税）</w:t>
            </w:r>
          </w:p>
        </w:tc>
        <w:tc>
          <w:tcPr>
            <w:tcW w:w="1594" w:type="dxa"/>
            <w:vMerge/>
            <w:tcBorders>
              <w:left w:val="single" w:sz="4" w:space="0" w:color="000000"/>
              <w:right w:val="single" w:sz="4" w:space="0" w:color="000000"/>
            </w:tcBorders>
            <w:shd w:val="clear" w:color="auto" w:fill="D3D3D3"/>
          </w:tcPr>
          <w:p>
            <w:pPr/>
          </w:p>
        </w:tc>
        <w:tc>
          <w:tcPr>
            <w:tcW w:w="1596"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6"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1594" w:type="dxa"/>
            <w:vMerge/>
            <w:tcBorders>
              <w:left w:val="single" w:sz="4" w:space="0" w:color="000000"/>
              <w:bottom w:val="nil" w:sz="6" w:space="0" w:color="auto"/>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6"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c>
          <w:tcPr>
            <w:tcW w:w="1594" w:type="dxa"/>
            <w:vMerge/>
            <w:tcBorders>
              <w:left w:val="single" w:sz="4" w:space="0" w:color="000000"/>
              <w:right w:val="single" w:sz="4" w:space="0" w:color="000000"/>
            </w:tcBorders>
            <w:shd w:val="clear" w:color="auto" w:fill="D3D3D3"/>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18,299,935.10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180,986,792.67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14,707,926.00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143,554,930.80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110,651,372.88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3"/>
        <w:jc w:val="left"/>
      </w:pPr>
      <w:r>
        <w:rPr/>
        <w:t>公司报告期内盈利且母公司未分配利润为正但未提出现金红利分配预案</w:t>
      </w:r>
    </w:p>
    <w:p>
      <w:pPr>
        <w:pStyle w:val="BodyText"/>
        <w:spacing w:line="240" w:lineRule="auto" w:before="115"/>
        <w:ind w:right="93"/>
        <w:jc w:val="left"/>
      </w:pPr>
      <w:r>
        <w:rPr/>
        <w:t>□ 适用 √</w:t>
      </w:r>
      <w:r>
        <w:rPr>
          <w:spacing w:val="-1"/>
        </w:rPr>
        <w:t> </w:t>
      </w:r>
      <w:r>
        <w:rPr/>
        <w:t>不适用</w:t>
      </w:r>
    </w:p>
    <w:p>
      <w:pPr>
        <w:spacing w:after="0" w:line="240" w:lineRule="auto"/>
        <w:jc w:val="left"/>
        <w:sectPr>
          <w:pgSz w:w="11910" w:h="16840"/>
          <w:pgMar w:header="745" w:footer="981" w:top="1060" w:bottom="118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3"/>
        <w:jc w:val="left"/>
        <w:rPr>
          <w:b w:val="0"/>
          <w:bCs w:val="0"/>
        </w:rPr>
      </w:pPr>
      <w:bookmarkStart w:name="十四、本报告期利润分配及资本公积金转增股本预案 " w:id="52"/>
      <w:bookmarkEnd w:id="52"/>
      <w:r>
        <w:rPr>
          <w:b w:val="0"/>
          <w:bCs w:val="0"/>
        </w:rPr>
      </w:r>
      <w:r>
        <w:rPr/>
        <w:t>十四、本报告期利润分配及资本公积金转增股本预案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t>√ 适用 □</w:t>
      </w:r>
      <w:r>
        <w:rPr>
          <w:spacing w:val="-1"/>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2"/>
        <w:gridCol w:w="5864"/>
      </w:tblGrid>
      <w:tr>
        <w:trPr>
          <w:trHeight w:val="403"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r>
      <w:tr>
        <w:trPr>
          <w:trHeight w:val="401"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w w:val="100"/>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w w:val="100"/>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股派息数（元</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（含税</w:t>
            </w:r>
            <w:r>
              <w:rPr>
                <w:rFonts w:ascii="宋体" w:hAnsi="宋体" w:cs="宋体" w:eastAsia="宋体" w:hint="default"/>
                <w:w w:val="100"/>
                <w:sz w:val="18"/>
                <w:szCs w:val="18"/>
              </w:rPr>
              <w:t>）</w:t>
            </w:r>
          </w:p>
        </w:tc>
        <w:tc>
          <w:tcPr>
            <w:tcW w:w="58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0.66</w:t>
            </w:r>
          </w:p>
        </w:tc>
      </w:tr>
      <w:tr>
        <w:trPr>
          <w:trHeight w:val="403"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277,271,744</w:t>
            </w:r>
          </w:p>
        </w:tc>
      </w:tr>
      <w:tr>
        <w:trPr>
          <w:trHeight w:val="401"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1"/>
                <w:w w:val="100"/>
                <w:sz w:val="18"/>
                <w:szCs w:val="18"/>
              </w:rPr>
              <w:t>现金分红总额（元</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（含税</w:t>
            </w:r>
            <w:r>
              <w:rPr>
                <w:rFonts w:ascii="宋体" w:hAnsi="宋体" w:cs="宋体" w:eastAsia="宋体" w:hint="default"/>
                <w:w w:val="100"/>
                <w:sz w:val="18"/>
                <w:szCs w:val="18"/>
              </w:rPr>
              <w:t>）</w:t>
            </w:r>
          </w:p>
        </w:tc>
        <w:tc>
          <w:tcPr>
            <w:tcW w:w="58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18,299,935.10</w:t>
            </w:r>
          </w:p>
        </w:tc>
      </w:tr>
      <w:tr>
        <w:trPr>
          <w:trHeight w:val="403"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351,132,489.79</w:t>
            </w:r>
          </w:p>
        </w:tc>
      </w:tr>
      <w:tr>
        <w:trPr>
          <w:trHeight w:val="401" w:hRule="exact"/>
        </w:trPr>
        <w:tc>
          <w:tcPr>
            <w:tcW w:w="3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年度利润分配的预案：公司以截止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日股本 </w:t>
            </w:r>
            <w:r>
              <w:rPr>
                <w:rFonts w:ascii="Times New Roman" w:hAnsi="Times New Roman" w:cs="Times New Roman" w:eastAsia="Times New Roman" w:hint="default"/>
                <w:sz w:val="18"/>
                <w:szCs w:val="18"/>
              </w:rPr>
              <w:t>277,271,744 </w:t>
            </w:r>
            <w:r>
              <w:rPr>
                <w:rFonts w:ascii="宋体" w:hAnsi="宋体" w:cs="宋体" w:eastAsia="宋体" w:hint="default"/>
                <w:spacing w:val="-6"/>
                <w:sz w:val="18"/>
                <w:szCs w:val="18"/>
              </w:rPr>
              <w:t>股为基数，以截止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1" w:right="0"/>
              <w:jc w:val="left"/>
              <w:rPr>
                <w:rFonts w:ascii="Microsoft Sans Serif" w:hAnsi="Microsoft Sans Serif" w:cs="Microsoft Sans Serif" w:eastAsia="Microsoft Sans Serif" w:hint="default"/>
                <w:sz w:val="18"/>
                <w:szCs w:val="18"/>
              </w:rPr>
            </w:pPr>
            <w:bookmarkStart w:name="十五、社会责任情况 " w:id="53"/>
            <w:bookmarkEnd w:id="53"/>
            <w:r>
              <w:rPr/>
            </w:r>
            <w:r>
              <w:rPr>
                <w:rFonts w:ascii="宋体" w:hAnsi="宋体" w:cs="宋体" w:eastAsia="宋体" w:hint="default"/>
                <w:w w:val="100"/>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1"/>
                <w:w w:val="100"/>
                <w:sz w:val="18"/>
                <w:szCs w:val="18"/>
              </w:rPr>
              <w:t>3</w:t>
            </w:r>
            <w:r>
              <w:rPr>
                <w:rFonts w:ascii="Times New Roman" w:hAnsi="Times New Roman" w:cs="Times New Roman" w:eastAsia="Times New Roman" w:hint="default"/>
                <w:w w:val="100"/>
                <w:sz w:val="18"/>
                <w:szCs w:val="18"/>
              </w:rPr>
              <w:t>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日未分配利润向全体</w:t>
            </w:r>
            <w:r>
              <w:rPr>
                <w:rFonts w:ascii="宋体" w:hAnsi="宋体" w:cs="宋体" w:eastAsia="宋体" w:hint="default"/>
                <w:spacing w:val="-3"/>
                <w:w w:val="100"/>
                <w:sz w:val="18"/>
                <w:szCs w:val="18"/>
              </w:rPr>
              <w:t>股</w:t>
            </w:r>
            <w:r>
              <w:rPr>
                <w:rFonts w:ascii="宋体" w:hAnsi="宋体" w:cs="宋体" w:eastAsia="宋体" w:hint="default"/>
                <w:spacing w:val="-1"/>
                <w:w w:val="100"/>
                <w:sz w:val="18"/>
                <w:szCs w:val="18"/>
              </w:rPr>
              <w:t>东按</w:t>
            </w:r>
            <w:r>
              <w:rPr>
                <w:rFonts w:ascii="宋体" w:hAnsi="宋体" w:cs="宋体" w:eastAsia="宋体" w:hint="default"/>
                <w:w w:val="100"/>
                <w:sz w:val="18"/>
                <w:szCs w:val="18"/>
              </w:rPr>
              <w:t>每</w:t>
            </w:r>
            <w:r>
              <w:rPr>
                <w:rFonts w:ascii="宋体" w:hAnsi="宋体" w:cs="宋体" w:eastAsia="宋体" w:hint="default"/>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w w:val="100"/>
                <w:sz w:val="18"/>
                <w:szCs w:val="18"/>
              </w:rPr>
              <w:t>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股派发现金红</w:t>
            </w:r>
            <w:r>
              <w:rPr>
                <w:rFonts w:ascii="宋体" w:hAnsi="宋体" w:cs="宋体" w:eastAsia="宋体" w:hint="default"/>
                <w:w w:val="100"/>
                <w:sz w:val="18"/>
                <w:szCs w:val="18"/>
              </w:rPr>
              <w:t>利</w:t>
            </w:r>
            <w:r>
              <w:rPr>
                <w:rFonts w:ascii="宋体" w:hAnsi="宋体" w:cs="宋体" w:eastAsia="宋体" w:hint="default"/>
                <w:spacing w:val="-48"/>
                <w:sz w:val="18"/>
                <w:szCs w:val="18"/>
              </w:rPr>
              <w:t> </w:t>
            </w:r>
            <w:r>
              <w:rPr>
                <w:rFonts w:ascii="Times New Roman" w:hAnsi="Times New Roman" w:cs="Times New Roman" w:eastAsia="Times New Roman" w:hint="default"/>
                <w:spacing w:val="1"/>
                <w:w w:val="100"/>
                <w:sz w:val="18"/>
                <w:szCs w:val="18"/>
              </w:rPr>
              <w:t>0</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2"/>
                <w:w w:val="100"/>
                <w:sz w:val="18"/>
                <w:szCs w:val="18"/>
              </w:rPr>
              <w:t>6</w:t>
            </w:r>
            <w:r>
              <w:rPr>
                <w:rFonts w:ascii="Times New Roman" w:hAnsi="Times New Roman" w:cs="Times New Roman" w:eastAsia="Times New Roman" w:hint="default"/>
                <w:w w:val="100"/>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元（含税</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，共计派发现</w:t>
            </w:r>
            <w:r>
              <w:rPr>
                <w:rFonts w:ascii="宋体" w:hAnsi="宋体" w:cs="宋体" w:eastAsia="宋体" w:hint="default"/>
                <w:w w:val="100"/>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2"/>
                <w:w w:val="100"/>
                <w:sz w:val="18"/>
                <w:szCs w:val="18"/>
              </w:rPr>
              <w:t>8</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2"/>
                <w:w w:val="100"/>
                <w:sz w:val="18"/>
                <w:szCs w:val="18"/>
              </w:rPr>
              <w:t>9</w:t>
            </w:r>
            <w:r>
              <w:rPr>
                <w:rFonts w:ascii="Times New Roman" w:hAnsi="Times New Roman" w:cs="Times New Roman" w:eastAsia="Times New Roman" w:hint="default"/>
                <w:spacing w:val="1"/>
                <w:w w:val="100"/>
                <w:sz w:val="18"/>
                <w:szCs w:val="18"/>
              </w:rPr>
              <w:t>9</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2"/>
                <w:w w:val="100"/>
                <w:sz w:val="18"/>
                <w:szCs w:val="18"/>
              </w:rPr>
              <w:t>9</w:t>
            </w:r>
            <w:r>
              <w:rPr>
                <w:rFonts w:ascii="Times New Roman" w:hAnsi="Times New Roman" w:cs="Times New Roman" w:eastAsia="Times New Roman" w:hint="default"/>
                <w:spacing w:val="1"/>
                <w:w w:val="100"/>
                <w:sz w:val="18"/>
                <w:szCs w:val="18"/>
              </w:rPr>
              <w:t>3</w:t>
            </w:r>
            <w:r>
              <w:rPr>
                <w:rFonts w:ascii="Times New Roman" w:hAnsi="Times New Roman" w:cs="Times New Roman" w:eastAsia="Times New Roman" w:hint="default"/>
                <w:spacing w:val="-2"/>
                <w:w w:val="100"/>
                <w:sz w:val="18"/>
                <w:szCs w:val="18"/>
              </w:rPr>
              <w:t>5</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pacing w:val="-2"/>
                <w:w w:val="100"/>
                <w:sz w:val="18"/>
                <w:szCs w:val="18"/>
              </w:rPr>
              <w:t>1</w:t>
            </w:r>
            <w:r>
              <w:rPr>
                <w:rFonts w:ascii="Times New Roman" w:hAnsi="Times New Roman" w:cs="Times New Roman" w:eastAsia="Times New Roman" w:hint="default"/>
                <w:w w:val="100"/>
                <w:sz w:val="18"/>
                <w:szCs w:val="18"/>
              </w:rPr>
              <w:t>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元。</w:t>
            </w:r>
            <w:r>
              <w:rPr>
                <w:rFonts w:ascii="Microsoft Sans Serif" w:hAnsi="Microsoft Sans Serif" w:cs="Microsoft Sans Serif" w:eastAsia="Microsoft Sans Serif" w:hint="default"/>
                <w:w w:val="100"/>
                <w:sz w:val="18"/>
                <w:szCs w:val="18"/>
              </w:rPr>
              <w:t> </w:t>
            </w:r>
            <w:r>
              <w:rPr>
                <w:rFonts w:ascii="Microsoft Sans Serif" w:hAnsi="Microsoft Sans Serif" w:cs="Microsoft Sans Serif" w:eastAsia="Microsoft Sans Serif" w:hint="default"/>
                <w:sz w:val="18"/>
                <w:szCs w:val="18"/>
              </w:rPr>
              <w:t> </w:t>
            </w:r>
            <w:r>
              <w:rPr>
                <w:rFonts w:ascii="Microsoft Sans Serif" w:hAnsi="Microsoft Sans Serif" w:cs="Microsoft Sans Serif" w:eastAsia="Microsoft Sans Serif" w:hint="default"/>
                <w:spacing w:val="-5"/>
                <w:sz w:val="18"/>
                <w:szCs w:val="18"/>
              </w:rPr>
              <w:t> </w:t>
            </w:r>
            <w:r>
              <w:rPr>
                <w:rFonts w:ascii="Microsoft Sans Serif" w:hAnsi="Microsoft Sans Serif" w:cs="Microsoft Sans Serif" w:eastAsia="Microsoft Sans Serif" w:hint="default"/>
                <w:w w:val="100"/>
                <w:sz w:val="18"/>
                <w:szCs w:val="18"/>
              </w:rPr>
              <w:t> </w:t>
            </w:r>
          </w:p>
        </w:tc>
      </w:tr>
    </w:tbl>
    <w:p>
      <w:pPr>
        <w:spacing w:line="240" w:lineRule="auto" w:before="1"/>
        <w:rPr>
          <w:rFonts w:ascii="宋体" w:hAnsi="宋体" w:cs="宋体" w:eastAsia="宋体" w:hint="default"/>
          <w:sz w:val="18"/>
          <w:szCs w:val="18"/>
        </w:rPr>
      </w:pPr>
    </w:p>
    <w:p>
      <w:pPr>
        <w:pStyle w:val="Heading2"/>
        <w:spacing w:line="240" w:lineRule="auto" w:before="26"/>
        <w:ind w:right="93"/>
        <w:jc w:val="left"/>
        <w:rPr>
          <w:b w:val="0"/>
          <w:bCs w:val="0"/>
        </w:rPr>
      </w:pPr>
      <w:r>
        <w:rPr/>
        <w:t>十五、社会责任情况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40" w:right="93" w:hanging="288"/>
        <w:jc w:val="left"/>
      </w:pPr>
      <w:r>
        <w:rPr/>
        <w:t>√ 适用 □ 不适用</w:t>
      </w:r>
      <w:r>
        <w:rPr>
          <w:w w:val="100"/>
        </w:rPr>
        <w:t> </w:t>
      </w:r>
      <w:r>
        <w:rPr>
          <w:spacing w:val="-1"/>
        </w:rPr>
        <w:t>作为上市公司，山东瑞康医药股份有限公司（以下简称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）在不断为股东创造价值的同时，也承担对国家和社会的</w:t>
      </w:r>
    </w:p>
    <w:p>
      <w:pPr>
        <w:pStyle w:val="BodyText"/>
        <w:spacing w:line="199" w:lineRule="exact"/>
        <w:ind w:right="93"/>
        <w:jc w:val="left"/>
      </w:pPr>
      <w:r>
        <w:rPr>
          <w:spacing w:val="-3"/>
        </w:rPr>
        <w:t>全面发展、自然环境和资源，以及股东、债权人、职工、客户、消费者、供应商、社区等利益相关方的责任，实现公司与社</w:t>
      </w:r>
    </w:p>
    <w:p>
      <w:pPr>
        <w:pStyle w:val="BodyText"/>
        <w:spacing w:line="240" w:lineRule="auto" w:before="76"/>
        <w:ind w:right="93"/>
        <w:jc w:val="left"/>
      </w:pPr>
      <w:r>
        <w:rPr/>
        <w:t>会和谐、协调、统一的可持续发展。</w:t>
      </w:r>
    </w:p>
    <w:p>
      <w:pPr>
        <w:pStyle w:val="BodyText"/>
        <w:spacing w:line="340" w:lineRule="auto" w:before="114"/>
        <w:ind w:left="512" w:right="93" w:hanging="1"/>
        <w:jc w:val="left"/>
      </w:pPr>
      <w:r>
        <w:rPr>
          <w:rFonts w:ascii="Times New Roman" w:hAnsi="Times New Roman" w:cs="Times New Roman" w:eastAsia="Times New Roman" w:hint="default"/>
        </w:rPr>
        <w:t>1</w:t>
      </w:r>
      <w:r>
        <w:rPr/>
        <w:t>、保护股东的合法权益，促进公司健康发展</w:t>
      </w:r>
      <w:r>
        <w:rPr>
          <w:w w:val="100"/>
        </w:rPr>
        <w:t> </w:t>
      </w:r>
      <w:r>
        <w:rPr>
          <w:spacing w:val="-4"/>
          <w:w w:val="100"/>
        </w:rPr>
        <w:t>公司一直高度重视公司治理结构的建立和完善，积极优化与投资者的关系，努力以出色的业绩回报来体现对股东的责任。</w:t>
      </w:r>
    </w:p>
    <w:p>
      <w:pPr>
        <w:pStyle w:val="BodyText"/>
        <w:spacing w:line="300" w:lineRule="auto" w:before="41"/>
        <w:ind w:right="103" w:firstLine="287"/>
        <w:jc w:val="both"/>
      </w:pPr>
      <w:r>
        <w:rPr/>
        <w:t>（</w:t>
      </w:r>
      <w:r>
        <w:rPr>
          <w:rFonts w:ascii="Times New Roman" w:hAnsi="Times New Roman" w:cs="Times New Roman" w:eastAsia="Times New Roman" w:hint="default"/>
        </w:rPr>
        <w:t>1</w:t>
      </w:r>
      <w:r>
        <w:rPr/>
        <w:t>）公司严格按照《公司法》、《证券法》和中国证监会等部门颁布的有关公司治理的法律、法规的要求，建立了由</w:t>
      </w:r>
      <w:r>
        <w:rPr>
          <w:w w:val="100"/>
        </w:rPr>
        <w:t> </w:t>
      </w:r>
      <w:r>
        <w:rPr>
          <w:spacing w:val="-8"/>
        </w:rPr>
        <w:t>股东大会、董事会、监事会、经理层所构成的组织结构，制定了《公司章程》、《股东大会议事规则》、《董事会议事规则》、</w:t>
      </w:r>
    </w:p>
    <w:p>
      <w:pPr>
        <w:pStyle w:val="BodyText"/>
        <w:spacing w:line="240" w:lineRule="auto" w:before="31"/>
        <w:ind w:right="93"/>
        <w:jc w:val="left"/>
      </w:pPr>
      <w:r>
        <w:rPr>
          <w:spacing w:val="-5"/>
        </w:rPr>
        <w:t>《监事会议事规则》、《信息披露管理制度》、《投资者关系管理制度》等规章制度，并在实际运营过程中不断修订和完善。</w:t>
      </w:r>
    </w:p>
    <w:p>
      <w:pPr>
        <w:pStyle w:val="BodyText"/>
        <w:spacing w:line="300" w:lineRule="auto" w:before="115"/>
        <w:ind w:right="190" w:firstLine="287"/>
        <w:jc w:val="both"/>
      </w:pPr>
      <w:r>
        <w:rPr/>
        <w:t>（</w:t>
      </w:r>
      <w:r>
        <w:rPr>
          <w:rFonts w:ascii="Times New Roman" w:hAnsi="Times New Roman" w:cs="Times New Roman" w:eastAsia="Times New Roman" w:hint="default"/>
        </w:rPr>
        <w:t>2</w:t>
      </w:r>
      <w:r>
        <w:rPr/>
        <w:t>）按照《公司章程》和《股东大会议事规则》的有关规定，公司依法召集、召开股东大会，平等对待所有股东，保</w:t>
      </w:r>
      <w:r>
        <w:rPr>
          <w:w w:val="100"/>
        </w:rPr>
        <w:t> </w:t>
      </w:r>
      <w:r>
        <w:rPr/>
        <w:t>障股东能够充分行使自己的权利。报告期内，公司共召开了</w:t>
      </w:r>
      <w:r>
        <w:rPr>
          <w:rFonts w:ascii="Times New Roman" w:hAnsi="Times New Roman" w:cs="Times New Roman" w:eastAsia="Times New Roman" w:hint="default"/>
        </w:rPr>
        <w:t>6</w:t>
      </w:r>
      <w:r>
        <w:rPr/>
        <w:t>次股东大会。</w:t>
      </w:r>
    </w:p>
    <w:p>
      <w:pPr>
        <w:pStyle w:val="BodyText"/>
        <w:spacing w:line="309" w:lineRule="auto" w:before="53"/>
        <w:ind w:right="190" w:firstLine="287"/>
        <w:jc w:val="both"/>
      </w:pPr>
      <w:r>
        <w:rPr/>
        <w:t>（</w:t>
      </w:r>
      <w:r>
        <w:rPr>
          <w:rFonts w:ascii="Times New Roman" w:hAnsi="Times New Roman" w:cs="Times New Roman" w:eastAsia="Times New Roman" w:hint="default"/>
        </w:rPr>
        <w:t>3</w:t>
      </w:r>
      <w:r>
        <w:rPr/>
        <w:t>）认真履行信息披露义务。报告期内，公司根据中国证监会《上市公司信息披露管理办法》等法律、法规和《信息</w:t>
      </w:r>
      <w:r>
        <w:rPr>
          <w:w w:val="100"/>
        </w:rPr>
        <w:t> </w:t>
      </w:r>
      <w:r>
        <w:rPr>
          <w:spacing w:val="-3"/>
        </w:rPr>
        <w:t>披露管理制度》的规定，严格履行信息披露义务，做好信息披露工作，确保信息披露的真实、准确、及时、完整和公平，以</w:t>
      </w:r>
      <w:r>
        <w:rPr>
          <w:spacing w:val="-42"/>
        </w:rPr>
        <w:t> </w:t>
      </w:r>
      <w:r>
        <w:rPr>
          <w:spacing w:val="-42"/>
        </w:rPr>
      </w:r>
      <w:r>
        <w:rPr/>
        <w:t>便公司股东和债权人能够及时了解、掌握公司经营动态、财务状况及所有重大事项的进展情况。</w:t>
      </w:r>
    </w:p>
    <w:p>
      <w:pPr>
        <w:pStyle w:val="BodyText"/>
        <w:spacing w:line="314" w:lineRule="auto" w:before="65"/>
        <w:ind w:right="190" w:firstLine="287"/>
        <w:jc w:val="both"/>
      </w:pPr>
      <w:r>
        <w:rPr/>
        <w:t>（</w:t>
      </w:r>
      <w:r>
        <w:rPr>
          <w:rFonts w:ascii="Times New Roman" w:hAnsi="Times New Roman" w:cs="Times New Roman" w:eastAsia="Times New Roman" w:hint="default"/>
        </w:rPr>
        <w:t>4</w:t>
      </w:r>
      <w:r>
        <w:rPr/>
        <w:t>）公司不断加强投资者关系的管理，本着公平对待所有投资者的原则，积极建立与投资者双向交流的机制，保持公</w:t>
      </w:r>
      <w:r>
        <w:rPr>
          <w:w w:val="100"/>
        </w:rPr>
        <w:t> </w:t>
      </w:r>
      <w:r>
        <w:rPr>
          <w:spacing w:val="-3"/>
        </w:rPr>
        <w:t>司与投资者之间相互信任、利益一致的关系，制订了《公司投资者关系管理制度》。公司指定董事会秘书负责公司投资者关</w:t>
      </w:r>
      <w:r>
        <w:rPr>
          <w:spacing w:val="-51"/>
        </w:rPr>
        <w:t> </w:t>
      </w:r>
      <w:r>
        <w:rPr>
          <w:spacing w:val="-51"/>
        </w:rPr>
      </w:r>
      <w:r>
        <w:rPr>
          <w:spacing w:val="-3"/>
        </w:rPr>
        <w:t>系工作的全面统筹、协调与安排，通过电话、网络、现场接待等多种方式积极与投资者进行交流互动，听取广大投资者对于</w:t>
      </w:r>
      <w:r>
        <w:rPr>
          <w:spacing w:val="-49"/>
        </w:rPr>
        <w:t> </w:t>
      </w:r>
      <w:r>
        <w:rPr>
          <w:spacing w:val="-49"/>
        </w:rPr>
      </w:r>
      <w:r>
        <w:rPr>
          <w:spacing w:val="-3"/>
        </w:rPr>
        <w:t>公司经营、未来发展的意见和建议，尽力解答投资者的疑问。公司指派专人做好投资者的来访接待工作，合理、妥善地安排</w:t>
      </w:r>
      <w:r>
        <w:rPr>
          <w:spacing w:val="-52"/>
        </w:rPr>
        <w:t> </w:t>
      </w:r>
      <w:r>
        <w:rPr>
          <w:spacing w:val="-52"/>
        </w:rPr>
      </w:r>
      <w:r>
        <w:rPr/>
        <w:t>中小股东和投资者、新闻媒体等特定对象到公司进行现场调研和参观，促进公司领导与投资者面对面交流。</w:t>
      </w:r>
    </w:p>
    <w:p>
      <w:pPr>
        <w:pStyle w:val="BodyText"/>
        <w:spacing w:line="309" w:lineRule="auto" w:before="59"/>
        <w:ind w:right="190" w:firstLine="287"/>
        <w:jc w:val="both"/>
      </w:pPr>
      <w:r>
        <w:rPr/>
        <w:t>（</w:t>
      </w:r>
      <w:r>
        <w:rPr>
          <w:rFonts w:ascii="Times New Roman" w:hAnsi="Times New Roman" w:cs="Times New Roman" w:eastAsia="Times New Roman" w:hint="default"/>
        </w:rPr>
        <w:t>5</w:t>
      </w:r>
      <w:r>
        <w:rPr/>
        <w:t>）公司经营管理层以投资者利益最大化为目标，适时分析市场环境，挖掘公司隐藏的价值和潜力，调整公司发展战</w:t>
      </w:r>
      <w:r>
        <w:rPr>
          <w:w w:val="100"/>
        </w:rPr>
        <w:t> </w:t>
      </w:r>
      <w:r>
        <w:rPr>
          <w:spacing w:val="-3"/>
        </w:rPr>
        <w:t>略，追求卓越的营运表现，让投资者充分分享公司良好的经营成果。公司也将根据公司章程中利润分配政策，结合公司实际</w:t>
      </w:r>
      <w:r>
        <w:rPr>
          <w:spacing w:val="-45"/>
        </w:rPr>
        <w:t> </w:t>
      </w:r>
      <w:r>
        <w:rPr>
          <w:spacing w:val="-45"/>
        </w:rPr>
      </w:r>
      <w:r>
        <w:rPr/>
        <w:t>情况，拟定合理的分红方案，在公司获得发展的同时回馈股东。</w:t>
      </w:r>
    </w:p>
    <w:p>
      <w:pPr>
        <w:pStyle w:val="BodyText"/>
        <w:spacing w:line="240" w:lineRule="auto" w:before="65"/>
        <w:ind w:left="584" w:right="93"/>
        <w:jc w:val="left"/>
      </w:pPr>
      <w:r>
        <w:rPr>
          <w:rFonts w:ascii="Times New Roman" w:hAnsi="Times New Roman" w:cs="Times New Roman" w:eastAsia="Times New Roman" w:hint="default"/>
        </w:rPr>
        <w:t>2</w:t>
      </w:r>
      <w:r>
        <w:rPr/>
        <w:t>、保护员工合法权益，促进公司和谐发展</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00" w:lineRule="auto" w:before="44"/>
        <w:ind w:right="189" w:firstLine="431"/>
        <w:jc w:val="both"/>
      </w:pPr>
      <w:r>
        <w:rPr/>
        <w:t>公司以</w:t>
      </w:r>
      <w:r>
        <w:rPr>
          <w:rFonts w:ascii="Times New Roman" w:hAnsi="Times New Roman" w:cs="Times New Roman" w:eastAsia="Times New Roman" w:hint="default"/>
        </w:rPr>
        <w:t>“</w:t>
      </w:r>
      <w:r>
        <w:rPr/>
        <w:t>关注员工成长</w:t>
      </w:r>
      <w:r>
        <w:rPr>
          <w:rFonts w:ascii="Times New Roman" w:hAnsi="Times New Roman" w:cs="Times New Roman" w:eastAsia="Times New Roman" w:hint="default"/>
        </w:rPr>
        <w:t>”</w:t>
      </w:r>
      <w:r>
        <w:rPr/>
        <w:t>为主题，秉承</w:t>
      </w:r>
      <w:r>
        <w:rPr>
          <w:rFonts w:ascii="Times New Roman" w:hAnsi="Times New Roman" w:cs="Times New Roman" w:eastAsia="Times New Roman" w:hint="default"/>
        </w:rPr>
        <w:t>“</w:t>
      </w:r>
      <w:r>
        <w:rPr/>
        <w:t>以人为本</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精简高效</w:t>
      </w:r>
      <w:r>
        <w:rPr>
          <w:rFonts w:ascii="Times New Roman" w:hAnsi="Times New Roman" w:cs="Times New Roman" w:eastAsia="Times New Roman" w:hint="default"/>
        </w:rPr>
        <w:t>”</w:t>
      </w:r>
      <w:r>
        <w:rPr/>
        <w:t>的原则，公司始终将人力资源的开发和优化配置作为公</w:t>
      </w:r>
      <w:r>
        <w:rPr>
          <w:w w:val="100"/>
        </w:rPr>
        <w:t> </w:t>
      </w:r>
      <w:r>
        <w:rPr/>
        <w:t>司发展的重要保证和前提，</w:t>
      </w:r>
    </w:p>
    <w:p>
      <w:pPr>
        <w:pStyle w:val="BodyText"/>
        <w:spacing w:line="309" w:lineRule="auto" w:before="72"/>
        <w:ind w:right="189" w:firstLine="359"/>
        <w:jc w:val="both"/>
      </w:pPr>
      <w:r>
        <w:rPr>
          <w:spacing w:val="-1"/>
        </w:rPr>
        <w:t>（</w:t>
      </w:r>
      <w:r>
        <w:rPr>
          <w:rFonts w:ascii="Times New Roman" w:hAnsi="Times New Roman" w:cs="Times New Roman" w:eastAsia="Times New Roman" w:hint="default"/>
          <w:spacing w:val="-1"/>
        </w:rPr>
        <w:t>1</w:t>
      </w:r>
      <w:r>
        <w:rPr>
          <w:spacing w:val="-1"/>
        </w:rPr>
        <w:t>）公司严格遵守新《劳动法》、《劳动合同法》等有关法律法规的规定，完善工作制度和作息时间，与所有员工签</w:t>
      </w:r>
      <w:r>
        <w:rPr>
          <w:w w:val="100"/>
        </w:rPr>
        <w:t> </w:t>
      </w:r>
      <w:r>
        <w:rPr>
          <w:spacing w:val="-3"/>
        </w:rPr>
        <w:t>订《劳动合同》，办理医疗、养老、失业、工伤等社会保险，为员工提供健康、安全的生产和生活环境，切实维护员工的切</w:t>
      </w:r>
      <w:r>
        <w:rPr>
          <w:spacing w:val="-47"/>
        </w:rPr>
        <w:t> </w:t>
      </w:r>
      <w:r>
        <w:rPr>
          <w:spacing w:val="-47"/>
        </w:rPr>
      </w:r>
      <w:r>
        <w:rPr/>
        <w:t>身利益。</w:t>
      </w:r>
    </w:p>
    <w:p>
      <w:pPr>
        <w:pStyle w:val="BodyText"/>
        <w:spacing w:line="312" w:lineRule="auto" w:before="62"/>
        <w:ind w:right="93" w:firstLine="359"/>
        <w:jc w:val="left"/>
      </w:pPr>
      <w:r>
        <w:rPr/>
        <w:t>（</w:t>
      </w:r>
      <w:r>
        <w:rPr>
          <w:rFonts w:ascii="Times New Roman" w:hAnsi="Times New Roman" w:cs="Times New Roman" w:eastAsia="Times New Roman" w:hint="default"/>
        </w:rPr>
        <w:t>2</w:t>
      </w:r>
      <w:r>
        <w:rPr/>
        <w:t>）公司建立健全人力资源管理体系，包括招聘、人员培训、薪资管理、绩效考核等人力资源管理制度，为员工的招</w:t>
      </w:r>
      <w:r>
        <w:rPr>
          <w:w w:val="100"/>
        </w:rPr>
        <w:t> </w:t>
      </w:r>
      <w:r>
        <w:rPr>
          <w:spacing w:val="-5"/>
        </w:rPr>
        <w:t>聘、培训、激励和约束提供制度保障。公司将根据内部培养和外部招聘相结合的原则，将具体措施落实到选人、用人、育人、</w:t>
      </w:r>
      <w:r>
        <w:rPr>
          <w:spacing w:val="-25"/>
        </w:rPr>
        <w:t> </w:t>
      </w:r>
      <w:r>
        <w:rPr>
          <w:spacing w:val="-25"/>
        </w:rPr>
      </w:r>
      <w:r>
        <w:rPr>
          <w:spacing w:val="-3"/>
        </w:rPr>
        <w:t>留人等各个环节，重点培养、引进市场拓展人才、复合型高级管理人才，加大力度建立健全公司人才良性竞争机制、公正合</w:t>
      </w:r>
      <w:r>
        <w:rPr>
          <w:spacing w:val="-52"/>
        </w:rPr>
        <w:t> </w:t>
      </w:r>
      <w:r>
        <w:rPr>
          <w:spacing w:val="-52"/>
        </w:rPr>
      </w:r>
      <w:r>
        <w:rPr/>
        <w:t>理的人才使用和激励机制，提高人力资源的使用效率，确保公司发展所需的各类人才能够各尽其用、各显其能。</w:t>
      </w:r>
    </w:p>
    <w:p>
      <w:pPr>
        <w:pStyle w:val="BodyText"/>
        <w:spacing w:line="312" w:lineRule="auto" w:before="63"/>
        <w:ind w:right="189" w:firstLine="575"/>
        <w:jc w:val="both"/>
      </w:pPr>
      <w:r>
        <w:rPr>
          <w:rFonts w:ascii="Times New Roman" w:hAnsi="Times New Roman" w:cs="Times New Roman" w:eastAsia="Times New Roman" w:hint="default"/>
        </w:rPr>
        <w:t>2014</w:t>
      </w:r>
      <w:r>
        <w:rPr/>
        <w:t>年，公司加大了员工培训力度，使员工尽快了解公司文化、熟悉公司业务流程、熟悉公司信息管理系统；持续</w:t>
      </w:r>
      <w:r>
        <w:rPr>
          <w:w w:val="100"/>
        </w:rPr>
        <w:t> </w:t>
      </w:r>
      <w:r>
        <w:rPr>
          <w:spacing w:val="-3"/>
        </w:rPr>
        <w:t>进行后备干部培训，建立干部梯队培养计划，培养一批熟悉市场营销、管理创新、销售创新、素质良好的主管级队伍和业务</w:t>
      </w:r>
      <w:r>
        <w:rPr>
          <w:spacing w:val="-52"/>
        </w:rPr>
        <w:t> </w:t>
      </w:r>
      <w:r>
        <w:rPr>
          <w:spacing w:val="-52"/>
        </w:rPr>
      </w:r>
      <w:r>
        <w:rPr>
          <w:spacing w:val="-3"/>
        </w:rPr>
        <w:t>骨干，以满足公司业务快速增长和永续发展的需要。致力培养一批忠诚于瑞康事业的员工队伍，让每一位员工与公司共同成</w:t>
      </w:r>
      <w:r>
        <w:rPr>
          <w:spacing w:val="-48"/>
        </w:rPr>
        <w:t> </w:t>
      </w:r>
      <w:r>
        <w:rPr>
          <w:spacing w:val="-48"/>
        </w:rPr>
      </w:r>
      <w:r>
        <w:rPr/>
        <w:t>长。</w:t>
      </w:r>
    </w:p>
    <w:p>
      <w:pPr>
        <w:pStyle w:val="BodyText"/>
        <w:spacing w:line="312" w:lineRule="auto" w:before="63"/>
        <w:ind w:right="189" w:firstLine="359"/>
        <w:jc w:val="both"/>
      </w:pPr>
      <w:r>
        <w:rPr>
          <w:spacing w:val="-1"/>
        </w:rPr>
        <w:t>（</w:t>
      </w:r>
      <w:r>
        <w:rPr>
          <w:rFonts w:ascii="Times New Roman" w:hAnsi="Times New Roman" w:cs="Times New Roman" w:eastAsia="Times New Roman" w:hint="default"/>
          <w:spacing w:val="-1"/>
        </w:rPr>
        <w:t>3</w:t>
      </w:r>
      <w:r>
        <w:rPr>
          <w:spacing w:val="-1"/>
        </w:rPr>
        <w:t>）公司为提高员工素质及业务能力，培养丰富的知识与技能，养成良好的职业道德和敬业精神，公司建立健全了培</w:t>
      </w:r>
      <w:r>
        <w:rPr>
          <w:w w:val="100"/>
        </w:rPr>
        <w:t> </w:t>
      </w:r>
      <w:r>
        <w:rPr>
          <w:spacing w:val="-3"/>
        </w:rPr>
        <w:t>训管理制度，于每年年初制定系统的年度培训计划，在培训课程的选择上，公司注重全方位，多层次，以企业的发展、员工</w:t>
      </w:r>
      <w:r>
        <w:rPr>
          <w:spacing w:val="-51"/>
        </w:rPr>
        <w:t> </w:t>
      </w:r>
      <w:r>
        <w:rPr>
          <w:spacing w:val="-51"/>
        </w:rPr>
      </w:r>
      <w:r>
        <w:rPr>
          <w:spacing w:val="-3"/>
        </w:rPr>
        <w:t>的需求为导向，针对不同层次的员工采用不同方式、不同类别的培训。在公司内部，通过内训师的培养来充实培训队伍，为</w:t>
      </w:r>
      <w:r>
        <w:rPr>
          <w:spacing w:val="-51"/>
        </w:rPr>
        <w:t> </w:t>
      </w:r>
      <w:r>
        <w:rPr>
          <w:spacing w:val="-51"/>
        </w:rPr>
      </w:r>
      <w:r>
        <w:rPr/>
        <w:t>公司员工提供多层次、多方面培训的机会。</w:t>
      </w:r>
    </w:p>
    <w:p>
      <w:pPr>
        <w:pStyle w:val="BodyText"/>
        <w:spacing w:line="309" w:lineRule="auto" w:before="60"/>
        <w:ind w:right="189" w:firstLine="287"/>
        <w:jc w:val="both"/>
      </w:pPr>
      <w:r>
        <w:rPr/>
        <w:t>（</w:t>
      </w:r>
      <w:r>
        <w:rPr>
          <w:rFonts w:ascii="Times New Roman" w:hAnsi="Times New Roman" w:cs="Times New Roman" w:eastAsia="Times New Roman" w:hint="default"/>
        </w:rPr>
        <w:t>4</w:t>
      </w:r>
      <w:r>
        <w:rPr/>
        <w:t>）公司充分发挥工会、职代会的作用，对关系到职工切身利益的事项，组织开展职工代表大会听取职工各方面的意</w:t>
      </w:r>
      <w:r>
        <w:rPr>
          <w:w w:val="100"/>
        </w:rPr>
        <w:t> </w:t>
      </w:r>
      <w:r>
        <w:rPr>
          <w:spacing w:val="-3"/>
        </w:rPr>
        <w:t>见，关心和重视职工的合理需求。公司以真诚、公正的态度对待每一位员工，关心职工工作、生活和身体健康。在紧张的工</w:t>
      </w:r>
      <w:r>
        <w:rPr>
          <w:spacing w:val="-47"/>
        </w:rPr>
        <w:t> </w:t>
      </w:r>
      <w:r>
        <w:rPr>
          <w:spacing w:val="-47"/>
        </w:rPr>
      </w:r>
      <w:r>
        <w:rPr/>
        <w:t>作之余，公司党支部、工会组织各项文体活动来丰富员工的文化生活。</w:t>
      </w:r>
    </w:p>
    <w:p>
      <w:pPr>
        <w:pStyle w:val="BodyText"/>
        <w:spacing w:line="340" w:lineRule="auto" w:before="65"/>
        <w:ind w:left="512" w:right="93" w:firstLine="71"/>
        <w:jc w:val="left"/>
      </w:pPr>
      <w:r>
        <w:rPr>
          <w:rFonts w:ascii="Times New Roman" w:hAnsi="Times New Roman" w:cs="Times New Roman" w:eastAsia="Times New Roman" w:hint="default"/>
        </w:rPr>
        <w:t>3</w:t>
      </w:r>
      <w:r>
        <w:rPr/>
        <w:t>、保护供应商、客户、消费者等利益相关者的权益，促进公司协调发展</w:t>
      </w:r>
      <w:r>
        <w:rPr>
          <w:w w:val="100"/>
        </w:rPr>
        <w:t> </w:t>
      </w:r>
      <w:r>
        <w:rPr>
          <w:spacing w:val="-3"/>
        </w:rPr>
        <w:t>保护供应商和客户权益。公司以诚信为基础，与供应商和客户建立良好的合作伙伴关系，充分尊重并保护供应商和客户</w:t>
      </w:r>
    </w:p>
    <w:p>
      <w:pPr>
        <w:pStyle w:val="BodyText"/>
        <w:spacing w:line="240" w:lineRule="auto"/>
        <w:ind w:right="93"/>
        <w:jc w:val="left"/>
      </w:pPr>
      <w:r>
        <w:rPr/>
        <w:t>的合法权益。</w:t>
      </w:r>
    </w:p>
    <w:p>
      <w:pPr>
        <w:pStyle w:val="BodyText"/>
        <w:spacing w:line="340" w:lineRule="auto" w:before="115"/>
        <w:ind w:left="512" w:right="93" w:hanging="73"/>
        <w:jc w:val="left"/>
      </w:pPr>
      <w:r>
        <w:rPr/>
        <w:t>（</w:t>
      </w:r>
      <w:r>
        <w:rPr>
          <w:rFonts w:ascii="Times New Roman" w:hAnsi="Times New Roman" w:cs="Times New Roman" w:eastAsia="Times New Roman" w:hint="default"/>
        </w:rPr>
        <w:t>1</w:t>
      </w:r>
      <w:r>
        <w:rPr/>
        <w:t>）积极实施集成化的供应链管理</w:t>
      </w:r>
      <w:r>
        <w:rPr>
          <w:w w:val="100"/>
        </w:rPr>
        <w:t> </w:t>
      </w:r>
      <w:r>
        <w:rPr>
          <w:spacing w:val="-3"/>
        </w:rPr>
        <w:t>公司在企业流程再造过程中，将企业经营过程中有关的人、技术、经营管理三要素有机地集成并优化运行，实现了项目</w:t>
      </w:r>
    </w:p>
    <w:p>
      <w:pPr>
        <w:pStyle w:val="BodyText"/>
        <w:spacing w:line="240" w:lineRule="auto"/>
        <w:ind w:right="93"/>
        <w:jc w:val="left"/>
      </w:pPr>
      <w:r>
        <w:rPr/>
        <w:t>建设全生命周期优化控制，较好适应了新的竞争环境下市场对管理过程提出的高质量、低成本的要求。</w:t>
      </w:r>
    </w:p>
    <w:p>
      <w:pPr>
        <w:pStyle w:val="BodyText"/>
        <w:spacing w:line="338" w:lineRule="auto" w:before="117"/>
        <w:ind w:left="512" w:right="93"/>
        <w:jc w:val="left"/>
      </w:pPr>
      <w:r>
        <w:rPr/>
        <w:t>（</w:t>
      </w:r>
      <w:r>
        <w:rPr>
          <w:rFonts w:ascii="Times New Roman" w:hAnsi="Times New Roman" w:cs="Times New Roman" w:eastAsia="Times New Roman" w:hint="default"/>
        </w:rPr>
        <w:t>2</w:t>
      </w:r>
      <w:r>
        <w:rPr/>
        <w:t>）积极打造双赢合作模式</w:t>
      </w:r>
      <w:r>
        <w:rPr>
          <w:w w:val="100"/>
        </w:rPr>
        <w:t> </w:t>
      </w:r>
      <w:r>
        <w:rPr>
          <w:spacing w:val="-3"/>
        </w:rPr>
        <w:t>公司积极倡导合作伙伴随企业共成长的发展理念，视客户为合作伙伴，努力构建相互尊重、诚实守信、双方共赢的良好</w:t>
      </w:r>
    </w:p>
    <w:p>
      <w:pPr>
        <w:pStyle w:val="BodyText"/>
        <w:spacing w:line="319" w:lineRule="auto" w:before="2"/>
        <w:ind w:right="93"/>
        <w:jc w:val="left"/>
      </w:pPr>
      <w:r>
        <w:rPr>
          <w:spacing w:val="-5"/>
        </w:rPr>
        <w:t>合作关系。公司尊重并维护合作伙伴的合法权益，严格按照客户要求执行各项价格政策及市场区域限制等。严格按合同办事，</w:t>
      </w:r>
      <w:r>
        <w:rPr>
          <w:spacing w:val="-29"/>
        </w:rPr>
        <w:t> </w:t>
      </w:r>
      <w:r>
        <w:rPr>
          <w:spacing w:val="-29"/>
        </w:rPr>
      </w:r>
      <w:r>
        <w:rPr/>
        <w:t>从不拖欠供应商款项。公司各部门人员严守规章制度，公正廉洁平等地处理合作关系。</w:t>
      </w:r>
    </w:p>
    <w:p>
      <w:pPr>
        <w:pStyle w:val="BodyText"/>
        <w:spacing w:line="300" w:lineRule="auto" w:before="58"/>
        <w:ind w:right="93"/>
        <w:jc w:val="left"/>
      </w:pPr>
      <w:r>
        <w:rPr/>
        <w:t>在</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年的采购管理工作中，公司注重供应链中的信息流顺畅，重点从职业道德、服务意识、采购理念、系统协调、信息</w:t>
      </w:r>
      <w:r>
        <w:rPr>
          <w:w w:val="100"/>
        </w:rPr>
        <w:t> </w:t>
      </w:r>
      <w:r>
        <w:rPr>
          <w:spacing w:val="-2"/>
        </w:rPr>
        <w:t>平台建设等方面开展工作，改变以买卖关系为基础的供应商合作，建立以互惠共赢、协同发展为基础的战略合作采购模式。</w:t>
      </w:r>
    </w:p>
    <w:p>
      <w:pPr>
        <w:pStyle w:val="BodyText"/>
        <w:spacing w:line="316" w:lineRule="auto" w:before="72"/>
        <w:ind w:right="192" w:firstLine="359"/>
        <w:jc w:val="both"/>
      </w:pPr>
      <w:r>
        <w:rPr>
          <w:spacing w:val="-3"/>
        </w:rPr>
        <w:t>公司遵循公平、公开、公正的竞争原则，与同行保持良好的竞争与合作，反对商业贿赂，反对不正当竞争；不售假，联</w:t>
      </w:r>
      <w:r>
        <w:rPr>
          <w:w w:val="100"/>
        </w:rPr>
        <w:t> </w:t>
      </w:r>
      <w:r>
        <w:rPr/>
        <w:t>合打击假冒伪劣；坚守诚信原则，弘扬诚信理念，培育诚信企业品牌，在信用体系建设中发挥带头作用。</w:t>
      </w:r>
    </w:p>
    <w:p>
      <w:pPr>
        <w:pStyle w:val="BodyText"/>
        <w:spacing w:line="340" w:lineRule="auto" w:before="57"/>
        <w:ind w:left="512" w:right="93" w:firstLine="71"/>
        <w:jc w:val="left"/>
      </w:pPr>
      <w:r>
        <w:rPr>
          <w:rFonts w:ascii="Times New Roman" w:hAnsi="Times New Roman" w:cs="Times New Roman" w:eastAsia="Times New Roman" w:hint="default"/>
        </w:rPr>
        <w:t>4</w:t>
      </w:r>
      <w:r>
        <w:rPr/>
        <w:t>、注重保护环境，促进公司可持续发展</w:t>
      </w:r>
      <w:r>
        <w:rPr>
          <w:w w:val="100"/>
        </w:rPr>
        <w:t> </w:t>
      </w:r>
      <w:r>
        <w:rPr>
          <w:spacing w:val="-3"/>
        </w:rPr>
        <w:t>对于药品流通企业来说，质量就是企业的生命，安全是我们的责任，注重环保是我们的使命，遵守法规、开拓进取，成</w:t>
      </w:r>
    </w:p>
    <w:p>
      <w:pPr>
        <w:pStyle w:val="BodyText"/>
        <w:spacing w:line="360" w:lineRule="auto"/>
        <w:ind w:left="531" w:right="93" w:hanging="380"/>
        <w:jc w:val="left"/>
      </w:pPr>
      <w:r>
        <w:rPr/>
        <w:t>为最有价值的实力型企业是我们一贯的追求。鼓励节能降耗，并实施全过程控制。</w:t>
      </w:r>
      <w:r>
        <w:rPr>
          <w:w w:val="100"/>
        </w:rPr>
        <w:t> </w:t>
      </w:r>
      <w:r>
        <w:rPr/>
        <w:t>公司一向秉承节能降耗，建立了节能降耗目标分解体系，不断采用节能环保型设施、设备，并在营销、物流、管理等</w:t>
      </w:r>
    </w:p>
    <w:p>
      <w:pPr>
        <w:pStyle w:val="BodyText"/>
        <w:spacing w:line="236" w:lineRule="exact"/>
        <w:ind w:right="93"/>
        <w:jc w:val="left"/>
      </w:pPr>
      <w:r>
        <w:rPr/>
        <w:t>部门全面实行</w:t>
      </w:r>
      <w:r>
        <w:rPr>
          <w:rFonts w:ascii="Times New Roman" w:hAnsi="Times New Roman" w:cs="Times New Roman" w:eastAsia="Times New Roman" w:hint="default"/>
        </w:rPr>
        <w:t>“</w:t>
      </w:r>
      <w:r>
        <w:rPr/>
        <w:t>节约一分钱、节约一滴水、节约一度电、节约一张纸</w:t>
      </w:r>
      <w:r>
        <w:rPr>
          <w:rFonts w:ascii="Times New Roman" w:hAnsi="Times New Roman" w:cs="Times New Roman" w:eastAsia="Times New Roman" w:hint="default"/>
        </w:rPr>
        <w:t>”</w:t>
      </w:r>
      <w:r>
        <w:rPr/>
        <w:t>的活动，并列入绩效评估。</w:t>
      </w:r>
    </w:p>
    <w:p>
      <w:pPr>
        <w:pStyle w:val="BodyText"/>
        <w:spacing w:line="319" w:lineRule="auto" w:before="101"/>
        <w:ind w:right="189" w:firstLine="379"/>
        <w:jc w:val="both"/>
      </w:pPr>
      <w:r>
        <w:rPr/>
        <w:t>员工从身边的小事做起，无纸化办公，提高纸张利用率，节约用水用电，建立节约型公司，以多种形式及渠道倡导节</w:t>
      </w:r>
      <w:r>
        <w:rPr>
          <w:w w:val="100"/>
        </w:rPr>
        <w:t> </w:t>
      </w:r>
      <w:r>
        <w:rPr/>
        <w:t>能节约，激发广大员工节能节约的积极性和创造性，使节约节能逐渐成为习惯。</w:t>
      </w:r>
    </w:p>
    <w:p>
      <w:pPr>
        <w:pStyle w:val="BodyText"/>
        <w:spacing w:line="240" w:lineRule="auto" w:before="58"/>
        <w:ind w:left="531" w:right="93"/>
        <w:jc w:val="left"/>
      </w:pPr>
      <w:r>
        <w:rPr/>
        <w:t>在资源循环利用方面，公司采取了一系列的措施。将保温箱收集用于再利用，将包装材料的塑料袋收集，用于盛装垃</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圾袋或废品等；将包装材料废品、外包装纸箱或纸筒回收，作为再生资源的回收利用。</w:t>
      </w:r>
    </w:p>
    <w:p>
      <w:pPr>
        <w:pStyle w:val="BodyText"/>
        <w:spacing w:line="338" w:lineRule="auto" w:before="117"/>
        <w:ind w:left="512" w:right="93" w:firstLine="71"/>
        <w:jc w:val="left"/>
      </w:pPr>
      <w:r>
        <w:rPr>
          <w:rFonts w:ascii="Times New Roman" w:hAnsi="Times New Roman" w:cs="Times New Roman" w:eastAsia="Times New Roman" w:hint="default"/>
        </w:rPr>
        <w:t>5</w:t>
      </w:r>
      <w:r>
        <w:rPr/>
        <w:t>、社会公益事业</w:t>
      </w:r>
      <w:r>
        <w:rPr>
          <w:w w:val="100"/>
        </w:rPr>
        <w:t> </w:t>
      </w:r>
      <w:r>
        <w:rPr>
          <w:spacing w:val="-3"/>
        </w:rPr>
        <w:t>公司在努力为股东和投资者创造价值的同时，不忘关注社会公益事业，积极鼓励全体员工主动回馈社会，参与各种形式</w:t>
      </w:r>
    </w:p>
    <w:p>
      <w:pPr>
        <w:pStyle w:val="BodyText"/>
        <w:spacing w:line="316" w:lineRule="auto" w:before="2"/>
        <w:ind w:right="93"/>
        <w:jc w:val="left"/>
      </w:pPr>
      <w:r>
        <w:rPr>
          <w:spacing w:val="-3"/>
        </w:rPr>
        <w:t>的捐资，以支持各项慈善事业。企业发展源于社会及各级政府的大力支持与帮助，公司注重社会价值的体现，一直将企业与</w:t>
      </w:r>
      <w:r>
        <w:rPr>
          <w:spacing w:val="-44"/>
        </w:rPr>
        <w:t> </w:t>
      </w:r>
      <w:r>
        <w:rPr>
          <w:spacing w:val="-44"/>
        </w:rPr>
      </w:r>
      <w:r>
        <w:rPr>
          <w:spacing w:val="-3"/>
        </w:rPr>
        <w:t>政府、企业与社会之间的关系维护作为工作重点，积极配合各级政府部门和监管机关的监督检查，并加强与相关政府机关的</w:t>
      </w:r>
      <w:r>
        <w:rPr>
          <w:spacing w:val="-48"/>
        </w:rPr>
        <w:t> </w:t>
      </w:r>
      <w:r>
        <w:rPr>
          <w:spacing w:val="-48"/>
        </w:rPr>
      </w:r>
      <w:r>
        <w:rPr>
          <w:spacing w:val="-1"/>
        </w:rPr>
        <w:t>联系，建立良好的沟通关系，认真做好相关政府部门来司的参观、视察等任务。此外，公司始终坚持规范经营、依法纳税，</w:t>
      </w:r>
      <w:r>
        <w:rPr>
          <w:spacing w:val="-77"/>
        </w:rPr>
        <w:t> </w:t>
      </w:r>
      <w:r>
        <w:rPr>
          <w:spacing w:val="-77"/>
        </w:rPr>
      </w:r>
      <w:r>
        <w:rPr>
          <w:spacing w:val="-3"/>
        </w:rPr>
        <w:t>自觉接受税务部门的检查和监督。多年来，随着企业的不断发展，公司上缴国家和地方税收逐年增长，较好地推动了当地经</w:t>
      </w:r>
      <w:r>
        <w:rPr>
          <w:spacing w:val="-45"/>
        </w:rPr>
        <w:t> </w:t>
      </w:r>
      <w:r>
        <w:rPr>
          <w:spacing w:val="-45"/>
        </w:rPr>
      </w:r>
      <w:r>
        <w:rPr/>
        <w:t>济的发展。</w:t>
      </w:r>
    </w:p>
    <w:p>
      <w:pPr>
        <w:pStyle w:val="BodyText"/>
        <w:spacing w:line="300" w:lineRule="auto" w:before="59"/>
        <w:ind w:right="93" w:firstLine="359"/>
        <w:jc w:val="left"/>
      </w:pPr>
      <w:r>
        <w:rPr>
          <w:rFonts w:ascii="Times New Roman" w:hAnsi="Times New Roman" w:cs="Times New Roman" w:eastAsia="Times New Roman" w:hint="default"/>
          <w:spacing w:val="-3"/>
        </w:rPr>
        <w:t>2015</w:t>
      </w:r>
      <w:r>
        <w:rPr>
          <w:spacing w:val="-3"/>
        </w:rPr>
        <w:t>年，公司将一如既往地把履行社会责任视作一项应尽的义务和职责，并接受社会各界的监督，不断完善公司社会责</w:t>
      </w:r>
      <w:r>
        <w:rPr>
          <w:w w:val="100"/>
        </w:rPr>
        <w:t> </w:t>
      </w:r>
      <w:r>
        <w:rPr/>
        <w:t>任管理体系建设，加强与各利益相关方的沟通与交流，促进经济、社会、环境的和谐发展。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240" w:lineRule="auto"/>
        <w:ind w:right="93"/>
        <w:jc w:val="left"/>
      </w:pPr>
      <w:r>
        <w:rPr/>
        <w:t>上市公司及其子公司是否属于国家环境保护部门规定的重污染行业</w:t>
      </w:r>
    </w:p>
    <w:p>
      <w:pPr>
        <w:pStyle w:val="BodyText"/>
        <w:spacing w:line="357" w:lineRule="auto" w:before="117"/>
        <w:ind w:right="4226"/>
        <w:jc w:val="left"/>
      </w:pPr>
      <w:r>
        <w:rPr/>
        <w:t>□ 是 √ 否 □</w:t>
      </w:r>
      <w:r>
        <w:rPr>
          <w:spacing w:val="-1"/>
        </w:rPr>
        <w:t> </w:t>
      </w:r>
      <w:r>
        <w:rPr/>
        <w:t>不适用</w:t>
      </w:r>
      <w:r>
        <w:rPr>
          <w:w w:val="100"/>
        </w:rPr>
        <w:t> </w:t>
      </w:r>
      <w:r>
        <w:rPr>
          <w:spacing w:val="-1"/>
        </w:rPr>
        <w:t>上市公司及其子公司是否存在其他重大社会安全问题</w:t>
      </w:r>
    </w:p>
    <w:p>
      <w:pPr>
        <w:pStyle w:val="BodyText"/>
        <w:spacing w:line="360" w:lineRule="auto" w:before="29"/>
        <w:ind w:right="7833"/>
        <w:jc w:val="left"/>
      </w:pPr>
      <w:r>
        <w:rPr/>
        <w:t>□ 是 √ 否 □</w:t>
      </w:r>
      <w:r>
        <w:rPr>
          <w:spacing w:val="-2"/>
        </w:rPr>
        <w:t> </w:t>
      </w:r>
      <w:r>
        <w:rPr/>
        <w:t>不适用</w:t>
      </w:r>
      <w:r>
        <w:rPr>
          <w:w w:val="100"/>
        </w:rPr>
        <w:t> </w:t>
      </w:r>
      <w:r>
        <w:rPr/>
        <w:t>报告期内是否被行政处罚</w:t>
      </w:r>
    </w:p>
    <w:p>
      <w:pPr>
        <w:pStyle w:val="BodyText"/>
        <w:spacing w:line="240" w:lineRule="auto" w:before="25"/>
        <w:ind w:right="93"/>
        <w:jc w:val="left"/>
      </w:pPr>
      <w:bookmarkStart w:name="十六、报告期内接待调研、沟通、采访等活动登记表 " w:id="54"/>
      <w:bookmarkEnd w:id="54"/>
      <w:r>
        <w:rPr/>
      </w:r>
      <w:r>
        <w:rPr/>
        <w:t>□ 是 √ 否 □</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3"/>
        <w:jc w:val="left"/>
        <w:rPr>
          <w:b w:val="0"/>
          <w:bCs w:val="0"/>
        </w:rPr>
      </w:pPr>
      <w:r>
        <w:rPr/>
        <w:t>十六、报告期内接待调研、沟通、采访等活动登记表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3"/>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713" w:hRule="exact"/>
        </w:trPr>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856" w:right="48"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w:t>
            </w:r>
            <w:r>
              <w:rPr>
                <w:rFonts w:ascii="宋体" w:hAnsi="宋体" w:cs="宋体" w:eastAsia="宋体" w:hint="default"/>
                <w:w w:val="100"/>
                <w:sz w:val="18"/>
                <w:szCs w:val="18"/>
              </w:rPr>
              <w:t> </w:t>
            </w:r>
            <w:r>
              <w:rPr>
                <w:rFonts w:ascii="宋体" w:hAnsi="宋体" w:cs="宋体" w:eastAsia="宋体" w:hint="default"/>
                <w:sz w:val="18"/>
                <w:szCs w:val="18"/>
              </w:rPr>
              <w:t>资料</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光大保德信，国金</w:t>
            </w:r>
            <w:r>
              <w:rPr>
                <w:rFonts w:ascii="宋体" w:hAnsi="宋体" w:cs="宋体" w:eastAsia="宋体" w:hint="default"/>
                <w:w w:val="100"/>
                <w:sz w:val="18"/>
                <w:szCs w:val="18"/>
              </w:rPr>
              <w:t> </w:t>
            </w:r>
            <w:r>
              <w:rPr>
                <w:rFonts w:ascii="宋体" w:hAnsi="宋体" w:cs="宋体" w:eastAsia="宋体" w:hint="default"/>
                <w:sz w:val="18"/>
                <w:szCs w:val="18"/>
              </w:rPr>
              <w:t>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1961"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第一创业，中信建</w:t>
            </w:r>
            <w:r>
              <w:rPr>
                <w:rFonts w:ascii="宋体" w:hAnsi="宋体" w:cs="宋体" w:eastAsia="宋体" w:hint="default"/>
                <w:w w:val="100"/>
                <w:sz w:val="18"/>
                <w:szCs w:val="18"/>
              </w:rPr>
              <w:t> </w:t>
            </w:r>
            <w:r>
              <w:rPr>
                <w:rFonts w:ascii="宋体" w:hAnsi="宋体" w:cs="宋体" w:eastAsia="宋体" w:hint="default"/>
                <w:sz w:val="18"/>
                <w:szCs w:val="18"/>
              </w:rPr>
              <w:t>投，信达证券，国</w:t>
            </w:r>
            <w:r>
              <w:rPr>
                <w:rFonts w:ascii="宋体" w:hAnsi="宋体" w:cs="宋体" w:eastAsia="宋体" w:hint="default"/>
                <w:w w:val="100"/>
                <w:sz w:val="18"/>
                <w:szCs w:val="18"/>
              </w:rPr>
              <w:t> </w:t>
            </w:r>
            <w:r>
              <w:rPr>
                <w:rFonts w:ascii="宋体" w:hAnsi="宋体" w:cs="宋体" w:eastAsia="宋体" w:hint="default"/>
                <w:sz w:val="18"/>
                <w:szCs w:val="18"/>
              </w:rPr>
              <w:t>海富兰克林，博时</w:t>
            </w:r>
            <w:r>
              <w:rPr>
                <w:rFonts w:ascii="宋体" w:hAnsi="宋体" w:cs="宋体" w:eastAsia="宋体" w:hint="default"/>
                <w:w w:val="100"/>
                <w:sz w:val="18"/>
                <w:szCs w:val="18"/>
              </w:rPr>
              <w:t> </w:t>
            </w:r>
            <w:r>
              <w:rPr>
                <w:rFonts w:ascii="宋体" w:hAnsi="宋体" w:cs="宋体" w:eastAsia="宋体" w:hint="default"/>
                <w:sz w:val="18"/>
                <w:szCs w:val="18"/>
              </w:rPr>
              <w:t>基金，华融证券，</w:t>
            </w:r>
            <w:r>
              <w:rPr>
                <w:rFonts w:ascii="宋体" w:hAnsi="宋体" w:cs="宋体" w:eastAsia="宋体" w:hint="default"/>
                <w:w w:val="100"/>
                <w:sz w:val="18"/>
                <w:szCs w:val="18"/>
              </w:rPr>
              <w:t> </w:t>
            </w:r>
            <w:r>
              <w:rPr>
                <w:rFonts w:ascii="宋体" w:hAnsi="宋体" w:cs="宋体" w:eastAsia="宋体" w:hint="default"/>
                <w:sz w:val="18"/>
                <w:szCs w:val="18"/>
              </w:rPr>
              <w:t>安信证券，东方证</w:t>
            </w:r>
            <w:r>
              <w:rPr>
                <w:rFonts w:ascii="宋体" w:hAnsi="宋体" w:cs="宋体" w:eastAsia="宋体" w:hint="default"/>
                <w:w w:val="100"/>
                <w:sz w:val="18"/>
                <w:szCs w:val="18"/>
              </w:rPr>
              <w:t> </w:t>
            </w:r>
            <w:r>
              <w:rPr>
                <w:rFonts w:ascii="宋体" w:hAnsi="宋体" w:cs="宋体" w:eastAsia="宋体" w:hint="default"/>
                <w:sz w:val="18"/>
                <w:szCs w:val="18"/>
              </w:rPr>
              <w:t>券，浙江中大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银河证券，中国人</w:t>
            </w:r>
            <w:r>
              <w:rPr>
                <w:rFonts w:ascii="宋体" w:hAnsi="宋体" w:cs="宋体" w:eastAsia="宋体" w:hint="default"/>
                <w:w w:val="100"/>
                <w:sz w:val="18"/>
                <w:szCs w:val="18"/>
              </w:rPr>
              <w:t> </w:t>
            </w:r>
            <w:r>
              <w:rPr>
                <w:rFonts w:ascii="宋体" w:hAnsi="宋体" w:cs="宋体" w:eastAsia="宋体" w:hint="default"/>
                <w:sz w:val="18"/>
                <w:szCs w:val="18"/>
              </w:rPr>
              <w:t>保</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长盛基金，信达证</w:t>
            </w:r>
            <w:r>
              <w:rPr>
                <w:rFonts w:ascii="宋体" w:hAnsi="宋体" w:cs="宋体" w:eastAsia="宋体" w:hint="default"/>
                <w:w w:val="100"/>
                <w:sz w:val="18"/>
                <w:szCs w:val="18"/>
              </w:rPr>
              <w:t> </w:t>
            </w:r>
            <w:r>
              <w:rPr>
                <w:rFonts w:ascii="宋体" w:hAnsi="宋体" w:cs="宋体" w:eastAsia="宋体" w:hint="default"/>
                <w:sz w:val="18"/>
                <w:szCs w:val="18"/>
              </w:rPr>
              <w:t>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齐鲁证券，瑞银证</w:t>
            </w:r>
            <w:r>
              <w:rPr>
                <w:rFonts w:ascii="宋体" w:hAnsi="宋体" w:cs="宋体" w:eastAsia="宋体" w:hint="default"/>
                <w:w w:val="100"/>
                <w:sz w:val="18"/>
                <w:szCs w:val="18"/>
              </w:rPr>
              <w:t> </w:t>
            </w:r>
            <w:r>
              <w:rPr>
                <w:rFonts w:ascii="宋体" w:hAnsi="宋体" w:cs="宋体" w:eastAsia="宋体" w:hint="default"/>
                <w:sz w:val="18"/>
                <w:szCs w:val="18"/>
              </w:rPr>
              <w:t>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公司发展情况</w:t>
            </w:r>
          </w:p>
        </w:tc>
      </w:tr>
      <w:tr>
        <w:trPr>
          <w:trHeight w:val="67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招商证券，华夏基</w:t>
            </w:r>
            <w:r>
              <w:rPr>
                <w:rFonts w:ascii="宋体" w:hAnsi="宋体" w:cs="宋体" w:eastAsia="宋体" w:hint="default"/>
                <w:w w:val="100"/>
                <w:sz w:val="18"/>
                <w:szCs w:val="18"/>
              </w:rPr>
              <w:t> </w:t>
            </w:r>
            <w:r>
              <w:rPr>
                <w:rFonts w:ascii="宋体" w:hAnsi="宋体" w:cs="宋体" w:eastAsia="宋体" w:hint="default"/>
                <w:sz w:val="18"/>
                <w:szCs w:val="18"/>
              </w:rPr>
              <w:t>金，天弘基金，广</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公司发展情况</w:t>
            </w:r>
          </w:p>
        </w:tc>
      </w:tr>
    </w:tbl>
    <w:p>
      <w:pPr>
        <w:spacing w:after="0" w:line="240" w:lineRule="auto"/>
        <w:jc w:val="left"/>
        <w:rPr>
          <w:rFonts w:ascii="宋体" w:hAnsi="宋体" w:cs="宋体" w:eastAsia="宋体" w:hint="default"/>
          <w:sz w:val="18"/>
          <w:szCs w:val="18"/>
        </w:rPr>
        <w:sectPr>
          <w:footerReference w:type="default" r:id="rId15"/>
          <w:pgSz w:w="11910" w:h="16840"/>
          <w:pgMar w:footer="981" w:header="745" w:top="1060" w:bottom="1180" w:left="980" w:right="940"/>
          <w:pgNumType w:start="30"/>
        </w:sectPr>
      </w:pPr>
    </w:p>
    <w:p>
      <w:pPr>
        <w:spacing w:line="240" w:lineRule="auto" w:before="0"/>
        <w:rPr>
          <w:rFonts w:ascii="Times New Roman" w:hAnsi="Times New Roman" w:cs="Times New Roman" w:eastAsia="Times New Roman" w:hint="default"/>
          <w:sz w:val="20"/>
          <w:szCs w:val="20"/>
        </w:rPr>
      </w:pPr>
      <w:r>
        <w:rPr/>
        <w:pict>
          <v:group style="position:absolute;margin-left:431.040009pt;margin-top:72.480011pt;width:103.8pt;height:80.05pt;mso-position-horizontal-relative:page;mso-position-vertical-relative:page;z-index:-898504" coordorigin="8621,1450" coordsize="2076,1601">
            <v:shape style="position:absolute;left:8621;top:1450;width:2076;height:1601" coordorigin="8621,1450" coordsize="2076,1601" path="m8621,1450l10697,1450,10697,3050,8621,3050,8621,145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5"/>
        <w:gridCol w:w="1495"/>
        <w:gridCol w:w="1498"/>
        <w:gridCol w:w="1498"/>
        <w:gridCol w:w="1498"/>
        <w:gridCol w:w="2086"/>
      </w:tblGrid>
      <w:tr>
        <w:trPr>
          <w:trHeight w:val="315" w:hRule="exact"/>
        </w:trPr>
        <w:tc>
          <w:tcPr>
            <w:tcW w:w="1495" w:type="dxa"/>
            <w:vMerge w:val="restart"/>
            <w:tcBorders>
              <w:top w:val="single" w:sz="4" w:space="0" w:color="000000"/>
              <w:left w:val="single" w:sz="4" w:space="0" w:color="000000"/>
              <w:right w:val="single" w:sz="4" w:space="0" w:color="000000"/>
            </w:tcBorders>
          </w:tcPr>
          <w:p>
            <w:pPr/>
          </w:p>
        </w:tc>
        <w:tc>
          <w:tcPr>
            <w:tcW w:w="1495"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发基金</w:t>
            </w:r>
            <w:r>
              <w:rPr>
                <w:rFonts w:ascii="宋体" w:hAnsi="宋体" w:cs="宋体" w:eastAsia="宋体" w:hint="default"/>
                <w:spacing w:val="-90"/>
                <w:w w:val="100"/>
                <w:sz w:val="18"/>
                <w:szCs w:val="18"/>
              </w:rPr>
              <w:t>，</w:t>
            </w:r>
            <w:r>
              <w:rPr>
                <w:rFonts w:ascii="宋体" w:hAnsi="宋体" w:cs="宋体" w:eastAsia="宋体" w:hint="default"/>
                <w:spacing w:val="-1"/>
                <w:w w:val="100"/>
                <w:sz w:val="18"/>
                <w:szCs w:val="18"/>
              </w:rPr>
              <w:t>长盛基</w:t>
            </w:r>
            <w:r>
              <w:rPr>
                <w:rFonts w:ascii="宋体" w:hAnsi="宋体" w:cs="宋体" w:eastAsia="宋体" w:hint="default"/>
                <w:w w:val="100"/>
                <w:sz w:val="18"/>
                <w:szCs w:val="18"/>
              </w:rPr>
              <w:t>金</w:t>
            </w:r>
          </w:p>
        </w:tc>
        <w:tc>
          <w:tcPr>
            <w:tcW w:w="2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23" w:right="0"/>
              <w:jc w:val="left"/>
              <w:rPr>
                <w:rFonts w:ascii="宋体" w:hAnsi="宋体" w:cs="宋体" w:eastAsia="宋体" w:hint="default"/>
                <w:sz w:val="18"/>
                <w:szCs w:val="18"/>
              </w:rPr>
            </w:pPr>
            <w:r>
              <w:rPr>
                <w:rFonts w:ascii="宋体" w:hAnsi="宋体" w:cs="宋体" w:eastAsia="宋体" w:hint="default"/>
                <w:w w:val="100"/>
                <w:sz w:val="18"/>
                <w:szCs w:val="18"/>
              </w:rPr>
              <w:t>，</w:t>
            </w: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万家基金，国金通</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用基金</w:t>
            </w:r>
            <w:r>
              <w:rPr>
                <w:rFonts w:ascii="宋体" w:hAnsi="宋体" w:cs="宋体" w:eastAsia="宋体" w:hint="default"/>
                <w:spacing w:val="-90"/>
                <w:w w:val="100"/>
                <w:sz w:val="18"/>
                <w:szCs w:val="18"/>
              </w:rPr>
              <w:t>，</w:t>
            </w:r>
            <w:r>
              <w:rPr>
                <w:rFonts w:ascii="宋体" w:hAnsi="宋体" w:cs="宋体" w:eastAsia="宋体" w:hint="default"/>
                <w:spacing w:val="-1"/>
                <w:w w:val="100"/>
                <w:sz w:val="18"/>
                <w:szCs w:val="18"/>
              </w:rPr>
              <w:t>信诚人</w:t>
            </w:r>
            <w:r>
              <w:rPr>
                <w:rFonts w:ascii="宋体" w:hAnsi="宋体" w:cs="宋体" w:eastAsia="宋体" w:hint="default"/>
                <w:w w:val="100"/>
                <w:sz w:val="18"/>
                <w:szCs w:val="18"/>
              </w:rPr>
              <w:t>寿</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w w:val="100"/>
                <w:sz w:val="18"/>
                <w:szCs w:val="18"/>
              </w:rPr>
              <w:t>，</w:t>
            </w:r>
          </w:p>
        </w:tc>
      </w:tr>
      <w:tr>
        <w:trPr>
          <w:trHeight w:val="312" w:hRule="exact"/>
        </w:trPr>
        <w:tc>
          <w:tcPr>
            <w:tcW w:w="1495" w:type="dxa"/>
            <w:vMerge/>
            <w:tcBorders>
              <w:left w:val="single" w:sz="4" w:space="0" w:color="000000"/>
              <w:right w:val="single" w:sz="4" w:space="0" w:color="000000"/>
            </w:tcBorders>
          </w:tcPr>
          <w:p>
            <w:pPr/>
          </w:p>
        </w:tc>
        <w:tc>
          <w:tcPr>
            <w:tcW w:w="1495"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对外经济贸易信</w:t>
            </w:r>
          </w:p>
        </w:tc>
        <w:tc>
          <w:tcPr>
            <w:tcW w:w="2086"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95" w:type="dxa"/>
            <w:vMerge/>
            <w:tcBorders>
              <w:left w:val="single" w:sz="4" w:space="0" w:color="000000"/>
              <w:bottom w:val="single" w:sz="4" w:space="0" w:color="000000"/>
              <w:right w:val="single" w:sz="4" w:space="0" w:color="000000"/>
            </w:tcBorders>
          </w:tcPr>
          <w:p>
            <w:pPr/>
          </w:p>
        </w:tc>
        <w:tc>
          <w:tcPr>
            <w:tcW w:w="1495"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托，民生证券</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博时基金，兴业证</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券，圆信永丰，银</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72"/>
              <w:jc w:val="right"/>
              <w:rPr>
                <w:rFonts w:ascii="宋体" w:hAnsi="宋体" w:cs="宋体" w:eastAsia="宋体" w:hint="default"/>
                <w:sz w:val="18"/>
                <w:szCs w:val="18"/>
              </w:rPr>
            </w:pPr>
            <w:r>
              <w:rPr>
                <w:rFonts w:ascii="宋体" w:hAnsi="宋体" w:cs="宋体" w:eastAsia="宋体" w:hint="default"/>
                <w:spacing w:val="-1"/>
                <w:sz w:val="18"/>
                <w:szCs w:val="18"/>
              </w:rPr>
              <w:t>公司发展情况</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华基金</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国投瑞银，太平保</w:t>
            </w:r>
            <w:r>
              <w:rPr>
                <w:rFonts w:ascii="宋体" w:hAnsi="宋体" w:cs="宋体" w:eastAsia="宋体" w:hint="default"/>
                <w:w w:val="100"/>
                <w:sz w:val="18"/>
                <w:szCs w:val="18"/>
              </w:rPr>
              <w:t> </w:t>
            </w:r>
            <w:r>
              <w:rPr>
                <w:rFonts w:ascii="宋体" w:hAnsi="宋体" w:cs="宋体" w:eastAsia="宋体" w:hint="default"/>
                <w:sz w:val="18"/>
                <w:szCs w:val="18"/>
              </w:rPr>
              <w:t>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72"/>
              <w:jc w:val="right"/>
              <w:rPr>
                <w:rFonts w:ascii="宋体" w:hAnsi="宋体" w:cs="宋体" w:eastAsia="宋体" w:hint="default"/>
                <w:sz w:val="18"/>
                <w:szCs w:val="18"/>
              </w:rPr>
            </w:pPr>
            <w:r>
              <w:rPr>
                <w:rFonts w:ascii="宋体" w:hAnsi="宋体" w:cs="宋体" w:eastAsia="宋体" w:hint="default"/>
                <w:spacing w:val="-1"/>
                <w:sz w:val="18"/>
                <w:szCs w:val="18"/>
              </w:rPr>
              <w:t>公司发展情况</w:t>
            </w:r>
          </w:p>
        </w:tc>
      </w:tr>
      <w:tr>
        <w:trPr>
          <w:trHeight w:val="713"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申银万国</w:t>
            </w:r>
            <w:r>
              <w:rPr>
                <w:rFonts w:ascii="宋体" w:hAnsi="宋体" w:cs="宋体" w:eastAsia="宋体" w:hint="default"/>
                <w:spacing w:val="-3"/>
                <w:sz w:val="18"/>
                <w:szCs w:val="18"/>
              </w:rPr>
              <w:t> </w:t>
            </w:r>
            <w:r>
              <w:rPr>
                <w:rFonts w:ascii="宋体" w:hAnsi="宋体" w:cs="宋体" w:eastAsia="宋体" w:hint="default"/>
                <w:sz w:val="18"/>
                <w:szCs w:val="18"/>
              </w:rPr>
              <w:t>平安资</w:t>
            </w:r>
            <w:r>
              <w:rPr>
                <w:rFonts w:ascii="宋体" w:hAnsi="宋体" w:cs="宋体" w:eastAsia="宋体" w:hint="default"/>
                <w:w w:val="100"/>
                <w:sz w:val="18"/>
                <w:szCs w:val="18"/>
              </w:rPr>
              <w:t> </w:t>
            </w:r>
            <w:r>
              <w:rPr>
                <w:rFonts w:ascii="宋体" w:hAnsi="宋体" w:cs="宋体" w:eastAsia="宋体" w:hint="default"/>
                <w:sz w:val="18"/>
                <w:szCs w:val="18"/>
              </w:rPr>
              <w:t>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72"/>
              <w:jc w:val="right"/>
              <w:rPr>
                <w:rFonts w:ascii="宋体" w:hAnsi="宋体" w:cs="宋体" w:eastAsia="宋体" w:hint="default"/>
                <w:sz w:val="18"/>
                <w:szCs w:val="18"/>
              </w:rPr>
            </w:pPr>
            <w:r>
              <w:rPr>
                <w:rFonts w:ascii="宋体" w:hAnsi="宋体" w:cs="宋体" w:eastAsia="宋体" w:hint="default"/>
                <w:spacing w:val="-1"/>
                <w:sz w:val="18"/>
                <w:szCs w:val="18"/>
              </w:rPr>
              <w:t>公司发展情况</w:t>
            </w:r>
          </w:p>
        </w:tc>
      </w:tr>
      <w:tr>
        <w:trPr>
          <w:trHeight w:val="355"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国泰君安，银行基</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金，易方达，交银</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72"/>
              <w:jc w:val="right"/>
              <w:rPr>
                <w:rFonts w:ascii="宋体" w:hAnsi="宋体" w:cs="宋体" w:eastAsia="宋体" w:hint="default"/>
                <w:sz w:val="18"/>
                <w:szCs w:val="18"/>
              </w:rPr>
            </w:pPr>
            <w:r>
              <w:rPr>
                <w:rFonts w:ascii="宋体" w:hAnsi="宋体" w:cs="宋体" w:eastAsia="宋体" w:hint="default"/>
                <w:spacing w:val="-1"/>
                <w:sz w:val="18"/>
                <w:szCs w:val="18"/>
              </w:rPr>
              <w:t>公司发展情况</w:t>
            </w:r>
          </w:p>
        </w:tc>
      </w:tr>
      <w:tr>
        <w:trPr>
          <w:trHeight w:val="355"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施罗德</w:t>
            </w:r>
          </w:p>
        </w:tc>
        <w:tc>
          <w:tcPr>
            <w:tcW w:w="2086"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1495" w:type="dxa"/>
            <w:tcBorders>
              <w:top w:val="single" w:sz="4" w:space="0" w:color="000000"/>
              <w:left w:val="single" w:sz="4" w:space="0" w:color="000000"/>
              <w:bottom w:val="nil" w:sz="6" w:space="0" w:color="auto"/>
              <w:right w:val="single" w:sz="4" w:space="0" w:color="000000"/>
            </w:tcBorders>
          </w:tcPr>
          <w:p>
            <w:pPr/>
          </w:p>
        </w:tc>
        <w:tc>
          <w:tcPr>
            <w:tcW w:w="1495"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中欧基金，华夏基</w:t>
            </w:r>
          </w:p>
        </w:tc>
        <w:tc>
          <w:tcPr>
            <w:tcW w:w="208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金，华商基金，华</w:t>
            </w:r>
          </w:p>
        </w:tc>
        <w:tc>
          <w:tcPr>
            <w:tcW w:w="20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972"/>
              <w:jc w:val="right"/>
              <w:rPr>
                <w:rFonts w:ascii="宋体" w:hAnsi="宋体" w:cs="宋体" w:eastAsia="宋体" w:hint="default"/>
                <w:sz w:val="18"/>
                <w:szCs w:val="18"/>
              </w:rPr>
            </w:pPr>
            <w:r>
              <w:rPr>
                <w:rFonts w:ascii="宋体" w:hAnsi="宋体" w:cs="宋体" w:eastAsia="宋体" w:hint="default"/>
                <w:spacing w:val="-1"/>
                <w:sz w:val="18"/>
                <w:szCs w:val="18"/>
              </w:rPr>
              <w:t>公司发展情况</w:t>
            </w:r>
          </w:p>
        </w:tc>
      </w:tr>
      <w:tr>
        <w:trPr>
          <w:trHeight w:val="354" w:hRule="exact"/>
        </w:trPr>
        <w:tc>
          <w:tcPr>
            <w:tcW w:w="1495" w:type="dxa"/>
            <w:tcBorders>
              <w:top w:val="nil" w:sz="6" w:space="0" w:color="auto"/>
              <w:left w:val="single" w:sz="4" w:space="0" w:color="000000"/>
              <w:bottom w:val="single" w:sz="4" w:space="0" w:color="000000"/>
              <w:right w:val="single" w:sz="4" w:space="0" w:color="000000"/>
            </w:tcBorders>
          </w:tcPr>
          <w:p>
            <w:pPr/>
          </w:p>
        </w:tc>
        <w:tc>
          <w:tcPr>
            <w:tcW w:w="1495"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创证券</w:t>
            </w:r>
          </w:p>
        </w:tc>
        <w:tc>
          <w:tcPr>
            <w:tcW w:w="208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2783"/>
        <w:jc w:val="center"/>
        <w:rPr>
          <w:b w:val="0"/>
          <w:bCs w:val="0"/>
        </w:rPr>
      </w:pPr>
      <w:bookmarkStart w:name="第五节 重要事项 " w:id="55"/>
      <w:bookmarkEnd w:id="55"/>
      <w:r>
        <w:rPr>
          <w:b w:val="0"/>
          <w:bCs w:val="0"/>
        </w:rPr>
      </w:r>
      <w:bookmarkStart w:name="_bookmark4" w:id="56"/>
      <w:bookmarkEnd w:id="56"/>
      <w:r>
        <w:rPr>
          <w:b w:val="0"/>
          <w:bCs w:val="0"/>
        </w:rPr>
      </w:r>
      <w:r>
        <w:rPr/>
        <w:t>第五节</w:t>
      </w:r>
      <w:r>
        <w:rPr>
          <w:spacing w:val="-6"/>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重大诉讼仲裁事项 " w:id="57"/>
      <w:bookmarkEnd w:id="57"/>
      <w:r>
        <w:rPr>
          <w:b w:val="0"/>
          <w:bCs w:val="0"/>
        </w:rPr>
      </w: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260"/>
        <w:jc w:val="left"/>
      </w:pPr>
      <w:r>
        <w:rPr/>
        <w:t>□ 适用 √ 不适用</w:t>
      </w:r>
      <w:r>
        <w:rPr>
          <w:w w:val="100"/>
        </w:rPr>
        <w:t> </w:t>
      </w:r>
      <w:r>
        <w:rPr>
          <w:spacing w:val="-1"/>
        </w:rPr>
        <w:t>本报告期公司无重大诉讼、仲裁事项。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二、媒体质疑情况 " w:id="58"/>
      <w:bookmarkEnd w:id="58"/>
      <w:r>
        <w:rPr>
          <w:b w:val="0"/>
          <w:bCs w:val="0"/>
        </w:rPr>
      </w:r>
      <w:r>
        <w:rPr/>
        <w:t>二、媒体质疑情况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909"/>
        <w:jc w:val="left"/>
      </w:pPr>
      <w:r>
        <w:rPr/>
        <w:t>□ 适用 √ 不适用</w:t>
      </w:r>
      <w:r>
        <w:rPr>
          <w:w w:val="100"/>
        </w:rPr>
        <w:t> </w:t>
      </w:r>
      <w:r>
        <w:rPr>
          <w:spacing w:val="-1"/>
        </w:rPr>
        <w:t>本报告期公司无媒体普遍质疑事项。</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三、控股股东及其关联方对上市公司的非经营性占用资金情况 " w:id="59"/>
      <w:bookmarkEnd w:id="59"/>
      <w:r>
        <w:rPr>
          <w:b w:val="0"/>
          <w:bCs w:val="0"/>
        </w:rPr>
      </w: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2587"/>
        <w:jc w:val="left"/>
      </w:pPr>
      <w:r>
        <w:rPr/>
        <w:t>□ 适用 √ 不适用</w:t>
      </w:r>
      <w:r>
        <w:rPr>
          <w:w w:val="100"/>
        </w:rPr>
        <w:t> </w:t>
      </w:r>
      <w:r>
        <w:rPr>
          <w:spacing w:val="-2"/>
        </w:rPr>
        <w:t>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四、破产重整相关事项 " w:id="60"/>
      <w:bookmarkEnd w:id="60"/>
      <w:r>
        <w:rPr>
          <w:b w:val="0"/>
          <w:bCs w:val="0"/>
        </w:rPr>
      </w:r>
      <w:r>
        <w:rPr/>
        <w:t>四、破产重整相关事项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260"/>
        <w:jc w:val="left"/>
      </w:pPr>
      <w:r>
        <w:rPr/>
        <w:t>□ 适用 √ 不适用</w:t>
      </w:r>
      <w:r>
        <w:rPr>
          <w:w w:val="100"/>
        </w:rPr>
        <w:t> </w:t>
      </w:r>
      <w:r>
        <w:rPr>
          <w:spacing w:val="-1"/>
        </w:rPr>
        <w:t>公司报告期未发生破产重整相关事项。</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五、资产交易事项 " w:id="61"/>
      <w:bookmarkEnd w:id="61"/>
      <w:r>
        <w:rPr>
          <w:b w:val="0"/>
          <w:bCs w:val="0"/>
        </w:rPr>
      </w:r>
      <w:r>
        <w:rPr/>
        <w:t>五、资产交易事项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收购资产情况 " w:id="62"/>
      <w:bookmarkEnd w:id="62"/>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96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4"/>
              <w:jc w:val="center"/>
              <w:rPr>
                <w:rFonts w:ascii="宋体" w:hAnsi="宋体" w:cs="宋体" w:eastAsia="宋体" w:hint="default"/>
                <w:sz w:val="18"/>
                <w:szCs w:val="18"/>
              </w:rPr>
            </w:pPr>
            <w:r>
              <w:rPr>
                <w:rFonts w:ascii="宋体" w:hAnsi="宋体" w:cs="宋体" w:eastAsia="宋体" w:hint="default"/>
                <w:sz w:val="18"/>
                <w:szCs w:val="18"/>
              </w:rPr>
              <w:t>交易对方</w:t>
            </w:r>
            <w:r>
              <w:rPr>
                <w:rFonts w:ascii="宋体" w:hAnsi="宋体" w:cs="宋体" w:eastAsia="宋体" w:hint="default"/>
                <w:w w:val="100"/>
                <w:sz w:val="18"/>
                <w:szCs w:val="18"/>
              </w:rPr>
              <w:t> </w:t>
            </w:r>
            <w:r>
              <w:rPr>
                <w:rFonts w:ascii="宋体" w:hAnsi="宋体" w:cs="宋体" w:eastAsia="宋体" w:hint="default"/>
                <w:sz w:val="18"/>
                <w:szCs w:val="18"/>
              </w:rPr>
              <w:t>或最终控</w:t>
            </w:r>
            <w:r>
              <w:rPr>
                <w:rFonts w:ascii="宋体" w:hAnsi="宋体" w:cs="宋体" w:eastAsia="宋体" w:hint="default"/>
                <w:w w:val="100"/>
                <w:sz w:val="18"/>
                <w:szCs w:val="18"/>
              </w:rPr>
              <w:t> </w:t>
            </w:r>
            <w:r>
              <w:rPr>
                <w:rFonts w:ascii="宋体" w:hAnsi="宋体" w:cs="宋体" w:eastAsia="宋体" w:hint="default"/>
                <w:sz w:val="18"/>
                <w:szCs w:val="18"/>
              </w:rPr>
              <w:t>制方</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被收购或</w:t>
            </w:r>
            <w:r>
              <w:rPr>
                <w:rFonts w:ascii="宋体" w:hAnsi="宋体" w:cs="宋体" w:eastAsia="宋体" w:hint="default"/>
                <w:w w:val="100"/>
                <w:sz w:val="18"/>
                <w:szCs w:val="18"/>
              </w:rPr>
              <w:t> </w:t>
            </w:r>
            <w:r>
              <w:rPr>
                <w:rFonts w:ascii="宋体" w:hAnsi="宋体" w:cs="宋体" w:eastAsia="宋体" w:hint="default"/>
                <w:sz w:val="18"/>
                <w:szCs w:val="18"/>
              </w:rPr>
              <w:t>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w:t>
            </w:r>
            <w:r>
              <w:rPr>
                <w:rFonts w:ascii="宋体" w:hAnsi="宋体" w:cs="宋体" w:eastAsia="宋体" w:hint="default"/>
                <w:w w:val="100"/>
                <w:sz w:val="18"/>
                <w:szCs w:val="18"/>
              </w:rPr>
              <w:t> </w:t>
            </w:r>
            <w:r>
              <w:rPr>
                <w:rFonts w:ascii="宋体" w:hAnsi="宋体" w:cs="宋体" w:eastAsia="宋体" w:hint="default"/>
                <w:sz w:val="18"/>
                <w:szCs w:val="18"/>
              </w:rPr>
              <w:t>营的影响</w:t>
            </w:r>
          </w:p>
          <w:p>
            <w:pPr>
              <w:pStyle w:val="TableParagraph"/>
              <w:spacing w:line="240" w:lineRule="auto" w:before="17"/>
              <w:ind w:left="9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对公司损</w:t>
            </w:r>
            <w:r>
              <w:rPr>
                <w:rFonts w:ascii="宋体" w:hAnsi="宋体" w:cs="宋体" w:eastAsia="宋体" w:hint="default"/>
                <w:w w:val="100"/>
                <w:sz w:val="18"/>
                <w:szCs w:val="18"/>
              </w:rPr>
              <w:t> </w:t>
            </w:r>
            <w:r>
              <w:rPr>
                <w:rFonts w:ascii="宋体" w:hAnsi="宋体" w:cs="宋体" w:eastAsia="宋体" w:hint="default"/>
                <w:sz w:val="18"/>
                <w:szCs w:val="18"/>
              </w:rPr>
              <w:t>益的影响</w:t>
            </w:r>
          </w:p>
          <w:p>
            <w:pPr>
              <w:pStyle w:val="TableParagraph"/>
              <w:spacing w:line="240" w:lineRule="auto" w:before="17"/>
              <w:ind w:left="90"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该资产为</w:t>
            </w:r>
            <w:r>
              <w:rPr>
                <w:rFonts w:ascii="宋体" w:hAnsi="宋体" w:cs="宋体" w:eastAsia="宋体" w:hint="default"/>
                <w:w w:val="100"/>
                <w:sz w:val="18"/>
                <w:szCs w:val="18"/>
              </w:rPr>
              <w:t> </w:t>
            </w:r>
            <w:r>
              <w:rPr>
                <w:rFonts w:ascii="宋体" w:hAnsi="宋体" w:cs="宋体" w:eastAsia="宋体" w:hint="default"/>
                <w:sz w:val="18"/>
                <w:szCs w:val="18"/>
              </w:rPr>
              <w:t>上市公司</w:t>
            </w:r>
            <w:r>
              <w:rPr>
                <w:rFonts w:ascii="宋体" w:hAnsi="宋体" w:cs="宋体" w:eastAsia="宋体" w:hint="default"/>
                <w:w w:val="100"/>
                <w:sz w:val="18"/>
                <w:szCs w:val="18"/>
              </w:rPr>
              <w:t> </w:t>
            </w:r>
            <w:r>
              <w:rPr>
                <w:rFonts w:ascii="宋体" w:hAnsi="宋体" w:cs="宋体" w:eastAsia="宋体" w:hint="default"/>
                <w:sz w:val="18"/>
                <w:szCs w:val="18"/>
              </w:rPr>
              <w:t>贡献的净</w:t>
            </w:r>
            <w:r>
              <w:rPr>
                <w:rFonts w:ascii="宋体" w:hAnsi="宋体" w:cs="宋体" w:eastAsia="宋体" w:hint="default"/>
                <w:w w:val="100"/>
                <w:sz w:val="18"/>
                <w:szCs w:val="18"/>
              </w:rPr>
              <w:t> </w:t>
            </w:r>
            <w:r>
              <w:rPr>
                <w:rFonts w:ascii="宋体" w:hAnsi="宋体" w:cs="宋体" w:eastAsia="宋体" w:hint="default"/>
                <w:sz w:val="18"/>
                <w:szCs w:val="18"/>
              </w:rPr>
              <w:t>利润占净</w:t>
            </w:r>
            <w:r>
              <w:rPr>
                <w:rFonts w:ascii="宋体" w:hAnsi="宋体" w:cs="宋体" w:eastAsia="宋体" w:hint="default"/>
                <w:w w:val="100"/>
                <w:sz w:val="18"/>
                <w:szCs w:val="18"/>
              </w:rPr>
              <w:t> </w:t>
            </w:r>
            <w:r>
              <w:rPr>
                <w:rFonts w:ascii="宋体" w:hAnsi="宋体" w:cs="宋体" w:eastAsia="宋体" w:hint="default"/>
                <w:sz w:val="18"/>
                <w:szCs w:val="18"/>
              </w:rPr>
              <w:t>利润总额</w:t>
            </w:r>
            <w:r>
              <w:rPr>
                <w:rFonts w:ascii="宋体" w:hAnsi="宋体" w:cs="宋体" w:eastAsia="宋体" w:hint="default"/>
                <w:w w:val="100"/>
                <w:sz w:val="18"/>
                <w:szCs w:val="18"/>
              </w:rPr>
              <w:t> </w:t>
            </w:r>
            <w:r>
              <w:rPr>
                <w:rFonts w:ascii="宋体" w:hAnsi="宋体" w:cs="宋体" w:eastAsia="宋体" w:hint="default"/>
                <w:sz w:val="18"/>
                <w:szCs w:val="18"/>
              </w:rPr>
              <w:t>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7" w:right="70" w:hanging="92"/>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w w:val="100"/>
                <w:sz w:val="18"/>
                <w:szCs w:val="18"/>
              </w:rPr>
              <w:t> </w:t>
            </w:r>
            <w:r>
              <w:rPr>
                <w:rFonts w:ascii="宋体" w:hAnsi="宋体" w:cs="宋体" w:eastAsia="宋体" w:hint="default"/>
                <w:sz w:val="18"/>
                <w:szCs w:val="18"/>
              </w:rPr>
              <w:t>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 w:right="19" w:hanging="3"/>
              <w:jc w:val="center"/>
              <w:rPr>
                <w:rFonts w:ascii="宋体" w:hAnsi="宋体" w:cs="宋体" w:eastAsia="宋体" w:hint="default"/>
                <w:sz w:val="18"/>
                <w:szCs w:val="18"/>
              </w:rPr>
            </w:pPr>
            <w:r>
              <w:rPr>
                <w:rFonts w:ascii="宋体" w:hAnsi="宋体" w:cs="宋体" w:eastAsia="宋体" w:hint="default"/>
                <w:sz w:val="18"/>
                <w:szCs w:val="18"/>
              </w:rPr>
              <w:t>与交易对</w:t>
            </w:r>
            <w:r>
              <w:rPr>
                <w:rFonts w:ascii="宋体" w:hAnsi="宋体" w:cs="宋体" w:eastAsia="宋体" w:hint="default"/>
                <w:w w:val="100"/>
                <w:sz w:val="18"/>
                <w:szCs w:val="18"/>
              </w:rPr>
              <w:t> </w:t>
            </w:r>
            <w:r>
              <w:rPr>
                <w:rFonts w:ascii="宋体" w:hAnsi="宋体" w:cs="宋体" w:eastAsia="宋体" w:hint="default"/>
                <w:sz w:val="18"/>
                <w:szCs w:val="18"/>
              </w:rPr>
              <w:t>方的关联</w:t>
            </w:r>
            <w:r>
              <w:rPr>
                <w:rFonts w:ascii="宋体" w:hAnsi="宋体" w:cs="宋体" w:eastAsia="宋体" w:hint="default"/>
                <w:w w:val="100"/>
                <w:sz w:val="18"/>
                <w:szCs w:val="18"/>
              </w:rPr>
              <w:t> </w:t>
            </w:r>
            <w:r>
              <w:rPr>
                <w:rFonts w:ascii="宋体" w:hAnsi="宋体" w:cs="宋体" w:eastAsia="宋体" w:hint="default"/>
                <w:spacing w:val="-18"/>
                <w:w w:val="100"/>
                <w:sz w:val="18"/>
                <w:szCs w:val="18"/>
              </w:rPr>
              <w:t>关系（适用</w:t>
            </w:r>
            <w:r>
              <w:rPr>
                <w:rFonts w:ascii="宋体" w:hAnsi="宋体" w:cs="宋体" w:eastAsia="宋体" w:hint="default"/>
                <w:w w:val="100"/>
                <w:sz w:val="18"/>
                <w:szCs w:val="18"/>
              </w:rPr>
              <w:t> </w:t>
            </w:r>
            <w:r>
              <w:rPr>
                <w:rFonts w:ascii="宋体" w:hAnsi="宋体" w:cs="宋体" w:eastAsia="宋体" w:hint="default"/>
                <w:sz w:val="18"/>
                <w:szCs w:val="18"/>
              </w:rPr>
              <w:t>关联交易</w:t>
            </w:r>
            <w:r>
              <w:rPr>
                <w:rFonts w:ascii="宋体" w:hAnsi="宋体" w:cs="宋体" w:eastAsia="宋体" w:hint="default"/>
                <w:w w:val="100"/>
                <w:sz w:val="18"/>
                <w:szCs w:val="18"/>
              </w:rPr>
              <w:t> </w:t>
            </w:r>
            <w:r>
              <w:rPr>
                <w:rFonts w:ascii="宋体" w:hAnsi="宋体" w:cs="宋体" w:eastAsia="宋体" w:hint="default"/>
                <w:sz w:val="18"/>
                <w:szCs w:val="18"/>
              </w:rPr>
              <w:t>情形</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8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4"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尼木光照</w:t>
            </w:r>
          </w:p>
        </w:tc>
        <w:tc>
          <w:tcPr>
            <w:tcW w:w="8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尼木祥云</w:t>
            </w: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71"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1"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29" w:right="0"/>
              <w:jc w:val="left"/>
              <w:rPr>
                <w:rFonts w:ascii="Times New Roman" w:hAnsi="Times New Roman" w:cs="Times New Roman" w:eastAsia="Times New Roman" w:hint="default"/>
                <w:sz w:val="18"/>
                <w:szCs w:val="18"/>
              </w:rPr>
            </w:pPr>
            <w:r>
              <w:rPr>
                <w:rFonts w:ascii="Times New Roman"/>
                <w:sz w:val="18"/>
              </w:rPr>
              <w:t>3,200</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19,864,675</w:t>
            </w: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82" w:right="0"/>
              <w:jc w:val="left"/>
              <w:rPr>
                <w:rFonts w:ascii="Times New Roman" w:hAnsi="Times New Roman" w:cs="Times New Roman" w:eastAsia="Times New Roman" w:hint="default"/>
                <w:sz w:val="18"/>
                <w:szCs w:val="18"/>
              </w:rPr>
            </w:pPr>
            <w:r>
              <w:rPr>
                <w:rFonts w:ascii="Times New Roman"/>
                <w:sz w:val="18"/>
              </w:rPr>
              <w:t>10.93%</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871"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4"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元</w:t>
            </w:r>
          </w:p>
        </w:tc>
        <w:tc>
          <w:tcPr>
            <w:tcW w:w="871"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出售资产情况 " w:id="63"/>
      <w:bookmarkEnd w:id="63"/>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676"/>
        <w:gridCol w:w="684"/>
        <w:gridCol w:w="684"/>
        <w:gridCol w:w="682"/>
        <w:gridCol w:w="684"/>
        <w:gridCol w:w="682"/>
        <w:gridCol w:w="684"/>
        <w:gridCol w:w="683"/>
        <w:gridCol w:w="682"/>
        <w:gridCol w:w="684"/>
        <w:gridCol w:w="682"/>
        <w:gridCol w:w="684"/>
        <w:gridCol w:w="684"/>
        <w:gridCol w:w="679"/>
      </w:tblGrid>
      <w:tr>
        <w:trPr>
          <w:trHeight w:val="381" w:hRule="exact"/>
        </w:trPr>
        <w:tc>
          <w:tcPr>
            <w:tcW w:w="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57" w:right="0"/>
              <w:jc w:val="left"/>
              <w:rPr>
                <w:rFonts w:ascii="宋体" w:hAnsi="宋体" w:cs="宋体" w:eastAsia="宋体" w:hint="default"/>
                <w:sz w:val="18"/>
                <w:szCs w:val="18"/>
              </w:rPr>
            </w:pPr>
            <w:r>
              <w:rPr>
                <w:rFonts w:ascii="宋体" w:hAnsi="宋体" w:cs="宋体" w:eastAsia="宋体" w:hint="default"/>
                <w:sz w:val="18"/>
                <w:szCs w:val="18"/>
              </w:rPr>
              <w:t>交易对</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被出售</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交易价</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本期初</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出售对</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资产出</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5" w:right="0"/>
              <w:jc w:val="left"/>
              <w:rPr>
                <w:rFonts w:ascii="宋体" w:hAnsi="宋体" w:cs="宋体" w:eastAsia="宋体" w:hint="default"/>
                <w:sz w:val="18"/>
                <w:szCs w:val="18"/>
              </w:rPr>
            </w:pPr>
            <w:r>
              <w:rPr>
                <w:rFonts w:ascii="宋体" w:hAnsi="宋体" w:cs="宋体" w:eastAsia="宋体" w:hint="default"/>
                <w:sz w:val="18"/>
                <w:szCs w:val="18"/>
              </w:rPr>
              <w:t>资产出</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是否为</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与交易</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所涉及</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所涉及</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6"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64"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6"/>
        <w:gridCol w:w="684"/>
        <w:gridCol w:w="684"/>
        <w:gridCol w:w="682"/>
        <w:gridCol w:w="684"/>
        <w:gridCol w:w="682"/>
        <w:gridCol w:w="684"/>
        <w:gridCol w:w="682"/>
        <w:gridCol w:w="684"/>
        <w:gridCol w:w="684"/>
        <w:gridCol w:w="682"/>
        <w:gridCol w:w="684"/>
        <w:gridCol w:w="682"/>
        <w:gridCol w:w="682"/>
      </w:tblGrid>
      <w:tr>
        <w:trPr>
          <w:trHeight w:val="315" w:hRule="exact"/>
        </w:trPr>
        <w:tc>
          <w:tcPr>
            <w:tcW w:w="6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w w:val="100"/>
                <w:sz w:val="18"/>
                <w:szCs w:val="18"/>
              </w:rPr>
              <w:t>方</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153"/>
              <w:jc w:val="right"/>
              <w:rPr>
                <w:rFonts w:ascii="宋体" w:hAnsi="宋体" w:cs="宋体" w:eastAsia="宋体" w:hint="default"/>
                <w:sz w:val="18"/>
                <w:szCs w:val="18"/>
              </w:rPr>
            </w:pPr>
            <w:r>
              <w:rPr>
                <w:rFonts w:ascii="宋体" w:hAnsi="宋体" w:cs="宋体" w:eastAsia="宋体" w:hint="default"/>
                <w:spacing w:val="-1"/>
                <w:sz w:val="18"/>
                <w:szCs w:val="18"/>
              </w:rPr>
              <w:t>资产</w:t>
            </w: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格（万</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pacing w:val="-1"/>
                <w:sz w:val="18"/>
                <w:szCs w:val="18"/>
              </w:rPr>
              <w:t>起至出</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66" w:right="0"/>
              <w:jc w:val="left"/>
              <w:rPr>
                <w:rFonts w:ascii="宋体" w:hAnsi="宋体" w:cs="宋体" w:eastAsia="宋体" w:hint="default"/>
                <w:sz w:val="18"/>
                <w:szCs w:val="18"/>
              </w:rPr>
            </w:pPr>
            <w:r>
              <w:rPr>
                <w:rFonts w:ascii="宋体" w:hAnsi="宋体" w:cs="宋体" w:eastAsia="宋体" w:hint="default"/>
                <w:sz w:val="18"/>
                <w:szCs w:val="18"/>
              </w:rPr>
              <w:t>公司的</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售为上</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售定价</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69"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对方的</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66" w:right="0"/>
              <w:jc w:val="left"/>
              <w:rPr>
                <w:rFonts w:ascii="宋体" w:hAnsi="宋体" w:cs="宋体" w:eastAsia="宋体" w:hint="default"/>
                <w:sz w:val="18"/>
                <w:szCs w:val="18"/>
              </w:rPr>
            </w:pPr>
            <w:r>
              <w:rPr>
                <w:rFonts w:ascii="宋体" w:hAnsi="宋体" w:cs="宋体" w:eastAsia="宋体" w:hint="default"/>
                <w:sz w:val="18"/>
                <w:szCs w:val="18"/>
              </w:rPr>
              <w:t>的资产</w:t>
            </w: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pacing w:val="-1"/>
                <w:sz w:val="18"/>
                <w:szCs w:val="18"/>
              </w:rPr>
              <w:t>的债权</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w w:val="100"/>
                <w:sz w:val="18"/>
                <w:szCs w:val="18"/>
              </w:rPr>
              <w:t>期</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w w:val="100"/>
                <w:sz w:val="18"/>
                <w:szCs w:val="18"/>
              </w:rPr>
              <w:t>引</w:t>
            </w: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售日该</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市公司</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原则</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0"/>
                <w:sz w:val="18"/>
                <w:szCs w:val="18"/>
              </w:rPr>
              <w:t>易</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关联关</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66" w:right="0"/>
              <w:jc w:val="left"/>
              <w:rPr>
                <w:rFonts w:ascii="宋体" w:hAnsi="宋体" w:cs="宋体" w:eastAsia="宋体" w:hint="default"/>
                <w:sz w:val="18"/>
                <w:szCs w:val="18"/>
              </w:rPr>
            </w:pPr>
            <w:r>
              <w:rPr>
                <w:rFonts w:ascii="宋体" w:hAnsi="宋体" w:cs="宋体" w:eastAsia="宋体" w:hint="default"/>
                <w:sz w:val="18"/>
                <w:szCs w:val="18"/>
              </w:rPr>
              <w:t>产权是</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债务是</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7"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资产为</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贡献的</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系（适</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66" w:right="0"/>
              <w:jc w:val="left"/>
              <w:rPr>
                <w:rFonts w:ascii="宋体" w:hAnsi="宋体" w:cs="宋体" w:eastAsia="宋体" w:hint="default"/>
                <w:sz w:val="18"/>
                <w:szCs w:val="18"/>
              </w:rPr>
            </w:pPr>
            <w:r>
              <w:rPr>
                <w:rFonts w:ascii="宋体" w:hAnsi="宋体" w:cs="宋体" w:eastAsia="宋体" w:hint="default"/>
                <w:sz w:val="18"/>
                <w:szCs w:val="18"/>
              </w:rPr>
              <w:t>否已全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否已全</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07"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65"/>
              <w:jc w:val="right"/>
              <w:rPr>
                <w:rFonts w:ascii="宋体" w:hAnsi="宋体" w:cs="宋体" w:eastAsia="宋体" w:hint="default"/>
                <w:sz w:val="18"/>
                <w:szCs w:val="18"/>
              </w:rPr>
            </w:pPr>
            <w:r>
              <w:rPr>
                <w:rFonts w:ascii="宋体" w:hAnsi="宋体" w:cs="宋体" w:eastAsia="宋体" w:hint="default"/>
                <w:spacing w:val="-1"/>
                <w:sz w:val="18"/>
                <w:szCs w:val="18"/>
              </w:rPr>
              <w:t>上市公</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用关联</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66" w:right="0"/>
              <w:jc w:val="left"/>
              <w:rPr>
                <w:rFonts w:ascii="宋体" w:hAnsi="宋体" w:cs="宋体" w:eastAsia="宋体" w:hint="default"/>
                <w:sz w:val="18"/>
                <w:szCs w:val="18"/>
              </w:rPr>
            </w:pPr>
            <w:r>
              <w:rPr>
                <w:rFonts w:ascii="宋体" w:hAnsi="宋体" w:cs="宋体" w:eastAsia="宋体" w:hint="default"/>
                <w:sz w:val="18"/>
                <w:szCs w:val="18"/>
              </w:rPr>
              <w:t>部过户</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65"/>
              <w:jc w:val="right"/>
              <w:rPr>
                <w:rFonts w:ascii="宋体" w:hAnsi="宋体" w:cs="宋体" w:eastAsia="宋体" w:hint="default"/>
                <w:sz w:val="18"/>
                <w:szCs w:val="18"/>
              </w:rPr>
            </w:pPr>
            <w:r>
              <w:rPr>
                <w:rFonts w:ascii="宋体" w:hAnsi="宋体" w:cs="宋体" w:eastAsia="宋体" w:hint="default"/>
                <w:spacing w:val="-1"/>
                <w:sz w:val="18"/>
                <w:szCs w:val="18"/>
              </w:rPr>
              <w:t>部转移</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司贡献</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占净利</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交易情</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的净利</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润总额</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形）</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12" w:hRule="exact"/>
        </w:trPr>
        <w:tc>
          <w:tcPr>
            <w:tcW w:w="686"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65"/>
              <w:jc w:val="right"/>
              <w:rPr>
                <w:rFonts w:ascii="宋体" w:hAnsi="宋体" w:cs="宋体" w:eastAsia="宋体" w:hint="default"/>
                <w:sz w:val="18"/>
                <w:szCs w:val="18"/>
              </w:rPr>
            </w:pPr>
            <w:r>
              <w:rPr>
                <w:rFonts w:ascii="宋体" w:hAnsi="宋体" w:cs="宋体" w:eastAsia="宋体" w:hint="default"/>
                <w:spacing w:val="-1"/>
                <w:sz w:val="18"/>
                <w:szCs w:val="18"/>
              </w:rPr>
              <w:t>润（万</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c>
          <w:tcPr>
            <w:tcW w:w="682"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60" w:hRule="exact"/>
        </w:trPr>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4" w:hRule="exact"/>
        </w:trPr>
        <w:tc>
          <w:tcPr>
            <w:tcW w:w="686" w:type="dxa"/>
            <w:tcBorders>
              <w:top w:val="single" w:sz="4" w:space="0" w:color="000000"/>
              <w:left w:val="single" w:sz="4" w:space="0" w:color="000000"/>
              <w:bottom w:val="nil" w:sz="6" w:space="0" w:color="auto"/>
              <w:right w:val="single" w:sz="10" w:space="0" w:color="FFFFFF"/>
            </w:tcBorders>
          </w:tcPr>
          <w:p>
            <w:pPr/>
          </w:p>
        </w:tc>
        <w:tc>
          <w:tcPr>
            <w:tcW w:w="684" w:type="dxa"/>
            <w:tcBorders>
              <w:top w:val="single" w:sz="4" w:space="0" w:color="000000"/>
              <w:left w:val="single" w:sz="10" w:space="0" w:color="FFFFFF"/>
              <w:bottom w:val="nil" w:sz="6" w:space="0" w:color="auto"/>
              <w:right w:val="single" w:sz="4" w:space="0" w:color="000000"/>
            </w:tcBorders>
          </w:tcPr>
          <w:p>
            <w:pPr>
              <w:pStyle w:val="TableParagraph"/>
              <w:spacing w:line="240" w:lineRule="auto" w:before="49"/>
              <w:ind w:right="108"/>
              <w:jc w:val="right"/>
              <w:rPr>
                <w:rFonts w:ascii="宋体" w:hAnsi="宋体" w:cs="宋体" w:eastAsia="宋体" w:hint="default"/>
                <w:sz w:val="18"/>
                <w:szCs w:val="18"/>
              </w:rPr>
            </w:pPr>
            <w:r>
              <w:rPr>
                <w:rFonts w:ascii="宋体" w:hAnsi="宋体" w:cs="宋体" w:eastAsia="宋体" w:hint="default"/>
                <w:spacing w:val="-1"/>
                <w:sz w:val="18"/>
                <w:szCs w:val="18"/>
              </w:rPr>
              <w:t>北京天</w:t>
            </w: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686" w:type="dxa"/>
            <w:tcBorders>
              <w:top w:val="nil" w:sz="6" w:space="0" w:color="auto"/>
              <w:left w:val="single" w:sz="4" w:space="0" w:color="000000"/>
              <w:bottom w:val="nil" w:sz="6" w:space="0" w:color="auto"/>
              <w:right w:val="single" w:sz="10" w:space="0" w:color="FFFFFF"/>
            </w:tcBorders>
          </w:tcPr>
          <w:p>
            <w:pPr>
              <w:pStyle w:val="TableParagraph"/>
              <w:spacing w:line="314" w:lineRule="auto" w:before="11"/>
              <w:ind w:left="23" w:right="-41"/>
              <w:jc w:val="left"/>
              <w:rPr>
                <w:rFonts w:ascii="宋体" w:hAnsi="宋体" w:cs="宋体" w:eastAsia="宋体" w:hint="default"/>
                <w:sz w:val="18"/>
                <w:szCs w:val="18"/>
              </w:rPr>
            </w:pPr>
            <w:r>
              <w:rPr>
                <w:rFonts w:ascii="宋体" w:hAnsi="宋体" w:cs="宋体" w:eastAsia="宋体" w:hint="default"/>
                <w:spacing w:val="-10"/>
                <w:sz w:val="18"/>
                <w:szCs w:val="18"/>
              </w:rPr>
              <w:t>刘广成、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刘若然</w:t>
            </w:r>
          </w:p>
        </w:tc>
        <w:tc>
          <w:tcPr>
            <w:tcW w:w="684" w:type="dxa"/>
            <w:tcBorders>
              <w:top w:val="nil" w:sz="6" w:space="0" w:color="auto"/>
              <w:left w:val="single" w:sz="10" w:space="0" w:color="FFFFFF"/>
              <w:bottom w:val="nil" w:sz="6" w:space="0" w:color="auto"/>
              <w:right w:val="single" w:sz="4" w:space="0" w:color="000000"/>
            </w:tcBorders>
          </w:tcPr>
          <w:p>
            <w:pPr>
              <w:pStyle w:val="TableParagraph"/>
              <w:spacing w:line="316" w:lineRule="auto" w:before="9"/>
              <w:ind w:left="16" w:right="108"/>
              <w:jc w:val="left"/>
              <w:rPr>
                <w:rFonts w:ascii="宋体" w:hAnsi="宋体" w:cs="宋体" w:eastAsia="宋体" w:hint="default"/>
                <w:sz w:val="18"/>
                <w:szCs w:val="18"/>
              </w:rPr>
            </w:pPr>
            <w:r>
              <w:rPr>
                <w:rFonts w:ascii="宋体" w:hAnsi="宋体" w:cs="宋体" w:eastAsia="宋体" w:hint="default"/>
                <w:sz w:val="18"/>
                <w:szCs w:val="18"/>
              </w:rPr>
              <w:t>业爱博</w:t>
            </w:r>
            <w:r>
              <w:rPr>
                <w:rFonts w:ascii="宋体" w:hAnsi="宋体" w:cs="宋体" w:eastAsia="宋体" w:hint="default"/>
                <w:w w:val="100"/>
                <w:sz w:val="18"/>
                <w:szCs w:val="18"/>
              </w:rPr>
              <w:t> </w:t>
            </w:r>
            <w:r>
              <w:rPr>
                <w:rFonts w:ascii="宋体" w:hAnsi="宋体" w:cs="宋体" w:eastAsia="宋体" w:hint="default"/>
                <w:sz w:val="18"/>
                <w:szCs w:val="18"/>
              </w:rPr>
              <w:t>科贸有</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2014-4-</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1,163.4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100"/>
                <w:sz w:val="18"/>
              </w:rPr>
              <w:t>8</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-12.41</w:t>
            </w:r>
          </w:p>
        </w:tc>
        <w:tc>
          <w:tcPr>
            <w:tcW w:w="682"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-0.07%</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3" w:right="106"/>
              <w:jc w:val="left"/>
              <w:rPr>
                <w:rFonts w:ascii="宋体" w:hAnsi="宋体" w:cs="宋体" w:eastAsia="宋体" w:hint="default"/>
                <w:sz w:val="18"/>
                <w:szCs w:val="18"/>
              </w:rPr>
            </w:pPr>
            <w:r>
              <w:rPr>
                <w:rFonts w:ascii="宋体" w:hAnsi="宋体" w:cs="宋体" w:eastAsia="宋体" w:hint="default"/>
                <w:sz w:val="18"/>
                <w:szCs w:val="18"/>
              </w:rPr>
              <w:t>根据净</w:t>
            </w:r>
            <w:r>
              <w:rPr>
                <w:rFonts w:ascii="宋体" w:hAnsi="宋体" w:cs="宋体" w:eastAsia="宋体" w:hint="default"/>
                <w:w w:val="100"/>
                <w:sz w:val="18"/>
                <w:szCs w:val="18"/>
              </w:rPr>
              <w:t> </w:t>
            </w:r>
            <w:r>
              <w:rPr>
                <w:rFonts w:ascii="宋体" w:hAnsi="宋体" w:cs="宋体" w:eastAsia="宋体" w:hint="default"/>
                <w:sz w:val="18"/>
                <w:szCs w:val="18"/>
              </w:rPr>
              <w:t>资产</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w w:val="100"/>
                <w:sz w:val="18"/>
                <w:szCs w:val="18"/>
              </w:rPr>
              <w:t>否</w:t>
            </w: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c>
          <w:tcPr>
            <w:tcW w:w="682"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55" w:hRule="exact"/>
        </w:trPr>
        <w:tc>
          <w:tcPr>
            <w:tcW w:w="686" w:type="dxa"/>
            <w:tcBorders>
              <w:top w:val="nil" w:sz="6" w:space="0" w:color="auto"/>
              <w:left w:val="single" w:sz="4" w:space="0" w:color="000000"/>
              <w:bottom w:val="single" w:sz="4" w:space="0" w:color="000000"/>
              <w:right w:val="single" w:sz="10" w:space="0" w:color="FFFFFF"/>
            </w:tcBorders>
          </w:tcPr>
          <w:p>
            <w:pPr/>
          </w:p>
        </w:tc>
        <w:tc>
          <w:tcPr>
            <w:tcW w:w="684" w:type="dxa"/>
            <w:tcBorders>
              <w:top w:val="nil" w:sz="6" w:space="0" w:color="auto"/>
              <w:left w:val="single" w:sz="10" w:space="0" w:color="FFFFFF"/>
              <w:bottom w:val="single" w:sz="4" w:space="0" w:color="000000"/>
              <w:right w:val="single" w:sz="4" w:space="0" w:color="000000"/>
            </w:tcBorders>
          </w:tcPr>
          <w:p>
            <w:pPr>
              <w:pStyle w:val="TableParagraph"/>
              <w:spacing w:line="240" w:lineRule="auto" w:before="5"/>
              <w:ind w:right="108"/>
              <w:jc w:val="right"/>
              <w:rPr>
                <w:rFonts w:ascii="宋体" w:hAnsi="宋体" w:cs="宋体" w:eastAsia="宋体" w:hint="default"/>
                <w:sz w:val="18"/>
                <w:szCs w:val="18"/>
              </w:rPr>
            </w:pPr>
            <w:bookmarkStart w:name="3、企业合并情况 " w:id="64"/>
            <w:bookmarkEnd w:id="64"/>
            <w:r>
              <w:rPr/>
            </w:r>
            <w:r>
              <w:rPr>
                <w:rFonts w:ascii="宋体" w:hAnsi="宋体" w:cs="宋体" w:eastAsia="宋体" w:hint="default"/>
                <w:spacing w:val="-1"/>
                <w:sz w:val="18"/>
                <w:szCs w:val="18"/>
              </w:rPr>
              <w:t>限公司</w:t>
            </w: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92.400002pt;margin-top:-61.89323pt;width:31.45pt;height:15.6pt;mso-position-horizontal-relative:page;mso-position-vertical-relative:paragraph;z-index:-898480" coordorigin="1848,-1238" coordsize="629,312">
            <v:shape style="position:absolute;left:1848;top:-1238;width:629;height:312" coordorigin="1848,-1238" coordsize="629,312" path="m1848,-1238l2477,-1238,2477,-926,1848,-926,1848,-1238xe" filled="true" fillcolor="#ffffff" stroked="false">
              <v:path arrowok="t"/>
              <v:fill type="solid"/>
            </v:shape>
            <w10:wrap type="none"/>
          </v:group>
        </w:pict>
      </w: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088"/>
        <w:jc w:val="left"/>
      </w:pPr>
      <w:r>
        <w:rPr/>
        <w:t>□ 适用 √ 不适用</w:t>
      </w:r>
      <w:r>
        <w:rPr>
          <w:w w:val="100"/>
        </w:rPr>
        <w:t> </w:t>
      </w:r>
      <w:bookmarkStart w:name="六、公司股权激励的实施情况及其影响 " w:id="65"/>
      <w:bookmarkEnd w:id="65"/>
      <w:r>
        <w:rPr>
          <w:spacing w:val="-1"/>
        </w:rPr>
        <w:t>公</w:t>
      </w:r>
      <w:r>
        <w:rPr>
          <w:spacing w:val="-1"/>
        </w:rPr>
        <w:t>司报告期未发生企业合并情况。</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六、公司股权激励的实施情况及其影响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5260"/>
        <w:jc w:val="left"/>
      </w:pPr>
      <w:r>
        <w:rPr/>
        <w:t>□ 适用 √ 不适用</w:t>
      </w:r>
      <w:r>
        <w:rPr>
          <w:w w:val="100"/>
        </w:rPr>
        <w:t> </w:t>
      </w:r>
      <w:bookmarkStart w:name="七、重大关联交易 " w:id="66"/>
      <w:bookmarkEnd w:id="66"/>
      <w:r>
        <w:rPr>
          <w:spacing w:val="-1"/>
        </w:rPr>
        <w:t>公</w:t>
      </w:r>
      <w:r>
        <w:rPr>
          <w:spacing w:val="-1"/>
        </w:rPr>
        <w:t>司报告期无股权激励计划及其实施情况。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 w:id="67"/>
      <w:bookmarkEnd w:id="6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260"/>
        <w:jc w:val="left"/>
      </w:pPr>
      <w:r>
        <w:rPr/>
        <w:t>□ 适用 √ 不适用</w:t>
      </w:r>
      <w:r>
        <w:rPr>
          <w:w w:val="100"/>
        </w:rPr>
        <w:t> </w:t>
      </w:r>
      <w:bookmarkStart w:name="2、资产收购、出售发生的关联交易 " w:id="68"/>
      <w:bookmarkEnd w:id="68"/>
      <w:r>
        <w:rPr>
          <w:spacing w:val="-1"/>
        </w:rPr>
        <w:t>公</w:t>
      </w:r>
      <w:r>
        <w:rPr>
          <w:spacing w:val="-1"/>
        </w:rPr>
        <w:t>司报告期未发生与日常经营相关的关联交易。</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260"/>
        <w:jc w:val="left"/>
      </w:pPr>
      <w:r>
        <w:rPr/>
        <w:t>□ 适用 √ 不适用</w:t>
      </w:r>
      <w:r>
        <w:rPr>
          <w:w w:val="100"/>
        </w:rPr>
        <w:t> </w:t>
      </w:r>
      <w:bookmarkStart w:name="3、共同对外投资的关联交易 " w:id="69"/>
      <w:bookmarkEnd w:id="69"/>
      <w:r>
        <w:rPr>
          <w:spacing w:val="-1"/>
        </w:rPr>
        <w:t>公</w:t>
      </w:r>
      <w:r>
        <w:rPr>
          <w:spacing w:val="-1"/>
        </w:rPr>
        <w:t>司报告期未发生资产收购、出售的关联交易。</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5260"/>
        <w:jc w:val="left"/>
      </w:pPr>
      <w:r>
        <w:rPr/>
        <w:t>□ 适用 √ 不适用</w:t>
      </w:r>
      <w:r>
        <w:rPr>
          <w:w w:val="100"/>
        </w:rPr>
        <w:t> </w:t>
      </w:r>
      <w:r>
        <w:rPr>
          <w:spacing w:val="-1"/>
        </w:rPr>
        <w:t>公司报告期未发生共同对外投资的关联交易。</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 w:id="70"/>
      <w:bookmarkEnd w:id="7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5260"/>
        <w:jc w:val="left"/>
      </w:pPr>
      <w:r>
        <w:rPr/>
        <w:t>□ 适用 √ 不适用</w:t>
      </w:r>
      <w:r>
        <w:rPr>
          <w:w w:val="100"/>
        </w:rPr>
        <w:t> </w:t>
      </w:r>
      <w:r>
        <w:rPr>
          <w:spacing w:val="-1"/>
        </w:rPr>
        <w:t>公司报告期不存在关联债权债务往来。</w:t>
      </w:r>
    </w:p>
    <w:p>
      <w:pPr>
        <w:spacing w:after="0" w:line="357"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其他关联交易 " w:id="71"/>
      <w:bookmarkEnd w:id="71"/>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46"/>
        <w:jc w:val="left"/>
      </w:pPr>
      <w:r>
        <w:rPr/>
        <w:t>□ 适用 √ 不适用</w:t>
      </w:r>
      <w:r>
        <w:rPr>
          <w:w w:val="100"/>
        </w:rPr>
        <w:t> </w:t>
      </w:r>
      <w:bookmarkStart w:name="八、重大合同及其履行情况 " w:id="72"/>
      <w:bookmarkEnd w:id="72"/>
      <w:r>
        <w:rPr>
          <w:spacing w:val="-1"/>
        </w:rPr>
        <w:t>公</w:t>
      </w:r>
      <w:r>
        <w:rPr>
          <w:spacing w:val="-1"/>
        </w:rPr>
        <w:t>司报告期无其他关联交易。</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 w:id="73"/>
      <w:bookmarkEnd w:id="7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 w:id="74"/>
      <w:bookmarkEnd w:id="7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244"/>
        <w:jc w:val="left"/>
      </w:pPr>
      <w:r>
        <w:rPr/>
        <w:t>√ 适用 □</w:t>
      </w:r>
      <w:r>
        <w:rPr>
          <w:spacing w:val="-1"/>
        </w:rPr>
        <w:t> </w:t>
      </w:r>
      <w:r>
        <w:rPr/>
        <w:t>不适用</w:t>
      </w:r>
      <w:r>
        <w:rPr>
          <w:w w:val="100"/>
        </w:rPr>
        <w:t> </w:t>
      </w:r>
      <w:r>
        <w:rPr/>
        <w:t>托管情况说明</w:t>
      </w:r>
    </w:p>
    <w:p>
      <w:pPr>
        <w:pStyle w:val="BodyText"/>
        <w:spacing w:line="300" w:lineRule="auto" w:before="29"/>
        <w:ind w:right="148" w:firstLine="215"/>
        <w:jc w:val="both"/>
      </w:pPr>
      <w:r>
        <w:rPr>
          <w:spacing w:val="-1"/>
        </w:rPr>
        <w:t>公司与乳山市国鑫资产经营管理有限公司签订托管协议书，对乳山市医药公司进行经营管理</w:t>
      </w:r>
      <w:r>
        <w:rPr>
          <w:rFonts w:ascii="Times New Roman" w:hAnsi="Times New Roman" w:cs="Times New Roman" w:eastAsia="Times New Roman" w:hint="default"/>
          <w:spacing w:val="-1"/>
        </w:rPr>
        <w:t>,</w:t>
      </w:r>
      <w:r>
        <w:rPr>
          <w:spacing w:val="-1"/>
        </w:rPr>
        <w:t>按乳山市医药公司每年净利</w:t>
      </w:r>
      <w:r>
        <w:rPr>
          <w:w w:val="100"/>
        </w:rPr>
        <w:t> </w:t>
      </w:r>
      <w:r>
        <w:rPr>
          <w:spacing w:val="-2"/>
        </w:rPr>
        <w:t>润的</w:t>
      </w:r>
      <w:r>
        <w:rPr>
          <w:rFonts w:ascii="Times New Roman" w:hAnsi="Times New Roman" w:cs="Times New Roman" w:eastAsia="Times New Roman" w:hint="default"/>
          <w:spacing w:val="-2"/>
        </w:rPr>
        <w:t>30%</w:t>
      </w:r>
      <w:r>
        <w:rPr>
          <w:spacing w:val="-2"/>
        </w:rPr>
        <w:t>分成。</w:t>
      </w:r>
      <w:r>
        <w:rPr>
          <w:rFonts w:ascii="Times New Roman" w:hAnsi="Times New Roman" w:cs="Times New Roman" w:eastAsia="Times New Roman" w:hint="default"/>
          <w:spacing w:val="-2"/>
        </w:rPr>
        <w:t>2014</w:t>
      </w:r>
      <w:r>
        <w:rPr>
          <w:spacing w:val="-2"/>
        </w:rPr>
        <w:t>年，乳山市医药公司净利润为</w:t>
      </w:r>
      <w:r>
        <w:rPr>
          <w:rFonts w:ascii="Times New Roman" w:hAnsi="Times New Roman" w:cs="Times New Roman" w:eastAsia="Times New Roman" w:hint="default"/>
          <w:spacing w:val="-2"/>
        </w:rPr>
        <w:t>-1,164,537.58</w:t>
      </w:r>
      <w:r>
        <w:rPr>
          <w:spacing w:val="-2"/>
        </w:rPr>
        <w:t>元，公司在其他业务支出中列支了托管损失金额为</w:t>
      </w:r>
      <w:r>
        <w:rPr>
          <w:rFonts w:ascii="Times New Roman" w:hAnsi="Times New Roman" w:cs="Times New Roman" w:eastAsia="Times New Roman" w:hint="default"/>
          <w:spacing w:val="-2"/>
        </w:rPr>
        <w:t>349,361.27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元</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为公司带来的损益达到公司报告期利润总额</w:t>
      </w:r>
      <w:r>
        <w:rPr>
          <w:spacing w:val="-63"/>
        </w:rPr>
        <w:t> </w:t>
      </w:r>
      <w:r>
        <w:rPr>
          <w:rFonts w:ascii="Times New Roman" w:hAnsi="Times New Roman" w:cs="Times New Roman" w:eastAsia="Times New Roman" w:hint="default"/>
        </w:rPr>
        <w:t>10%</w:t>
      </w:r>
      <w:r>
        <w:rPr/>
        <w:t>以上的项目</w:t>
      </w:r>
    </w:p>
    <w:p>
      <w:pPr>
        <w:pStyle w:val="BodyText"/>
        <w:spacing w:line="240" w:lineRule="auto" w:before="101"/>
        <w:ind w:right="0"/>
        <w:jc w:val="left"/>
      </w:pPr>
      <w:r>
        <w:rPr/>
        <w:t>□ 适用 √</w:t>
      </w:r>
      <w:r>
        <w:rPr>
          <w:spacing w:val="-1"/>
        </w:rPr>
        <w:t> </w:t>
      </w:r>
      <w:r>
        <w:rPr/>
        <w:t>不适用</w:t>
      </w:r>
    </w:p>
    <w:p>
      <w:pPr>
        <w:pStyle w:val="BodyText"/>
        <w:spacing w:line="240" w:lineRule="auto" w:before="117"/>
        <w:ind w:right="0"/>
        <w:jc w:val="left"/>
      </w:pPr>
      <w:bookmarkStart w:name="（2）承包情况 " w:id="75"/>
      <w:bookmarkEnd w:id="75"/>
      <w:r>
        <w:rPr/>
      </w:r>
      <w:r>
        <w:rPr>
          <w:spacing w:val="-1"/>
        </w:rPr>
        <w:t>公司报告期不存在为公司带来的损益达到公司报告期利润总额</w:t>
      </w:r>
      <w:r>
        <w:rPr>
          <w:spacing w:val="-34"/>
        </w:rPr>
        <w:t> </w:t>
      </w:r>
      <w:r>
        <w:rPr>
          <w:rFonts w:ascii="Times New Roman" w:hAnsi="Times New Roman" w:cs="Times New Roman" w:eastAsia="Times New Roman" w:hint="default"/>
          <w:spacing w:val="-1"/>
        </w:rPr>
        <w:t>10%</w:t>
      </w:r>
      <w:r>
        <w:rPr>
          <w:spacing w:val="-1"/>
        </w:rPr>
        <w:t>以上的托管项目。</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46"/>
        <w:jc w:val="left"/>
      </w:pPr>
      <w:r>
        <w:rPr/>
        <w:t>□ 适用 √ 不适用</w:t>
      </w:r>
      <w:r>
        <w:rPr>
          <w:w w:val="100"/>
        </w:rPr>
        <w:t> </w:t>
      </w:r>
      <w:bookmarkStart w:name="（3）租赁情况 " w:id="76"/>
      <w:bookmarkEnd w:id="76"/>
      <w:r>
        <w:rPr>
          <w:spacing w:val="-1"/>
        </w:rPr>
        <w:t>公</w:t>
      </w:r>
      <w:r>
        <w:rPr>
          <w:spacing w:val="-1"/>
        </w:rPr>
        <w:t>司报告期不存在承包情况。</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46"/>
        <w:jc w:val="left"/>
      </w:pPr>
      <w:r>
        <w:rPr/>
        <w:t>□ 适用 √ 不适用</w:t>
      </w:r>
      <w:r>
        <w:rPr>
          <w:w w:val="100"/>
        </w:rPr>
        <w:t> </w:t>
      </w:r>
      <w:bookmarkStart w:name="2、担保情况 " w:id="77"/>
      <w:bookmarkEnd w:id="77"/>
      <w:r>
        <w:rPr>
          <w:spacing w:val="-1"/>
        </w:rPr>
        <w:t>公</w:t>
      </w:r>
      <w:r>
        <w:rPr>
          <w:spacing w:val="-1"/>
        </w:rPr>
        <w:t>司报告期不存在租赁情况。</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1"/>
        </w:rPr>
        <w:t> </w:t>
      </w:r>
      <w:r>
        <w:rPr/>
        <w:t>不适用</w:t>
      </w:r>
    </w:p>
    <w:p>
      <w:pPr>
        <w:pStyle w:val="BodyText"/>
        <w:spacing w:line="240" w:lineRule="auto" w:before="117"/>
        <w:ind w:left="0" w:right="152"/>
        <w:jc w:val="right"/>
      </w:pPr>
      <w:r>
        <w:rPr>
          <w:spacing w:val="-1"/>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3"/>
        <w:gridCol w:w="941"/>
        <w:gridCol w:w="934"/>
        <w:gridCol w:w="1212"/>
        <w:gridCol w:w="1176"/>
        <w:gridCol w:w="1094"/>
        <w:gridCol w:w="1015"/>
        <w:gridCol w:w="806"/>
        <w:gridCol w:w="787"/>
      </w:tblGrid>
      <w:tr>
        <w:trPr>
          <w:trHeight w:val="404"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4"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8"/>
              <w:ind w:left="107" w:right="100"/>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w w:val="100"/>
                <w:sz w:val="18"/>
                <w:szCs w:val="18"/>
              </w:rPr>
              <w:t> </w:t>
            </w:r>
            <w:r>
              <w:rPr>
                <w:rFonts w:ascii="宋体" w:hAnsi="宋体" w:cs="宋体" w:eastAsia="宋体" w:hint="default"/>
                <w:sz w:val="18"/>
                <w:szCs w:val="18"/>
              </w:rPr>
              <w:t>相关公告</w:t>
            </w:r>
            <w:r>
              <w:rPr>
                <w:rFonts w:ascii="宋体" w:hAnsi="宋体" w:cs="宋体" w:eastAsia="宋体" w:hint="default"/>
                <w:w w:val="100"/>
                <w:sz w:val="18"/>
                <w:szCs w:val="18"/>
              </w:rPr>
              <w:t> </w:t>
            </w:r>
            <w:r>
              <w:rPr>
                <w:rFonts w:ascii="宋体" w:hAnsi="宋体" w:cs="宋体" w:eastAsia="宋体" w:hint="default"/>
                <w:sz w:val="18"/>
                <w:szCs w:val="18"/>
              </w:rPr>
              <w:t>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8"/>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w:t>
            </w:r>
            <w:r>
              <w:rPr>
                <w:rFonts w:ascii="宋体" w:hAnsi="宋体" w:cs="宋体" w:eastAsia="宋体" w:hint="default"/>
                <w:w w:val="100"/>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0"/>
              <w:jc w:val="right"/>
              <w:rPr>
                <w:rFonts w:ascii="宋体" w:hAnsi="宋体" w:cs="宋体" w:eastAsia="宋体" w:hint="default"/>
                <w:sz w:val="18"/>
                <w:szCs w:val="18"/>
              </w:rPr>
            </w:pPr>
            <w:r>
              <w:rPr>
                <w:rFonts w:ascii="宋体" w:hAnsi="宋体" w:cs="宋体" w:eastAsia="宋体" w:hint="default"/>
                <w:spacing w:val="-1"/>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18" w:right="36" w:hanging="181"/>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w w:val="100"/>
                <w:sz w:val="18"/>
                <w:szCs w:val="18"/>
              </w:rPr>
              <w:t> </w:t>
            </w: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5" w:right="29"/>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w w:val="100"/>
                <w:sz w:val="18"/>
                <w:szCs w:val="18"/>
              </w:rPr>
              <w:t> </w:t>
            </w:r>
            <w:r>
              <w:rPr>
                <w:rFonts w:ascii="宋体" w:hAnsi="宋体" w:cs="宋体" w:eastAsia="宋体" w:hint="default"/>
                <w:sz w:val="18"/>
                <w:szCs w:val="18"/>
              </w:rPr>
              <w:t>联方担保</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6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68"/>
              <w:ind w:left="107" w:right="100"/>
              <w:jc w:val="lef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w w:val="100"/>
                <w:sz w:val="18"/>
                <w:szCs w:val="18"/>
              </w:rPr>
              <w:t> </w:t>
            </w:r>
            <w:r>
              <w:rPr>
                <w:rFonts w:ascii="宋体" w:hAnsi="宋体" w:cs="宋体" w:eastAsia="宋体" w:hint="default"/>
                <w:sz w:val="18"/>
                <w:szCs w:val="18"/>
              </w:rPr>
              <w:t>相关公告</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53" w:right="0"/>
              <w:jc w:val="left"/>
              <w:rPr>
                <w:rFonts w:ascii="宋体" w:hAnsi="宋体" w:cs="宋体" w:eastAsia="宋体" w:hint="default"/>
                <w:sz w:val="18"/>
                <w:szCs w:val="18"/>
              </w:rPr>
            </w:pPr>
            <w:r>
              <w:rPr>
                <w:rFonts w:ascii="宋体" w:hAnsi="宋体" w:cs="宋体" w:eastAsia="宋体" w:hint="default"/>
                <w:sz w:val="18"/>
                <w:szCs w:val="18"/>
              </w:rPr>
              <w:t>（协议签署</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0"/>
              <w:jc w:val="right"/>
              <w:rPr>
                <w:rFonts w:ascii="宋体" w:hAnsi="宋体" w:cs="宋体" w:eastAsia="宋体" w:hint="default"/>
                <w:sz w:val="18"/>
                <w:szCs w:val="18"/>
              </w:rPr>
            </w:pPr>
            <w:r>
              <w:rPr>
                <w:rFonts w:ascii="宋体" w:hAnsi="宋体" w:cs="宋体" w:eastAsia="宋体" w:hint="default"/>
                <w:spacing w:val="-1"/>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18" w:right="36" w:hanging="181"/>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w w:val="100"/>
                <w:sz w:val="18"/>
                <w:szCs w:val="18"/>
              </w:rPr>
              <w:t> </w:t>
            </w:r>
            <w:r>
              <w:rPr>
                <w:rFonts w:ascii="宋体" w:hAnsi="宋体" w:cs="宋体" w:eastAsia="宋体" w:hint="default"/>
                <w:sz w:val="18"/>
                <w:szCs w:val="18"/>
              </w:rPr>
              <w:t>完毕</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5" w:right="29"/>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w w:val="100"/>
                <w:sz w:val="18"/>
                <w:szCs w:val="18"/>
              </w:rPr>
              <w:t> </w:t>
            </w:r>
            <w:r>
              <w:rPr>
                <w:rFonts w:ascii="宋体" w:hAnsi="宋体" w:cs="宋体" w:eastAsia="宋体" w:hint="default"/>
                <w:sz w:val="18"/>
                <w:szCs w:val="18"/>
              </w:rPr>
              <w:t>联方担保</w:t>
            </w:r>
          </w:p>
        </w:tc>
      </w:tr>
    </w:tbl>
    <w:p>
      <w:pPr>
        <w:spacing w:after="0" w:line="319"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91"/>
        <w:gridCol w:w="936"/>
        <w:gridCol w:w="938"/>
        <w:gridCol w:w="1218"/>
        <w:gridCol w:w="1170"/>
        <w:gridCol w:w="1089"/>
        <w:gridCol w:w="1021"/>
        <w:gridCol w:w="806"/>
        <w:gridCol w:w="787"/>
      </w:tblGrid>
      <w:tr>
        <w:trPr>
          <w:trHeight w:val="362" w:hRule="exact"/>
        </w:trPr>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3"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1" w:right="127"/>
              <w:jc w:val="left"/>
              <w:rPr>
                <w:rFonts w:ascii="宋体" w:hAnsi="宋体" w:cs="宋体" w:eastAsia="宋体" w:hint="default"/>
                <w:sz w:val="18"/>
                <w:szCs w:val="18"/>
              </w:rPr>
            </w:pPr>
            <w:r>
              <w:rPr>
                <w:rFonts w:ascii="宋体" w:hAnsi="宋体" w:cs="宋体" w:eastAsia="宋体" w:hint="default"/>
                <w:sz w:val="18"/>
                <w:szCs w:val="18"/>
              </w:rPr>
              <w:t>泰安瑞康药品配送</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连带责任保</w:t>
            </w:r>
            <w:r>
              <w:rPr>
                <w:rFonts w:ascii="宋体" w:hAnsi="宋体" w:cs="宋体" w:eastAsia="宋体" w:hint="default"/>
                <w:w w:val="100"/>
                <w:sz w:val="18"/>
                <w:szCs w:val="18"/>
              </w:rPr>
              <w:t> </w:t>
            </w:r>
            <w:r>
              <w:rPr>
                <w:rFonts w:ascii="宋体" w:hAnsi="宋体" w:cs="宋体" w:eastAsia="宋体" w:hint="default"/>
                <w:sz w:val="18"/>
                <w:szCs w:val="18"/>
              </w:rPr>
              <w:t>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5" w:hRule="exact"/>
        </w:trPr>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1" w:right="127"/>
              <w:jc w:val="left"/>
              <w:rPr>
                <w:rFonts w:ascii="宋体" w:hAnsi="宋体" w:cs="宋体" w:eastAsia="宋体" w:hint="default"/>
                <w:sz w:val="18"/>
                <w:szCs w:val="18"/>
              </w:rPr>
            </w:pPr>
            <w:r>
              <w:rPr>
                <w:rFonts w:ascii="宋体" w:hAnsi="宋体" w:cs="宋体" w:eastAsia="宋体" w:hint="default"/>
                <w:sz w:val="18"/>
                <w:szCs w:val="18"/>
              </w:rPr>
              <w:t>淄博瑞康药品配送</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3"/>
              <w:jc w:val="left"/>
              <w:rPr>
                <w:rFonts w:ascii="宋体" w:hAnsi="宋体" w:cs="宋体" w:eastAsia="宋体" w:hint="default"/>
                <w:sz w:val="18"/>
                <w:szCs w:val="18"/>
              </w:rPr>
            </w:pPr>
            <w:r>
              <w:rPr>
                <w:rFonts w:ascii="宋体" w:hAnsi="宋体" w:cs="宋体" w:eastAsia="宋体" w:hint="default"/>
                <w:sz w:val="18"/>
                <w:szCs w:val="18"/>
              </w:rPr>
              <w:t>连带责任保</w:t>
            </w:r>
            <w:r>
              <w:rPr>
                <w:rFonts w:ascii="宋体" w:hAnsi="宋体" w:cs="宋体" w:eastAsia="宋体" w:hint="default"/>
                <w:w w:val="100"/>
                <w:sz w:val="18"/>
                <w:szCs w:val="18"/>
              </w:rPr>
              <w:t> </w:t>
            </w:r>
            <w:r>
              <w:rPr>
                <w:rFonts w:ascii="宋体" w:hAnsi="宋体" w:cs="宋体" w:eastAsia="宋体" w:hint="default"/>
                <w:sz w:val="18"/>
                <w:szCs w:val="18"/>
              </w:rPr>
              <w:t>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25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w:t>
            </w:r>
            <w:r>
              <w:rPr>
                <w:rFonts w:ascii="宋体" w:hAnsi="宋体" w:cs="宋体" w:eastAsia="宋体" w:hint="default"/>
                <w:w w:val="100"/>
                <w:sz w:val="18"/>
                <w:szCs w:val="18"/>
              </w:rPr>
              <w:t> </w:t>
            </w: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6" w:type="dxa"/>
            <w:gridSpan w:val="2"/>
            <w:tcBorders>
              <w:top w:val="single" w:sz="4" w:space="0" w:color="000000"/>
              <w:left w:val="single" w:sz="8"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7" w:right="68"/>
              <w:jc w:val="left"/>
              <w:rPr>
                <w:rFonts w:ascii="宋体" w:hAnsi="宋体" w:cs="宋体" w:eastAsia="宋体" w:hint="default"/>
                <w:sz w:val="18"/>
                <w:szCs w:val="18"/>
              </w:rPr>
            </w:pPr>
            <w:r>
              <w:rPr>
                <w:rFonts w:ascii="宋体" w:hAnsi="宋体" w:cs="宋体" w:eastAsia="宋体" w:hint="default"/>
                <w:sz w:val="18"/>
                <w:szCs w:val="18"/>
              </w:rPr>
              <w:t>报告期内对子公司担保实际</w:t>
            </w:r>
            <w:r>
              <w:rPr>
                <w:rFonts w:ascii="宋体" w:hAnsi="宋体" w:cs="宋体" w:eastAsia="宋体" w:hint="default"/>
                <w:w w:val="100"/>
                <w:sz w:val="18"/>
                <w:szCs w:val="18"/>
              </w:rPr>
              <w:t> </w:t>
            </w: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4" w:type="dxa"/>
            <w:gridSpan w:val="3"/>
            <w:tcBorders>
              <w:top w:val="single" w:sz="4" w:space="0" w:color="000000"/>
              <w:left w:val="single" w:sz="12" w:space="0" w:color="D3D3D3"/>
              <w:bottom w:val="single" w:sz="4" w:space="0" w:color="000000"/>
              <w:right w:val="single" w:sz="4" w:space="0" w:color="000000"/>
            </w:tcBorders>
          </w:tcPr>
          <w:p>
            <w:pPr/>
          </w:p>
        </w:tc>
      </w:tr>
      <w:tr>
        <w:trPr>
          <w:trHeight w:val="720" w:hRule="exact"/>
        </w:trPr>
        <w:tc>
          <w:tcPr>
            <w:tcW w:w="25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w:t>
            </w:r>
            <w:r>
              <w:rPr>
                <w:rFonts w:ascii="宋体" w:hAnsi="宋体" w:cs="宋体" w:eastAsia="宋体" w:hint="default"/>
                <w:w w:val="100"/>
                <w:sz w:val="18"/>
                <w:szCs w:val="18"/>
              </w:rPr>
              <w:t> </w:t>
            </w: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6" w:type="dxa"/>
            <w:gridSpan w:val="2"/>
            <w:tcBorders>
              <w:top w:val="single" w:sz="4" w:space="0" w:color="000000"/>
              <w:left w:val="single" w:sz="8"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 w:right="68"/>
              <w:jc w:val="left"/>
              <w:rPr>
                <w:rFonts w:ascii="宋体" w:hAnsi="宋体" w:cs="宋体" w:eastAsia="宋体" w:hint="default"/>
                <w:sz w:val="18"/>
                <w:szCs w:val="18"/>
              </w:rPr>
            </w:pPr>
            <w:r>
              <w:rPr>
                <w:rFonts w:ascii="宋体" w:hAnsi="宋体" w:cs="宋体" w:eastAsia="宋体" w:hint="default"/>
                <w:sz w:val="18"/>
                <w:szCs w:val="18"/>
              </w:rPr>
              <w:t>报告期末对子公司实际担保</w:t>
            </w:r>
            <w:r>
              <w:rPr>
                <w:rFonts w:ascii="宋体" w:hAnsi="宋体" w:cs="宋体" w:eastAsia="宋体" w:hint="default"/>
                <w:w w:val="100"/>
                <w:sz w:val="18"/>
                <w:szCs w:val="18"/>
              </w:rPr>
              <w:t> </w:t>
            </w:r>
            <w:r>
              <w:rPr>
                <w:rFonts w:ascii="宋体" w:hAnsi="宋体" w:cs="宋体" w:eastAsia="宋体" w:hint="default"/>
                <w:sz w:val="18"/>
                <w:szCs w:val="18"/>
              </w:rPr>
              <w:t>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4" w:type="dxa"/>
            <w:gridSpan w:val="3"/>
            <w:tcBorders>
              <w:top w:val="single" w:sz="4" w:space="0" w:color="000000"/>
              <w:left w:val="single" w:sz="12" w:space="0" w:color="D3D3D3"/>
              <w:bottom w:val="single" w:sz="4" w:space="0" w:color="000000"/>
              <w:right w:val="single" w:sz="4" w:space="0" w:color="000000"/>
            </w:tcBorders>
          </w:tcPr>
          <w:p>
            <w:pPr/>
          </w:p>
        </w:tc>
      </w:tr>
      <w:tr>
        <w:trPr>
          <w:trHeight w:val="391" w:hRule="exact"/>
        </w:trPr>
        <w:tc>
          <w:tcPr>
            <w:tcW w:w="955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20" w:hRule="exact"/>
        </w:trPr>
        <w:tc>
          <w:tcPr>
            <w:tcW w:w="25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6" w:type="dxa"/>
            <w:gridSpan w:val="2"/>
            <w:tcBorders>
              <w:top w:val="single" w:sz="4" w:space="0" w:color="000000"/>
              <w:left w:val="single" w:sz="8" w:space="0" w:color="D3D3D3"/>
              <w:bottom w:val="single" w:sz="4" w:space="0" w:color="000000"/>
              <w:right w:val="single" w:sz="13" w:space="0" w:color="D3D3D3"/>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4"/>
              <w:ind w:left="17" w:right="68"/>
              <w:jc w:val="left"/>
              <w:rPr>
                <w:rFonts w:ascii="宋体" w:hAnsi="宋体" w:cs="宋体" w:eastAsia="宋体" w:hint="default"/>
                <w:sz w:val="18"/>
                <w:szCs w:val="18"/>
              </w:rPr>
            </w:pPr>
            <w:r>
              <w:rPr>
                <w:rFonts w:ascii="宋体" w:hAnsi="宋体" w:cs="宋体" w:eastAsia="宋体" w:hint="default"/>
                <w:sz w:val="18"/>
                <w:szCs w:val="18"/>
              </w:rPr>
              <w:t>报告期内担保实际发生额合</w:t>
            </w:r>
            <w:r>
              <w:rPr>
                <w:rFonts w:ascii="宋体" w:hAnsi="宋体" w:cs="宋体" w:eastAsia="宋体" w:hint="default"/>
                <w:w w:val="100"/>
                <w:sz w:val="18"/>
                <w:szCs w:val="18"/>
              </w:rPr>
              <w:t> </w:t>
            </w:r>
            <w:r>
              <w:rPr>
                <w:rFonts w:ascii="宋体" w:hAnsi="宋体" w:cs="宋体" w:eastAsia="宋体" w:hint="default"/>
                <w:sz w:val="18"/>
                <w:szCs w:val="18"/>
              </w:rPr>
              <w:t>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4" w:type="dxa"/>
            <w:gridSpan w:val="3"/>
            <w:tcBorders>
              <w:top w:val="single" w:sz="4" w:space="0" w:color="000000"/>
              <w:left w:val="single" w:sz="12" w:space="0" w:color="D3D3D3"/>
              <w:bottom w:val="single" w:sz="4" w:space="0" w:color="000000"/>
              <w:right w:val="single" w:sz="4" w:space="0" w:color="000000"/>
            </w:tcBorders>
          </w:tcPr>
          <w:p>
            <w:pPr/>
          </w:p>
        </w:tc>
      </w:tr>
      <w:tr>
        <w:trPr>
          <w:trHeight w:val="718" w:hRule="exact"/>
        </w:trPr>
        <w:tc>
          <w:tcPr>
            <w:tcW w:w="25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162"/>
              <w:jc w:val="left"/>
              <w:rPr>
                <w:rFonts w:ascii="宋体" w:hAnsi="宋体" w:cs="宋体" w:eastAsia="宋体" w:hint="default"/>
                <w:sz w:val="18"/>
                <w:szCs w:val="18"/>
              </w:rPr>
            </w:pPr>
            <w:r>
              <w:rPr>
                <w:rFonts w:ascii="宋体" w:hAnsi="宋体" w:cs="宋体" w:eastAsia="宋体" w:hint="default"/>
                <w:sz w:val="18"/>
                <w:szCs w:val="18"/>
              </w:rPr>
              <w:t>报告期末已审批的担保额度合</w:t>
            </w:r>
            <w:r>
              <w:rPr>
                <w:rFonts w:ascii="宋体" w:hAnsi="宋体" w:cs="宋体" w:eastAsia="宋体" w:hint="default"/>
                <w:w w:val="100"/>
                <w:sz w:val="18"/>
                <w:szCs w:val="18"/>
              </w:rPr>
              <w:t> </w:t>
            </w:r>
            <w:r>
              <w:rPr>
                <w:rFonts w:ascii="宋体" w:hAnsi="宋体" w:cs="宋体" w:eastAsia="宋体" w:hint="default"/>
                <w:sz w:val="18"/>
                <w:szCs w:val="18"/>
              </w:rPr>
              <w:t>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6" w:type="dxa"/>
            <w:gridSpan w:val="2"/>
            <w:tcBorders>
              <w:top w:val="single" w:sz="4" w:space="0" w:color="000000"/>
              <w:left w:val="single" w:sz="8"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1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4" w:type="dxa"/>
            <w:gridSpan w:val="3"/>
            <w:tcBorders>
              <w:top w:val="single" w:sz="4" w:space="0" w:color="000000"/>
              <w:left w:val="single" w:sz="12" w:space="0" w:color="D3D3D3"/>
              <w:bottom w:val="single" w:sz="4" w:space="0" w:color="000000"/>
              <w:right w:val="single" w:sz="4" w:space="0" w:color="000000"/>
            </w:tcBorders>
          </w:tcPr>
          <w:p>
            <w:pPr/>
          </w:p>
        </w:tc>
      </w:tr>
      <w:tr>
        <w:trPr>
          <w:trHeight w:val="398" w:hRule="exact"/>
        </w:trPr>
        <w:tc>
          <w:tcPr>
            <w:tcW w:w="9557"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49"/>
        <w:ind w:right="0"/>
        <w:jc w:val="left"/>
      </w:pPr>
      <w:bookmarkStart w:name="（1）违规对外担保情况 " w:id="78"/>
      <w:bookmarkEnd w:id="78"/>
      <w:r>
        <w:rPr/>
      </w: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088"/>
        <w:jc w:val="left"/>
      </w:pPr>
      <w:r>
        <w:rPr/>
        <w:t>□ 适用 √ 不适用</w:t>
      </w:r>
      <w:r>
        <w:rPr>
          <w:w w:val="100"/>
        </w:rPr>
        <w:t> </w:t>
      </w:r>
      <w:bookmarkStart w:name="3、其他重大合同 " w:id="79"/>
      <w:bookmarkEnd w:id="79"/>
      <w:r>
        <w:rPr>
          <w:spacing w:val="-1"/>
        </w:rPr>
        <w:t>公</w:t>
      </w:r>
      <w:r>
        <w:rPr>
          <w:spacing w:val="-1"/>
        </w:rPr>
        <w:t>司报告期无违规对外担保情况。</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088"/>
        <w:jc w:val="left"/>
      </w:pPr>
      <w:r>
        <w:rPr/>
        <w:t>□ 适用 √ 不适用</w:t>
      </w:r>
      <w:r>
        <w:rPr>
          <w:w w:val="100"/>
        </w:rPr>
        <w:t> </w:t>
      </w:r>
      <w:bookmarkStart w:name="4、其他重大交易 " w:id="80"/>
      <w:bookmarkEnd w:id="80"/>
      <w:r>
        <w:rPr>
          <w:spacing w:val="-1"/>
        </w:rPr>
        <w:t>公</w:t>
      </w:r>
      <w:r>
        <w:rPr>
          <w:spacing w:val="-1"/>
        </w:rPr>
        <w:t>司报告期不存在其他重大合同。</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、其他重大交易</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088"/>
        <w:jc w:val="left"/>
      </w:pPr>
      <w:r>
        <w:rPr/>
        <w:t>□ 适用 √ 不适用</w:t>
      </w:r>
      <w:r>
        <w:rPr>
          <w:w w:val="100"/>
        </w:rPr>
        <w:t> </w:t>
      </w:r>
      <w:bookmarkStart w:name="九、承诺事项履行情况 " w:id="81"/>
      <w:bookmarkEnd w:id="81"/>
      <w:r>
        <w:rPr>
          <w:spacing w:val="-1"/>
        </w:rPr>
        <w:t>公</w:t>
      </w:r>
      <w:r>
        <w:rPr>
          <w:spacing w:val="-1"/>
        </w:rPr>
        <w:t>司报告期不存在其他重大交易。</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或持股5%以上股东在报告期内发生或以前期间发生但持续到报告期内的承诺事项" w:id="82"/>
      <w:bookmarkEnd w:id="82"/>
      <w:r>
        <w:rPr>
          <w:b w:val="0"/>
          <w:bCs w:val="0"/>
        </w:rPr>
      </w:r>
      <w:r>
        <w:rPr>
          <w:rFonts w:ascii="Times New Roman" w:hAnsi="Times New Roman" w:cs="Times New Roman" w:eastAsia="Times New Roman" w:hint="default"/>
          <w:spacing w:val="-1"/>
        </w:rPr>
        <w:t>1</w:t>
      </w:r>
      <w:r>
        <w:rPr>
          <w:spacing w:val="-1"/>
        </w:rPr>
        <w:t>、公司或持股</w:t>
      </w:r>
      <w:r>
        <w:rPr>
          <w:spacing w:val="-2"/>
        </w:rPr>
        <w:t> </w:t>
      </w:r>
      <w:r>
        <w:rPr>
          <w:rFonts w:ascii="Times New Roman" w:hAnsi="Times New Roman" w:cs="Times New Roman" w:eastAsia="Times New Roman" w:hint="default"/>
          <w:spacing w:val="-2"/>
        </w:rPr>
        <w:t>5%</w:t>
      </w:r>
      <w:r>
        <w:rPr>
          <w:spacing w:val="-2"/>
        </w:rPr>
        <w:t>以上股东在报告期内发生或以前期间发生但持续到报告期内的承诺事项</w:t>
      </w:r>
      <w:r>
        <w:rPr>
          <w:b w:val="0"/>
          <w:bCs w:val="0"/>
          <w:spacing w:val="-2"/>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1"/>
        <w:gridCol w:w="1285"/>
        <w:gridCol w:w="1277"/>
        <w:gridCol w:w="1277"/>
        <w:gridCol w:w="1274"/>
        <w:gridCol w:w="1260"/>
      </w:tblGrid>
      <w:tr>
        <w:trPr>
          <w:trHeight w:val="402" w:hRule="exact"/>
        </w:trPr>
        <w:tc>
          <w:tcPr>
            <w:tcW w:w="3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5" w:type="dxa"/>
            <w:tcBorders>
              <w:top w:val="single" w:sz="4" w:space="0" w:color="000000"/>
              <w:left w:val="single" w:sz="12" w:space="0" w:color="D3D3D3"/>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96"/>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w:t>
            </w:r>
            <w:r>
              <w:rPr>
                <w:rFonts w:ascii="宋体" w:hAnsi="宋体" w:cs="宋体" w:eastAsia="宋体" w:hint="default"/>
                <w:w w:val="100"/>
                <w:sz w:val="18"/>
                <w:szCs w:val="18"/>
              </w:rPr>
              <w:t> </w:t>
            </w:r>
            <w:r>
              <w:rPr>
                <w:rFonts w:ascii="宋体" w:hAnsi="宋体" w:cs="宋体" w:eastAsia="宋体" w:hint="default"/>
                <w:sz w:val="18"/>
                <w:szCs w:val="18"/>
              </w:rPr>
              <w:t>诺</w:t>
            </w:r>
          </w:p>
        </w:tc>
        <w:tc>
          <w:tcPr>
            <w:tcW w:w="1285" w:type="dxa"/>
            <w:tcBorders>
              <w:top w:val="single" w:sz="4" w:space="0" w:color="000000"/>
              <w:left w:val="single" w:sz="12" w:space="0" w:color="D3D3D3"/>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5" w:footer="981" w:top="1060" w:bottom="1180" w:left="980" w:right="980"/>
        </w:sectPr>
      </w:pPr>
    </w:p>
    <w:p>
      <w:pPr>
        <w:pStyle w:val="BodyText"/>
        <w:spacing w:line="312" w:lineRule="exact" w:before="5"/>
        <w:ind w:left="2709" w:right="0"/>
        <w:jc w:val="right"/>
        <w:rPr>
          <w:rFonts w:ascii="Times New Roman" w:hAnsi="Times New Roman" w:cs="Times New Roman" w:eastAsia="Times New Roman" w:hint="default"/>
        </w:rPr>
      </w:pPr>
      <w:r>
        <w:rPr/>
        <w:pict>
          <v:shape style="position:absolute;margin-left:56.400002pt;margin-top:72.000015pt;width:479.05pt;height:684.85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4"/>
                    <w:gridCol w:w="1288"/>
                    <w:gridCol w:w="1264"/>
                    <w:gridCol w:w="1277"/>
                    <w:gridCol w:w="1274"/>
                    <w:gridCol w:w="1260"/>
                  </w:tblGrid>
                  <w:tr>
                    <w:trPr>
                      <w:trHeight w:val="401"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8" w:type="dxa"/>
                        <w:tcBorders>
                          <w:top w:val="single" w:sz="4" w:space="0" w:color="000000"/>
                          <w:left w:val="single" w:sz="4" w:space="0" w:color="000000"/>
                          <w:bottom w:val="single" w:sz="4" w:space="0" w:color="000000"/>
                          <w:right w:val="single" w:sz="4" w:space="0" w:color="000000"/>
                        </w:tcBorders>
                      </w:tcPr>
                      <w:p>
                        <w:pPr/>
                      </w:p>
                    </w:tc>
                    <w:tc>
                      <w:tcPr>
                        <w:tcW w:w="126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2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88" w:type="dxa"/>
                        <w:tcBorders>
                          <w:top w:val="single" w:sz="4" w:space="0" w:color="000000"/>
                          <w:left w:val="single" w:sz="4" w:space="0" w:color="000000"/>
                          <w:bottom w:val="nil" w:sz="6" w:space="0" w:color="auto"/>
                          <w:right w:val="single" w:sz="14" w:space="0" w:color="FFFFFF"/>
                        </w:tcBorders>
                      </w:tcPr>
                      <w:p>
                        <w:pPr/>
                      </w:p>
                    </w:tc>
                    <w:tc>
                      <w:tcPr>
                        <w:tcW w:w="1264" w:type="dxa"/>
                        <w:tcBorders>
                          <w:top w:val="single" w:sz="4" w:space="0" w:color="000000"/>
                          <w:left w:val="single" w:sz="14" w:space="0" w:color="FFFFFF"/>
                          <w:bottom w:val="nil" w:sz="6" w:space="0" w:color="auto"/>
                          <w:right w:val="single" w:sz="4" w:space="0" w:color="000000"/>
                        </w:tcBorders>
                      </w:tcPr>
                      <w:p>
                        <w:pPr>
                          <w:pStyle w:val="TableParagraph"/>
                          <w:spacing w:line="240" w:lineRule="auto" w:before="49"/>
                          <w:ind w:left="-1" w:right="0"/>
                          <w:jc w:val="left"/>
                          <w:rPr>
                            <w:rFonts w:ascii="宋体" w:hAnsi="宋体" w:cs="宋体" w:eastAsia="宋体" w:hint="default"/>
                            <w:sz w:val="18"/>
                            <w:szCs w:val="18"/>
                          </w:rPr>
                        </w:pPr>
                        <w:r>
                          <w:rPr>
                            <w:rFonts w:ascii="宋体" w:hAnsi="宋体" w:cs="宋体" w:eastAsia="宋体" w:hint="default"/>
                            <w:sz w:val="18"/>
                            <w:szCs w:val="18"/>
                          </w:rPr>
                          <w:t>自瑞康医药股</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票上市之日起</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3</w:t>
                        </w:r>
                        <w:r>
                          <w:rPr>
                            <w:rFonts w:ascii="Times New Roman" w:hAnsi="Times New Roman" w:cs="Times New Roman" w:eastAsia="Times New Roman" w:hint="default"/>
                            <w:w w:val="100"/>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个月</w:t>
                        </w:r>
                        <w:r>
                          <w:rPr>
                            <w:rFonts w:ascii="宋体" w:hAnsi="宋体" w:cs="宋体" w:eastAsia="宋体" w:hint="default"/>
                            <w:spacing w:val="-3"/>
                            <w:w w:val="100"/>
                            <w:sz w:val="18"/>
                            <w:szCs w:val="18"/>
                          </w:rPr>
                          <w:t>内</w:t>
                        </w:r>
                        <w:r>
                          <w:rPr>
                            <w:rFonts w:ascii="宋体" w:hAnsi="宋体" w:cs="宋体" w:eastAsia="宋体" w:hint="default"/>
                            <w:spacing w:val="-85"/>
                            <w:w w:val="100"/>
                            <w:sz w:val="18"/>
                            <w:szCs w:val="18"/>
                          </w:rPr>
                          <w:t>，</w:t>
                        </w:r>
                        <w:r>
                          <w:rPr>
                            <w:rFonts w:ascii="宋体" w:hAnsi="宋体" w:cs="宋体" w:eastAsia="宋体" w:hint="default"/>
                            <w:spacing w:val="-1"/>
                            <w:w w:val="100"/>
                            <w:sz w:val="18"/>
                            <w:szCs w:val="18"/>
                          </w:rPr>
                          <w:t>本</w:t>
                        </w:r>
                        <w:r>
                          <w:rPr>
                            <w:rFonts w:ascii="宋体" w:hAnsi="宋体" w:cs="宋体" w:eastAsia="宋体" w:hint="default"/>
                            <w:w w:val="100"/>
                            <w:sz w:val="18"/>
                            <w:szCs w:val="18"/>
                          </w:rPr>
                          <w:t>人</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z w:val="18"/>
                            <w:szCs w:val="18"/>
                          </w:rPr>
                          <w:t>不转让或者委</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托他人管理本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人直接或间接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持有的瑞康医</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药公开发行股</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票前已发行的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7"/>
                            <w:sz w:val="18"/>
                            <w:szCs w:val="18"/>
                          </w:rPr>
                          <w:t>股份，也不由瑞</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康医药回购该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7"/>
                            <w:sz w:val="18"/>
                            <w:szCs w:val="18"/>
                          </w:rPr>
                          <w:t>部分股份。除前</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7"/>
                            <w:sz w:val="18"/>
                            <w:szCs w:val="18"/>
                          </w:rPr>
                          <w:t>述锁定期外，在</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本人任职期间</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每年转让的股</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份不超过本人</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8" w:type="dxa"/>
                        <w:tcBorders>
                          <w:top w:val="nil" w:sz="6" w:space="0" w:color="auto"/>
                          <w:left w:val="single" w:sz="4" w:space="0" w:color="000000"/>
                          <w:bottom w:val="nil" w:sz="6" w:space="0" w:color="auto"/>
                          <w:right w:val="single" w:sz="14" w:space="0" w:color="FFFFFF"/>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公司控股股东</w:t>
                        </w:r>
                        <w:r>
                          <w:rPr>
                            <w:rFonts w:ascii="宋体" w:hAnsi="宋体" w:cs="宋体" w:eastAsia="宋体" w:hint="default"/>
                            <w:w w:val="100"/>
                            <w:sz w:val="18"/>
                            <w:szCs w:val="18"/>
                          </w:rPr>
                          <w:t> </w:t>
                        </w:r>
                        <w:r>
                          <w:rPr>
                            <w:rFonts w:ascii="宋体" w:hAnsi="宋体" w:cs="宋体" w:eastAsia="宋体" w:hint="default"/>
                            <w:sz w:val="18"/>
                            <w:szCs w:val="18"/>
                          </w:rPr>
                          <w:t>韩旭、张仁华；</w:t>
                        </w:r>
                        <w:r>
                          <w:rPr>
                            <w:rFonts w:ascii="宋体" w:hAnsi="宋体" w:cs="宋体" w:eastAsia="宋体" w:hint="default"/>
                            <w:w w:val="100"/>
                            <w:sz w:val="18"/>
                            <w:szCs w:val="18"/>
                          </w:rPr>
                          <w:t> </w:t>
                        </w:r>
                        <w:r>
                          <w:rPr>
                            <w:rFonts w:ascii="宋体" w:hAnsi="宋体" w:cs="宋体" w:eastAsia="宋体" w:hint="default"/>
                            <w:sz w:val="18"/>
                            <w:szCs w:val="18"/>
                          </w:rPr>
                          <w:t>发起人股东青</w:t>
                        </w:r>
                        <w:r>
                          <w:rPr>
                            <w:rFonts w:ascii="宋体" w:hAnsi="宋体" w:cs="宋体" w:eastAsia="宋体" w:hint="default"/>
                            <w:w w:val="100"/>
                            <w:sz w:val="18"/>
                            <w:szCs w:val="18"/>
                          </w:rPr>
                          <w:t> </w:t>
                        </w:r>
                        <w:r>
                          <w:rPr>
                            <w:rFonts w:ascii="宋体" w:hAnsi="宋体" w:cs="宋体" w:eastAsia="宋体" w:hint="default"/>
                            <w:sz w:val="18"/>
                            <w:szCs w:val="18"/>
                          </w:rPr>
                          <w:t>岛睿华方略医</w:t>
                        </w:r>
                        <w:r>
                          <w:rPr>
                            <w:rFonts w:ascii="宋体" w:hAnsi="宋体" w:cs="宋体" w:eastAsia="宋体" w:hint="default"/>
                            <w:w w:val="100"/>
                            <w:sz w:val="18"/>
                            <w:szCs w:val="18"/>
                          </w:rPr>
                          <w:t> </w:t>
                        </w:r>
                        <w:r>
                          <w:rPr>
                            <w:rFonts w:ascii="宋体" w:hAnsi="宋体" w:cs="宋体" w:eastAsia="宋体" w:hint="default"/>
                            <w:sz w:val="18"/>
                            <w:szCs w:val="18"/>
                          </w:rPr>
                          <w:t>药咨询服务有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316" w:lineRule="auto" w:before="10"/>
                          <w:ind w:left="-1" w:right="18"/>
                          <w:jc w:val="left"/>
                          <w:rPr>
                            <w:rFonts w:ascii="宋体" w:hAnsi="宋体" w:cs="宋体" w:eastAsia="宋体" w:hint="default"/>
                            <w:sz w:val="18"/>
                            <w:szCs w:val="18"/>
                          </w:rPr>
                        </w:pPr>
                        <w:r>
                          <w:rPr>
                            <w:rFonts w:ascii="宋体" w:hAnsi="宋体" w:cs="宋体" w:eastAsia="宋体" w:hint="default"/>
                            <w:sz w:val="18"/>
                            <w:szCs w:val="18"/>
                          </w:rPr>
                          <w:t>所持有的瑞康</w:t>
                        </w:r>
                        <w:r>
                          <w:rPr>
                            <w:rFonts w:ascii="宋体" w:hAnsi="宋体" w:cs="宋体" w:eastAsia="宋体" w:hint="default"/>
                            <w:w w:val="100"/>
                            <w:sz w:val="18"/>
                            <w:szCs w:val="18"/>
                          </w:rPr>
                          <w:t> </w:t>
                        </w:r>
                        <w:r>
                          <w:rPr>
                            <w:rFonts w:ascii="宋体" w:hAnsi="宋体" w:cs="宋体" w:eastAsia="宋体" w:hint="default"/>
                            <w:sz w:val="18"/>
                            <w:szCs w:val="18"/>
                          </w:rPr>
                          <w:t>医药股份总数</w:t>
                        </w:r>
                        <w:r>
                          <w:rPr>
                            <w:rFonts w:ascii="宋体" w:hAnsi="宋体" w:cs="宋体" w:eastAsia="宋体" w:hint="default"/>
                            <w:w w:val="100"/>
                            <w:sz w:val="18"/>
                            <w:szCs w:val="18"/>
                          </w:rPr>
                          <w:t> </w:t>
                        </w:r>
                        <w:r>
                          <w:rPr>
                            <w:rFonts w:ascii="宋体" w:hAnsi="宋体" w:cs="宋体" w:eastAsia="宋体" w:hint="default"/>
                            <w:sz w:val="18"/>
                            <w:szCs w:val="18"/>
                          </w:rPr>
                          <w:t>的百分之二十</w:t>
                        </w:r>
                        <w:r>
                          <w:rPr>
                            <w:rFonts w:ascii="宋体" w:hAnsi="宋体" w:cs="宋体" w:eastAsia="宋体" w:hint="default"/>
                            <w:w w:val="100"/>
                            <w:sz w:val="18"/>
                            <w:szCs w:val="18"/>
                          </w:rPr>
                          <w:t> </w:t>
                        </w:r>
                        <w:r>
                          <w:rPr>
                            <w:rFonts w:ascii="宋体" w:hAnsi="宋体" w:cs="宋体" w:eastAsia="宋体" w:hint="default"/>
                            <w:spacing w:val="-7"/>
                            <w:sz w:val="18"/>
                            <w:szCs w:val="18"/>
                          </w:rPr>
                          <w:t>五；离职后半年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内，不转让本人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所持有的瑞康</w:t>
                        </w:r>
                        <w:r>
                          <w:rPr>
                            <w:rFonts w:ascii="宋体" w:hAnsi="宋体" w:cs="宋体" w:eastAsia="宋体" w:hint="default"/>
                            <w:w w:val="100"/>
                            <w:sz w:val="18"/>
                            <w:szCs w:val="18"/>
                          </w:rPr>
                          <w:t> </w:t>
                        </w:r>
                        <w:r>
                          <w:rPr>
                            <w:rFonts w:ascii="宋体" w:hAnsi="宋体" w:cs="宋体" w:eastAsia="宋体" w:hint="default"/>
                            <w:spacing w:val="-7"/>
                            <w:sz w:val="18"/>
                            <w:szCs w:val="18"/>
                          </w:rPr>
                          <w:t>医药股份。发行</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4" w:lineRule="auto"/>
                          <w:ind w:left="21" w:right="122"/>
                          <w:jc w:val="both"/>
                          <w:rPr>
                            <w:rFonts w:ascii="宋体" w:hAnsi="宋体" w:cs="宋体" w:eastAsia="宋体" w:hint="default"/>
                            <w:sz w:val="18"/>
                            <w:szCs w:val="18"/>
                          </w:rPr>
                        </w:pPr>
                        <w:r>
                          <w:rPr>
                            <w:rFonts w:ascii="宋体" w:hAnsi="宋体" w:cs="宋体" w:eastAsia="宋体" w:hint="default"/>
                            <w:sz w:val="18"/>
                            <w:szCs w:val="18"/>
                          </w:rPr>
                          <w:t>自山东瑞康医</w:t>
                        </w:r>
                        <w:r>
                          <w:rPr>
                            <w:rFonts w:ascii="宋体" w:hAnsi="宋体" w:cs="宋体" w:eastAsia="宋体" w:hint="default"/>
                            <w:w w:val="100"/>
                            <w:sz w:val="18"/>
                            <w:szCs w:val="18"/>
                          </w:rPr>
                          <w:t> </w:t>
                        </w:r>
                        <w:r>
                          <w:rPr>
                            <w:rFonts w:ascii="宋体" w:hAnsi="宋体" w:cs="宋体" w:eastAsia="宋体" w:hint="default"/>
                            <w:sz w:val="18"/>
                            <w:szCs w:val="18"/>
                          </w:rPr>
                          <w:t>药股份有限公</w:t>
                        </w:r>
                        <w:r>
                          <w:rPr>
                            <w:rFonts w:ascii="宋体" w:hAnsi="宋体" w:cs="宋体" w:eastAsia="宋体" w:hint="default"/>
                            <w:w w:val="100"/>
                            <w:sz w:val="18"/>
                            <w:szCs w:val="18"/>
                          </w:rPr>
                          <w:t> </w:t>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股股票上</w:t>
                        </w:r>
                        <w:r>
                          <w:rPr>
                            <w:rFonts w:ascii="宋体" w:hAnsi="宋体" w:cs="宋体" w:eastAsia="宋体" w:hint="default"/>
                            <w:w w:val="100"/>
                            <w:sz w:val="18"/>
                            <w:szCs w:val="18"/>
                          </w:rPr>
                          <w:t> </w:t>
                        </w:r>
                        <w:r>
                          <w:rPr>
                            <w:rFonts w:ascii="宋体" w:hAnsi="宋体" w:cs="宋体" w:eastAsia="宋体" w:hint="default"/>
                            <w:sz w:val="18"/>
                            <w:szCs w:val="18"/>
                          </w:rPr>
                          <w:t>市之日起三十</w:t>
                        </w:r>
                        <w:r>
                          <w:rPr>
                            <w:rFonts w:ascii="宋体" w:hAnsi="宋体" w:cs="宋体" w:eastAsia="宋体" w:hint="default"/>
                            <w:w w:val="100"/>
                            <w:sz w:val="18"/>
                            <w:szCs w:val="18"/>
                          </w:rPr>
                          <w:t> </w:t>
                        </w:r>
                        <w:r>
                          <w:rPr>
                            <w:rFonts w:ascii="宋体" w:hAnsi="宋体" w:cs="宋体" w:eastAsia="宋体" w:hint="default"/>
                            <w:sz w:val="18"/>
                            <w:szCs w:val="18"/>
                          </w:rPr>
                          <w:t>六个月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314" w:lineRule="auto" w:before="62"/>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日履</w:t>
                        </w:r>
                        <w:r>
                          <w:rPr>
                            <w:rFonts w:ascii="宋体" w:hAnsi="宋体" w:cs="宋体" w:eastAsia="宋体" w:hint="default"/>
                            <w:w w:val="100"/>
                            <w:sz w:val="18"/>
                            <w:szCs w:val="18"/>
                          </w:rPr>
                          <w:t> </w:t>
                        </w:r>
                        <w:r>
                          <w:rPr>
                            <w:rFonts w:ascii="宋体" w:hAnsi="宋体" w:cs="宋体" w:eastAsia="宋体" w:hint="default"/>
                            <w:spacing w:val="-9"/>
                            <w:sz w:val="18"/>
                            <w:szCs w:val="18"/>
                          </w:rPr>
                          <w:t>行完毕，承诺履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行期间，未出现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不遵守承诺的</w:t>
                        </w:r>
                        <w:r>
                          <w:rPr>
                            <w:rFonts w:ascii="宋体" w:hAnsi="宋体" w:cs="宋体" w:eastAsia="宋体" w:hint="default"/>
                            <w:w w:val="100"/>
                            <w:sz w:val="18"/>
                            <w:szCs w:val="18"/>
                          </w:rPr>
                          <w:t> </w:t>
                        </w:r>
                        <w:r>
                          <w:rPr>
                            <w:rFonts w:ascii="宋体" w:hAnsi="宋体" w:cs="宋体" w:eastAsia="宋体" w:hint="default"/>
                            <w:sz w:val="18"/>
                            <w:szCs w:val="18"/>
                          </w:rPr>
                          <w:t>情况</w:t>
                        </w: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人股东青岛睿</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华方略医药咨</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询服务有限公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7"/>
                            <w:sz w:val="18"/>
                            <w:szCs w:val="18"/>
                          </w:rPr>
                          <w:t>司承诺：自瑞康</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医药股票上市</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个</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5"/>
                          <w:ind w:left="-1" w:right="0"/>
                          <w:jc w:val="left"/>
                          <w:rPr>
                            <w:rFonts w:ascii="宋体" w:hAnsi="宋体" w:cs="宋体" w:eastAsia="宋体" w:hint="default"/>
                            <w:sz w:val="18"/>
                            <w:szCs w:val="18"/>
                          </w:rPr>
                        </w:pPr>
                        <w:r>
                          <w:rPr>
                            <w:rFonts w:ascii="宋体" w:hAnsi="宋体" w:cs="宋体" w:eastAsia="宋体" w:hint="default"/>
                            <w:spacing w:val="-7"/>
                            <w:sz w:val="18"/>
                            <w:szCs w:val="18"/>
                          </w:rPr>
                          <w:t>月内，本公司不</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转让或者委托</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他人管理本公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司直接或间接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持有的瑞康医</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药公开发行股</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票前已发行的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pacing w:val="-7"/>
                            <w:sz w:val="18"/>
                            <w:szCs w:val="18"/>
                          </w:rPr>
                          <w:t>股份，也不由瑞</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nil" w:sz="6" w:space="0" w:color="auto"/>
                          <w:right w:val="single" w:sz="14" w:space="0" w:color="FFFFFF"/>
                        </w:tcBorders>
                      </w:tcPr>
                      <w:p>
                        <w:pPr/>
                      </w:p>
                    </w:tc>
                    <w:tc>
                      <w:tcPr>
                        <w:tcW w:w="1264" w:type="dxa"/>
                        <w:tcBorders>
                          <w:top w:val="nil" w:sz="6" w:space="0" w:color="auto"/>
                          <w:left w:val="single" w:sz="14" w:space="0" w:color="FFFFFF"/>
                          <w:bottom w:val="nil" w:sz="6" w:space="0" w:color="auto"/>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康医药回购该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nil" w:sz="6" w:space="0" w:color="auto"/>
                          <w:left w:val="single" w:sz="4" w:space="0" w:color="000000"/>
                          <w:bottom w:val="single" w:sz="4" w:space="0" w:color="000000"/>
                          <w:right w:val="single" w:sz="14" w:space="0" w:color="FFFFFF"/>
                        </w:tcBorders>
                      </w:tcPr>
                      <w:p>
                        <w:pPr/>
                      </w:p>
                    </w:tc>
                    <w:tc>
                      <w:tcPr>
                        <w:tcW w:w="1264" w:type="dxa"/>
                        <w:tcBorders>
                          <w:top w:val="nil" w:sz="6" w:space="0" w:color="auto"/>
                          <w:left w:val="single" w:sz="14" w:space="0" w:color="FFFFFF"/>
                          <w:bottom w:val="single" w:sz="4" w:space="0" w:color="000000"/>
                          <w:right w:val="single" w:sz="4" w:space="0" w:color="000000"/>
                        </w:tcBorders>
                      </w:tcPr>
                      <w:p>
                        <w:pPr>
                          <w:pStyle w:val="TableParagraph"/>
                          <w:spacing w:line="240" w:lineRule="auto" w:before="10"/>
                          <w:ind w:left="-1" w:right="0"/>
                          <w:jc w:val="left"/>
                          <w:rPr>
                            <w:rFonts w:ascii="宋体" w:hAnsi="宋体" w:cs="宋体" w:eastAsia="宋体" w:hint="default"/>
                            <w:sz w:val="18"/>
                            <w:szCs w:val="18"/>
                          </w:rPr>
                        </w:pPr>
                        <w:r>
                          <w:rPr>
                            <w:rFonts w:ascii="宋体" w:hAnsi="宋体" w:cs="宋体" w:eastAsia="宋体" w:hint="default"/>
                            <w:sz w:val="18"/>
                            <w:szCs w:val="18"/>
                          </w:rPr>
                          <w:t>部分股份。</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867" w:hRule="exact"/>
                    </w:trPr>
                    <w:tc>
                      <w:tcPr>
                        <w:tcW w:w="3204" w:type="dxa"/>
                        <w:tcBorders>
                          <w:top w:val="nil" w:sz="6" w:space="0" w:color="auto"/>
                          <w:left w:val="single" w:sz="4" w:space="0" w:color="000000"/>
                          <w:bottom w:val="nil" w:sz="6" w:space="0" w:color="auto"/>
                          <w:right w:val="single" w:sz="4" w:space="0" w:color="000000"/>
                        </w:tcBorders>
                        <w:shd w:val="clear" w:color="auto" w:fill="D3D3D3"/>
                      </w:tcPr>
                      <w:p>
                        <w:pPr/>
                      </w:p>
                    </w:tc>
                    <w:tc>
                      <w:tcPr>
                        <w:tcW w:w="128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发起人股东</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TB</w:t>
                        </w:r>
                      </w:p>
                    </w:tc>
                    <w:tc>
                      <w:tcPr>
                        <w:tcW w:w="126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自山东瑞康医</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自山东瑞康医</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p>
                    </w:tc>
                  </w:tr>
                  <w:tr>
                    <w:trPr>
                      <w:trHeight w:val="161" w:hRule="exact"/>
                    </w:trPr>
                    <w:tc>
                      <w:tcPr>
                        <w:tcW w:w="32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8" w:type="dxa"/>
                        <w:tcBorders>
                          <w:top w:val="nil" w:sz="6" w:space="0" w:color="auto"/>
                          <w:left w:val="single" w:sz="4" w:space="0" w:color="000000"/>
                          <w:bottom w:val="single" w:sz="4" w:space="0" w:color="000000"/>
                          <w:right w:val="single" w:sz="4" w:space="0" w:color="000000"/>
                        </w:tcBorders>
                      </w:tcPr>
                      <w:p>
                        <w:pPr/>
                      </w:p>
                    </w:tc>
                    <w:tc>
                      <w:tcPr>
                        <w:tcW w:w="1264" w:type="dxa"/>
                        <w:tcBorders>
                          <w:top w:val="nil" w:sz="6" w:space="0" w:color="auto"/>
                          <w:left w:val="single" w:sz="4" w:space="0" w:color="000000"/>
                          <w:bottom w:val="single" w:sz="4" w:space="0" w:color="000000"/>
                          <w:right w:val="single" w:sz="4" w:space="0" w:color="000000"/>
                        </w:tcBorders>
                      </w:tcPr>
                      <w:p>
                        <w:pPr>
                          <w:pStyle w:val="TableParagraph"/>
                          <w:spacing w:line="190" w:lineRule="exact" w:before="5"/>
                          <w:ind w:left="12" w:right="0"/>
                          <w:jc w:val="left"/>
                          <w:rPr>
                            <w:rFonts w:ascii="宋体" w:hAnsi="宋体" w:cs="宋体" w:eastAsia="宋体" w:hint="default"/>
                            <w:sz w:val="18"/>
                            <w:szCs w:val="18"/>
                          </w:rPr>
                        </w:pPr>
                        <w:r>
                          <w:rPr>
                            <w:rFonts w:ascii="宋体" w:hAnsi="宋体" w:cs="宋体" w:eastAsia="宋体" w:hint="default"/>
                            <w:sz w:val="18"/>
                            <w:szCs w:val="18"/>
                          </w:rPr>
                          <w:t>药股份有限公</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90" w:lineRule="exact" w:before="5"/>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190" w:lineRule="exact" w:before="5"/>
                          <w:ind w:left="21" w:right="0"/>
                          <w:jc w:val="left"/>
                          <w:rPr>
                            <w:rFonts w:ascii="宋体" w:hAnsi="宋体" w:cs="宋体" w:eastAsia="宋体" w:hint="default"/>
                            <w:sz w:val="18"/>
                            <w:szCs w:val="18"/>
                          </w:rPr>
                        </w:pPr>
                        <w:r>
                          <w:rPr>
                            <w:rFonts w:ascii="宋体" w:hAnsi="宋体" w:cs="宋体" w:eastAsia="宋体" w:hint="default"/>
                            <w:sz w:val="18"/>
                            <w:szCs w:val="18"/>
                          </w:rPr>
                          <w:t>药股份有限公</w:t>
                        </w:r>
                      </w:p>
                    </w:tc>
                    <w:tc>
                      <w:tcPr>
                        <w:tcW w:w="1260"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Times New Roman"/>
          <w:spacing w:val="-5"/>
        </w:rPr>
        <w:t>NATURE</w:t>
      </w:r>
      <w:r>
        <w:rPr>
          <w:rFonts w:ascii="Times New Roman"/>
          <w:w w:val="100"/>
        </w:rPr>
        <w:t> </w:t>
      </w:r>
      <w:r>
        <w:rPr>
          <w:rFonts w:ascii="Times New Roman"/>
          <w:spacing w:val="-1"/>
        </w:rPr>
        <w:t>LIMITED</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pStyle w:val="BodyText"/>
        <w:spacing w:line="240" w:lineRule="auto" w:before="149"/>
        <w:ind w:left="499" w:right="-16"/>
        <w:jc w:val="left"/>
      </w:pPr>
      <w:r>
        <w:rPr/>
        <w:t>司</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股股票上</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left="1389" w:right="-16"/>
        <w:jc w:val="left"/>
      </w:pPr>
      <w:r>
        <w:rPr/>
        <w:t>司</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股股票上</w:t>
      </w:r>
    </w:p>
    <w:p>
      <w:pPr>
        <w:pStyle w:val="BodyText"/>
        <w:spacing w:line="300" w:lineRule="auto" w:before="44"/>
        <w:ind w:left="117" w:right="241"/>
        <w:jc w:val="left"/>
      </w:pPr>
      <w:r>
        <w:rPr/>
        <w:br w:type="column"/>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日履</w:t>
      </w:r>
      <w:r>
        <w:rPr>
          <w:w w:val="100"/>
        </w:rPr>
        <w:t> </w:t>
      </w:r>
      <w:r>
        <w:rPr>
          <w:spacing w:val="-9"/>
        </w:rPr>
        <w:t>行完毕，承诺履</w:t>
      </w:r>
    </w:p>
    <w:p>
      <w:pPr>
        <w:spacing w:after="0" w:line="300" w:lineRule="auto"/>
        <w:jc w:val="left"/>
        <w:sectPr>
          <w:type w:val="continuous"/>
          <w:pgSz w:w="11910" w:h="16840"/>
          <w:pgMar w:top="1060" w:bottom="1180" w:left="980" w:right="980"/>
          <w:cols w:num="4" w:equalWidth="0">
            <w:col w:w="4123" w:space="40"/>
            <w:col w:w="1619" w:space="40"/>
            <w:col w:w="2509" w:space="40"/>
            <w:col w:w="1579"/>
          </w:cols>
        </w:sectPr>
      </w:pPr>
    </w:p>
    <w:p>
      <w:pPr>
        <w:spacing w:line="240" w:lineRule="auto" w:before="0"/>
        <w:rPr>
          <w:rFonts w:ascii="Times New Roman" w:hAnsi="Times New Roman" w:cs="Times New Roman" w:eastAsia="Times New Roman" w:hint="default"/>
          <w:sz w:val="20"/>
          <w:szCs w:val="20"/>
        </w:rPr>
      </w:pPr>
      <w:r>
        <w:rPr/>
        <w:pict>
          <v:group style="position:absolute;margin-left:344.640015pt;margin-top:324.590027pt;width:63.4pt;height:201.9pt;mso-position-horizontal-relative:page;mso-position-vertical-relative:page;z-index:-898432" coordorigin="6893,6492" coordsize="1268,4038">
            <v:shape style="position:absolute;left:6893;top:6492;width:1268;height:4038" coordorigin="6893,6492" coordsize="1268,4038" path="m6893,10530l8160,10530,8160,6492,6893,6492,6893,1053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204"/>
        <w:gridCol w:w="1274"/>
        <w:gridCol w:w="1277"/>
        <w:gridCol w:w="1277"/>
        <w:gridCol w:w="1274"/>
        <w:gridCol w:w="1260"/>
      </w:tblGrid>
      <w:tr>
        <w:trPr>
          <w:trHeight w:val="315" w:hRule="exact"/>
        </w:trPr>
        <w:tc>
          <w:tcPr>
            <w:tcW w:w="3204"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市之日起十二</w:t>
            </w:r>
          </w:p>
        </w:tc>
        <w:tc>
          <w:tcPr>
            <w:tcW w:w="1277"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市之日起十二</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9"/>
                <w:sz w:val="18"/>
                <w:szCs w:val="18"/>
              </w:rPr>
              <w:t>行期间，未出现</w:t>
            </w: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个月内，不转让</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不遵守承诺的</w:t>
            </w: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或者委托他人</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管理本公司或</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本人直接或间</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接持有的瑞康</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股份公开发行</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股票前已发行</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的股份，也不由</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瑞康股份回购</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本公司或本人</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直接或间接持</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有的瑞康股份</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公开发行股票</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前已发行的股</w:t>
            </w:r>
          </w:p>
        </w:tc>
        <w:tc>
          <w:tcPr>
            <w:tcW w:w="1277"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w w:val="100"/>
                <w:sz w:val="18"/>
                <w:szCs w:val="18"/>
              </w:rPr>
              <w:t>份</w:t>
            </w:r>
          </w:p>
        </w:tc>
        <w:tc>
          <w:tcPr>
            <w:tcW w:w="1277"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3204" w:type="dxa"/>
            <w:vMerge/>
            <w:tcBorders>
              <w:left w:val="single" w:sz="4" w:space="0" w:color="000000"/>
              <w:right w:val="single" w:sz="4" w:space="0" w:color="000000"/>
            </w:tcBorders>
            <w:shd w:val="clear" w:color="auto" w:fill="D3D3D3"/>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7"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人目前在中国</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境内外未直接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或间接从事或</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参与任何在商</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业上对瑞康医</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药构成竞争的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业务或活动；</w:t>
            </w:r>
            <w:r>
              <w:rPr>
                <w:rFonts w:ascii="Times New Roman" w:hAnsi="Times New Roman" w:cs="Times New Roman" w:eastAsia="Times New Roman" w:hint="default"/>
                <w:spacing w:val="-7"/>
                <w:sz w:val="18"/>
                <w:szCs w:val="18"/>
              </w:rPr>
              <w:t>2</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本人将来也不</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在中国境内外</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4" w:lineRule="auto"/>
              <w:ind w:left="23" w:right="158"/>
              <w:jc w:val="left"/>
              <w:rPr>
                <w:rFonts w:ascii="宋体" w:hAnsi="宋体" w:cs="宋体" w:eastAsia="宋体" w:hint="default"/>
                <w:sz w:val="18"/>
                <w:szCs w:val="18"/>
              </w:rPr>
            </w:pPr>
            <w:r>
              <w:rPr>
                <w:rFonts w:ascii="宋体" w:hAnsi="宋体" w:cs="宋体" w:eastAsia="宋体" w:hint="default"/>
                <w:sz w:val="18"/>
                <w:szCs w:val="18"/>
              </w:rPr>
              <w:t>公司控股股东</w:t>
            </w:r>
            <w:r>
              <w:rPr>
                <w:rFonts w:ascii="宋体" w:hAnsi="宋体" w:cs="宋体" w:eastAsia="宋体" w:hint="default"/>
                <w:w w:val="100"/>
                <w:sz w:val="18"/>
                <w:szCs w:val="18"/>
              </w:rPr>
              <w:t> </w:t>
            </w:r>
            <w:r>
              <w:rPr>
                <w:rFonts w:ascii="宋体" w:hAnsi="宋体" w:cs="宋体" w:eastAsia="宋体" w:hint="default"/>
                <w:sz w:val="18"/>
                <w:szCs w:val="18"/>
              </w:rPr>
              <w:t>韩旭、张仁华</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
              <w:jc w:val="left"/>
              <w:rPr>
                <w:rFonts w:ascii="宋体" w:hAnsi="宋体" w:cs="宋体" w:eastAsia="宋体" w:hint="default"/>
                <w:sz w:val="18"/>
                <w:szCs w:val="18"/>
              </w:rPr>
            </w:pPr>
            <w:r>
              <w:rPr>
                <w:rFonts w:ascii="宋体" w:hAnsi="宋体" w:cs="宋体" w:eastAsia="宋体" w:hint="default"/>
                <w:sz w:val="18"/>
                <w:szCs w:val="18"/>
              </w:rPr>
              <w:t>直接或间接从</w:t>
            </w:r>
            <w:r>
              <w:rPr>
                <w:rFonts w:ascii="宋体" w:hAnsi="宋体" w:cs="宋体" w:eastAsia="宋体" w:hint="default"/>
                <w:w w:val="100"/>
                <w:sz w:val="18"/>
                <w:szCs w:val="18"/>
              </w:rPr>
              <w:t> </w:t>
            </w:r>
            <w:r>
              <w:rPr>
                <w:rFonts w:ascii="宋体" w:hAnsi="宋体" w:cs="宋体" w:eastAsia="宋体" w:hint="default"/>
                <w:sz w:val="18"/>
                <w:szCs w:val="18"/>
              </w:rPr>
              <w:t>事或参与任何</w:t>
            </w:r>
            <w:r>
              <w:rPr>
                <w:rFonts w:ascii="宋体" w:hAnsi="宋体" w:cs="宋体" w:eastAsia="宋体" w:hint="default"/>
                <w:w w:val="100"/>
                <w:sz w:val="18"/>
                <w:szCs w:val="18"/>
              </w:rPr>
              <w:t> </w:t>
            </w:r>
            <w:r>
              <w:rPr>
                <w:rFonts w:ascii="宋体" w:hAnsi="宋体" w:cs="宋体" w:eastAsia="宋体" w:hint="default"/>
                <w:sz w:val="18"/>
                <w:szCs w:val="18"/>
              </w:rPr>
              <w:t>在商业上对瑞</w:t>
            </w:r>
            <w:r>
              <w:rPr>
                <w:rFonts w:ascii="宋体" w:hAnsi="宋体" w:cs="宋体" w:eastAsia="宋体" w:hint="default"/>
                <w:w w:val="100"/>
                <w:sz w:val="18"/>
                <w:szCs w:val="18"/>
              </w:rPr>
              <w:t> </w:t>
            </w:r>
            <w:r>
              <w:rPr>
                <w:rFonts w:ascii="宋体" w:hAnsi="宋体" w:cs="宋体" w:eastAsia="宋体" w:hint="default"/>
                <w:sz w:val="18"/>
                <w:szCs w:val="18"/>
              </w:rPr>
              <w:t>康医药构成竞</w:t>
            </w:r>
            <w:r>
              <w:rPr>
                <w:rFonts w:ascii="宋体" w:hAnsi="宋体" w:cs="宋体" w:eastAsia="宋体" w:hint="default"/>
                <w:w w:val="100"/>
                <w:sz w:val="18"/>
                <w:szCs w:val="18"/>
              </w:rPr>
              <w:t> </w:t>
            </w:r>
            <w:r>
              <w:rPr>
                <w:rFonts w:ascii="宋体" w:hAnsi="宋体" w:cs="宋体" w:eastAsia="宋体" w:hint="default"/>
                <w:sz w:val="18"/>
                <w:szCs w:val="18"/>
              </w:rPr>
              <w:t>争的业务及活</w:t>
            </w:r>
            <w:r>
              <w:rPr>
                <w:rFonts w:ascii="宋体" w:hAnsi="宋体" w:cs="宋体" w:eastAsia="宋体" w:hint="default"/>
                <w:w w:val="100"/>
                <w:sz w:val="18"/>
                <w:szCs w:val="18"/>
              </w:rPr>
              <w:t> </w:t>
            </w:r>
            <w:r>
              <w:rPr>
                <w:rFonts w:ascii="宋体" w:hAnsi="宋体" w:cs="宋体" w:eastAsia="宋体" w:hint="default"/>
                <w:spacing w:val="-7"/>
                <w:sz w:val="18"/>
                <w:szCs w:val="18"/>
              </w:rPr>
              <w:t>动，或拥有与瑞</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316" w:lineRule="auto" w:before="149"/>
              <w:ind w:left="21" w:right="22"/>
              <w:jc w:val="left"/>
              <w:rPr>
                <w:rFonts w:ascii="宋体" w:hAnsi="宋体" w:cs="宋体" w:eastAsia="宋体" w:hint="default"/>
                <w:sz w:val="18"/>
                <w:szCs w:val="18"/>
              </w:rPr>
            </w:pPr>
            <w:r>
              <w:rPr>
                <w:rFonts w:ascii="宋体" w:hAnsi="宋体" w:cs="宋体" w:eastAsia="宋体" w:hint="default"/>
                <w:sz w:val="18"/>
                <w:szCs w:val="18"/>
              </w:rPr>
              <w:t>直至不再为公</w:t>
            </w:r>
            <w:r>
              <w:rPr>
                <w:rFonts w:ascii="宋体" w:hAnsi="宋体" w:cs="宋体" w:eastAsia="宋体" w:hint="default"/>
                <w:w w:val="100"/>
                <w:sz w:val="18"/>
                <w:szCs w:val="18"/>
              </w:rPr>
              <w:t> </w:t>
            </w:r>
            <w:r>
              <w:rPr>
                <w:rFonts w:ascii="宋体" w:hAnsi="宋体" w:cs="宋体" w:eastAsia="宋体" w:hint="default"/>
                <w:spacing w:val="-7"/>
                <w:sz w:val="18"/>
                <w:szCs w:val="18"/>
              </w:rPr>
              <w:t>司控股股东、本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人不再为公司</w:t>
            </w:r>
            <w:r>
              <w:rPr>
                <w:rFonts w:ascii="宋体" w:hAnsi="宋体" w:cs="宋体" w:eastAsia="宋体" w:hint="default"/>
                <w:w w:val="100"/>
                <w:sz w:val="18"/>
                <w:szCs w:val="18"/>
              </w:rPr>
              <w:t> </w:t>
            </w:r>
            <w:r>
              <w:rPr>
                <w:rFonts w:ascii="宋体" w:hAnsi="宋体" w:cs="宋体" w:eastAsia="宋体" w:hint="default"/>
                <w:sz w:val="18"/>
                <w:szCs w:val="18"/>
              </w:rPr>
              <w:t>实际控制人为</w:t>
            </w:r>
            <w:r>
              <w:rPr>
                <w:rFonts w:ascii="宋体" w:hAnsi="宋体" w:cs="宋体" w:eastAsia="宋体" w:hint="default"/>
                <w:w w:val="100"/>
                <w:sz w:val="18"/>
                <w:szCs w:val="18"/>
              </w:rPr>
              <w:t> </w:t>
            </w:r>
            <w:r>
              <w:rPr>
                <w:rFonts w:ascii="宋体" w:hAnsi="宋体" w:cs="宋体" w:eastAsia="宋体" w:hint="default"/>
                <w:sz w:val="18"/>
                <w:szCs w:val="18"/>
              </w:rPr>
              <w:t>止。</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承诺目前正在</w:t>
            </w:r>
            <w:r>
              <w:rPr>
                <w:rFonts w:ascii="宋体" w:hAnsi="宋体" w:cs="宋体" w:eastAsia="宋体" w:hint="default"/>
                <w:w w:val="100"/>
                <w:sz w:val="18"/>
                <w:szCs w:val="18"/>
              </w:rPr>
              <w:t> </w:t>
            </w:r>
            <w:r>
              <w:rPr>
                <w:rFonts w:ascii="宋体" w:hAnsi="宋体" w:cs="宋体" w:eastAsia="宋体" w:hint="default"/>
                <w:spacing w:val="-9"/>
                <w:sz w:val="18"/>
                <w:szCs w:val="18"/>
              </w:rPr>
              <w:t>履行中，报告期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内未出现不遵</w:t>
            </w:r>
            <w:r>
              <w:rPr>
                <w:rFonts w:ascii="宋体" w:hAnsi="宋体" w:cs="宋体" w:eastAsia="宋体" w:hint="default"/>
                <w:w w:val="100"/>
                <w:sz w:val="18"/>
                <w:szCs w:val="18"/>
              </w:rPr>
              <w:t> </w:t>
            </w:r>
            <w:r>
              <w:rPr>
                <w:rFonts w:ascii="宋体" w:hAnsi="宋体" w:cs="宋体" w:eastAsia="宋体" w:hint="default"/>
                <w:sz w:val="18"/>
                <w:szCs w:val="18"/>
              </w:rPr>
              <w:t>守承诺的情况</w:t>
            </w: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康医药存在竞</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争关系的任何</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经济实体、机</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构、经济组织的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权益，或以其他</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任何形式取得</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该经济实体、机</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构、经济组织的</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控制权，或在该</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经济实体、机</w:t>
            </w:r>
          </w:p>
        </w:tc>
        <w:tc>
          <w:tcPr>
            <w:tcW w:w="1277"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3204" w:type="dxa"/>
            <w:vMerge/>
            <w:tcBorders>
              <w:left w:val="single" w:sz="4" w:space="0" w:color="000000"/>
              <w:bottom w:val="single" w:sz="4" w:space="0" w:color="000000"/>
              <w:right w:val="single" w:sz="4" w:space="0" w:color="000000"/>
            </w:tcBorders>
            <w:shd w:val="clear" w:color="auto" w:fill="D3D3D3"/>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构、经济组织中</w:t>
            </w:r>
          </w:p>
        </w:tc>
        <w:tc>
          <w:tcPr>
            <w:tcW w:w="1277"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204"/>
        <w:gridCol w:w="1274"/>
        <w:gridCol w:w="1277"/>
        <w:gridCol w:w="1277"/>
        <w:gridCol w:w="1274"/>
        <w:gridCol w:w="1260"/>
      </w:tblGrid>
      <w:tr>
        <w:trPr>
          <w:trHeight w:val="315" w:hRule="exact"/>
        </w:trPr>
        <w:tc>
          <w:tcPr>
            <w:tcW w:w="3204" w:type="dxa"/>
            <w:vMerge w:val="restart"/>
            <w:tcBorders>
              <w:top w:val="single" w:sz="4" w:space="0" w:color="000000"/>
              <w:left w:val="single" w:sz="4" w:space="0" w:color="000000"/>
              <w:right w:val="single" w:sz="4" w:space="0" w:color="000000"/>
            </w:tcBorders>
            <w:shd w:val="clear" w:color="auto" w:fill="D3D3D3"/>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担任高级管理</w:t>
            </w:r>
          </w:p>
        </w:tc>
        <w:tc>
          <w:tcPr>
            <w:tcW w:w="1277"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人员或核心技</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7"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术人员；</w:t>
            </w: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07"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人愿意承担违</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反上述承诺而</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12" w:hRule="exact"/>
        </w:trPr>
        <w:tc>
          <w:tcPr>
            <w:tcW w:w="3204" w:type="dxa"/>
            <w:vMerge/>
            <w:tcBorders>
              <w:left w:val="single" w:sz="4" w:space="0" w:color="000000"/>
              <w:right w:val="single" w:sz="4" w:space="0" w:color="000000"/>
            </w:tcBorders>
            <w:shd w:val="clear" w:color="auto" w:fill="D3D3D3"/>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给瑞康医药造</w:t>
            </w:r>
          </w:p>
        </w:tc>
        <w:tc>
          <w:tcPr>
            <w:tcW w:w="1277"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60" w:hRule="exact"/>
        </w:trPr>
        <w:tc>
          <w:tcPr>
            <w:tcW w:w="3204"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20"/>
              <w:jc w:val="left"/>
              <w:rPr>
                <w:rFonts w:ascii="宋体" w:hAnsi="宋体" w:cs="宋体" w:eastAsia="宋体" w:hint="default"/>
                <w:sz w:val="18"/>
                <w:szCs w:val="18"/>
              </w:rPr>
            </w:pPr>
            <w:r>
              <w:rPr>
                <w:rFonts w:ascii="宋体" w:hAnsi="宋体" w:cs="宋体" w:eastAsia="宋体" w:hint="default"/>
                <w:sz w:val="18"/>
                <w:szCs w:val="18"/>
              </w:rPr>
              <w:t>成的全部损失。</w:t>
            </w:r>
          </w:p>
        </w:tc>
        <w:tc>
          <w:tcPr>
            <w:tcW w:w="127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401"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84"/>
        </w:rPr>
        <w:t> </w:t>
      </w:r>
      <w:r>
        <w:rPr>
          <w:spacing w:val="-84"/>
        </w:rPr>
      </w:r>
      <w:bookmarkStart w:name="2、公司资产或项目存在盈利预测，且报告期仍处在盈利预测期间，公司就资产或项目达到" w:id="83"/>
      <w:bookmarkEnd w:id="83"/>
      <w:r>
        <w:rPr/>
        <w:t>其</w:t>
      </w:r>
      <w:r>
        <w:rPr/>
        <w:t>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聘任、解聘会计师事务所情况 " w:id="84"/>
      <w:bookmarkEnd w:id="84"/>
      <w:r>
        <w:rPr>
          <w:b w:val="0"/>
          <w:bCs w:val="0"/>
        </w:rPr>
      </w:r>
      <w:r>
        <w:rPr/>
        <w:t>十、聘任、解聘会计师事务所情况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86"/>
        <w:gridCol w:w="5683"/>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北京天圆全会计师事务所（特殊普通合伙）</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100"/>
                <w:sz w:val="18"/>
              </w:rPr>
              <w:t>6</w:t>
            </w:r>
          </w:p>
        </w:tc>
      </w:tr>
      <w:tr>
        <w:trPr>
          <w:trHeight w:val="401"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周瑕、杜宪超</w:t>
            </w:r>
          </w:p>
        </w:tc>
      </w:tr>
    </w:tbl>
    <w:p>
      <w:pPr>
        <w:pStyle w:val="BodyText"/>
        <w:spacing w:line="240" w:lineRule="auto" w:before="49"/>
        <w:ind w:right="0"/>
        <w:jc w:val="left"/>
      </w:pPr>
      <w:r>
        <w:rPr/>
        <w:t>当期是否改聘会计师事务所</w:t>
      </w:r>
    </w:p>
    <w:p>
      <w:pPr>
        <w:pStyle w:val="BodyText"/>
        <w:spacing w:line="357" w:lineRule="auto" w:before="117"/>
        <w:ind w:right="5260"/>
        <w:jc w:val="left"/>
      </w:pPr>
      <w:r>
        <w:rPr/>
        <w:t>□ 是 √</w:t>
      </w:r>
      <w:r>
        <w:rPr>
          <w:spacing w:val="1"/>
        </w:rPr>
        <w:t> </w:t>
      </w:r>
      <w:r>
        <w:rPr/>
        <w:t>否</w:t>
      </w:r>
      <w:r>
        <w:rPr>
          <w:w w:val="100"/>
        </w:rPr>
        <w:t> </w:t>
      </w:r>
      <w:r>
        <w:rPr>
          <w:spacing w:val="-1"/>
        </w:rPr>
        <w:t>聘请内部控制审计会计师事务所、财务顾问或保荐人情况</w:t>
      </w:r>
    </w:p>
    <w:p>
      <w:pPr>
        <w:pStyle w:val="BodyText"/>
        <w:spacing w:line="240" w:lineRule="auto" w:before="29"/>
        <w:ind w:right="0"/>
        <w:jc w:val="left"/>
      </w:pPr>
      <w:r>
        <w:rPr/>
        <w:t>□ 适用 √</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十一、监事会、独立董事（如适用）对会计师事务所本报告期“非标准审计报告”的说明 " w:id="85"/>
      <w:bookmarkEnd w:id="85"/>
      <w:r>
        <w:rPr>
          <w:b w:val="0"/>
          <w:bCs w:val="0"/>
        </w:rPr>
      </w:r>
      <w:r>
        <w:rPr/>
        <w:t>十一、监事会、独立董事（如适用）对会计师事务所本报告期“非标准审计报告”的说明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二、处罚及整改情况 " w:id="86"/>
      <w:bookmarkEnd w:id="86"/>
      <w:r>
        <w:rPr>
          <w:b w:val="0"/>
          <w:bCs w:val="0"/>
        </w:rPr>
      </w: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909"/>
        <w:jc w:val="left"/>
      </w:pPr>
      <w:r>
        <w:rPr/>
        <w:t>□ 适用 √ 不适用</w:t>
      </w:r>
      <w:r>
        <w:rPr>
          <w:w w:val="100"/>
        </w:rPr>
        <w:t> </w:t>
      </w:r>
      <w:r>
        <w:rPr>
          <w:spacing w:val="-1"/>
        </w:rPr>
        <w:t>公司报告期不存在处罚及整改情况。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三、年度报告披露后面临暂停上市和终止上市情况 " w:id="87"/>
      <w:bookmarkEnd w:id="87"/>
      <w:r>
        <w:rPr>
          <w:b w:val="0"/>
          <w:bCs w:val="0"/>
        </w:rPr>
      </w:r>
      <w:r>
        <w:rPr/>
        <w:t>十三、年度报告披露后面临暂停上市和终止上市情况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after="0" w:line="240" w:lineRule="auto"/>
        <w:jc w:val="left"/>
        <w:sectPr>
          <w:pgSz w:w="11910" w:h="16840"/>
          <w:pgMar w:header="745" w:footer="981"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四、其他重大事项的说明 " w:id="88"/>
      <w:bookmarkEnd w:id="88"/>
      <w:r>
        <w:rPr>
          <w:b w:val="0"/>
          <w:bCs w:val="0"/>
        </w:rPr>
      </w: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pStyle w:val="BodyText"/>
        <w:spacing w:line="300" w:lineRule="auto" w:before="115"/>
        <w:ind w:right="0" w:firstLine="439"/>
        <w:jc w:val="left"/>
      </w:pPr>
      <w:r>
        <w:rPr>
          <w:rFonts w:ascii="Times New Roman" w:hAnsi="Times New Roman" w:cs="Times New Roman" w:eastAsia="Times New Roman" w:hint="default"/>
        </w:rPr>
        <w:t>2014</w:t>
      </w:r>
      <w:r>
        <w:rPr/>
        <w:t>年非公开发行股票方案经公司分别于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日召开的第二届董事会第十六次会议和</w:t>
      </w:r>
      <w:r>
        <w:rPr>
          <w:spacing w:val="-6"/>
        </w:rPr>
        <w:t> </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年第三次临时股东大会审议通过。本次非公开发行股票的申请于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24</w:t>
      </w:r>
      <w:r>
        <w:rPr/>
        <w:t>日经中国证监会发行审核委员会审核通过。</w:t>
      </w:r>
      <w:r>
        <w:rPr>
          <w:w w:val="100"/>
        </w:rPr>
        <w:t>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日，中国证监会核发《关于核准山东瑞康医药股份有限公司非公开发行股票的批复》（证监许可【</w:t>
      </w:r>
      <w:r>
        <w:rPr>
          <w:rFonts w:ascii="Times New Roman" w:hAnsi="Times New Roman" w:cs="Times New Roman" w:eastAsia="Times New Roman" w:hint="default"/>
        </w:rPr>
        <w:t>2015</w:t>
      </w:r>
      <w:r>
        <w:rPr/>
        <w:t>】</w:t>
      </w:r>
    </w:p>
    <w:p>
      <w:pPr>
        <w:pStyle w:val="BodyText"/>
        <w:spacing w:line="300" w:lineRule="auto" w:before="13"/>
        <w:ind w:right="0"/>
        <w:jc w:val="left"/>
      </w:pPr>
      <w:r>
        <w:rPr>
          <w:rFonts w:ascii="Times New Roman" w:hAnsi="Times New Roman" w:cs="Times New Roman" w:eastAsia="Times New Roman" w:hint="default"/>
        </w:rPr>
        <w:t>87</w:t>
      </w:r>
      <w:r>
        <w:rPr>
          <w:rFonts w:ascii="Times New Roman" w:hAnsi="Times New Roman" w:cs="Times New Roman" w:eastAsia="Times New Roman" w:hint="default"/>
          <w:spacing w:val="42"/>
        </w:rPr>
        <w:t> </w:t>
      </w:r>
      <w:r>
        <w:rPr>
          <w:spacing w:val="-3"/>
        </w:rPr>
        <w:t>号），核准公司非公开发行不超过</w:t>
      </w:r>
      <w:r>
        <w:rPr>
          <w:spacing w:val="-6"/>
        </w:rPr>
        <w:t> </w:t>
      </w:r>
      <w:r>
        <w:rPr>
          <w:rFonts w:ascii="Times New Roman" w:hAnsi="Times New Roman" w:cs="Times New Roman" w:eastAsia="Times New Roman" w:hint="default"/>
        </w:rPr>
        <w:t>59,376,546</w:t>
      </w:r>
      <w:r>
        <w:rPr>
          <w:rFonts w:ascii="Times New Roman" w:hAnsi="Times New Roman" w:cs="Times New Roman" w:eastAsia="Times New Roman" w:hint="default"/>
          <w:spacing w:val="41"/>
        </w:rPr>
        <w:t> </w:t>
      </w:r>
      <w:r>
        <w:rPr>
          <w:spacing w:val="-3"/>
        </w:rPr>
        <w:t>股新股。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17</w:t>
      </w:r>
      <w:r>
        <w:rPr>
          <w:spacing w:val="-3"/>
        </w:rPr>
        <w:t>日，公司披露了《非公开发行</w:t>
      </w:r>
      <w:r>
        <w:rPr>
          <w:rFonts w:ascii="Times New Roman" w:hAnsi="Times New Roman" w:cs="Times New Roman" w:eastAsia="Times New Roman" w:hint="default"/>
          <w:spacing w:val="-3"/>
        </w:rPr>
        <w:t>A</w:t>
      </w:r>
      <w:r>
        <w:rPr>
          <w:spacing w:val="-3"/>
        </w:rPr>
        <w:t>股股票之发行情况报</w:t>
      </w:r>
      <w:r>
        <w:rPr>
          <w:spacing w:val="-82"/>
        </w:rPr>
        <w:t> </w:t>
      </w:r>
      <w:r>
        <w:rPr>
          <w:spacing w:val="-82"/>
        </w:rPr>
      </w:r>
      <w:r>
        <w:rPr/>
        <w:t>告暨上市公告书》等公告，有关公告请参阅巨潮资讯网。</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0"/>
        <w:jc w:val="left"/>
        <w:rPr>
          <w:b w:val="0"/>
          <w:bCs w:val="0"/>
        </w:rPr>
      </w:pPr>
      <w:bookmarkStart w:name="十五、公司子公司重要事项 " w:id="89"/>
      <w:bookmarkEnd w:id="89"/>
      <w:r>
        <w:rPr>
          <w:b w:val="0"/>
          <w:bCs w:val="0"/>
        </w:rPr>
      </w:r>
      <w:r>
        <w:rPr/>
        <w:t>十五、公司子公司重要事项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十六、公司发行公司债券的情况 " w:id="90"/>
      <w:bookmarkEnd w:id="90"/>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963" w:right="0"/>
        <w:jc w:val="left"/>
        <w:rPr>
          <w:b w:val="0"/>
          <w:bCs w:val="0"/>
        </w:rPr>
      </w:pPr>
      <w:bookmarkStart w:name="第六节 股份变动及股东情况 " w:id="91"/>
      <w:bookmarkEnd w:id="91"/>
      <w:r>
        <w:rPr>
          <w:b w:val="0"/>
          <w:bCs w:val="0"/>
        </w:rPr>
      </w:r>
      <w:bookmarkStart w:name="_bookmark5" w:id="92"/>
      <w:bookmarkEnd w:id="92"/>
      <w:r>
        <w:rPr>
          <w:b w:val="0"/>
          <w:bCs w:val="0"/>
        </w:rPr>
      </w:r>
      <w:r>
        <w:rPr/>
        <w:t>第六节</w:t>
      </w:r>
      <w:r>
        <w:rPr>
          <w:spacing w:val="-1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 w:id="93"/>
      <w:bookmarkEnd w:id="93"/>
      <w:r>
        <w:rPr>
          <w:b w:val="0"/>
          <w:bCs w:val="0"/>
        </w:rPr>
      </w:r>
      <w:r>
        <w:rPr/>
        <w:t>一、股份变动情况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2"/>
        <w:jc w:val="right"/>
      </w:pPr>
      <w:r>
        <w:rPr>
          <w:spacing w:val="-1"/>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2"/>
        <w:gridCol w:w="842"/>
        <w:gridCol w:w="842"/>
        <w:gridCol w:w="842"/>
        <w:gridCol w:w="842"/>
        <w:gridCol w:w="842"/>
        <w:gridCol w:w="845"/>
        <w:gridCol w:w="814"/>
        <w:gridCol w:w="818"/>
      </w:tblGrid>
      <w:tr>
        <w:trPr>
          <w:trHeight w:val="40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0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28" w:right="50"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8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8" w:hRule="exact"/>
        </w:trPr>
        <w:tc>
          <w:tcPr>
            <w:tcW w:w="2021" w:type="dxa"/>
            <w:vMerge/>
            <w:tcBorders>
              <w:left w:val="single" w:sz="4" w:space="0" w:color="000000"/>
              <w:bottom w:val="nil" w:sz="6" w:space="0" w:color="auto"/>
              <w:right w:val="single" w:sz="4" w:space="0" w:color="000000"/>
            </w:tcBorders>
            <w:shd w:val="clear" w:color="auto" w:fill="D3D3D3"/>
          </w:tcPr>
          <w:p>
            <w:pP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3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5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3D3D3"/>
          </w:tcPr>
          <w:p>
            <w:pP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7" w:hRule="exact"/>
        </w:trPr>
        <w:tc>
          <w:tcPr>
            <w:tcW w:w="2021" w:type="dxa"/>
            <w:vMerge w:val="restart"/>
            <w:tcBorders>
              <w:top w:val="nil" w:sz="6" w:space="0" w:color="auto"/>
              <w:left w:val="single" w:sz="4" w:space="0" w:color="000000"/>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818"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2021"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8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67,833,73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100"/>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62.26%</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67,833,73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100"/>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-62,934,51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4,899,222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72,732,95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8</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33.37%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67,833,73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62.26%</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67,833,73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4,899,222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8</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33.37%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0"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19,345,69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100"/>
                <w:sz w:val="18"/>
              </w:rPr>
              <w:t>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17.76%</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19,345,69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100"/>
                <w:sz w:val="18"/>
              </w:rPr>
              <w:t>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-38,691,39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-19,345,69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0"/>
                <w:sz w:val="18"/>
              </w:rPr>
              <w:t>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48,488,03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44.50%</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48,488,03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-24,243,12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72,732,95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8</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33.37%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41,113,86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100"/>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37.83%</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41,113,86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100"/>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62,934,51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104,048,3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145,162,2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42</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66.63%</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2"/>
                <w:sz w:val="18"/>
              </w:rPr>
              <w:t>41,113,86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37.83%</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41,113,86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100"/>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62,934,51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104,048,3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145,162,2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9" w:right="0"/>
              <w:jc w:val="left"/>
              <w:rPr>
                <w:rFonts w:ascii="Times New Roman" w:hAnsi="Times New Roman" w:cs="Times New Roman" w:eastAsia="Times New Roman" w:hint="default"/>
                <w:sz w:val="18"/>
                <w:szCs w:val="18"/>
              </w:rPr>
            </w:pPr>
            <w:r>
              <w:rPr>
                <w:rFonts w:ascii="Times New Roman"/>
                <w:sz w:val="18"/>
              </w:rPr>
              <w:t>66.63%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0"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9" w:space="0" w:color="D3D3D3"/>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108,947,6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108,947,6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108,947,6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217,895,2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00</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3D3D3"/>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9" w:space="0" w:color="D3D3D3"/>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pStyle w:val="BodyText"/>
        <w:spacing w:line="240" w:lineRule="auto" w:before="101"/>
        <w:ind w:left="423" w:right="0"/>
        <w:jc w:val="left"/>
      </w:pPr>
      <w:r>
        <w:rPr>
          <w:rFonts w:ascii="Times New Roman" w:hAnsi="Times New Roman" w:cs="Times New Roman" w:eastAsia="Times New Roman" w:hint="default"/>
        </w:rPr>
        <w:t>1. 2014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11 </w:t>
      </w:r>
      <w:r>
        <w:rPr>
          <w:rFonts w:ascii="Times New Roman" w:hAnsi="Times New Roman" w:cs="Times New Roman" w:eastAsia="Times New Roman" w:hint="default"/>
          <w:spacing w:val="13"/>
        </w:rPr>
        <w:t> </w:t>
      </w:r>
      <w:r>
        <w:rPr>
          <w:spacing w:val="-3"/>
        </w:rPr>
        <w:t>日公司控股股东韩旭、张仁华；发起人股东青岛睿华方略医药咨询服务有限公司持有的限售股份的上</w:t>
      </w:r>
    </w:p>
    <w:p>
      <w:pPr>
        <w:pStyle w:val="BodyText"/>
        <w:spacing w:line="300" w:lineRule="auto" w:before="62"/>
        <w:ind w:right="0"/>
        <w:jc w:val="left"/>
      </w:pPr>
      <w:r>
        <w:rPr/>
        <w:t>市流通，本次解除限售股份的数量为 </w:t>
      </w:r>
      <w:r>
        <w:rPr>
          <w:rFonts w:ascii="Times New Roman" w:hAnsi="Times New Roman" w:cs="Times New Roman" w:eastAsia="Times New Roman" w:hint="default"/>
        </w:rPr>
        <w:t>52,684,336</w:t>
      </w:r>
      <w:r>
        <w:rPr>
          <w:rFonts w:ascii="Times New Roman" w:hAnsi="Times New Roman" w:cs="Times New Roman" w:eastAsia="Times New Roman" w:hint="default"/>
          <w:spacing w:val="-19"/>
        </w:rPr>
        <w:t> </w:t>
      </w:r>
      <w:r>
        <w:rPr/>
        <w:t>股，占公司股份总额的</w:t>
      </w:r>
      <w:r>
        <w:rPr>
          <w:rFonts w:ascii="Times New Roman" w:hAnsi="Times New Roman" w:cs="Times New Roman" w:eastAsia="Times New Roman" w:hint="default"/>
        </w:rPr>
        <w:t>48.36%</w:t>
      </w:r>
      <w:r>
        <w:rPr/>
        <w:t>；韩旭，张仁华作为公司高管上述股份锁定</w:t>
      </w:r>
      <w:r>
        <w:rPr>
          <w:w w:val="100"/>
        </w:rPr>
        <w:t> </w:t>
      </w:r>
      <w:r>
        <w:rPr/>
        <w:t>期满后，每年转让的公司股份不超过其所持有公司股份总数的</w:t>
      </w:r>
      <w:r>
        <w:rPr>
          <w:rFonts w:ascii="Times New Roman" w:hAnsi="Times New Roman" w:cs="Times New Roman" w:eastAsia="Times New Roman" w:hint="default"/>
        </w:rPr>
        <w:t>25%</w:t>
      </w:r>
      <w:r>
        <w:rPr/>
        <w:t>。</w:t>
      </w:r>
    </w:p>
    <w:p>
      <w:pPr>
        <w:pStyle w:val="BodyText"/>
        <w:spacing w:line="300" w:lineRule="auto" w:before="53"/>
        <w:ind w:right="0" w:firstLine="215"/>
        <w:jc w:val="left"/>
      </w:pPr>
      <w:r>
        <w:rPr>
          <w:rFonts w:ascii="Times New Roman" w:hAnsi="Times New Roman" w:cs="Times New Roman" w:eastAsia="Times New Roman" w:hint="default"/>
        </w:rPr>
        <w:t>2. 2014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日，公司召开第二届董事会第十三次会议，以资本公积金向全体股东每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rFonts w:ascii="Times New Roman" w:hAnsi="Times New Roman" w:cs="Times New Roman" w:eastAsia="Times New Roman" w:hint="default"/>
          <w:w w:val="100"/>
        </w:rPr>
        <w:t> </w:t>
      </w:r>
      <w:r>
        <w:rPr/>
        <w:t>日，公司召开</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年度利润分配的议案》。并于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日执行完毕。</w:t>
      </w:r>
    </w:p>
    <w:p>
      <w:pPr>
        <w:pStyle w:val="BodyText"/>
        <w:spacing w:line="240" w:lineRule="auto" w:before="13"/>
        <w:ind w:left="423" w:right="0"/>
        <w:jc w:val="left"/>
      </w:pPr>
      <w:r>
        <w:rPr>
          <w:rFonts w:ascii="Times New Roman" w:hAnsi="Times New Roman" w:cs="Times New Roman" w:eastAsia="Times New Roman" w:hint="default"/>
        </w:rPr>
        <w:t>3.2013</w:t>
      </w:r>
      <w:r>
        <w:rPr/>
        <w:t>年非公开发行</w:t>
      </w:r>
      <w:r>
        <w:rPr>
          <w:rFonts w:ascii="Times New Roman" w:hAnsi="Times New Roman" w:cs="Times New Roman" w:eastAsia="Times New Roman" w:hint="default"/>
        </w:rPr>
        <w:t>1,514.76  </w:t>
      </w:r>
      <w:r>
        <w:rPr>
          <w:spacing w:val="-4"/>
        </w:rPr>
        <w:t>万股，于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7</w:t>
      </w:r>
      <w:r>
        <w:rPr>
          <w:spacing w:val="-4"/>
        </w:rPr>
        <w:t>日在深圳证券交易所上市，该部分股份自</w:t>
      </w:r>
      <w:r>
        <w:rPr>
          <w:spacing w:val="-3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日起解除限售。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BodyText"/>
        <w:spacing w:line="240" w:lineRule="auto"/>
        <w:ind w:right="0"/>
        <w:jc w:val="left"/>
      </w:pPr>
      <w:r>
        <w:rPr/>
        <w:t>股份变动的批准情况</w:t>
      </w:r>
    </w:p>
    <w:p>
      <w:pPr>
        <w:pStyle w:val="BodyText"/>
        <w:spacing w:line="340" w:lineRule="auto" w:before="117"/>
        <w:ind w:right="82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t>股份变动的过户情况</w:t>
      </w:r>
    </w:p>
    <w:p>
      <w:pPr>
        <w:pStyle w:val="BodyText"/>
        <w:spacing w:line="3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spacing w:val="-1"/>
        </w:rPr>
        <w:t>股份变动对最近一年和最近一期基本每股收益和稀释每股收益、归属于公司普通股股东的每股净资产等财务指标的影响</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after="0" w:line="240" w:lineRule="auto"/>
        <w:jc w:val="left"/>
        <w:sectPr>
          <w:footerReference w:type="default" r:id="rId16"/>
          <w:pgSz w:w="11910" w:h="16840"/>
          <w:pgMar w:footer="981" w:header="745" w:top="1060" w:bottom="1180" w:left="980" w:right="920"/>
          <w:pgNumType w:start="40"/>
        </w:sectPr>
      </w:pPr>
    </w:p>
    <w:p>
      <w:pPr>
        <w:spacing w:line="240" w:lineRule="auto" w:before="9"/>
        <w:rPr>
          <w:rFonts w:ascii="宋体" w:hAnsi="宋体" w:cs="宋体" w:eastAsia="宋体" w:hint="default"/>
          <w:sz w:val="25"/>
          <w:szCs w:val="25"/>
        </w:rPr>
      </w:pPr>
    </w:p>
    <w:p>
      <w:pPr>
        <w:pStyle w:val="BodyText"/>
        <w:spacing w:line="300" w:lineRule="auto" w:before="44"/>
        <w:ind w:right="0" w:firstLine="359"/>
        <w:jc w:val="left"/>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spacing w:val="-3"/>
        </w:rPr>
        <w:t>日，公司召开第二届董事会第十三次会议，以资本公积金向全体股东每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spacing w:val="-4"/>
        </w:rPr>
        <w:t>股。</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16</w:t>
      </w:r>
      <w:r>
        <w:rPr>
          <w:spacing w:val="-4"/>
        </w:rPr>
        <w:t>日，</w:t>
      </w:r>
      <w:r>
        <w:rPr>
          <w:w w:val="100"/>
        </w:rPr>
        <w:t> </w:t>
      </w:r>
      <w:r>
        <w:rPr/>
        <w:t>公司召开</w:t>
      </w:r>
      <w:r>
        <w:rPr>
          <w:rFonts w:ascii="Times New Roman" w:hAnsi="Times New Roman" w:cs="Times New Roman" w:eastAsia="Times New Roman" w:hint="default"/>
        </w:rPr>
        <w:t>2013</w:t>
      </w:r>
      <w:r>
        <w:rPr/>
        <w:t>年度股东大会，审议通过《</w:t>
      </w:r>
      <w:r>
        <w:rPr>
          <w:rFonts w:ascii="Times New Roman" w:hAnsi="Times New Roman" w:cs="Times New Roman" w:eastAsia="Times New Roman" w:hint="default"/>
        </w:rPr>
        <w:t>2013</w:t>
      </w:r>
      <w:r>
        <w:rPr/>
        <w:t>年度利润分配的议案》，并于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日执行完毕。此次变动导致上年每</w:t>
      </w:r>
      <w:r>
        <w:rPr>
          <w:w w:val="100"/>
        </w:rPr>
        <w:t> </w:t>
      </w:r>
      <w:r>
        <w:rPr/>
        <w:t>股收益由</w:t>
      </w:r>
      <w:r>
        <w:rPr>
          <w:rFonts w:ascii="Times New Roman" w:hAnsi="Times New Roman" w:cs="Times New Roman" w:eastAsia="Times New Roman" w:hint="default"/>
        </w:rPr>
        <w:t>1.49</w:t>
      </w:r>
      <w:r>
        <w:rPr/>
        <w:t>元变为</w:t>
      </w:r>
      <w:r>
        <w:rPr>
          <w:rFonts w:ascii="Times New Roman" w:hAnsi="Times New Roman" w:cs="Times New Roman" w:eastAsia="Times New Roman" w:hint="default"/>
        </w:rPr>
        <w:t>0.75</w:t>
      </w:r>
      <w:r>
        <w:rPr/>
        <w:t>元，上年归属于公司普通股东的每股净资产由</w:t>
      </w:r>
      <w:r>
        <w:rPr>
          <w:rFonts w:ascii="Times New Roman" w:hAnsi="Times New Roman" w:cs="Times New Roman" w:eastAsia="Times New Roman" w:hint="default"/>
        </w:rPr>
        <w:t>14.98</w:t>
      </w:r>
      <w:r>
        <w:rPr/>
        <w:t>元变为</w:t>
      </w:r>
      <w:r>
        <w:rPr>
          <w:rFonts w:ascii="Times New Roman" w:hAnsi="Times New Roman" w:cs="Times New Roman" w:eastAsia="Times New Roman" w:hint="default"/>
        </w:rPr>
        <w:t>7.49</w:t>
      </w:r>
      <w:r>
        <w:rPr/>
        <w:t>元。</w:t>
      </w:r>
    </w:p>
    <w:p>
      <w:pPr>
        <w:pStyle w:val="BodyText"/>
        <w:spacing w:line="240" w:lineRule="auto" w:before="53"/>
        <w:ind w:right="0"/>
        <w:jc w:val="left"/>
      </w:pPr>
      <w:r>
        <w:rPr/>
        <w:t>公司认为必要或证券监管机构要求披露的其他内容</w:t>
      </w:r>
    </w:p>
    <w:p>
      <w:pPr>
        <w:pStyle w:val="BodyText"/>
        <w:spacing w:line="240" w:lineRule="auto" w:before="114"/>
        <w:ind w:right="0"/>
        <w:jc w:val="left"/>
      </w:pPr>
      <w:r>
        <w:rPr/>
        <w:t>□ 适用 √</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二、证券发行与上市情况 " w:id="94"/>
      <w:bookmarkEnd w:id="94"/>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末近三年历次证券发行情况 " w:id="95"/>
      <w:bookmarkEnd w:id="95"/>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6"/>
        <w:gridCol w:w="1366"/>
        <w:gridCol w:w="1368"/>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0" w:right="45" w:hanging="360"/>
              <w:jc w:val="left"/>
              <w:rPr>
                <w:rFonts w:ascii="宋体" w:hAnsi="宋体" w:cs="宋体" w:eastAsia="宋体" w:hint="default"/>
                <w:sz w:val="18"/>
                <w:szCs w:val="18"/>
              </w:rPr>
            </w:pPr>
            <w:r>
              <w:rPr>
                <w:rFonts w:ascii="宋体" w:hAnsi="宋体" w:cs="宋体" w:eastAsia="宋体" w:hint="default"/>
                <w:sz w:val="18"/>
                <w:szCs w:val="18"/>
              </w:rPr>
              <w:t>股票及其衍生证</w:t>
            </w:r>
            <w:r>
              <w:rPr>
                <w:rFonts w:ascii="宋体" w:hAnsi="宋体" w:cs="宋体" w:eastAsia="宋体" w:hint="default"/>
                <w:w w:val="100"/>
                <w:sz w:val="18"/>
                <w:szCs w:val="18"/>
              </w:rPr>
              <w:t> </w:t>
            </w:r>
            <w:r>
              <w:rPr>
                <w:rFonts w:ascii="宋体" w:hAnsi="宋体" w:cs="宋体" w:eastAsia="宋体" w:hint="default"/>
                <w:sz w:val="18"/>
                <w:szCs w:val="18"/>
              </w:rPr>
              <w:t>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99" w:right="45" w:hanging="452"/>
              <w:jc w:val="left"/>
              <w:rPr>
                <w:rFonts w:ascii="宋体" w:hAnsi="宋体" w:cs="宋体" w:eastAsia="宋体" w:hint="default"/>
                <w:sz w:val="18"/>
                <w:szCs w:val="18"/>
              </w:rPr>
            </w:pPr>
            <w:r>
              <w:rPr>
                <w:rFonts w:ascii="宋体" w:hAnsi="宋体" w:cs="宋体" w:eastAsia="宋体" w:hint="default"/>
                <w:sz w:val="18"/>
                <w:szCs w:val="18"/>
              </w:rPr>
              <w:t>发行价格（或利</w:t>
            </w:r>
            <w:r>
              <w:rPr>
                <w:rFonts w:ascii="宋体" w:hAnsi="宋体" w:cs="宋体" w:eastAsia="宋体" w:hint="default"/>
                <w:w w:val="100"/>
                <w:sz w:val="18"/>
                <w:szCs w:val="18"/>
              </w:rPr>
              <w:t> </w:t>
            </w:r>
            <w:r>
              <w:rPr>
                <w:rFonts w:ascii="宋体" w:hAnsi="宋体" w:cs="宋体" w:eastAsia="宋体" w:hint="default"/>
                <w:sz w:val="18"/>
                <w:szCs w:val="18"/>
              </w:rPr>
              <w:t>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87" w:right="45" w:hanging="540"/>
              <w:jc w:val="left"/>
              <w:rPr>
                <w:rFonts w:ascii="宋体" w:hAnsi="宋体" w:cs="宋体" w:eastAsia="宋体" w:hint="default"/>
                <w:sz w:val="18"/>
                <w:szCs w:val="18"/>
              </w:rPr>
            </w:pPr>
            <w:r>
              <w:rPr>
                <w:rFonts w:ascii="宋体" w:hAnsi="宋体" w:cs="宋体" w:eastAsia="宋体" w:hint="default"/>
                <w:sz w:val="18"/>
                <w:szCs w:val="18"/>
              </w:rPr>
              <w:t>获准上市交易数</w:t>
            </w:r>
            <w:r>
              <w:rPr>
                <w:rFonts w:ascii="宋体" w:hAnsi="宋体" w:cs="宋体" w:eastAsia="宋体" w:hint="default"/>
                <w:w w:val="100"/>
                <w:sz w:val="18"/>
                <w:szCs w:val="18"/>
              </w:rPr>
              <w:t> </w:t>
            </w:r>
            <w:r>
              <w:rPr>
                <w:rFonts w:ascii="宋体" w:hAnsi="宋体" w:cs="宋体" w:eastAsia="宋体" w:hint="default"/>
                <w:sz w:val="18"/>
                <w:szCs w:val="18"/>
              </w:rPr>
              <w:t>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11"/>
                <w:w w:val="100"/>
                <w:sz w:val="18"/>
                <w:szCs w:val="18"/>
              </w:rPr>
              <w:t>人民币普通股（</w:t>
            </w:r>
            <w:r>
              <w:rPr>
                <w:rFonts w:ascii="Times New Roman" w:hAnsi="Times New Roman" w:cs="Times New Roman" w:eastAsia="Times New Roman" w:hint="default"/>
                <w:spacing w:val="-11"/>
                <w:w w:val="100"/>
                <w:sz w:val="18"/>
                <w:szCs w:val="18"/>
              </w:rPr>
              <w:t>A</w:t>
            </w:r>
            <w:r>
              <w:rPr>
                <w:rFonts w:ascii="Times New Roman" w:hAnsi="Times New Roman" w:cs="Times New Roman" w:eastAsia="Times New Roman" w:hint="default"/>
                <w:spacing w:val="-41"/>
                <w:w w:val="100"/>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19,040,000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9"/>
              <w:jc w:val="left"/>
              <w:rPr>
                <w:rFonts w:ascii="宋体" w:hAnsi="宋体" w:cs="宋体" w:eastAsia="宋体" w:hint="default"/>
                <w:sz w:val="18"/>
                <w:szCs w:val="18"/>
              </w:rPr>
            </w:pPr>
            <w:r>
              <w:rPr>
                <w:rFonts w:ascii="宋体" w:hAnsi="宋体" w:cs="宋体" w:eastAsia="宋体" w:hint="default"/>
                <w:spacing w:val="-11"/>
                <w:w w:val="100"/>
                <w:sz w:val="18"/>
                <w:szCs w:val="18"/>
              </w:rPr>
              <w:t>人民币普通股（</w:t>
            </w:r>
            <w:r>
              <w:rPr>
                <w:rFonts w:ascii="Times New Roman" w:hAnsi="Times New Roman" w:cs="Times New Roman" w:eastAsia="Times New Roman" w:hint="default"/>
                <w:spacing w:val="-11"/>
                <w:w w:val="100"/>
                <w:sz w:val="18"/>
                <w:szCs w:val="18"/>
              </w:rPr>
              <w:t>A</w:t>
            </w:r>
            <w:r>
              <w:rPr>
                <w:rFonts w:ascii="Times New Roman" w:hAnsi="Times New Roman" w:cs="Times New Roman" w:eastAsia="Times New Roman" w:hint="default"/>
                <w:spacing w:val="-41"/>
                <w:w w:val="100"/>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15,147,600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15,147,600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240" w:lineRule="auto" w:before="49"/>
        <w:ind w:right="0"/>
        <w:jc w:val="both"/>
      </w:pPr>
      <w:r>
        <w:rPr/>
        <w:t>前三年历次证券发行情况的说明</w:t>
      </w:r>
    </w:p>
    <w:p>
      <w:pPr>
        <w:pStyle w:val="BodyText"/>
        <w:spacing w:line="300" w:lineRule="auto" w:before="117"/>
        <w:ind w:left="572" w:right="0" w:hanging="10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）首次公开发行股票情况</w:t>
      </w:r>
      <w:r>
        <w:rPr>
          <w:rFonts w:ascii="宋体" w:hAnsi="宋体" w:cs="宋体" w:eastAsia="宋体" w:hint="default"/>
          <w:b/>
          <w:bCs/>
          <w:w w:val="99"/>
        </w:rPr>
        <w:t> </w:t>
      </w:r>
      <w:r>
        <w:rPr/>
        <w:t>山东瑞康医药股份有限公司（以下简称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）经中国证券监督管理委员会证监许可</w:t>
      </w:r>
      <w:r>
        <w:rPr>
          <w:rFonts w:ascii="Times New Roman" w:hAnsi="Times New Roman" w:cs="Times New Roman" w:eastAsia="Times New Roman" w:hint="default"/>
        </w:rPr>
        <w:t>[2011]779</w:t>
      </w:r>
      <w:r>
        <w:rPr/>
        <w:t>号文核准，采用网下向</w:t>
      </w:r>
    </w:p>
    <w:p>
      <w:pPr>
        <w:pStyle w:val="BodyText"/>
        <w:spacing w:line="300" w:lineRule="auto" w:before="13"/>
        <w:ind w:right="210"/>
        <w:jc w:val="both"/>
      </w:pPr>
      <w:r>
        <w:rPr>
          <w:spacing w:val="-2"/>
        </w:rPr>
        <w:t>股票配售对象询价配售（以下简称</w:t>
      </w:r>
      <w:r>
        <w:rPr>
          <w:rFonts w:ascii="Times New Roman" w:hAnsi="Times New Roman" w:cs="Times New Roman" w:eastAsia="Times New Roman" w:hint="default"/>
          <w:spacing w:val="-2"/>
        </w:rPr>
        <w:t>“</w:t>
      </w:r>
      <w:r>
        <w:rPr>
          <w:spacing w:val="-2"/>
        </w:rPr>
        <w:t>网下配售</w:t>
      </w:r>
      <w:r>
        <w:rPr>
          <w:rFonts w:ascii="Times New Roman" w:hAnsi="Times New Roman" w:cs="Times New Roman" w:eastAsia="Times New Roman" w:hint="default"/>
          <w:spacing w:val="-2"/>
        </w:rPr>
        <w:t>”</w:t>
      </w:r>
      <w:r>
        <w:rPr>
          <w:spacing w:val="-2"/>
        </w:rPr>
        <w:t>）与网上向社会公众投资者定价发行（以下简称</w:t>
      </w:r>
      <w:r>
        <w:rPr>
          <w:rFonts w:ascii="Times New Roman" w:hAnsi="Times New Roman" w:cs="Times New Roman" w:eastAsia="Times New Roman" w:hint="default"/>
          <w:spacing w:val="-2"/>
        </w:rPr>
        <w:t>“</w:t>
      </w:r>
      <w:r>
        <w:rPr>
          <w:spacing w:val="-2"/>
        </w:rPr>
        <w:t>网上发行</w:t>
      </w:r>
      <w:r>
        <w:rPr>
          <w:rFonts w:ascii="Times New Roman" w:hAnsi="Times New Roman" w:cs="Times New Roman" w:eastAsia="Times New Roman" w:hint="default"/>
          <w:spacing w:val="-2"/>
        </w:rPr>
        <w:t>”</w:t>
      </w:r>
      <w:r>
        <w:rPr>
          <w:spacing w:val="-2"/>
        </w:rPr>
        <w:t>）相结合的方式首</w:t>
      </w:r>
      <w:r>
        <w:rPr>
          <w:spacing w:val="-58"/>
        </w:rPr>
        <w:t> </w:t>
      </w:r>
      <w:r>
        <w:rPr>
          <w:spacing w:val="-58"/>
        </w:rPr>
      </w:r>
      <w:r>
        <w:rPr>
          <w:spacing w:val="-3"/>
        </w:rPr>
        <w:t>次向社会公开发行人民币普通股股票</w:t>
      </w:r>
      <w:r>
        <w:rPr>
          <w:rFonts w:ascii="Times New Roman" w:hAnsi="Times New Roman" w:cs="Times New Roman" w:eastAsia="Times New Roman" w:hint="default"/>
          <w:spacing w:val="-3"/>
        </w:rPr>
        <w:t>2,380</w:t>
      </w:r>
      <w:r>
        <w:rPr>
          <w:spacing w:val="-3"/>
        </w:rPr>
        <w:t>万股，每股面值</w:t>
      </w:r>
      <w:r>
        <w:rPr>
          <w:rFonts w:ascii="Times New Roman" w:hAnsi="Times New Roman" w:cs="Times New Roman" w:eastAsia="Times New Roman" w:hint="default"/>
          <w:spacing w:val="-3"/>
        </w:rPr>
        <w:t>1.00</w:t>
      </w:r>
      <w:r>
        <w:rPr>
          <w:spacing w:val="-3"/>
        </w:rPr>
        <w:t>元，发行价格为人民币</w:t>
      </w:r>
      <w:r>
        <w:rPr>
          <w:rFonts w:ascii="Times New Roman" w:hAnsi="Times New Roman" w:cs="Times New Roman" w:eastAsia="Times New Roman" w:hint="default"/>
          <w:spacing w:val="-3"/>
        </w:rPr>
        <w:t>20.00</w:t>
      </w:r>
      <w:r>
        <w:rPr>
          <w:spacing w:val="-3"/>
        </w:rPr>
        <w:t>元</w:t>
      </w:r>
      <w:r>
        <w:rPr>
          <w:rFonts w:ascii="Times New Roman" w:hAnsi="Times New Roman" w:cs="Times New Roman" w:eastAsia="Times New Roman" w:hint="default"/>
          <w:spacing w:val="-3"/>
        </w:rPr>
        <w:t>/</w:t>
      </w:r>
      <w:r>
        <w:rPr>
          <w:spacing w:val="-3"/>
        </w:rPr>
        <w:t>股，其中网下配售</w:t>
      </w:r>
      <w:r>
        <w:rPr>
          <w:rFonts w:ascii="Times New Roman" w:hAnsi="Times New Roman" w:cs="Times New Roman" w:eastAsia="Times New Roman" w:hint="default"/>
          <w:spacing w:val="-3"/>
        </w:rPr>
        <w:t>476</w:t>
      </w:r>
      <w:r>
        <w:rPr>
          <w:spacing w:val="-3"/>
        </w:rPr>
        <w:t>万股，网</w:t>
      </w:r>
      <w:r>
        <w:rPr>
          <w:spacing w:val="-23"/>
        </w:rPr>
        <w:t> </w:t>
      </w:r>
      <w:r>
        <w:rPr>
          <w:spacing w:val="-23"/>
        </w:rPr>
      </w:r>
      <w:r>
        <w:rPr>
          <w:spacing w:val="5"/>
        </w:rPr>
        <w:t>上发行</w:t>
      </w:r>
      <w:r>
        <w:rPr>
          <w:rFonts w:ascii="Times New Roman" w:hAnsi="Times New Roman" w:cs="Times New Roman" w:eastAsia="Times New Roman" w:hint="default"/>
          <w:spacing w:val="5"/>
        </w:rPr>
        <w:t>1,904</w:t>
      </w:r>
      <w:r>
        <w:rPr>
          <w:spacing w:val="5"/>
        </w:rPr>
        <w:t>万股。募集资金总额人民币</w:t>
      </w:r>
      <w:r>
        <w:rPr>
          <w:rFonts w:ascii="Times New Roman" w:hAnsi="Times New Roman" w:cs="Times New Roman" w:eastAsia="Times New Roman" w:hint="default"/>
          <w:spacing w:val="5"/>
        </w:rPr>
        <w:t>476,000,000.00 </w:t>
      </w:r>
      <w:r>
        <w:rPr>
          <w:spacing w:val="7"/>
        </w:rPr>
        <w:t>元，扣除发行费用人民币</w:t>
      </w:r>
      <w:r>
        <w:rPr>
          <w:rFonts w:ascii="Times New Roman" w:hAnsi="Times New Roman" w:cs="Times New Roman" w:eastAsia="Times New Roman" w:hint="default"/>
          <w:spacing w:val="7"/>
        </w:rPr>
        <w:t>40,906,662.66</w:t>
      </w:r>
      <w:r>
        <w:rPr>
          <w:spacing w:val="7"/>
        </w:rPr>
        <w:t>元，实际募集资金净额</w:t>
      </w:r>
      <w:r>
        <w:rPr>
          <w:spacing w:val="-83"/>
        </w:rPr>
        <w:t> </w:t>
      </w:r>
      <w:r>
        <w:rPr>
          <w:spacing w:val="-83"/>
        </w:rPr>
      </w:r>
      <w:r>
        <w:rPr>
          <w:rFonts w:ascii="Times New Roman" w:hAnsi="Times New Roman" w:cs="Times New Roman" w:eastAsia="Times New Roman" w:hint="default"/>
        </w:rPr>
        <w:t>435,093,337.34</w:t>
      </w:r>
      <w:r>
        <w:rPr/>
        <w:t>元。公司发行的人民币普通股股票于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日在深圳证券交易所中小板上市。</w:t>
      </w:r>
    </w:p>
    <w:p>
      <w:pPr>
        <w:pStyle w:val="BodyText"/>
        <w:spacing w:line="316" w:lineRule="auto" w:before="13"/>
        <w:ind w:right="0" w:firstLine="371"/>
        <w:jc w:val="left"/>
      </w:pPr>
      <w:r>
        <w:rPr/>
        <w:t>根据《证券发行与承销管理办法》的有关规定，网下配售的股票自公司网上发行的股票在深圳证券交易所上市交易之</w:t>
      </w:r>
      <w:r>
        <w:rPr>
          <w:w w:val="100"/>
        </w:rPr>
        <w:t> </w:t>
      </w:r>
      <w:r>
        <w:rPr/>
        <w:t>日（即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日）起锁定三个月后于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日起上市流通。</w:t>
      </w:r>
    </w:p>
    <w:p>
      <w:pPr>
        <w:pStyle w:val="BodyText"/>
        <w:spacing w:line="340" w:lineRule="auto"/>
        <w:ind w:left="531" w:right="0" w:hanging="63"/>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）非公开发行股票情况</w:t>
      </w:r>
      <w:r>
        <w:rPr>
          <w:rFonts w:ascii="宋体" w:hAnsi="宋体" w:cs="宋体" w:eastAsia="宋体" w:hint="default"/>
          <w:b/>
          <w:bCs/>
          <w:w w:val="99"/>
        </w:rPr>
        <w:t> </w:t>
      </w:r>
      <w:r>
        <w:rPr>
          <w:spacing w:val="-2"/>
        </w:rPr>
        <w:t>经中国证监会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[2013]866</w:t>
      </w:r>
      <w:r>
        <w:rPr>
          <w:spacing w:val="-2"/>
        </w:rPr>
        <w:t>号</w:t>
      </w:r>
      <w:r>
        <w:rPr>
          <w:rFonts w:ascii="Times New Roman" w:hAnsi="Times New Roman" w:cs="Times New Roman" w:eastAsia="Times New Roman" w:hint="default"/>
          <w:spacing w:val="-2"/>
        </w:rPr>
        <w:t>”</w:t>
      </w:r>
      <w:r>
        <w:rPr>
          <w:spacing w:val="-2"/>
        </w:rPr>
        <w:t>文核准公司向特定投资者非公开发行</w:t>
      </w:r>
      <w:r>
        <w:rPr>
          <w:rFonts w:ascii="Times New Roman" w:hAnsi="Times New Roman" w:cs="Times New Roman" w:eastAsia="Times New Roman" w:hint="default"/>
          <w:spacing w:val="-2"/>
        </w:rPr>
        <w:t>A</w:t>
      </w:r>
      <w:r>
        <w:rPr>
          <w:spacing w:val="-2"/>
        </w:rPr>
        <w:t>股股票，本次发行的发行价格为</w:t>
      </w:r>
      <w:r>
        <w:rPr>
          <w:rFonts w:ascii="Times New Roman" w:hAnsi="Times New Roman" w:cs="Times New Roman" w:eastAsia="Times New Roman" w:hint="default"/>
          <w:spacing w:val="-2"/>
        </w:rPr>
        <w:t>39.61</w:t>
      </w:r>
      <w:r>
        <w:rPr>
          <w:spacing w:val="-2"/>
        </w:rPr>
        <w:t>元</w:t>
      </w:r>
      <w:r>
        <w:rPr>
          <w:rFonts w:ascii="Times New Roman" w:hAnsi="Times New Roman" w:cs="Times New Roman" w:eastAsia="Times New Roman" w:hint="default"/>
          <w:spacing w:val="-2"/>
        </w:rPr>
        <w:t>/</w:t>
      </w:r>
      <w:r>
        <w:rPr>
          <w:spacing w:val="-2"/>
        </w:rPr>
        <w:t>股，</w:t>
      </w:r>
    </w:p>
    <w:p>
      <w:pPr>
        <w:pStyle w:val="BodyText"/>
        <w:spacing w:line="226" w:lineRule="exact"/>
        <w:ind w:right="0"/>
        <w:jc w:val="both"/>
        <w:rPr>
          <w:rFonts w:ascii="Times New Roman" w:hAnsi="Times New Roman" w:cs="Times New Roman" w:eastAsia="Times New Roman" w:hint="default"/>
        </w:rPr>
      </w:pPr>
      <w:r>
        <w:rPr/>
        <w:t>新增</w:t>
      </w:r>
      <w:r>
        <w:rPr>
          <w:rFonts w:ascii="Times New Roman" w:hAnsi="Times New Roman" w:cs="Times New Roman" w:eastAsia="Times New Roman" w:hint="default"/>
        </w:rPr>
        <w:t>1,514.76  </w:t>
      </w:r>
      <w:r>
        <w:rPr>
          <w:rFonts w:ascii="Times New Roman" w:hAnsi="Times New Roman" w:cs="Times New Roman" w:eastAsia="Times New Roman" w:hint="default"/>
          <w:spacing w:val="32"/>
        </w:rPr>
        <w:t> </w:t>
      </w:r>
      <w:r>
        <w:rPr/>
        <w:t>万股，本次募集资金总</w:t>
      </w:r>
      <w:r>
        <w:rPr>
          <w:rFonts w:ascii="Times New Roman" w:hAnsi="Times New Roman" w:cs="Times New Roman" w:eastAsia="Times New Roman" w:hint="default"/>
        </w:rPr>
        <w:t>599,996,436</w:t>
      </w:r>
      <w:r>
        <w:rPr/>
        <w:t>元人民币，扣除发行费用</w:t>
      </w:r>
      <w:r>
        <w:rPr>
          <w:rFonts w:ascii="Times New Roman" w:hAnsi="Times New Roman" w:cs="Times New Roman" w:eastAsia="Times New Roman" w:hint="default"/>
        </w:rPr>
        <w:t>17,015,705.51</w:t>
      </w:r>
      <w:r>
        <w:rPr/>
        <w:t>元，募集资金净额为</w:t>
      </w:r>
      <w:r>
        <w:rPr>
          <w:rFonts w:ascii="Times New Roman" w:hAnsi="Times New Roman" w:cs="Times New Roman" w:eastAsia="Times New Roman" w:hint="default"/>
        </w:rPr>
        <w:t>582,980,730.49</w:t>
      </w:r>
    </w:p>
    <w:p>
      <w:pPr>
        <w:pStyle w:val="BodyText"/>
        <w:spacing w:line="240" w:lineRule="auto" w:before="63"/>
        <w:ind w:right="0"/>
        <w:jc w:val="both"/>
      </w:pPr>
      <w:r>
        <w:rPr/>
        <w:t>元。新增股份</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日在深圳证券交易所上市。本次发行的股份自股票上市之日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日起</w:t>
      </w:r>
      <w:r>
        <w:rPr>
          <w:rFonts w:ascii="Times New Roman" w:hAnsi="Times New Roman" w:cs="Times New Roman" w:eastAsia="Times New Roman" w:hint="default"/>
        </w:rPr>
        <w:t>12</w:t>
      </w:r>
      <w:r>
        <w:rPr/>
        <w:t>个月内不得转让。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0"/>
        <w:jc w:val="both"/>
        <w:rPr>
          <w:b w:val="0"/>
          <w:bCs w:val="0"/>
        </w:rPr>
      </w:pPr>
      <w:bookmarkStart w:name="2、公司股份总数及股东结构的变动、公司资产和负债结构的变动情况说明 " w:id="96"/>
      <w:bookmarkEnd w:id="9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527"/>
        <w:jc w:val="left"/>
      </w:pPr>
      <w:r>
        <w:rPr/>
        <w:t>√ 适用 □ 不适用</w:t>
      </w:r>
      <w:r>
        <w:rPr>
          <w:w w:val="100"/>
        </w:rPr>
        <w:t> </w:t>
      </w:r>
      <w:r>
        <w:rPr>
          <w:spacing w:val="-1"/>
        </w:rPr>
        <w:t>参见本节一</w:t>
      </w:r>
      <w:r>
        <w:rPr>
          <w:rFonts w:ascii="Times New Roman" w:hAnsi="Times New Roman" w:cs="Times New Roman" w:eastAsia="Times New Roman" w:hint="default"/>
          <w:spacing w:val="-1"/>
        </w:rPr>
        <w:t>“</w:t>
      </w:r>
      <w:r>
        <w:rPr>
          <w:spacing w:val="-1"/>
        </w:rPr>
        <w:t>股份变动情况</w:t>
      </w:r>
      <w:r>
        <w:rPr>
          <w:rFonts w:ascii="Times New Roman" w:hAnsi="Times New Roman" w:cs="Times New Roman" w:eastAsia="Times New Roman" w:hint="default"/>
          <w:spacing w:val="-1"/>
        </w:rPr>
        <w:t>”</w:t>
      </w:r>
      <w:r>
        <w:rPr>
          <w:spacing w:val="-1"/>
        </w:rPr>
        <w:t>。</w:t>
      </w:r>
    </w:p>
    <w:p>
      <w:pPr>
        <w:spacing w:after="0" w:line="360" w:lineRule="auto"/>
        <w:jc w:val="left"/>
        <w:sectPr>
          <w:pgSz w:w="11910" w:h="16840"/>
          <w:pgMar w:header="745" w:footer="981"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现存的内部职工股情况 " w:id="97"/>
      <w:bookmarkEnd w:id="9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三、股东和实际控制人情况 " w:id="98"/>
      <w:bookmarkEnd w:id="98"/>
      <w:r>
        <w:rPr/>
      </w: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 w:id="99"/>
      <w:bookmarkEnd w:id="9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3"/>
        <w:gridCol w:w="233"/>
        <w:gridCol w:w="1133"/>
        <w:gridCol w:w="474"/>
        <w:gridCol w:w="390"/>
        <w:gridCol w:w="797"/>
        <w:gridCol w:w="383"/>
        <w:gridCol w:w="414"/>
        <w:gridCol w:w="797"/>
        <w:gridCol w:w="407"/>
        <w:gridCol w:w="445"/>
        <w:gridCol w:w="1127"/>
        <w:gridCol w:w="241"/>
        <w:gridCol w:w="1366"/>
      </w:tblGrid>
      <w:tr>
        <w:trPr>
          <w:trHeight w:val="161" w:hRule="exact"/>
        </w:trPr>
        <w:tc>
          <w:tcPr>
            <w:tcW w:w="1596" w:type="dxa"/>
            <w:gridSpan w:val="2"/>
            <w:vMerge w:val="restart"/>
            <w:tcBorders>
              <w:top w:val="single" w:sz="4" w:space="0" w:color="000000"/>
              <w:left w:val="single" w:sz="4" w:space="0" w:color="000000"/>
              <w:right w:val="single" w:sz="4" w:space="0" w:color="000000"/>
            </w:tcBorders>
            <w:shd w:val="clear" w:color="auto" w:fill="D3D3D3"/>
          </w:tcPr>
          <w:p>
            <w:pPr/>
          </w:p>
        </w:tc>
        <w:tc>
          <w:tcPr>
            <w:tcW w:w="1607"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7,332</w:t>
            </w:r>
          </w:p>
        </w:tc>
        <w:tc>
          <w:tcPr>
            <w:tcW w:w="1570"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618" w:type="dxa"/>
            <w:gridSpan w:val="3"/>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4,755</w:t>
            </w:r>
          </w:p>
        </w:tc>
        <w:tc>
          <w:tcPr>
            <w:tcW w:w="157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0" w:right="20"/>
              <w:jc w:val="left"/>
              <w:rPr>
                <w:rFonts w:ascii="宋体" w:hAnsi="宋体" w:cs="宋体" w:eastAsia="宋体" w:hint="default"/>
                <w:sz w:val="18"/>
                <w:szCs w:val="18"/>
              </w:rPr>
            </w:pPr>
            <w:r>
              <w:rPr>
                <w:rFonts w:ascii="宋体" w:hAnsi="宋体" w:cs="宋体" w:eastAsia="宋体" w:hint="default"/>
                <w:sz w:val="18"/>
                <w:szCs w:val="18"/>
              </w:rPr>
              <w:t>报告期末表决权恢</w:t>
            </w:r>
            <w:r>
              <w:rPr>
                <w:rFonts w:ascii="宋体" w:hAnsi="宋体" w:cs="宋体" w:eastAsia="宋体" w:hint="default"/>
                <w:w w:val="100"/>
                <w:sz w:val="18"/>
                <w:szCs w:val="18"/>
              </w:rPr>
              <w:t> </w:t>
            </w:r>
            <w:r>
              <w:rPr>
                <w:rFonts w:ascii="宋体" w:hAnsi="宋体" w:cs="宋体" w:eastAsia="宋体" w:hint="default"/>
                <w:sz w:val="18"/>
                <w:szCs w:val="18"/>
              </w:rPr>
              <w:t>复的优先股股东总</w:t>
            </w:r>
            <w:r>
              <w:rPr>
                <w:rFonts w:ascii="宋体" w:hAnsi="宋体" w:cs="宋体" w:eastAsia="宋体" w:hint="default"/>
                <w:w w:val="100"/>
                <w:sz w:val="18"/>
                <w:szCs w:val="18"/>
              </w:rPr>
              <w:t> </w:t>
            </w:r>
            <w:r>
              <w:rPr>
                <w:rFonts w:ascii="宋体" w:hAnsi="宋体" w:cs="宋体" w:eastAsia="宋体" w:hint="default"/>
                <w:spacing w:val="-11"/>
                <w:w w:val="100"/>
                <w:sz w:val="18"/>
                <w:szCs w:val="18"/>
              </w:rPr>
              <w:t>数（如有）（参见注</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100"/>
                <w:sz w:val="18"/>
              </w:rPr>
              <w:t>0</w:t>
            </w:r>
          </w:p>
        </w:tc>
      </w:tr>
      <w:tr>
        <w:trPr>
          <w:trHeight w:val="156" w:hRule="exact"/>
        </w:trPr>
        <w:tc>
          <w:tcPr>
            <w:tcW w:w="1596" w:type="dxa"/>
            <w:gridSpan w:val="2"/>
            <w:vMerge/>
            <w:tcBorders>
              <w:left w:val="single" w:sz="4" w:space="0" w:color="000000"/>
              <w:bottom w:val="nil" w:sz="6" w:space="0" w:color="auto"/>
              <w:right w:val="single" w:sz="4" w:space="0" w:color="000000"/>
            </w:tcBorders>
            <w:shd w:val="clear" w:color="auto" w:fill="D3D3D3"/>
          </w:tcPr>
          <w:p>
            <w:pPr/>
          </w:p>
        </w:tc>
        <w:tc>
          <w:tcPr>
            <w:tcW w:w="1607" w:type="dxa"/>
            <w:gridSpan w:val="2"/>
            <w:vMerge/>
            <w:tcBorders>
              <w:left w:val="single" w:sz="9" w:space="0" w:color="D3D3D3"/>
              <w:right w:val="single" w:sz="9" w:space="0" w:color="D3D3D3"/>
            </w:tcBorders>
          </w:tcPr>
          <w:p>
            <w:pPr/>
          </w:p>
        </w:tc>
        <w:tc>
          <w:tcPr>
            <w:tcW w:w="1570"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09" w:lineRule="auto" w:before="48"/>
              <w:ind w:left="10" w:right="104"/>
              <w:jc w:val="both"/>
              <w:rPr>
                <w:rFonts w:ascii="宋体" w:hAnsi="宋体" w:cs="宋体" w:eastAsia="宋体" w:hint="default"/>
                <w:sz w:val="18"/>
                <w:szCs w:val="18"/>
              </w:rPr>
            </w:pPr>
            <w:r>
              <w:rPr>
                <w:rFonts w:ascii="宋体" w:hAnsi="宋体" w:cs="宋体" w:eastAsia="宋体" w:hint="default"/>
                <w:sz w:val="18"/>
                <w:szCs w:val="18"/>
              </w:rPr>
              <w:t>年度报告披露日前</w:t>
            </w:r>
            <w:r>
              <w:rPr>
                <w:rFonts w:ascii="宋体" w:hAnsi="宋体" w:cs="宋体" w:eastAsia="宋体" w:hint="default"/>
                <w:w w:val="100"/>
                <w:sz w:val="18"/>
                <w:szCs w:val="18"/>
              </w:rPr>
              <w:t> </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w:t>
            </w:r>
            <w:r>
              <w:rPr>
                <w:rFonts w:ascii="宋体" w:hAnsi="宋体" w:cs="宋体" w:eastAsia="宋体" w:hint="default"/>
                <w:w w:val="100"/>
                <w:sz w:val="18"/>
                <w:szCs w:val="18"/>
              </w:rPr>
              <w:t> </w:t>
            </w:r>
            <w:r>
              <w:rPr>
                <w:rFonts w:ascii="宋体" w:hAnsi="宋体" w:cs="宋体" w:eastAsia="宋体" w:hint="default"/>
                <w:sz w:val="18"/>
                <w:szCs w:val="18"/>
              </w:rPr>
              <w:t>通股股东总数</w:t>
            </w:r>
          </w:p>
        </w:tc>
        <w:tc>
          <w:tcPr>
            <w:tcW w:w="1618" w:type="dxa"/>
            <w:gridSpan w:val="3"/>
            <w:vMerge/>
            <w:tcBorders>
              <w:left w:val="single" w:sz="9" w:space="0" w:color="D3D3D3"/>
              <w:right w:val="single" w:sz="9" w:space="0" w:color="D3D3D3"/>
            </w:tcBorders>
          </w:tcPr>
          <w:p>
            <w:pPr/>
          </w:p>
        </w:tc>
        <w:tc>
          <w:tcPr>
            <w:tcW w:w="1572" w:type="dxa"/>
            <w:gridSpan w:val="2"/>
            <w:vMerge/>
            <w:tcBorders>
              <w:left w:val="single" w:sz="4" w:space="0" w:color="000000"/>
              <w:right w:val="single" w:sz="4" w:space="0" w:color="000000"/>
            </w:tcBorders>
            <w:shd w:val="clear" w:color="auto" w:fill="D3D3D3"/>
          </w:tcPr>
          <w:p>
            <w:pPr/>
          </w:p>
        </w:tc>
        <w:tc>
          <w:tcPr>
            <w:tcW w:w="1607" w:type="dxa"/>
            <w:gridSpan w:val="2"/>
            <w:vMerge/>
            <w:tcBorders>
              <w:left w:val="single" w:sz="9" w:space="0" w:color="D3D3D3"/>
              <w:right w:val="single" w:sz="4" w:space="0" w:color="000000"/>
            </w:tcBorders>
          </w:tcPr>
          <w:p>
            <w:pPr/>
          </w:p>
        </w:tc>
      </w:tr>
      <w:tr>
        <w:trPr>
          <w:trHeight w:val="705" w:hRule="exact"/>
        </w:trPr>
        <w:tc>
          <w:tcPr>
            <w:tcW w:w="1596"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8"/>
              <w:ind w:left="23" w:right="119"/>
              <w:jc w:val="left"/>
              <w:rPr>
                <w:rFonts w:ascii="宋体" w:hAnsi="宋体" w:cs="宋体" w:eastAsia="宋体" w:hint="default"/>
                <w:sz w:val="18"/>
                <w:szCs w:val="18"/>
              </w:rPr>
            </w:pPr>
            <w:r>
              <w:rPr>
                <w:rFonts w:ascii="宋体" w:hAnsi="宋体" w:cs="宋体" w:eastAsia="宋体" w:hint="default"/>
                <w:sz w:val="18"/>
                <w:szCs w:val="18"/>
              </w:rPr>
              <w:t>报告期末普通股股</w:t>
            </w:r>
            <w:r>
              <w:rPr>
                <w:rFonts w:ascii="宋体" w:hAnsi="宋体" w:cs="宋体" w:eastAsia="宋体" w:hint="default"/>
                <w:w w:val="100"/>
                <w:sz w:val="18"/>
                <w:szCs w:val="18"/>
              </w:rPr>
              <w:t> </w:t>
            </w:r>
            <w:r>
              <w:rPr>
                <w:rFonts w:ascii="宋体" w:hAnsi="宋体" w:cs="宋体" w:eastAsia="宋体" w:hint="default"/>
                <w:sz w:val="18"/>
                <w:szCs w:val="18"/>
              </w:rPr>
              <w:t>东总数</w:t>
            </w:r>
          </w:p>
        </w:tc>
        <w:tc>
          <w:tcPr>
            <w:tcW w:w="1607" w:type="dxa"/>
            <w:gridSpan w:val="2"/>
            <w:vMerge/>
            <w:tcBorders>
              <w:left w:val="single" w:sz="9" w:space="0" w:color="D3D3D3"/>
              <w:right w:val="single" w:sz="9" w:space="0" w:color="D3D3D3"/>
            </w:tcBorders>
          </w:tcPr>
          <w:p>
            <w:pPr/>
          </w:p>
        </w:tc>
        <w:tc>
          <w:tcPr>
            <w:tcW w:w="1570" w:type="dxa"/>
            <w:gridSpan w:val="3"/>
            <w:vMerge/>
            <w:tcBorders>
              <w:left w:val="single" w:sz="4" w:space="0" w:color="000000"/>
              <w:right w:val="single" w:sz="4" w:space="0" w:color="000000"/>
            </w:tcBorders>
            <w:shd w:val="clear" w:color="auto" w:fill="D3D3D3"/>
          </w:tcPr>
          <w:p>
            <w:pPr/>
          </w:p>
        </w:tc>
        <w:tc>
          <w:tcPr>
            <w:tcW w:w="1618" w:type="dxa"/>
            <w:gridSpan w:val="3"/>
            <w:vMerge/>
            <w:tcBorders>
              <w:left w:val="single" w:sz="9" w:space="0" w:color="D3D3D3"/>
              <w:right w:val="single" w:sz="9" w:space="0" w:color="D3D3D3"/>
            </w:tcBorders>
          </w:tcPr>
          <w:p>
            <w:pPr/>
          </w:p>
        </w:tc>
        <w:tc>
          <w:tcPr>
            <w:tcW w:w="1572" w:type="dxa"/>
            <w:gridSpan w:val="2"/>
            <w:vMerge/>
            <w:tcBorders>
              <w:left w:val="single" w:sz="4" w:space="0" w:color="000000"/>
              <w:right w:val="single" w:sz="4" w:space="0" w:color="000000"/>
            </w:tcBorders>
            <w:shd w:val="clear" w:color="auto" w:fill="D3D3D3"/>
          </w:tcPr>
          <w:p>
            <w:pPr/>
          </w:p>
        </w:tc>
        <w:tc>
          <w:tcPr>
            <w:tcW w:w="1607" w:type="dxa"/>
            <w:gridSpan w:val="2"/>
            <w:vMerge/>
            <w:tcBorders>
              <w:left w:val="single" w:sz="9" w:space="0" w:color="D3D3D3"/>
              <w:right w:val="single" w:sz="4" w:space="0" w:color="000000"/>
            </w:tcBorders>
          </w:tcPr>
          <w:p>
            <w:pPr/>
          </w:p>
        </w:tc>
      </w:tr>
      <w:tr>
        <w:trPr>
          <w:trHeight w:val="156" w:hRule="exact"/>
        </w:trPr>
        <w:tc>
          <w:tcPr>
            <w:tcW w:w="1596" w:type="dxa"/>
            <w:gridSpan w:val="2"/>
            <w:vMerge w:val="restart"/>
            <w:tcBorders>
              <w:top w:val="nil" w:sz="6" w:space="0" w:color="auto"/>
              <w:left w:val="single" w:sz="4" w:space="0" w:color="000000"/>
              <w:right w:val="single" w:sz="4" w:space="0" w:color="000000"/>
            </w:tcBorders>
            <w:shd w:val="clear" w:color="auto" w:fill="D3D3D3"/>
          </w:tcPr>
          <w:p>
            <w:pPr/>
          </w:p>
        </w:tc>
        <w:tc>
          <w:tcPr>
            <w:tcW w:w="1607" w:type="dxa"/>
            <w:gridSpan w:val="2"/>
            <w:vMerge/>
            <w:tcBorders>
              <w:left w:val="single" w:sz="9" w:space="0" w:color="D3D3D3"/>
              <w:right w:val="single" w:sz="9" w:space="0" w:color="D3D3D3"/>
            </w:tcBorders>
          </w:tcPr>
          <w:p>
            <w:pPr/>
          </w:p>
        </w:tc>
        <w:tc>
          <w:tcPr>
            <w:tcW w:w="1570" w:type="dxa"/>
            <w:gridSpan w:val="3"/>
            <w:vMerge/>
            <w:tcBorders>
              <w:left w:val="single" w:sz="4" w:space="0" w:color="000000"/>
              <w:bottom w:val="nil" w:sz="6" w:space="0" w:color="auto"/>
              <w:right w:val="single" w:sz="4" w:space="0" w:color="000000"/>
            </w:tcBorders>
            <w:shd w:val="clear" w:color="auto" w:fill="D3D3D3"/>
          </w:tcPr>
          <w:p>
            <w:pPr/>
          </w:p>
        </w:tc>
        <w:tc>
          <w:tcPr>
            <w:tcW w:w="1618" w:type="dxa"/>
            <w:gridSpan w:val="3"/>
            <w:vMerge/>
            <w:tcBorders>
              <w:left w:val="single" w:sz="9" w:space="0" w:color="D3D3D3"/>
              <w:right w:val="single" w:sz="9" w:space="0" w:color="D3D3D3"/>
            </w:tcBorders>
          </w:tcPr>
          <w:p>
            <w:pPr/>
          </w:p>
        </w:tc>
        <w:tc>
          <w:tcPr>
            <w:tcW w:w="1572" w:type="dxa"/>
            <w:gridSpan w:val="2"/>
            <w:vMerge/>
            <w:tcBorders>
              <w:left w:val="single" w:sz="4" w:space="0" w:color="000000"/>
              <w:right w:val="single" w:sz="4" w:space="0" w:color="000000"/>
            </w:tcBorders>
            <w:shd w:val="clear" w:color="auto" w:fill="D3D3D3"/>
          </w:tcPr>
          <w:p>
            <w:pPr/>
          </w:p>
        </w:tc>
        <w:tc>
          <w:tcPr>
            <w:tcW w:w="1607" w:type="dxa"/>
            <w:gridSpan w:val="2"/>
            <w:vMerge/>
            <w:tcBorders>
              <w:left w:val="single" w:sz="9" w:space="0" w:color="D3D3D3"/>
              <w:right w:val="single" w:sz="4" w:space="0" w:color="000000"/>
            </w:tcBorders>
          </w:tcPr>
          <w:p>
            <w:pPr/>
          </w:p>
        </w:tc>
      </w:tr>
      <w:tr>
        <w:trPr>
          <w:trHeight w:val="166" w:hRule="exact"/>
        </w:trPr>
        <w:tc>
          <w:tcPr>
            <w:tcW w:w="1596" w:type="dxa"/>
            <w:gridSpan w:val="2"/>
            <w:vMerge/>
            <w:tcBorders>
              <w:left w:val="single" w:sz="4" w:space="0" w:color="000000"/>
              <w:bottom w:val="single" w:sz="4" w:space="0" w:color="000000"/>
              <w:right w:val="single" w:sz="4" w:space="0" w:color="000000"/>
            </w:tcBorders>
            <w:shd w:val="clear" w:color="auto" w:fill="D3D3D3"/>
          </w:tcPr>
          <w:p>
            <w:pPr/>
          </w:p>
        </w:tc>
        <w:tc>
          <w:tcPr>
            <w:tcW w:w="1607" w:type="dxa"/>
            <w:gridSpan w:val="2"/>
            <w:vMerge/>
            <w:tcBorders>
              <w:left w:val="single" w:sz="9" w:space="0" w:color="D3D3D3"/>
              <w:bottom w:val="single" w:sz="4" w:space="0" w:color="000000"/>
              <w:right w:val="single" w:sz="9" w:space="0" w:color="D3D3D3"/>
            </w:tcBorders>
          </w:tcPr>
          <w:p>
            <w:pPr/>
          </w:p>
        </w:tc>
        <w:tc>
          <w:tcPr>
            <w:tcW w:w="1570"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618" w:type="dxa"/>
            <w:gridSpan w:val="3"/>
            <w:vMerge/>
            <w:tcBorders>
              <w:left w:val="single" w:sz="9" w:space="0" w:color="D3D3D3"/>
              <w:bottom w:val="single" w:sz="4" w:space="0" w:color="000000"/>
              <w:right w:val="single" w:sz="9" w:space="0" w:color="D3D3D3"/>
            </w:tcBorders>
          </w:tcPr>
          <w:p>
            <w:pPr/>
          </w:p>
        </w:tc>
        <w:tc>
          <w:tcPr>
            <w:tcW w:w="1572" w:type="dxa"/>
            <w:gridSpan w:val="2"/>
            <w:vMerge/>
            <w:tcBorders>
              <w:left w:val="single" w:sz="4" w:space="0" w:color="000000"/>
              <w:bottom w:val="single" w:sz="4" w:space="0" w:color="000000"/>
              <w:right w:val="single" w:sz="4" w:space="0" w:color="000000"/>
            </w:tcBorders>
            <w:shd w:val="clear" w:color="auto" w:fill="D3D3D3"/>
          </w:tcPr>
          <w:p>
            <w:pPr/>
          </w:p>
        </w:tc>
        <w:tc>
          <w:tcPr>
            <w:tcW w:w="1607" w:type="dxa"/>
            <w:gridSpan w:val="2"/>
            <w:vMerge/>
            <w:tcBorders>
              <w:left w:val="single" w:sz="9" w:space="0" w:color="D3D3D3"/>
              <w:bottom w:val="single" w:sz="4" w:space="0" w:color="000000"/>
              <w:right w:val="single" w:sz="4" w:space="0" w:color="000000"/>
            </w:tcBorders>
          </w:tcPr>
          <w:p>
            <w:pPr/>
          </w:p>
        </w:tc>
      </w:tr>
      <w:tr>
        <w:trPr>
          <w:trHeight w:val="391"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名股东持股情况</w:t>
            </w:r>
          </w:p>
        </w:tc>
      </w:tr>
      <w:tr>
        <w:trPr>
          <w:trHeight w:val="161" w:hRule="exact"/>
        </w:trPr>
        <w:tc>
          <w:tcPr>
            <w:tcW w:w="1363" w:type="dxa"/>
            <w:vMerge w:val="restart"/>
            <w:tcBorders>
              <w:top w:val="single" w:sz="4" w:space="0" w:color="000000"/>
              <w:left w:val="single" w:sz="4" w:space="0" w:color="000000"/>
              <w:right w:val="single" w:sz="4" w:space="0" w:color="000000"/>
            </w:tcBorders>
            <w:shd w:val="clear" w:color="auto" w:fill="D3D3D3"/>
          </w:tcPr>
          <w:p>
            <w:pPr/>
          </w:p>
        </w:tc>
        <w:tc>
          <w:tcPr>
            <w:tcW w:w="1366" w:type="dxa"/>
            <w:gridSpan w:val="2"/>
            <w:vMerge w:val="restart"/>
            <w:tcBorders>
              <w:top w:val="single" w:sz="4" w:space="0" w:color="000000"/>
              <w:left w:val="single" w:sz="4" w:space="0" w:color="000000"/>
              <w:right w:val="single" w:sz="4" w:space="0" w:color="000000"/>
            </w:tcBorders>
            <w:shd w:val="clear" w:color="auto" w:fill="D3D3D3"/>
          </w:tcPr>
          <w:p>
            <w:pPr/>
          </w:p>
        </w:tc>
        <w:tc>
          <w:tcPr>
            <w:tcW w:w="864" w:type="dxa"/>
            <w:gridSpan w:val="2"/>
            <w:vMerge w:val="restart"/>
            <w:tcBorders>
              <w:top w:val="single" w:sz="4" w:space="0" w:color="000000"/>
              <w:left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33" w:right="31"/>
              <w:jc w:val="center"/>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0"/>
                <w:sz w:val="18"/>
                <w:szCs w:val="18"/>
              </w:rPr>
              <w:t> </w:t>
            </w:r>
            <w:r>
              <w:rPr>
                <w:rFonts w:ascii="宋体" w:hAnsi="宋体" w:cs="宋体" w:eastAsia="宋体" w:hint="default"/>
                <w:sz w:val="18"/>
                <w:szCs w:val="18"/>
              </w:rPr>
              <w:t>增减变动</w:t>
            </w:r>
            <w:r>
              <w:rPr>
                <w:rFonts w:ascii="宋体" w:hAnsi="宋体" w:cs="宋体" w:eastAsia="宋体" w:hint="default"/>
                <w:w w:val="100"/>
                <w:sz w:val="18"/>
                <w:szCs w:val="18"/>
              </w:rPr>
              <w:t> </w:t>
            </w:r>
            <w:r>
              <w:rPr>
                <w:rFonts w:ascii="宋体" w:hAnsi="宋体" w:cs="宋体" w:eastAsia="宋体" w:hint="default"/>
                <w:sz w:val="18"/>
                <w:szCs w:val="18"/>
              </w:rPr>
              <w:t>情况</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w w:val="100"/>
                <w:sz w:val="18"/>
                <w:szCs w:val="18"/>
              </w:rPr>
              <w:t> </w:t>
            </w:r>
            <w:r>
              <w:rPr>
                <w:rFonts w:ascii="宋体" w:hAnsi="宋体" w:cs="宋体" w:eastAsia="宋体" w:hint="default"/>
                <w:sz w:val="18"/>
                <w:szCs w:val="18"/>
              </w:rPr>
              <w:t>售条件的</w:t>
            </w:r>
            <w:r>
              <w:rPr>
                <w:rFonts w:ascii="宋体" w:hAnsi="宋体" w:cs="宋体" w:eastAsia="宋体" w:hint="default"/>
                <w:w w:val="100"/>
                <w:sz w:val="18"/>
                <w:szCs w:val="18"/>
              </w:rPr>
              <w:t> </w:t>
            </w:r>
            <w:r>
              <w:rPr>
                <w:rFonts w:ascii="宋体" w:hAnsi="宋体" w:cs="宋体" w:eastAsia="宋体" w:hint="default"/>
                <w:sz w:val="18"/>
                <w:szCs w:val="18"/>
              </w:rPr>
              <w:t>股份数量</w:t>
            </w:r>
          </w:p>
        </w:tc>
        <w:tc>
          <w:tcPr>
            <w:tcW w:w="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3"/>
              <w:ind w:left="62" w:right="57"/>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w w:val="100"/>
                <w:sz w:val="18"/>
                <w:szCs w:val="18"/>
              </w:rPr>
              <w:t> </w:t>
            </w:r>
            <w:r>
              <w:rPr>
                <w:rFonts w:ascii="宋体" w:hAnsi="宋体" w:cs="宋体" w:eastAsia="宋体" w:hint="default"/>
                <w:sz w:val="18"/>
                <w:szCs w:val="18"/>
              </w:rPr>
              <w:t>售条件的</w:t>
            </w:r>
            <w:r>
              <w:rPr>
                <w:rFonts w:ascii="宋体" w:hAnsi="宋体" w:cs="宋体" w:eastAsia="宋体" w:hint="default"/>
                <w:w w:val="100"/>
                <w:sz w:val="18"/>
                <w:szCs w:val="18"/>
              </w:rPr>
              <w:t> </w:t>
            </w:r>
            <w:r>
              <w:rPr>
                <w:rFonts w:ascii="宋体" w:hAnsi="宋体" w:cs="宋体" w:eastAsia="宋体" w:hint="default"/>
                <w:sz w:val="18"/>
                <w:szCs w:val="18"/>
              </w:rPr>
              <w:t>股份数量</w:t>
            </w:r>
          </w:p>
        </w:tc>
        <w:tc>
          <w:tcPr>
            <w:tcW w:w="273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3" w:type="dxa"/>
            <w:vMerge/>
            <w:tcBorders>
              <w:left w:val="single" w:sz="4" w:space="0" w:color="000000"/>
              <w:bottom w:val="nil" w:sz="6" w:space="0" w:color="auto"/>
              <w:right w:val="single" w:sz="4" w:space="0" w:color="000000"/>
            </w:tcBorders>
            <w:shd w:val="clear" w:color="auto" w:fill="D3D3D3"/>
          </w:tcPr>
          <w:p>
            <w:pPr/>
          </w:p>
        </w:tc>
        <w:tc>
          <w:tcPr>
            <w:tcW w:w="1366" w:type="dxa"/>
            <w:gridSpan w:val="2"/>
            <w:vMerge/>
            <w:tcBorders>
              <w:left w:val="single" w:sz="4" w:space="0" w:color="000000"/>
              <w:bottom w:val="nil" w:sz="6" w:space="0" w:color="auto"/>
              <w:right w:val="single" w:sz="4" w:space="0" w:color="000000"/>
            </w:tcBorders>
            <w:shd w:val="clear" w:color="auto" w:fill="D3D3D3"/>
          </w:tcPr>
          <w:p>
            <w:pPr/>
          </w:p>
        </w:tc>
        <w:tc>
          <w:tcPr>
            <w:tcW w:w="864" w:type="dxa"/>
            <w:gridSpan w:val="2"/>
            <w:vMerge/>
            <w:tcBorders>
              <w:left w:val="single" w:sz="4" w:space="0" w:color="000000"/>
              <w:bottom w:val="nil" w:sz="6" w:space="0" w:color="auto"/>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31" w:right="33"/>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w w:val="100"/>
                <w:sz w:val="18"/>
                <w:szCs w:val="18"/>
              </w:rPr>
              <w:t> </w:t>
            </w:r>
            <w:r>
              <w:rPr>
                <w:rFonts w:ascii="宋体" w:hAnsi="宋体" w:cs="宋体" w:eastAsia="宋体" w:hint="default"/>
                <w:sz w:val="18"/>
                <w:szCs w:val="18"/>
              </w:rPr>
              <w:t>持股数量</w:t>
            </w:r>
          </w:p>
        </w:tc>
        <w:tc>
          <w:tcPr>
            <w:tcW w:w="797"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852" w:type="dxa"/>
            <w:gridSpan w:val="2"/>
            <w:vMerge/>
            <w:tcBorders>
              <w:left w:val="single" w:sz="4" w:space="0" w:color="000000"/>
              <w:right w:val="single" w:sz="4" w:space="0" w:color="000000"/>
            </w:tcBorders>
            <w:shd w:val="clear" w:color="auto" w:fill="D3D3D3"/>
          </w:tcPr>
          <w:p>
            <w:pPr/>
          </w:p>
        </w:tc>
        <w:tc>
          <w:tcPr>
            <w:tcW w:w="2734" w:type="dxa"/>
            <w:gridSpan w:val="3"/>
            <w:vMerge/>
            <w:tcBorders>
              <w:left w:val="single" w:sz="4" w:space="0" w:color="000000"/>
              <w:right w:val="single" w:sz="4" w:space="0" w:color="000000"/>
            </w:tcBorders>
            <w:shd w:val="clear" w:color="auto" w:fill="D3D3D3"/>
          </w:tcPr>
          <w:p>
            <w:pPr/>
          </w:p>
        </w:tc>
      </w:tr>
      <w:tr>
        <w:trPr>
          <w:trHeight w:val="146" w:hRule="exact"/>
        </w:trPr>
        <w:tc>
          <w:tcPr>
            <w:tcW w:w="13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vMerge/>
            <w:tcBorders>
              <w:left w:val="single" w:sz="4" w:space="0" w:color="000000"/>
              <w:right w:val="single" w:sz="4" w:space="0" w:color="000000"/>
            </w:tcBorders>
            <w:shd w:val="clear" w:color="auto" w:fill="D3D3D3"/>
          </w:tcPr>
          <w:p>
            <w:pPr/>
          </w:p>
        </w:tc>
        <w:tc>
          <w:tcPr>
            <w:tcW w:w="797"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852" w:type="dxa"/>
            <w:gridSpan w:val="2"/>
            <w:vMerge/>
            <w:tcBorders>
              <w:left w:val="single" w:sz="4" w:space="0" w:color="000000"/>
              <w:right w:val="single" w:sz="4" w:space="0" w:color="000000"/>
            </w:tcBorders>
            <w:shd w:val="clear" w:color="auto" w:fill="D3D3D3"/>
          </w:tcPr>
          <w:p>
            <w:pPr/>
          </w:p>
        </w:tc>
        <w:tc>
          <w:tcPr>
            <w:tcW w:w="2734" w:type="dxa"/>
            <w:gridSpan w:val="3"/>
            <w:vMerge/>
            <w:tcBorders>
              <w:left w:val="single" w:sz="4" w:space="0" w:color="000000"/>
              <w:bottom w:val="single" w:sz="4" w:space="0" w:color="000000"/>
              <w:right w:val="single" w:sz="4" w:space="0" w:color="000000"/>
            </w:tcBorders>
            <w:shd w:val="clear" w:color="auto" w:fill="D3D3D3"/>
          </w:tcPr>
          <w:p>
            <w:pPr/>
          </w:p>
        </w:tc>
      </w:tr>
      <w:tr>
        <w:trPr>
          <w:trHeight w:val="248" w:hRule="exact"/>
        </w:trPr>
        <w:tc>
          <w:tcPr>
            <w:tcW w:w="1363" w:type="dxa"/>
            <w:vMerge/>
            <w:tcBorders>
              <w:left w:val="single" w:sz="4" w:space="0" w:color="000000"/>
              <w:bottom w:val="nil" w:sz="6" w:space="0" w:color="auto"/>
              <w:right w:val="single" w:sz="4" w:space="0" w:color="000000"/>
            </w:tcBorders>
            <w:shd w:val="clear" w:color="auto" w:fill="D3D3D3"/>
          </w:tcPr>
          <w:p>
            <w:pPr/>
          </w:p>
        </w:tc>
        <w:tc>
          <w:tcPr>
            <w:tcW w:w="1366" w:type="dxa"/>
            <w:gridSpan w:val="2"/>
            <w:vMerge/>
            <w:tcBorders>
              <w:left w:val="single" w:sz="4" w:space="0" w:color="000000"/>
              <w:bottom w:val="nil" w:sz="6" w:space="0" w:color="auto"/>
              <w:right w:val="single" w:sz="4" w:space="0" w:color="000000"/>
            </w:tcBorders>
            <w:shd w:val="clear" w:color="auto" w:fill="D3D3D3"/>
          </w:tcPr>
          <w:p>
            <w:pPr/>
          </w:p>
        </w:tc>
        <w:tc>
          <w:tcPr>
            <w:tcW w:w="864" w:type="dxa"/>
            <w:gridSpan w:val="2"/>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7"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852" w:type="dxa"/>
            <w:gridSpan w:val="2"/>
            <w:vMerge/>
            <w:tcBorders>
              <w:left w:val="single" w:sz="4" w:space="0" w:color="000000"/>
              <w:right w:val="single" w:sz="4" w:space="0" w:color="000000"/>
            </w:tcBorders>
            <w:shd w:val="clear" w:color="auto" w:fill="D3D3D3"/>
          </w:tcPr>
          <w:p>
            <w:pP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4"/>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3" w:type="dxa"/>
            <w:vMerge w:val="restart"/>
            <w:tcBorders>
              <w:top w:val="nil" w:sz="6" w:space="0" w:color="auto"/>
              <w:left w:val="single" w:sz="4" w:space="0" w:color="000000"/>
              <w:right w:val="single" w:sz="4" w:space="0" w:color="000000"/>
            </w:tcBorders>
            <w:shd w:val="clear" w:color="auto" w:fill="D3D3D3"/>
          </w:tcPr>
          <w:p>
            <w:pPr/>
          </w:p>
        </w:tc>
        <w:tc>
          <w:tcPr>
            <w:tcW w:w="1366" w:type="dxa"/>
            <w:gridSpan w:val="2"/>
            <w:vMerge w:val="restart"/>
            <w:tcBorders>
              <w:top w:val="nil" w:sz="6" w:space="0" w:color="auto"/>
              <w:left w:val="single" w:sz="4" w:space="0" w:color="000000"/>
              <w:right w:val="single" w:sz="4" w:space="0" w:color="000000"/>
            </w:tcBorders>
            <w:shd w:val="clear" w:color="auto" w:fill="D3D3D3"/>
          </w:tcPr>
          <w:p>
            <w:pPr/>
          </w:p>
        </w:tc>
        <w:tc>
          <w:tcPr>
            <w:tcW w:w="864" w:type="dxa"/>
            <w:gridSpan w:val="2"/>
            <w:vMerge w:val="restart"/>
            <w:tcBorders>
              <w:top w:val="nil" w:sz="6" w:space="0" w:color="auto"/>
              <w:left w:val="single" w:sz="4" w:space="0" w:color="000000"/>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797" w:type="dxa"/>
            <w:gridSpan w:val="2"/>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852" w:type="dxa"/>
            <w:gridSpan w:val="2"/>
            <w:vMerge/>
            <w:tcBorders>
              <w:left w:val="single" w:sz="4" w:space="0" w:color="000000"/>
              <w:right w:val="single" w:sz="4" w:space="0" w:color="000000"/>
            </w:tcBorders>
            <w:shd w:val="clear" w:color="auto" w:fill="D3D3D3"/>
          </w:tcPr>
          <w:p>
            <w:pPr/>
          </w:p>
        </w:tc>
        <w:tc>
          <w:tcPr>
            <w:tcW w:w="1368" w:type="dxa"/>
            <w:gridSpan w:val="2"/>
            <w:vMerge/>
            <w:tcBorders>
              <w:left w:val="single" w:sz="4" w:space="0" w:color="000000"/>
              <w:right w:val="single" w:sz="4" w:space="0" w:color="000000"/>
            </w:tcBorders>
            <w:shd w:val="clear" w:color="auto" w:fill="D3D3D3"/>
          </w:tcPr>
          <w:p>
            <w:pPr/>
          </w:p>
        </w:tc>
        <w:tc>
          <w:tcPr>
            <w:tcW w:w="1366" w:type="dxa"/>
            <w:vMerge/>
            <w:tcBorders>
              <w:left w:val="single" w:sz="4" w:space="0" w:color="000000"/>
              <w:right w:val="single" w:sz="4" w:space="0" w:color="000000"/>
            </w:tcBorders>
            <w:shd w:val="clear" w:color="auto" w:fill="D3D3D3"/>
          </w:tcPr>
          <w:p>
            <w:pPr/>
          </w:p>
        </w:tc>
      </w:tr>
      <w:tr>
        <w:trPr>
          <w:trHeight w:val="166" w:hRule="exact"/>
        </w:trPr>
        <w:tc>
          <w:tcPr>
            <w:tcW w:w="1363" w:type="dxa"/>
            <w:vMerge/>
            <w:tcBorders>
              <w:left w:val="single" w:sz="4" w:space="0" w:color="000000"/>
              <w:bottom w:val="single" w:sz="4" w:space="0" w:color="000000"/>
              <w:right w:val="single" w:sz="4" w:space="0" w:color="000000"/>
            </w:tcBorders>
            <w:shd w:val="clear" w:color="auto" w:fill="D3D3D3"/>
          </w:tcPr>
          <w:p>
            <w:pPr/>
          </w:p>
        </w:tc>
        <w:tc>
          <w:tcPr>
            <w:tcW w:w="1366" w:type="dxa"/>
            <w:gridSpan w:val="2"/>
            <w:vMerge/>
            <w:tcBorders>
              <w:left w:val="single" w:sz="4" w:space="0" w:color="000000"/>
              <w:bottom w:val="single" w:sz="4" w:space="0" w:color="000000"/>
              <w:right w:val="single" w:sz="4" w:space="0" w:color="000000"/>
            </w:tcBorders>
            <w:shd w:val="clear" w:color="auto" w:fill="D3D3D3"/>
          </w:tcPr>
          <w:p>
            <w:pPr/>
          </w:p>
        </w:tc>
        <w:tc>
          <w:tcPr>
            <w:tcW w:w="864" w:type="dxa"/>
            <w:gridSpan w:val="2"/>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52"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24.86%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54,159,02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27,079,51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w w:val="100"/>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40,619,26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6</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13,539,75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6</w:t>
            </w:r>
          </w:p>
        </w:tc>
        <w:tc>
          <w:tcPr>
            <w:tcW w:w="1368"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9" w:space="0" w:color="D3D3D3"/>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6,910,000</w:t>
            </w: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19.65%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21,406,72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0"/>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32,110,09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2</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10,703,36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23,350,000</w:t>
            </w: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344"/>
              <w:jc w:val="left"/>
              <w:rPr>
                <w:rFonts w:ascii="Times New Roman" w:hAnsi="Times New Roman" w:cs="Times New Roman" w:eastAsia="Times New Roman" w:hint="default"/>
                <w:sz w:val="18"/>
                <w:szCs w:val="18"/>
              </w:rPr>
            </w:pPr>
            <w:r>
              <w:rPr>
                <w:rFonts w:ascii="Times New Roman"/>
                <w:sz w:val="18"/>
              </w:rPr>
              <w:t>TB</w:t>
            </w:r>
            <w:r>
              <w:rPr>
                <w:rFonts w:ascii="Times New Roman"/>
                <w:spacing w:val="-2"/>
                <w:sz w:val="18"/>
              </w:rPr>
              <w:t> </w:t>
            </w:r>
            <w:r>
              <w:rPr>
                <w:rFonts w:ascii="Times New Roman"/>
                <w:spacing w:val="-4"/>
                <w:sz w:val="18"/>
              </w:rPr>
              <w:t>NATURE</w:t>
            </w:r>
            <w:r>
              <w:rPr>
                <w:rFonts w:ascii="Times New Roman"/>
                <w:w w:val="100"/>
                <w:sz w:val="18"/>
              </w:rPr>
              <w:t> </w:t>
            </w:r>
            <w:r>
              <w:rPr>
                <w:rFonts w:ascii="Times New Roman"/>
                <w:sz w:val="18"/>
              </w:rPr>
              <w:t>LIMITED</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13.78%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30,031,32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8</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15,015,66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w w:val="100"/>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30,031,32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8</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中信证券股份有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3.04%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6,629,500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全国社保基金一</w:t>
            </w:r>
            <w:r>
              <w:rPr>
                <w:rFonts w:ascii="宋体" w:hAnsi="宋体" w:cs="宋体" w:eastAsia="宋体" w:hint="default"/>
                <w:w w:val="100"/>
                <w:sz w:val="18"/>
                <w:szCs w:val="18"/>
              </w:rPr>
              <w:t> </w:t>
            </w:r>
            <w:r>
              <w:rPr>
                <w:rFonts w:ascii="宋体" w:hAnsi="宋体" w:cs="宋体" w:eastAsia="宋体" w:hint="default"/>
                <w:sz w:val="18"/>
                <w:szCs w:val="18"/>
              </w:rPr>
              <w:t>一五组合</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5,241,740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中国工商银行－</w:t>
            </w:r>
            <w:r>
              <w:rPr>
                <w:rFonts w:ascii="宋体" w:hAnsi="宋体" w:cs="宋体" w:eastAsia="宋体" w:hint="default"/>
                <w:w w:val="100"/>
                <w:sz w:val="18"/>
                <w:szCs w:val="18"/>
              </w:rPr>
              <w:t> </w:t>
            </w:r>
            <w:r>
              <w:rPr>
                <w:rFonts w:ascii="宋体" w:hAnsi="宋体" w:cs="宋体" w:eastAsia="宋体" w:hint="default"/>
                <w:sz w:val="18"/>
                <w:szCs w:val="18"/>
              </w:rPr>
              <w:t>汇添富均衡增长</w:t>
            </w:r>
            <w:r>
              <w:rPr>
                <w:rFonts w:ascii="宋体" w:hAnsi="宋体" w:cs="宋体" w:eastAsia="宋体" w:hint="default"/>
                <w:w w:val="100"/>
                <w:sz w:val="18"/>
                <w:szCs w:val="18"/>
              </w:rPr>
              <w:t> </w:t>
            </w:r>
            <w:r>
              <w:rPr>
                <w:rFonts w:ascii="宋体" w:hAnsi="宋体" w:cs="宋体" w:eastAsia="宋体" w:hint="default"/>
                <w:sz w:val="18"/>
                <w:szCs w:val="18"/>
              </w:rPr>
              <w:t>股票型证券投资</w:t>
            </w:r>
            <w:r>
              <w:rPr>
                <w:rFonts w:ascii="宋体" w:hAnsi="宋体" w:cs="宋体" w:eastAsia="宋体" w:hint="default"/>
                <w:w w:val="100"/>
                <w:sz w:val="18"/>
                <w:szCs w:val="18"/>
              </w:rPr>
              <w:t> </w:t>
            </w:r>
            <w:r>
              <w:rPr>
                <w:rFonts w:ascii="宋体" w:hAnsi="宋体" w:cs="宋体" w:eastAsia="宋体" w:hint="default"/>
                <w:sz w:val="18"/>
                <w:szCs w:val="18"/>
              </w:rPr>
              <w:t>基金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2.31%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5,041,464</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宿迁人合安泰投</w:t>
            </w:r>
            <w:r>
              <w:rPr>
                <w:rFonts w:ascii="宋体" w:hAnsi="宋体" w:cs="宋体" w:eastAsia="宋体" w:hint="default"/>
                <w:w w:val="100"/>
                <w:sz w:val="18"/>
                <w:szCs w:val="18"/>
              </w:rPr>
              <w:t> </w:t>
            </w:r>
            <w:r>
              <w:rPr>
                <w:rFonts w:ascii="宋体" w:hAnsi="宋体" w:cs="宋体" w:eastAsia="宋体" w:hint="default"/>
                <w:sz w:val="18"/>
                <w:szCs w:val="18"/>
              </w:rPr>
              <w:t>资合伙企业（有</w:t>
            </w:r>
            <w:r>
              <w:rPr>
                <w:rFonts w:ascii="宋体" w:hAnsi="宋体" w:cs="宋体" w:eastAsia="宋体" w:hint="default"/>
                <w:w w:val="100"/>
                <w:sz w:val="18"/>
                <w:szCs w:val="18"/>
              </w:rPr>
              <w:t> </w:t>
            </w:r>
            <w:r>
              <w:rPr>
                <w:rFonts w:ascii="宋体" w:hAnsi="宋体" w:cs="宋体" w:eastAsia="宋体" w:hint="default"/>
                <w:sz w:val="18"/>
                <w:szCs w:val="18"/>
              </w:rPr>
              <w:t>限合伙）</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中国建设银行－</w:t>
            </w:r>
            <w:r>
              <w:rPr>
                <w:rFonts w:ascii="宋体" w:hAnsi="宋体" w:cs="宋体" w:eastAsia="宋体" w:hint="default"/>
                <w:w w:val="100"/>
                <w:sz w:val="18"/>
                <w:szCs w:val="18"/>
              </w:rPr>
              <w:t> </w:t>
            </w:r>
            <w:r>
              <w:rPr>
                <w:rFonts w:ascii="宋体" w:hAnsi="宋体" w:cs="宋体" w:eastAsia="宋体" w:hint="default"/>
                <w:sz w:val="18"/>
                <w:szCs w:val="18"/>
              </w:rPr>
              <w:t>华夏优势增长股</w:t>
            </w:r>
            <w:r>
              <w:rPr>
                <w:rFonts w:ascii="宋体" w:hAnsi="宋体" w:cs="宋体" w:eastAsia="宋体" w:hint="default"/>
                <w:w w:val="100"/>
                <w:sz w:val="18"/>
                <w:szCs w:val="18"/>
              </w:rPr>
              <w:t> </w:t>
            </w:r>
            <w:r>
              <w:rPr>
                <w:rFonts w:ascii="宋体" w:hAnsi="宋体" w:cs="宋体" w:eastAsia="宋体" w:hint="default"/>
                <w:sz w:val="18"/>
                <w:szCs w:val="18"/>
              </w:rPr>
              <w:t>票型证券投资基</w:t>
            </w:r>
            <w:r>
              <w:rPr>
                <w:rFonts w:ascii="宋体" w:hAnsi="宋体" w:cs="宋体" w:eastAsia="宋体" w:hint="default"/>
                <w:w w:val="100"/>
                <w:sz w:val="18"/>
                <w:szCs w:val="18"/>
              </w:rPr>
              <w:t> </w:t>
            </w:r>
            <w:r>
              <w:rPr>
                <w:rFonts w:ascii="宋体" w:hAnsi="宋体" w:cs="宋体" w:eastAsia="宋体" w:hint="default"/>
                <w:sz w:val="18"/>
                <w:szCs w:val="18"/>
              </w:rPr>
              <w:t>金</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中国工商银行－</w:t>
            </w:r>
            <w:r>
              <w:rPr>
                <w:rFonts w:ascii="宋体" w:hAnsi="宋体" w:cs="宋体" w:eastAsia="宋体" w:hint="default"/>
                <w:w w:val="100"/>
                <w:sz w:val="18"/>
                <w:szCs w:val="18"/>
              </w:rPr>
              <w:t> </w:t>
            </w:r>
            <w:r>
              <w:rPr>
                <w:rFonts w:ascii="宋体" w:hAnsi="宋体" w:cs="宋体" w:eastAsia="宋体" w:hint="default"/>
                <w:sz w:val="18"/>
                <w:szCs w:val="18"/>
              </w:rPr>
              <w:t>汇添富成长焦点</w:t>
            </w:r>
            <w:r>
              <w:rPr>
                <w:rFonts w:ascii="宋体" w:hAnsi="宋体" w:cs="宋体" w:eastAsia="宋体" w:hint="default"/>
                <w:w w:val="100"/>
                <w:sz w:val="18"/>
                <w:szCs w:val="18"/>
              </w:rPr>
              <w:t> </w:t>
            </w:r>
            <w:r>
              <w:rPr>
                <w:rFonts w:ascii="宋体" w:hAnsi="宋体" w:cs="宋体" w:eastAsia="宋体" w:hint="default"/>
                <w:sz w:val="18"/>
                <w:szCs w:val="18"/>
              </w:rPr>
              <w:t>股票型证券投资</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364" w:right="0"/>
              <w:jc w:val="left"/>
              <w:rPr>
                <w:rFonts w:ascii="Times New Roman" w:hAnsi="Times New Roman" w:cs="Times New Roman" w:eastAsia="Times New Roman" w:hint="default"/>
                <w:sz w:val="18"/>
                <w:szCs w:val="18"/>
              </w:rPr>
            </w:pPr>
            <w:r>
              <w:rPr>
                <w:rFonts w:ascii="Times New Roman"/>
                <w:sz w:val="18"/>
              </w:rPr>
              <w:t>1.54%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3"/>
              <w:jc w:val="right"/>
              <w:rPr>
                <w:rFonts w:ascii="Times New Roman" w:hAnsi="Times New Roman" w:cs="Times New Roman" w:eastAsia="Times New Roman" w:hint="default"/>
                <w:sz w:val="18"/>
                <w:szCs w:val="18"/>
              </w:rPr>
            </w:pPr>
            <w:r>
              <w:rPr>
                <w:rFonts w:ascii="Times New Roman"/>
                <w:spacing w:val="-1"/>
                <w:sz w:val="18"/>
              </w:rPr>
              <w:t>3,350,088</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宋体" w:hAnsi="宋体" w:cs="宋体" w:eastAsia="宋体" w:hint="default"/>
          <w:sz w:val="20"/>
          <w:szCs w:val="20"/>
        </w:rPr>
      </w:pPr>
      <w:r>
        <w:rPr/>
        <w:pict>
          <v:shape style="position:absolute;margin-left:56.400002pt;margin-top:72.000015pt;width:479.2pt;height:661.2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3"/>
                    <w:gridCol w:w="1366"/>
                    <w:gridCol w:w="864"/>
                    <w:gridCol w:w="797"/>
                    <w:gridCol w:w="797"/>
                    <w:gridCol w:w="797"/>
                    <w:gridCol w:w="852"/>
                    <w:gridCol w:w="1368"/>
                    <w:gridCol w:w="1366"/>
                  </w:tblGrid>
                  <w:tr>
                    <w:trPr>
                      <w:trHeight w:val="36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36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中国工商银行股</w:t>
                        </w:r>
                        <w:r>
                          <w:rPr>
                            <w:rFonts w:ascii="宋体" w:hAnsi="宋体" w:cs="宋体" w:eastAsia="宋体" w:hint="default"/>
                            <w:w w:val="100"/>
                            <w:sz w:val="18"/>
                            <w:szCs w:val="18"/>
                          </w:rPr>
                          <w:t> </w:t>
                        </w:r>
                        <w:r>
                          <w:rPr>
                            <w:rFonts w:ascii="宋体" w:hAnsi="宋体" w:cs="宋体" w:eastAsia="宋体" w:hint="default"/>
                            <w:sz w:val="18"/>
                            <w:szCs w:val="18"/>
                          </w:rPr>
                          <w:t>份有限公司－汇</w:t>
                        </w:r>
                        <w:r>
                          <w:rPr>
                            <w:rFonts w:ascii="宋体" w:hAnsi="宋体" w:cs="宋体" w:eastAsia="宋体" w:hint="default"/>
                            <w:w w:val="100"/>
                            <w:sz w:val="18"/>
                            <w:szCs w:val="18"/>
                          </w:rPr>
                          <w:t> </w:t>
                        </w:r>
                        <w:r>
                          <w:rPr>
                            <w:rFonts w:ascii="宋体" w:hAnsi="宋体" w:cs="宋体" w:eastAsia="宋体" w:hint="default"/>
                            <w:sz w:val="18"/>
                            <w:szCs w:val="18"/>
                          </w:rPr>
                          <w:t>添富医药保健股</w:t>
                        </w:r>
                        <w:r>
                          <w:rPr>
                            <w:rFonts w:ascii="宋体" w:hAnsi="宋体" w:cs="宋体" w:eastAsia="宋体" w:hint="default"/>
                            <w:w w:val="100"/>
                            <w:sz w:val="18"/>
                            <w:szCs w:val="18"/>
                          </w:rPr>
                          <w:t> </w:t>
                        </w:r>
                        <w:r>
                          <w:rPr>
                            <w:rFonts w:ascii="宋体" w:hAnsi="宋体" w:cs="宋体" w:eastAsia="宋体" w:hint="default"/>
                            <w:sz w:val="18"/>
                            <w:szCs w:val="18"/>
                          </w:rPr>
                          <w:t>票型证券投资基</w:t>
                        </w:r>
                        <w:r>
                          <w:rPr>
                            <w:rFonts w:ascii="宋体" w:hAnsi="宋体" w:cs="宋体" w:eastAsia="宋体" w:hint="default"/>
                            <w:w w:val="100"/>
                            <w:sz w:val="18"/>
                            <w:szCs w:val="18"/>
                          </w:rPr>
                          <w:t> </w:t>
                        </w:r>
                        <w:r>
                          <w:rPr>
                            <w:rFonts w:ascii="宋体" w:hAnsi="宋体" w:cs="宋体" w:eastAsia="宋体" w:hint="default"/>
                            <w:sz w:val="18"/>
                            <w:szCs w:val="18"/>
                          </w:rPr>
                          <w:t>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1.48%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3,229,920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w:t>
                        </w:r>
                        <w:r>
                          <w:rPr>
                            <w:rFonts w:ascii="宋体" w:hAnsi="宋体" w:cs="宋体" w:eastAsia="宋体" w:hint="default"/>
                            <w:w w:val="100"/>
                            <w:sz w:val="18"/>
                            <w:szCs w:val="18"/>
                          </w:rPr>
                          <w:t> </w:t>
                        </w:r>
                        <w:r>
                          <w:rPr>
                            <w:rFonts w:ascii="宋体" w:hAnsi="宋体" w:cs="宋体" w:eastAsia="宋体" w:hint="default"/>
                            <w:sz w:val="18"/>
                            <w:szCs w:val="18"/>
                          </w:rPr>
                          <w:t>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名股东的情况（如有）</w:t>
                        </w:r>
                        <w:r>
                          <w:rPr>
                            <w:rFonts w:ascii="宋体" w:hAnsi="宋体" w:cs="宋体" w:eastAsia="宋体" w:hint="default"/>
                            <w:sz w:val="18"/>
                            <w:szCs w:val="18"/>
                          </w:rPr>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0" w:type="dxa"/>
                        <w:gridSpan w:val="7"/>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172"/>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w:t>
                        </w:r>
                        <w:r>
                          <w:rPr>
                            <w:rFonts w:ascii="宋体" w:hAnsi="宋体" w:cs="宋体" w:eastAsia="宋体" w:hint="default"/>
                            <w:w w:val="100"/>
                            <w:sz w:val="18"/>
                            <w:szCs w:val="18"/>
                          </w:rPr>
                          <w:t> </w:t>
                        </w:r>
                        <w:r>
                          <w:rPr>
                            <w:rFonts w:ascii="宋体" w:hAnsi="宋体" w:cs="宋体" w:eastAsia="宋体" w:hint="default"/>
                            <w:sz w:val="18"/>
                            <w:szCs w:val="18"/>
                          </w:rPr>
                          <w:t>说明</w:t>
                        </w:r>
                      </w:p>
                    </w:tc>
                    <w:tc>
                      <w:tcPr>
                        <w:tcW w:w="6840" w:type="dxa"/>
                        <w:gridSpan w:val="7"/>
                        <w:tcBorders>
                          <w:top w:val="single" w:sz="4" w:space="0" w:color="000000"/>
                          <w:left w:val="single" w:sz="9" w:space="0" w:color="D3D3D3"/>
                          <w:bottom w:val="single" w:sz="4" w:space="0" w:color="000000"/>
                          <w:right w:val="single" w:sz="4" w:space="0" w:color="000000"/>
                        </w:tcBorders>
                      </w:tcPr>
                      <w:p>
                        <w:pPr>
                          <w:pStyle w:val="TableParagraph"/>
                          <w:spacing w:line="297" w:lineRule="auto" w:before="49"/>
                          <w:ind w:left="17" w:right="52"/>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名股东中，韩旭和张仁华夫妇为公司实际控制人。未知其他股东之间是否存</w:t>
                        </w:r>
                        <w:r>
                          <w:rPr>
                            <w:rFonts w:ascii="宋体" w:hAnsi="宋体" w:cs="宋体" w:eastAsia="宋体" w:hint="default"/>
                            <w:w w:val="100"/>
                            <w:sz w:val="18"/>
                            <w:szCs w:val="18"/>
                          </w:rPr>
                          <w:t> </w:t>
                        </w:r>
                        <w:r>
                          <w:rPr>
                            <w:rFonts w:ascii="宋体" w:hAnsi="宋体" w:cs="宋体" w:eastAsia="宋体" w:hint="default"/>
                            <w:spacing w:val="-5"/>
                            <w:w w:val="100"/>
                            <w:sz w:val="18"/>
                            <w:szCs w:val="18"/>
                          </w:rPr>
                          <w:t>在关联关系或《上市公司股东持股变动信息披露管理办法》中规定的一致行动人的情况</w:t>
                        </w:r>
                      </w:p>
                    </w:tc>
                  </w:tr>
                  <w:tr>
                    <w:trPr>
                      <w:trHeight w:val="403"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名无限售条件股东持股情况</w:t>
                        </w:r>
                      </w:p>
                    </w:tc>
                  </w:tr>
                  <w:tr>
                    <w:trPr>
                      <w:trHeight w:val="203"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3" w:hRule="exact"/>
                    </w:trPr>
                    <w:tc>
                      <w:tcPr>
                        <w:tcW w:w="272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69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729" w:type="dxa"/>
                        <w:gridSpan w:val="2"/>
                        <w:vMerge/>
                        <w:tcBorders>
                          <w:left w:val="single" w:sz="4" w:space="0" w:color="000000"/>
                          <w:bottom w:val="nil" w:sz="6" w:space="0" w:color="auto"/>
                          <w:right w:val="single" w:sz="4" w:space="0" w:color="000000"/>
                        </w:tcBorders>
                        <w:shd w:val="clear" w:color="auto" w:fill="D3D3D3"/>
                      </w:tcPr>
                      <w:p>
                        <w:pPr/>
                      </w:p>
                    </w:tc>
                    <w:tc>
                      <w:tcPr>
                        <w:tcW w:w="4106" w:type="dxa"/>
                        <w:gridSpan w:val="5"/>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TB </w:t>
                        </w:r>
                        <w:r>
                          <w:rPr>
                            <w:rFonts w:ascii="Times New Roman"/>
                            <w:spacing w:val="-4"/>
                            <w:sz w:val="18"/>
                          </w:rPr>
                          <w:t>NATURE</w:t>
                        </w:r>
                        <w:r>
                          <w:rPr>
                            <w:rFonts w:ascii="Times New Roman"/>
                            <w:spacing w:val="-7"/>
                            <w:sz w:val="18"/>
                          </w:rPr>
                          <w:t> </w:t>
                        </w:r>
                        <w:r>
                          <w:rPr>
                            <w:rFonts w:ascii="Times New Roman"/>
                            <w:sz w:val="18"/>
                          </w:rPr>
                          <w:t>LIMITED</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30,031,328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30,031,328</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13,539,756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13,539,756</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10,703,364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10,703,364</w:t>
                        </w:r>
                      </w:p>
                    </w:tc>
                  </w:tr>
                  <w:tr>
                    <w:trPr>
                      <w:trHeight w:val="40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6,629,500</w:t>
                        </w:r>
                      </w:p>
                    </w:tc>
                  </w:tr>
                  <w:tr>
                    <w:trPr>
                      <w:trHeight w:val="401"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全国社保基金一一五组合</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5,241,740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5,241,740</w:t>
                        </w: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2"/>
                          <w:jc w:val="left"/>
                          <w:rPr>
                            <w:rFonts w:ascii="宋体" w:hAnsi="宋体" w:cs="宋体" w:eastAsia="宋体" w:hint="default"/>
                            <w:sz w:val="18"/>
                            <w:szCs w:val="18"/>
                          </w:rPr>
                        </w:pPr>
                        <w:r>
                          <w:rPr>
                            <w:rFonts w:ascii="宋体" w:hAnsi="宋体" w:cs="宋体" w:eastAsia="宋体" w:hint="default"/>
                            <w:sz w:val="18"/>
                            <w:szCs w:val="18"/>
                          </w:rPr>
                          <w:t>中国工商银行－汇添富均衡增长</w:t>
                        </w:r>
                        <w:r>
                          <w:rPr>
                            <w:rFonts w:ascii="宋体" w:hAnsi="宋体" w:cs="宋体" w:eastAsia="宋体" w:hint="default"/>
                            <w:w w:val="100"/>
                            <w:sz w:val="18"/>
                            <w:szCs w:val="18"/>
                          </w:rPr>
                          <w:t> </w:t>
                        </w:r>
                        <w:r>
                          <w:rPr>
                            <w:rFonts w:ascii="宋体" w:hAnsi="宋体" w:cs="宋体" w:eastAsia="宋体" w:hint="default"/>
                            <w:sz w:val="18"/>
                            <w:szCs w:val="18"/>
                          </w:rPr>
                          <w:t>股票型证券投资基金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5,041,464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5,041,464</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宿迁人合安泰投资合伙企业（有限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合伙）</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5"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2"/>
                          <w:jc w:val="left"/>
                          <w:rPr>
                            <w:rFonts w:ascii="宋体" w:hAnsi="宋体" w:cs="宋体" w:eastAsia="宋体" w:hint="default"/>
                            <w:sz w:val="18"/>
                            <w:szCs w:val="18"/>
                          </w:rPr>
                        </w:pPr>
                        <w:r>
                          <w:rPr>
                            <w:rFonts w:ascii="宋体" w:hAnsi="宋体" w:cs="宋体" w:eastAsia="宋体" w:hint="default"/>
                            <w:sz w:val="18"/>
                            <w:szCs w:val="18"/>
                          </w:rPr>
                          <w:t>中国建设银行－华夏优势增长股</w:t>
                        </w:r>
                        <w:r>
                          <w:rPr>
                            <w:rFonts w:ascii="宋体" w:hAnsi="宋体" w:cs="宋体" w:eastAsia="宋体" w:hint="default"/>
                            <w:w w:val="100"/>
                            <w:sz w:val="18"/>
                            <w:szCs w:val="18"/>
                          </w:rPr>
                          <w:t> </w:t>
                        </w:r>
                        <w:r>
                          <w:rPr>
                            <w:rFonts w:ascii="宋体" w:hAnsi="宋体" w:cs="宋体" w:eastAsia="宋体" w:hint="default"/>
                            <w:sz w:val="18"/>
                            <w:szCs w:val="18"/>
                          </w:rPr>
                          <w:t>票型证券投资基金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713"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2"/>
                          <w:jc w:val="left"/>
                          <w:rPr>
                            <w:rFonts w:ascii="宋体" w:hAnsi="宋体" w:cs="宋体" w:eastAsia="宋体" w:hint="default"/>
                            <w:sz w:val="18"/>
                            <w:szCs w:val="18"/>
                          </w:rPr>
                        </w:pPr>
                        <w:r>
                          <w:rPr>
                            <w:rFonts w:ascii="宋体" w:hAnsi="宋体" w:cs="宋体" w:eastAsia="宋体" w:hint="default"/>
                            <w:sz w:val="18"/>
                            <w:szCs w:val="18"/>
                          </w:rPr>
                          <w:t>中国工商银行－汇添富成长焦点</w:t>
                        </w:r>
                        <w:r>
                          <w:rPr>
                            <w:rFonts w:ascii="宋体" w:hAnsi="宋体" w:cs="宋体" w:eastAsia="宋体" w:hint="default"/>
                            <w:w w:val="100"/>
                            <w:sz w:val="18"/>
                            <w:szCs w:val="18"/>
                          </w:rPr>
                          <w:t> </w:t>
                        </w:r>
                        <w:r>
                          <w:rPr>
                            <w:rFonts w:ascii="宋体" w:hAnsi="宋体" w:cs="宋体" w:eastAsia="宋体" w:hint="default"/>
                            <w:sz w:val="18"/>
                            <w:szCs w:val="18"/>
                          </w:rPr>
                          <w:t>股票型证券投资基金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3,350,088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3,350,088</w:t>
                        </w:r>
                      </w:p>
                    </w:tc>
                  </w:tr>
                  <w:tr>
                    <w:trPr>
                      <w:trHeight w:val="1027"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2"/>
                          <w:jc w:val="both"/>
                          <w:rPr>
                            <w:rFonts w:ascii="宋体" w:hAnsi="宋体" w:cs="宋体" w:eastAsia="宋体" w:hint="default"/>
                            <w:sz w:val="18"/>
                            <w:szCs w:val="18"/>
                          </w:rPr>
                        </w:pPr>
                        <w:r>
                          <w:rPr>
                            <w:rFonts w:ascii="宋体" w:hAnsi="宋体" w:cs="宋体" w:eastAsia="宋体" w:hint="default"/>
                            <w:sz w:val="18"/>
                            <w:szCs w:val="18"/>
                          </w:rPr>
                          <w:t>中国工商银行股份有限公司－汇</w:t>
                        </w:r>
                        <w:r>
                          <w:rPr>
                            <w:rFonts w:ascii="宋体" w:hAnsi="宋体" w:cs="宋体" w:eastAsia="宋体" w:hint="default"/>
                            <w:w w:val="100"/>
                            <w:sz w:val="18"/>
                            <w:szCs w:val="18"/>
                          </w:rPr>
                          <w:t> </w:t>
                        </w:r>
                        <w:r>
                          <w:rPr>
                            <w:rFonts w:ascii="宋体" w:hAnsi="宋体" w:cs="宋体" w:eastAsia="宋体" w:hint="default"/>
                            <w:sz w:val="18"/>
                            <w:szCs w:val="18"/>
                          </w:rPr>
                          <w:t>添富医药保健股票型证券投资基</w:t>
                        </w:r>
                        <w:r>
                          <w:rPr>
                            <w:rFonts w:ascii="宋体" w:hAnsi="宋体" w:cs="宋体" w:eastAsia="宋体" w:hint="default"/>
                            <w:w w:val="100"/>
                            <w:sz w:val="18"/>
                            <w:szCs w:val="18"/>
                          </w:rPr>
                          <w:t> </w:t>
                        </w:r>
                        <w:r>
                          <w:rPr>
                            <w:rFonts w:ascii="宋体" w:hAnsi="宋体" w:cs="宋体" w:eastAsia="宋体" w:hint="default"/>
                            <w:sz w:val="18"/>
                            <w:szCs w:val="18"/>
                          </w:rPr>
                          <w:t>金</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3,229,920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3,229,920</w:t>
                        </w:r>
                      </w:p>
                    </w:tc>
                  </w:tr>
                  <w:tr>
                    <w:trPr>
                      <w:trHeight w:val="1337"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名无限售流通股股东之间，</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w:t>
                        </w:r>
                      </w:p>
                      <w:p>
                        <w:pPr>
                          <w:pStyle w:val="TableParagraph"/>
                          <w:spacing w:line="300" w:lineRule="auto" w:before="62"/>
                          <w:ind w:left="23" w:right="8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名股东之间关联关系或一致</w:t>
                        </w:r>
                        <w:r>
                          <w:rPr>
                            <w:rFonts w:ascii="宋体" w:hAnsi="宋体" w:cs="宋体" w:eastAsia="宋体" w:hint="default"/>
                            <w:w w:val="100"/>
                            <w:sz w:val="18"/>
                            <w:szCs w:val="18"/>
                          </w:rPr>
                          <w:t> </w:t>
                        </w:r>
                        <w:r>
                          <w:rPr>
                            <w:rFonts w:ascii="宋体" w:hAnsi="宋体" w:cs="宋体" w:eastAsia="宋体" w:hint="default"/>
                            <w:sz w:val="18"/>
                            <w:szCs w:val="18"/>
                          </w:rPr>
                          <w:t>行动的说明</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22"/>
                          <w:jc w:val="left"/>
                          <w:rPr>
                            <w:rFonts w:ascii="宋体" w:hAnsi="宋体" w:cs="宋体" w:eastAsia="宋体" w:hint="default"/>
                            <w:sz w:val="18"/>
                            <w:szCs w:val="18"/>
                          </w:rPr>
                        </w:pPr>
                        <w:r>
                          <w:rPr>
                            <w:rFonts w:ascii="宋体" w:hAnsi="宋体" w:cs="宋体" w:eastAsia="宋体" w:hint="default"/>
                            <w:spacing w:val="-3"/>
                            <w:sz w:val="18"/>
                            <w:szCs w:val="18"/>
                          </w:rPr>
                          <w:t>公司未知其他前十名无限售条件股东之间是否存在关联关系，也未知是否存在《上市公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司股东持股变动信息披露管理办法》中规定的一致行动人的情况。</w:t>
                        </w:r>
                      </w:p>
                    </w:tc>
                  </w:tr>
                  <w:tr>
                    <w:trPr>
                      <w:trHeight w:val="1027"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81"/>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名普通股股东参与融资融券</w:t>
                        </w:r>
                        <w:r>
                          <w:rPr>
                            <w:rFonts w:ascii="宋体" w:hAnsi="宋体" w:cs="宋体" w:eastAsia="宋体" w:hint="default"/>
                            <w:w w:val="100"/>
                            <w:sz w:val="18"/>
                            <w:szCs w:val="18"/>
                          </w:rPr>
                          <w:t> </w:t>
                        </w:r>
                        <w:r>
                          <w:rPr>
                            <w:rFonts w:ascii="宋体" w:hAnsi="宋体" w:cs="宋体" w:eastAsia="宋体" w:hint="default"/>
                            <w:spacing w:val="-7"/>
                            <w:w w:val="100"/>
                            <w:sz w:val="18"/>
                            <w:szCs w:val="18"/>
                          </w:rPr>
                          <w:t>业务股东情况说明（如有）（参见</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无</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line="416" w:lineRule="exact"/>
        <w:ind w:left="288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0.45pt;height:20.8pt;mso-position-horizontal-relative:char;mso-position-vertical-relative:line" coordorigin="0,0" coordsize="6809,416">
            <v:group style="position:absolute;left:12;top:12;width:2;height:392" coordorigin="12,12" coordsize="2,392">
              <v:shape style="position:absolute;left:12;top:12;width:2;height:392" coordorigin="12,12" coordsize="0,392" path="m12,12l12,404e" filled="false" stroked="true" strokeweight="1.2pt" strokecolor="#ffffff">
                <v:path arrowok="t"/>
              </v:shape>
            </v:group>
            <v:group style="position:absolute;left:24;top:11;width:6785;height:394" coordorigin="24,11" coordsize="6785,394">
              <v:shape style="position:absolute;left:24;top:11;width:6785;height:394" coordorigin="24,11" coordsize="6785,394" path="m24,11l6809,11,6809,405,24,405,24,11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before="44"/>
        <w:ind w:left="0" w:right="157"/>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right="0"/>
        <w:jc w:val="left"/>
      </w:pPr>
      <w:r>
        <w:rPr/>
        <w:t>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名普通股股东、前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名无限售条件普通股股东在报告期内是否进行约定购回交易</w:t>
      </w:r>
    </w:p>
    <w:p>
      <w:pPr>
        <w:pStyle w:val="BodyText"/>
        <w:spacing w:line="240" w:lineRule="auto" w:before="101"/>
        <w:ind w:right="0"/>
        <w:jc w:val="left"/>
      </w:pPr>
      <w:r>
        <w:rPr/>
        <w:t>□ 是 √</w:t>
      </w:r>
      <w:r>
        <w:rPr>
          <w:spacing w:val="1"/>
        </w:rPr>
        <w:t> </w:t>
      </w:r>
      <w:r>
        <w:rPr/>
        <w:t>否</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bookmarkStart w:name="2、公司控股股东情况 " w:id="100"/>
      <w:bookmarkEnd w:id="100"/>
      <w:r>
        <w:rPr/>
      </w:r>
      <w:r>
        <w:rPr/>
        <w:t>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名普通股股东、前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36"/>
        <w:gridCol w:w="2057"/>
        <w:gridCol w:w="4176"/>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359" w:hRule="exact"/>
        </w:trPr>
        <w:tc>
          <w:tcPr>
            <w:tcW w:w="33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董事长韩旭：男，中国国籍，拥有加拿大永久居留权，</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年出生，本科</w:t>
            </w:r>
          </w:p>
        </w:tc>
      </w:tr>
      <w:tr>
        <w:trPr>
          <w:trHeight w:val="306"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学历。历任烟台二运公司职业高中教师，烟台二运公司企管科科员，山东瑞康</w:t>
            </w:r>
          </w:p>
        </w:tc>
      </w:tr>
      <w:tr>
        <w:trPr>
          <w:trHeight w:val="629"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药业董事长，瑞康配送董事长，现任本公司董事长。</w:t>
            </w:r>
          </w:p>
          <w:p>
            <w:pPr>
              <w:pStyle w:val="TableParagraph"/>
              <w:tabs>
                <w:tab w:pos="436" w:val="left" w:leader="none"/>
              </w:tabs>
              <w:spacing w:line="240" w:lineRule="auto" w:before="76"/>
              <w:ind w:left="23" w:right="0"/>
              <w:jc w:val="left"/>
              <w:rPr>
                <w:rFonts w:ascii="宋体" w:hAnsi="宋体" w:cs="宋体" w:eastAsia="宋体" w:hint="default"/>
                <w:sz w:val="18"/>
                <w:szCs w:val="18"/>
              </w:rPr>
            </w:pPr>
            <w:r>
              <w:rPr>
                <w:rFonts w:ascii="Microsoft Sans Serif" w:hAnsi="Microsoft Sans Serif" w:cs="Microsoft Sans Serif" w:eastAsia="Microsoft Sans Serif" w:hint="default"/>
                <w:w w:val="100"/>
                <w:sz w:val="18"/>
                <w:szCs w:val="18"/>
              </w:rPr>
              <w:t> </w:t>
            </w:r>
            <w:r>
              <w:rPr>
                <w:rFonts w:ascii="Microsoft Sans Serif" w:hAnsi="Microsoft Sans Serif" w:cs="Microsoft Sans Serif" w:eastAsia="Microsoft Sans Serif" w:hint="default"/>
                <w:sz w:val="18"/>
                <w:szCs w:val="18"/>
              </w:rPr>
              <w:tab/>
            </w:r>
            <w:r>
              <w:rPr>
                <w:rFonts w:ascii="宋体" w:hAnsi="宋体" w:cs="宋体" w:eastAsia="宋体" w:hint="default"/>
                <w:spacing w:val="-4"/>
                <w:sz w:val="18"/>
                <w:szCs w:val="18"/>
              </w:rPr>
              <w:t>总经理张仁华：女，中国国籍，拥有加拿大永久居留权，</w:t>
            </w:r>
            <w:r>
              <w:rPr>
                <w:rFonts w:ascii="Times New Roman" w:hAnsi="Times New Roman" w:cs="Times New Roman" w:eastAsia="Times New Roman" w:hint="default"/>
                <w:spacing w:val="-4"/>
                <w:sz w:val="18"/>
                <w:szCs w:val="18"/>
              </w:rPr>
              <w:t>1966   </w:t>
            </w:r>
            <w:r>
              <w:rPr>
                <w:rFonts w:ascii="宋体" w:hAnsi="宋体" w:cs="宋体" w:eastAsia="宋体" w:hint="default"/>
                <w:spacing w:val="-4"/>
                <w:sz w:val="18"/>
                <w:szCs w:val="18"/>
              </w:rPr>
              <w:t>年出生，大</w:t>
            </w:r>
          </w:p>
        </w:tc>
      </w:tr>
      <w:tr>
        <w:trPr>
          <w:trHeight w:val="307" w:hRule="exact"/>
        </w:trPr>
        <w:tc>
          <w:tcPr>
            <w:tcW w:w="3336"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专学历，药剂师。历任烟台山医院团总支书记，山东瑞康药业总经理，瑞康配</w:t>
            </w:r>
          </w:p>
        </w:tc>
      </w:tr>
      <w:tr>
        <w:trPr>
          <w:trHeight w:val="360" w:hRule="exact"/>
        </w:trPr>
        <w:tc>
          <w:tcPr>
            <w:tcW w:w="33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送总经理，现任本公司副董事长兼总经理，山东省人大代表。</w:t>
            </w:r>
            <w:r>
              <w:rPr>
                <w:rFonts w:ascii="Microsoft Sans Serif" w:hAnsi="Microsoft Sans Serif" w:cs="Microsoft Sans Serif" w:eastAsia="Microsoft Sans Serif" w:hint="default"/>
                <w:w w:val="100"/>
                <w:sz w:val="18"/>
                <w:szCs w:val="18"/>
              </w:rPr>
              <w:t> </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无</w:t>
            </w:r>
          </w:p>
        </w:tc>
      </w:tr>
    </w:tbl>
    <w:p>
      <w:pPr>
        <w:pStyle w:val="BodyText"/>
        <w:spacing w:line="240" w:lineRule="auto" w:before="49"/>
        <w:ind w:right="0"/>
        <w:jc w:val="left"/>
      </w:pPr>
      <w:r>
        <w:rPr/>
        <w:t>控股股东报告期内变更</w:t>
      </w:r>
    </w:p>
    <w:p>
      <w:pPr>
        <w:pStyle w:val="BodyText"/>
        <w:spacing w:line="360" w:lineRule="auto" w:before="115"/>
        <w:ind w:right="7088"/>
        <w:jc w:val="left"/>
      </w:pPr>
      <w:r>
        <w:rPr/>
        <w:t>□ 适用 √ 不适用</w:t>
      </w:r>
      <w:r>
        <w:rPr>
          <w:w w:val="100"/>
        </w:rPr>
        <w:t> </w:t>
      </w:r>
      <w:bookmarkStart w:name="3、公司实际控制人情况 " w:id="101"/>
      <w:bookmarkEnd w:id="101"/>
      <w:r>
        <w:rPr>
          <w:spacing w:val="-1"/>
        </w:rPr>
        <w:t>公</w:t>
      </w:r>
      <w:r>
        <w:rPr>
          <w:spacing w:val="-1"/>
        </w:rPr>
        <w:t>司报告期控股股东未发生变更。</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left="0" w:right="159"/>
        <w:jc w:val="right"/>
      </w:pPr>
      <w:r>
        <w:rPr/>
        <w:pict>
          <v:shape style="position:absolute;margin-left:56.400002pt;margin-top:-61.085278pt;width:479.05pt;height:158.9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18"/>
                  </w:tblGrid>
                  <w:tr>
                    <w:trPr>
                      <w:trHeight w:val="397"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9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1"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359" w:hRule="exact"/>
                    </w:trPr>
                    <w:tc>
                      <w:tcPr>
                        <w:tcW w:w="3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49"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董事长韩旭：男，中国国籍，拥有加拿大永久永久居留权，</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年出生</w:t>
                        </w:r>
                      </w:p>
                    </w:tc>
                  </w:tr>
                  <w:tr>
                    <w:trPr>
                      <w:trHeight w:val="306"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宋体" w:hAnsi="宋体" w:cs="宋体" w:eastAsia="宋体" w:hint="default"/>
                            <w:sz w:val="18"/>
                            <w:szCs w:val="18"/>
                          </w:rPr>
                        </w:pPr>
                        <w:r>
                          <w:rPr>
                            <w:rFonts w:ascii="宋体" w:hAnsi="宋体" w:cs="宋体" w:eastAsia="宋体" w:hint="default"/>
                            <w:spacing w:val="-2"/>
                            <w:sz w:val="18"/>
                            <w:szCs w:val="18"/>
                          </w:rPr>
                          <w:t>本科学历。历任烟台二运公司职业高中教师，烟台二运公司企管科科员，山东</w:t>
                        </w:r>
                      </w:p>
                    </w:tc>
                  </w:tr>
                  <w:tr>
                    <w:trPr>
                      <w:trHeight w:val="629"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年内的职业及职务</w:t>
                        </w: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tabs>
                            <w:tab w:pos="5437" w:val="left" w:leader="none"/>
                            <w:tab w:pos="5937" w:val="left" w:leader="none"/>
                          </w:tabs>
                          <w:spacing w:line="316" w:lineRule="auto" w:before="10"/>
                          <w:ind w:left="21" w:right="19"/>
                          <w:jc w:val="left"/>
                          <w:rPr>
                            <w:rFonts w:ascii="宋体" w:hAnsi="宋体" w:cs="宋体" w:eastAsia="宋体" w:hint="default"/>
                            <w:sz w:val="18"/>
                            <w:szCs w:val="18"/>
                          </w:rPr>
                        </w:pPr>
                        <w:r>
                          <w:rPr>
                            <w:rFonts w:ascii="宋体" w:hAnsi="宋体" w:cs="宋体" w:eastAsia="宋体" w:hint="default"/>
                            <w:spacing w:val="-6"/>
                            <w:sz w:val="18"/>
                            <w:szCs w:val="18"/>
                          </w:rPr>
                          <w:t>瑞康药业董事长，瑞康配送董事长，现任本公司董事长。</w:t>
                          <w:tab/>
                        </w:r>
                        <w:r>
                          <w:rPr>
                            <w:rFonts w:ascii="Microsoft Sans Serif" w:hAnsi="Microsoft Sans Serif" w:cs="Microsoft Sans Serif" w:eastAsia="Microsoft Sans Serif" w:hint="default"/>
                            <w:spacing w:val="-6"/>
                            <w:sz w:val="18"/>
                            <w:szCs w:val="18"/>
                          </w:rPr>
                          <w:tab/>
                        </w:r>
                        <w:r>
                          <w:rPr>
                            <w:rFonts w:ascii="宋体" w:hAnsi="宋体" w:cs="宋体" w:eastAsia="宋体" w:hint="default"/>
                            <w:sz w:val="18"/>
                            <w:szCs w:val="18"/>
                          </w:rPr>
                          <w:t>总</w:t>
                        </w:r>
                        <w:r>
                          <w:rPr>
                            <w:rFonts w:ascii="宋体" w:hAnsi="宋体" w:cs="宋体" w:eastAsia="宋体" w:hint="default"/>
                            <w:w w:val="100"/>
                            <w:sz w:val="18"/>
                            <w:szCs w:val="18"/>
                          </w:rPr>
                          <w:t> </w:t>
                        </w:r>
                        <w:r>
                          <w:rPr>
                            <w:rFonts w:ascii="宋体" w:hAnsi="宋体" w:cs="宋体" w:eastAsia="宋体" w:hint="default"/>
                            <w:sz w:val="18"/>
                            <w:szCs w:val="18"/>
                          </w:rPr>
                          <w:t>经理张仁华：女，中国国籍，拥有加拿大永久居留权，</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年出生，大专学</w:t>
                        </w:r>
                      </w:p>
                    </w:tc>
                  </w:tr>
                  <w:tr>
                    <w:trPr>
                      <w:trHeight w:val="307"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49"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2"/>
                            <w:sz w:val="18"/>
                            <w:szCs w:val="18"/>
                          </w:rPr>
                          <w:t>历，药剂师。历任烟台山医院团总支书记，山东瑞康药业总经理，瑞康配送总</w:t>
                        </w:r>
                      </w:p>
                    </w:tc>
                  </w:tr>
                  <w:tr>
                    <w:trPr>
                      <w:trHeight w:val="360" w:hRule="exact"/>
                    </w:trPr>
                    <w:tc>
                      <w:tcPr>
                        <w:tcW w:w="3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49"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Microsoft Sans Serif" w:hAnsi="Microsoft Sans Serif" w:cs="Microsoft Sans Serif" w:eastAsia="Microsoft Sans Serif" w:hint="default"/>
                            <w:sz w:val="18"/>
                            <w:szCs w:val="18"/>
                          </w:rPr>
                        </w:pPr>
                        <w:r>
                          <w:rPr>
                            <w:rFonts w:ascii="宋体" w:hAnsi="宋体" w:cs="宋体" w:eastAsia="宋体" w:hint="default"/>
                            <w:sz w:val="18"/>
                            <w:szCs w:val="18"/>
                          </w:rPr>
                          <w:t>经理，现任本公司副董事长兼总经理，山东省人大代表。</w:t>
                        </w:r>
                        <w:r>
                          <w:rPr>
                            <w:rFonts w:ascii="Microsoft Sans Serif" w:hAnsi="Microsoft Sans Serif" w:cs="Microsoft Sans Serif" w:eastAsia="Microsoft Sans Serif" w:hint="default"/>
                            <w:w w:val="100"/>
                            <w:sz w:val="18"/>
                            <w:szCs w:val="18"/>
                          </w:rPr>
                          <w:t> </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right="0"/>
        <w:jc w:val="left"/>
      </w:pPr>
      <w:r>
        <w:rPr/>
        <w:t>实际控制人报告期内变更</w:t>
      </w:r>
    </w:p>
    <w:p>
      <w:pPr>
        <w:pStyle w:val="BodyText"/>
        <w:spacing w:line="357" w:lineRule="auto" w:before="117"/>
        <w:ind w:right="5403"/>
        <w:jc w:val="left"/>
      </w:pPr>
      <w:r>
        <w:rPr/>
        <w:t>□ 适用 √ 不适用</w:t>
      </w:r>
      <w:r>
        <w:rPr>
          <w:w w:val="100"/>
        </w:rPr>
        <w:t> </w:t>
      </w:r>
      <w:r>
        <w:rPr/>
        <w:t>公司报告期实际控制人未发生变更。</w:t>
      </w:r>
      <w:r>
        <w:rPr>
          <w:w w:val="100"/>
        </w:rPr>
        <w:t> </w:t>
      </w:r>
      <w:r>
        <w:rPr>
          <w:spacing w:val="-1"/>
        </w:rPr>
        <w:t>公司与实际控制人之间的产权及控制关系的方框图</w:t>
      </w:r>
    </w:p>
    <w:p>
      <w:pPr>
        <w:spacing w:after="0" w:line="357"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940" w:lineRule="exact"/>
        <w:ind w:left="1355"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93336" cy="18669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3336" cy="186690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4"/>
        <w:rPr>
          <w:rFonts w:ascii="宋体" w:hAnsi="宋体" w:cs="宋体" w:eastAsia="宋体" w:hint="default"/>
          <w:sz w:val="17"/>
          <w:szCs w:val="17"/>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bookmarkStart w:name="4、其他持股在10%以上的法人股东 " w:id="102"/>
      <w:bookmarkEnd w:id="102"/>
      <w:r>
        <w:rPr/>
      </w: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4"/>
        <w:gridCol w:w="1094"/>
        <w:gridCol w:w="888"/>
        <w:gridCol w:w="1800"/>
        <w:gridCol w:w="1802"/>
        <w:gridCol w:w="1798"/>
      </w:tblGrid>
      <w:tr>
        <w:trPr>
          <w:trHeight w:val="713" w:hRule="exact"/>
        </w:trPr>
        <w:tc>
          <w:tcPr>
            <w:tcW w:w="2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712" w:right="84" w:hanging="632"/>
              <w:jc w:val="left"/>
              <w:rPr>
                <w:rFonts w:ascii="宋体" w:hAnsi="宋体" w:cs="宋体" w:eastAsia="宋体" w:hint="default"/>
                <w:sz w:val="18"/>
                <w:szCs w:val="18"/>
              </w:rPr>
            </w:pPr>
            <w:r>
              <w:rPr>
                <w:rFonts w:ascii="宋体" w:hAnsi="宋体" w:cs="宋体" w:eastAsia="宋体" w:hint="default"/>
                <w:sz w:val="18"/>
                <w:szCs w:val="18"/>
              </w:rPr>
              <w:t>主要经营业务或管理</w:t>
            </w:r>
            <w:r>
              <w:rPr>
                <w:rFonts w:ascii="宋体" w:hAnsi="宋体" w:cs="宋体" w:eastAsia="宋体" w:hint="default"/>
                <w:w w:val="100"/>
                <w:sz w:val="18"/>
                <w:szCs w:val="18"/>
              </w:rPr>
              <w:t> </w:t>
            </w:r>
            <w:r>
              <w:rPr>
                <w:rFonts w:ascii="宋体" w:hAnsi="宋体" w:cs="宋体" w:eastAsia="宋体" w:hint="default"/>
                <w:sz w:val="18"/>
                <w:szCs w:val="18"/>
              </w:rPr>
              <w:t>活动</w:t>
            </w:r>
          </w:p>
        </w:tc>
      </w:tr>
      <w:tr>
        <w:trPr>
          <w:trHeight w:val="360" w:hRule="exact"/>
        </w:trPr>
        <w:tc>
          <w:tcPr>
            <w:tcW w:w="2184" w:type="dxa"/>
            <w:tcBorders>
              <w:top w:val="single" w:sz="4" w:space="0" w:color="000000"/>
              <w:left w:val="single" w:sz="4" w:space="0" w:color="000000"/>
              <w:bottom w:val="nil" w:sz="6" w:space="0" w:color="auto"/>
              <w:right w:val="single" w:sz="4" w:space="0" w:color="000000"/>
            </w:tcBorders>
          </w:tcPr>
          <w:p>
            <w:pPr/>
          </w:p>
        </w:tc>
        <w:tc>
          <w:tcPr>
            <w:tcW w:w="1094"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1802" w:type="dxa"/>
            <w:tcBorders>
              <w:top w:val="single" w:sz="4" w:space="0" w:color="000000"/>
              <w:left w:val="single" w:sz="4" w:space="0" w:color="000000"/>
              <w:bottom w:val="nil" w:sz="6" w:space="0" w:color="auto"/>
              <w:right w:val="single" w:sz="4" w:space="0" w:color="000000"/>
            </w:tcBorders>
          </w:tcPr>
          <w:p>
            <w:pPr/>
          </w:p>
        </w:tc>
        <w:tc>
          <w:tcPr>
            <w:tcW w:w="1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INVESTMENT,</w:t>
            </w:r>
          </w:p>
        </w:tc>
      </w:tr>
      <w:tr>
        <w:trPr>
          <w:trHeight w:val="312" w:hRule="exact"/>
        </w:trPr>
        <w:tc>
          <w:tcPr>
            <w:tcW w:w="218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TRADING</w:t>
            </w:r>
            <w:r>
              <w:rPr>
                <w:rFonts w:ascii="宋体" w:hAnsi="宋体" w:cs="宋体" w:eastAsia="宋体" w:hint="default"/>
                <w:sz w:val="18"/>
                <w:szCs w:val="18"/>
              </w:rPr>
              <w:t>（股权投</w:t>
            </w:r>
          </w:p>
        </w:tc>
      </w:tr>
      <w:tr>
        <w:trPr>
          <w:trHeight w:val="307" w:hRule="exact"/>
        </w:trPr>
        <w:tc>
          <w:tcPr>
            <w:tcW w:w="218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资</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，主要投资方向</w:t>
            </w:r>
            <w:r>
              <w:rPr>
                <w:rFonts w:ascii="宋体" w:hAnsi="宋体" w:cs="宋体" w:eastAsia="宋体" w:hint="default"/>
                <w:w w:val="100"/>
                <w:sz w:val="18"/>
                <w:szCs w:val="18"/>
              </w:rPr>
              <w:t>为</w:t>
            </w:r>
          </w:p>
        </w:tc>
      </w:tr>
      <w:tr>
        <w:trPr>
          <w:trHeight w:val="312" w:hRule="exact"/>
        </w:trPr>
        <w:tc>
          <w:tcPr>
            <w:tcW w:w="218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中国快速增长的中小</w:t>
            </w:r>
          </w:p>
        </w:tc>
      </w:tr>
      <w:tr>
        <w:trPr>
          <w:trHeight w:val="629" w:hRule="exact"/>
        </w:trPr>
        <w:tc>
          <w:tcPr>
            <w:tcW w:w="218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TB Nature</w:t>
            </w:r>
            <w:r>
              <w:rPr>
                <w:rFonts w:ascii="Times New Roman"/>
                <w:spacing w:val="-9"/>
                <w:sz w:val="18"/>
              </w:rPr>
              <w:t> </w:t>
            </w:r>
            <w:r>
              <w:rPr>
                <w:rFonts w:ascii="Times New Roman"/>
                <w:sz w:val="18"/>
              </w:rPr>
              <w:t>Limited</w:t>
            </w:r>
          </w:p>
        </w:tc>
        <w:tc>
          <w:tcPr>
            <w:tcW w:w="10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李曙军</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1173645</w:t>
            </w:r>
          </w:p>
        </w:tc>
        <w:tc>
          <w:tcPr>
            <w:tcW w:w="18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港币</w:t>
            </w: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1" w:right="22"/>
              <w:jc w:val="left"/>
              <w:rPr>
                <w:rFonts w:ascii="宋体" w:hAnsi="宋体" w:cs="宋体" w:eastAsia="宋体" w:hint="default"/>
                <w:sz w:val="18"/>
                <w:szCs w:val="18"/>
              </w:rPr>
            </w:pPr>
            <w:r>
              <w:rPr>
                <w:rFonts w:ascii="宋体" w:hAnsi="宋体" w:cs="宋体" w:eastAsia="宋体" w:hint="default"/>
                <w:spacing w:val="-7"/>
                <w:sz w:val="18"/>
                <w:szCs w:val="18"/>
              </w:rPr>
              <w:t>型民营企业，重点关注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的行业包括可再生能</w:t>
            </w:r>
          </w:p>
        </w:tc>
      </w:tr>
      <w:tr>
        <w:trPr>
          <w:trHeight w:val="307" w:hRule="exact"/>
        </w:trPr>
        <w:tc>
          <w:tcPr>
            <w:tcW w:w="218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源和环境保护、新材</w:t>
            </w:r>
          </w:p>
        </w:tc>
      </w:tr>
      <w:tr>
        <w:trPr>
          <w:trHeight w:val="312" w:hRule="exact"/>
        </w:trPr>
        <w:tc>
          <w:tcPr>
            <w:tcW w:w="218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料、教育和其他服务</w:t>
            </w:r>
          </w:p>
        </w:tc>
      </w:tr>
      <w:tr>
        <w:trPr>
          <w:trHeight w:val="312" w:hRule="exact"/>
        </w:trPr>
        <w:tc>
          <w:tcPr>
            <w:tcW w:w="2184" w:type="dxa"/>
            <w:tcBorders>
              <w:top w:val="nil" w:sz="6" w:space="0" w:color="auto"/>
              <w:left w:val="single" w:sz="4" w:space="0" w:color="000000"/>
              <w:bottom w:val="nil" w:sz="6" w:space="0" w:color="auto"/>
              <w:right w:val="single" w:sz="4" w:space="0" w:color="000000"/>
            </w:tcBorders>
          </w:tcPr>
          <w:p>
            <w:pPr/>
          </w:p>
        </w:tc>
        <w:tc>
          <w:tcPr>
            <w:tcW w:w="1094"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800" w:type="dxa"/>
            <w:tcBorders>
              <w:top w:val="nil" w:sz="6" w:space="0" w:color="auto"/>
              <w:left w:val="single" w:sz="4" w:space="0" w:color="000000"/>
              <w:bottom w:val="nil" w:sz="6" w:space="0" w:color="auto"/>
              <w:right w:val="single" w:sz="4" w:space="0" w:color="000000"/>
            </w:tcBorders>
          </w:tcPr>
          <w:p>
            <w:pPr/>
          </w:p>
        </w:tc>
        <w:tc>
          <w:tcPr>
            <w:tcW w:w="1802" w:type="dxa"/>
            <w:tcBorders>
              <w:top w:val="nil" w:sz="6" w:space="0" w:color="auto"/>
              <w:left w:val="single" w:sz="4" w:space="0" w:color="000000"/>
              <w:bottom w:val="nil" w:sz="6" w:space="0" w:color="auto"/>
              <w:right w:val="single" w:sz="4" w:space="0" w:color="000000"/>
            </w:tcBorders>
          </w:tcPr>
          <w:p>
            <w:pPr/>
          </w:p>
        </w:tc>
        <w:tc>
          <w:tcPr>
            <w:tcW w:w="1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pacing w:val="-7"/>
                <w:sz w:val="18"/>
                <w:szCs w:val="18"/>
              </w:rPr>
              <w:t>业、消费品和零售等行</w:t>
            </w:r>
          </w:p>
        </w:tc>
      </w:tr>
      <w:tr>
        <w:trPr>
          <w:trHeight w:val="360" w:hRule="exact"/>
        </w:trPr>
        <w:tc>
          <w:tcPr>
            <w:tcW w:w="2184" w:type="dxa"/>
            <w:tcBorders>
              <w:top w:val="nil" w:sz="6" w:space="0" w:color="auto"/>
              <w:left w:val="single" w:sz="4" w:space="0" w:color="000000"/>
              <w:bottom w:val="single" w:sz="4" w:space="0" w:color="000000"/>
              <w:right w:val="single" w:sz="4" w:space="0" w:color="000000"/>
            </w:tcBorders>
          </w:tcPr>
          <w:p>
            <w:pPr/>
          </w:p>
        </w:tc>
        <w:tc>
          <w:tcPr>
            <w:tcW w:w="1094"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1802" w:type="dxa"/>
            <w:tcBorders>
              <w:top w:val="nil" w:sz="6" w:space="0" w:color="auto"/>
              <w:left w:val="single" w:sz="4" w:space="0" w:color="000000"/>
              <w:bottom w:val="single" w:sz="4" w:space="0" w:color="000000"/>
              <w:right w:val="single" w:sz="4" w:space="0" w:color="000000"/>
            </w:tcBorders>
          </w:tcPr>
          <w:p>
            <w:pPr/>
          </w:p>
        </w:tc>
        <w:tc>
          <w:tcPr>
            <w:tcW w:w="1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bookmarkStart w:name="四、公司股东及其一致行动人在报告期提出或实施股份增持计划的情况 " w:id="103"/>
            <w:bookmarkEnd w:id="103"/>
            <w:r>
              <w:rPr/>
            </w:r>
            <w:r>
              <w:rPr>
                <w:rFonts w:ascii="宋体" w:hAnsi="宋体" w:cs="宋体" w:eastAsia="宋体" w:hint="default"/>
                <w:sz w:val="18"/>
                <w:szCs w:val="18"/>
              </w:rPr>
              <w:t>业。</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402"/>
        <w:gridCol w:w="1366"/>
        <w:gridCol w:w="1368"/>
        <w:gridCol w:w="1366"/>
        <w:gridCol w:w="1368"/>
        <w:gridCol w:w="1368"/>
      </w:tblGrid>
      <w:tr>
        <w:trPr>
          <w:trHeight w:val="715" w:hRule="exact"/>
        </w:trPr>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13" w:right="93" w:hanging="11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w:t>
            </w:r>
            <w:r>
              <w:rPr>
                <w:rFonts w:ascii="宋体" w:hAnsi="宋体" w:cs="宋体" w:eastAsia="宋体" w:hint="default"/>
                <w:w w:val="100"/>
                <w:sz w:val="18"/>
                <w:szCs w:val="18"/>
              </w:rPr>
              <w:t> </w:t>
            </w:r>
            <w:r>
              <w:rPr>
                <w:rFonts w:ascii="宋体" w:hAnsi="宋体" w:cs="宋体" w:eastAsia="宋体" w:hint="default"/>
                <w:sz w:val="18"/>
                <w:szCs w:val="18"/>
              </w:rPr>
              <w:t>行动人姓名</w:t>
            </w:r>
          </w:p>
        </w:tc>
        <w:tc>
          <w:tcPr>
            <w:tcW w:w="1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604" w:right="64" w:hanging="540"/>
              <w:jc w:val="left"/>
              <w:rPr>
                <w:rFonts w:ascii="宋体" w:hAnsi="宋体" w:cs="宋体" w:eastAsia="宋体" w:hint="default"/>
                <w:sz w:val="18"/>
                <w:szCs w:val="18"/>
              </w:rPr>
            </w:pPr>
            <w:r>
              <w:rPr>
                <w:rFonts w:ascii="宋体" w:hAnsi="宋体" w:cs="宋体" w:eastAsia="宋体" w:hint="default"/>
                <w:sz w:val="18"/>
                <w:szCs w:val="18"/>
              </w:rPr>
              <w:t>计划增持股份数</w:t>
            </w:r>
            <w:r>
              <w:rPr>
                <w:rFonts w:ascii="宋体" w:hAnsi="宋体" w:cs="宋体" w:eastAsia="宋体" w:hint="default"/>
                <w:w w:val="100"/>
                <w:sz w:val="18"/>
                <w:szCs w:val="18"/>
              </w:rPr>
              <w:t> </w:t>
            </w:r>
            <w:r>
              <w:rPr>
                <w:rFonts w:ascii="宋体" w:hAnsi="宋体" w:cs="宋体" w:eastAsia="宋体" w:hint="default"/>
                <w:sz w:val="18"/>
                <w:szCs w:val="18"/>
              </w:rPr>
              <w:t>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87" w:right="45" w:hanging="540"/>
              <w:jc w:val="left"/>
              <w:rPr>
                <w:rFonts w:ascii="宋体" w:hAnsi="宋体" w:cs="宋体" w:eastAsia="宋体" w:hint="default"/>
                <w:sz w:val="18"/>
                <w:szCs w:val="18"/>
              </w:rPr>
            </w:pPr>
            <w:r>
              <w:rPr>
                <w:rFonts w:ascii="宋体" w:hAnsi="宋体" w:cs="宋体" w:eastAsia="宋体" w:hint="default"/>
                <w:sz w:val="18"/>
                <w:szCs w:val="18"/>
              </w:rPr>
              <w:t>计划增持股份比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实际增持股份数</w:t>
            </w:r>
            <w:r>
              <w:rPr>
                <w:rFonts w:ascii="宋体" w:hAnsi="宋体" w:cs="宋体" w:eastAsia="宋体" w:hint="default"/>
                <w:w w:val="100"/>
                <w:sz w:val="18"/>
                <w:szCs w:val="18"/>
              </w:rPr>
              <w:t> </w:t>
            </w:r>
            <w:r>
              <w:rPr>
                <w:rFonts w:ascii="宋体" w:hAnsi="宋体" w:cs="宋体" w:eastAsia="宋体" w:hint="default"/>
                <w:sz w:val="18"/>
                <w:szCs w:val="18"/>
              </w:rPr>
              <w:t>量</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87" w:right="45" w:hanging="540"/>
              <w:jc w:val="left"/>
              <w:rPr>
                <w:rFonts w:ascii="宋体" w:hAnsi="宋体" w:cs="宋体" w:eastAsia="宋体" w:hint="default"/>
                <w:sz w:val="18"/>
                <w:szCs w:val="18"/>
              </w:rPr>
            </w:pPr>
            <w:r>
              <w:rPr>
                <w:rFonts w:ascii="宋体" w:hAnsi="宋体" w:cs="宋体" w:eastAsia="宋体" w:hint="default"/>
                <w:sz w:val="18"/>
                <w:szCs w:val="18"/>
              </w:rPr>
              <w:t>实际增持股份比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股份增持计划初</w:t>
            </w:r>
            <w:r>
              <w:rPr>
                <w:rFonts w:ascii="宋体" w:hAnsi="宋体" w:cs="宋体" w:eastAsia="宋体" w:hint="default"/>
                <w:w w:val="100"/>
                <w:sz w:val="18"/>
                <w:szCs w:val="18"/>
              </w:rPr>
              <w:t> </w:t>
            </w:r>
            <w:r>
              <w:rPr>
                <w:rFonts w:ascii="宋体" w:hAnsi="宋体" w:cs="宋体" w:eastAsia="宋体" w:hint="default"/>
                <w:sz w:val="18"/>
                <w:szCs w:val="18"/>
              </w:rPr>
              <w:t>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49" w:right="45"/>
              <w:jc w:val="left"/>
              <w:rPr>
                <w:rFonts w:ascii="宋体" w:hAnsi="宋体" w:cs="宋体" w:eastAsia="宋体" w:hint="default"/>
                <w:sz w:val="18"/>
                <w:szCs w:val="18"/>
              </w:rPr>
            </w:pPr>
            <w:r>
              <w:rPr>
                <w:rFonts w:ascii="宋体" w:hAnsi="宋体" w:cs="宋体" w:eastAsia="宋体" w:hint="default"/>
                <w:sz w:val="18"/>
                <w:szCs w:val="18"/>
              </w:rPr>
              <w:t>股份增持计划实</w:t>
            </w:r>
            <w:r>
              <w:rPr>
                <w:rFonts w:ascii="宋体" w:hAnsi="宋体" w:cs="宋体" w:eastAsia="宋体" w:hint="default"/>
                <w:w w:val="100"/>
                <w:sz w:val="18"/>
                <w:szCs w:val="18"/>
              </w:rPr>
              <w:t> </w:t>
            </w:r>
            <w:r>
              <w:rPr>
                <w:rFonts w:ascii="宋体" w:hAnsi="宋体" w:cs="宋体" w:eastAsia="宋体" w:hint="default"/>
                <w:sz w:val="18"/>
                <w:szCs w:val="18"/>
              </w:rPr>
              <w:t>施结束披露日期</w:t>
            </w:r>
          </w:p>
        </w:tc>
      </w:tr>
      <w:tr>
        <w:trPr>
          <w:trHeight w:val="71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19,792,182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0" w:right="0"/>
              <w:jc w:val="left"/>
              <w:rPr>
                <w:rFonts w:ascii="Times New Roman" w:hAnsi="Times New Roman" w:cs="Times New Roman" w:eastAsia="Times New Roman" w:hint="default"/>
                <w:sz w:val="18"/>
                <w:szCs w:val="18"/>
              </w:rPr>
            </w:pPr>
            <w:r>
              <w:rPr>
                <w:rFonts w:ascii="Times New Roman"/>
                <w:sz w:val="18"/>
              </w:rPr>
              <w:t>19,792,182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5" w:right="0"/>
              <w:jc w:val="left"/>
              <w:rPr>
                <w:rFonts w:ascii="宋体" w:hAnsi="宋体" w:cs="宋体" w:eastAsia="宋体" w:hint="default"/>
                <w:sz w:val="18"/>
                <w:szCs w:val="18"/>
              </w:rPr>
            </w:pPr>
            <w:r>
              <w:rPr>
                <w:rFonts w:ascii="宋体" w:hAnsi="宋体" w:cs="宋体" w:eastAsia="宋体" w:hint="default"/>
                <w:w w:val="100"/>
                <w:sz w:val="18"/>
                <w:szCs w:val="18"/>
              </w:rPr>
              <w:t>日</w:t>
            </w:r>
          </w:p>
        </w:tc>
      </w:tr>
    </w:tbl>
    <w:p>
      <w:pPr>
        <w:pStyle w:val="BodyText"/>
        <w:spacing w:line="240" w:lineRule="auto" w:before="49"/>
        <w:ind w:right="0"/>
        <w:jc w:val="left"/>
      </w:pPr>
      <w:r>
        <w:rPr/>
        <w:t>其他情况说明</w:t>
      </w:r>
    </w:p>
    <w:p>
      <w:pPr>
        <w:pStyle w:val="BodyText"/>
        <w:spacing w:line="300" w:lineRule="auto" w:before="117"/>
        <w:ind w:right="0" w:firstLine="371"/>
        <w:jc w:val="left"/>
      </w:pPr>
      <w:r>
        <w:rPr>
          <w:rFonts w:ascii="Times New Roman" w:hAnsi="Times New Roman" w:cs="Times New Roman" w:eastAsia="Times New Roman" w:hint="default"/>
        </w:rPr>
        <w:t>2014</w:t>
      </w:r>
      <w:r>
        <w:rPr/>
        <w:t>年非公开发行股票方案经公司分别于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日召开的第二届董事会第十六次会议和</w:t>
      </w:r>
      <w:r>
        <w:rPr>
          <w:spacing w:val="-4"/>
        </w:rPr>
        <w:t> </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t>年第三次临时股东大会审议通过。本次非公开发行股票的申请于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24</w:t>
      </w:r>
      <w:r>
        <w:rPr/>
        <w:t>日经中国证监会发行审核委员会审核通过。</w:t>
      </w:r>
      <w:r>
        <w:rPr>
          <w:w w:val="100"/>
        </w:rPr>
        <w:t>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9"/>
        </w:rPr>
        <w:t> </w:t>
      </w:r>
      <w:r>
        <w:rPr/>
        <w:t>日，中国证监会核发《关于核准山东瑞康医药股份有限公司非公开发行股票的批复》（证监许可【</w:t>
      </w:r>
      <w:r>
        <w:rPr>
          <w:rFonts w:ascii="Times New Roman" w:hAnsi="Times New Roman" w:cs="Times New Roman" w:eastAsia="Times New Roman" w:hint="default"/>
        </w:rPr>
        <w:t>2015</w:t>
      </w:r>
      <w:r>
        <w:rPr/>
        <w:t>】</w:t>
      </w:r>
    </w:p>
    <w:p>
      <w:pPr>
        <w:pStyle w:val="BodyText"/>
        <w:spacing w:line="240" w:lineRule="auto" w:before="13"/>
        <w:ind w:right="0"/>
        <w:jc w:val="left"/>
      </w:pPr>
      <w:r>
        <w:rPr>
          <w:rFonts w:ascii="Times New Roman" w:hAnsi="Times New Roman" w:cs="Times New Roman" w:eastAsia="Times New Roman" w:hint="default"/>
        </w:rPr>
        <w:t>87  </w:t>
      </w:r>
      <w:r>
        <w:rPr>
          <w:spacing w:val="-3"/>
        </w:rPr>
        <w:t>号），核准公司非公开发行不超过 </w:t>
      </w:r>
      <w:r>
        <w:rPr>
          <w:rFonts w:ascii="Times New Roman" w:hAnsi="Times New Roman" w:cs="Times New Roman" w:eastAsia="Times New Roman" w:hint="default"/>
        </w:rPr>
        <w:t>59,376,546</w:t>
      </w:r>
      <w:r>
        <w:rPr>
          <w:rFonts w:ascii="Times New Roman" w:hAnsi="Times New Roman" w:cs="Times New Roman" w:eastAsia="Times New Roman" w:hint="default"/>
          <w:spacing w:val="44"/>
        </w:rPr>
        <w:t> </w:t>
      </w:r>
      <w:r>
        <w:rPr>
          <w:spacing w:val="-3"/>
        </w:rPr>
        <w:t>股新股。</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17</w:t>
      </w:r>
      <w:r>
        <w:rPr>
          <w:spacing w:val="-3"/>
        </w:rPr>
        <w:t>日，公司披露了《非公开发行</w:t>
      </w:r>
      <w:r>
        <w:rPr>
          <w:rFonts w:ascii="Times New Roman" w:hAnsi="Times New Roman" w:cs="Times New Roman" w:eastAsia="Times New Roman" w:hint="default"/>
          <w:spacing w:val="-3"/>
        </w:rPr>
        <w:t>A</w:t>
      </w:r>
      <w:r>
        <w:rPr>
          <w:spacing w:val="-3"/>
        </w:rPr>
        <w:t>股股票之发行情况报</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告暨上市公告书》等公告，增发股份于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日发行上市，有关公告请参阅巨潮资讯网。</w:t>
      </w:r>
    </w:p>
    <w:p>
      <w:pPr>
        <w:spacing w:after="0" w:line="2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4" w:right="0"/>
        <w:jc w:val="left"/>
        <w:rPr>
          <w:b w:val="0"/>
          <w:bCs w:val="0"/>
        </w:rPr>
      </w:pPr>
      <w:bookmarkStart w:name="第七节 优先股相关情况 " w:id="104"/>
      <w:bookmarkEnd w:id="104"/>
      <w:r>
        <w:rPr>
          <w:b w:val="0"/>
          <w:bCs w:val="0"/>
        </w:rPr>
      </w:r>
      <w:bookmarkStart w:name="_bookmark6" w:id="105"/>
      <w:bookmarkEnd w:id="105"/>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76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spacing w:val="-1"/>
        </w:rPr>
        <w:t>报告期公司不存在优先股。</w:t>
      </w:r>
    </w:p>
    <w:p>
      <w:pPr>
        <w:spacing w:after="0" w:line="3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r>
        <w:rPr/>
        <w:pict>
          <v:group style="position:absolute;margin-left:143.639999pt;margin-top:309.990021pt;width:41.9pt;height:20.7pt;mso-position-horizontal-relative:page;mso-position-vertical-relative:page;z-index:-898336" coordorigin="2873,6200" coordsize="838,414">
            <v:group style="position:absolute;left:2885;top:6212;width:2;height:390" coordorigin="2885,6212" coordsize="2,390">
              <v:shape style="position:absolute;left:2885;top:6212;width:2;height:390" coordorigin="2885,6212" coordsize="0,390" path="m2885,6212l2885,6602e" filled="false" stroked="true" strokeweight="1.2pt" strokecolor="#ffffff">
                <v:path arrowok="t"/>
              </v:shape>
            </v:group>
            <v:group style="position:absolute;left:2897;top:6211;width:814;height:392" coordorigin="2897,6211" coordsize="814,392">
              <v:shape style="position:absolute;left:2897;top:6211;width:814;height:392" coordorigin="2897,6211" coordsize="814,392" path="m2897,6211l3710,6211,3710,6602,2897,6602,2897,6211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676" w:right="0"/>
        <w:jc w:val="left"/>
        <w:rPr>
          <w:b w:val="0"/>
          <w:bCs w:val="0"/>
        </w:rPr>
      </w:pPr>
      <w:bookmarkStart w:name="第八节 董事、监事、高级管理人员和员工情况 " w:id="106"/>
      <w:bookmarkEnd w:id="106"/>
      <w:r>
        <w:rPr>
          <w:b w:val="0"/>
          <w:bCs w:val="0"/>
        </w:rPr>
      </w:r>
      <w:bookmarkStart w:name="_bookmark7" w:id="107"/>
      <w:bookmarkEnd w:id="107"/>
      <w:r>
        <w:rPr>
          <w:b w:val="0"/>
          <w:bCs w:val="0"/>
        </w:rPr>
      </w:r>
      <w:r>
        <w:rPr/>
        <w:t>第八节</w:t>
      </w:r>
      <w:r>
        <w:rPr>
          <w:spacing w:val="-16"/>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董事、监事和高级管理人员持股变动 " w:id="108"/>
      <w:bookmarkEnd w:id="10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1"/>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w w:val="100"/>
                <w:sz w:val="18"/>
                <w:szCs w:val="18"/>
              </w:rPr>
              <w:t> </w:t>
            </w:r>
            <w:r>
              <w:rPr>
                <w:rFonts w:ascii="宋体" w:hAnsi="宋体" w:cs="宋体" w:eastAsia="宋体" w:hint="default"/>
                <w:sz w:val="18"/>
                <w:szCs w:val="18"/>
              </w:rPr>
              <w:t>日期</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1" w:right="67" w:hanging="180"/>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w w:val="100"/>
                <w:sz w:val="18"/>
                <w:szCs w:val="18"/>
              </w:rPr>
              <w:t> </w:t>
            </w:r>
            <w:r>
              <w:rPr>
                <w:rFonts w:ascii="宋体" w:hAnsi="宋体" w:cs="宋体" w:eastAsia="宋体" w:hint="default"/>
                <w:sz w:val="18"/>
                <w:szCs w:val="18"/>
              </w:rPr>
              <w:t>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6" w:right="70"/>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w w:val="100"/>
                <w:sz w:val="18"/>
                <w:szCs w:val="18"/>
              </w:rPr>
              <w:t> </w:t>
            </w:r>
            <w:r>
              <w:rPr>
                <w:rFonts w:ascii="宋体" w:hAnsi="宋体" w:cs="宋体" w:eastAsia="宋体" w:hint="default"/>
                <w:sz w:val="18"/>
                <w:szCs w:val="18"/>
              </w:rPr>
              <w:t>数（股）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w w:val="100"/>
                <w:sz w:val="18"/>
                <w:szCs w:val="18"/>
              </w:rPr>
              <w:t> </w:t>
            </w:r>
            <w:r>
              <w:rPr>
                <w:rFonts w:ascii="宋体" w:hAnsi="宋体" w:cs="宋体" w:eastAsia="宋体" w:hint="default"/>
                <w:sz w:val="18"/>
                <w:szCs w:val="18"/>
              </w:rPr>
              <w:t>股份数量</w:t>
            </w:r>
          </w:p>
          <w:p>
            <w:pPr>
              <w:pStyle w:val="TableParagraph"/>
              <w:spacing w:line="240" w:lineRule="auto" w:before="19"/>
              <w:ind w:left="16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6" w:right="69"/>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w w:val="100"/>
                <w:sz w:val="18"/>
                <w:szCs w:val="18"/>
              </w:rPr>
              <w:t> </w:t>
            </w:r>
            <w:r>
              <w:rPr>
                <w:rFonts w:ascii="宋体" w:hAnsi="宋体" w:cs="宋体" w:eastAsia="宋体" w:hint="default"/>
                <w:sz w:val="18"/>
                <w:szCs w:val="18"/>
              </w:rPr>
              <w:t>股份数量</w:t>
            </w:r>
          </w:p>
          <w:p>
            <w:pPr>
              <w:pStyle w:val="TableParagraph"/>
              <w:spacing w:line="240" w:lineRule="auto" w:before="19"/>
              <w:ind w:left="15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1" w:right="67"/>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w w:val="100"/>
                <w:sz w:val="18"/>
                <w:szCs w:val="18"/>
              </w:rPr>
              <w:t> </w:t>
            </w:r>
            <w:r>
              <w:rPr>
                <w:rFonts w:ascii="宋体" w:hAnsi="宋体" w:cs="宋体" w:eastAsia="宋体" w:hint="default"/>
                <w:sz w:val="18"/>
                <w:szCs w:val="18"/>
              </w:rPr>
              <w:t>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21,406,728</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42,813,456</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8"/>
                <w:w w:val="100"/>
                <w:sz w:val="18"/>
                <w:szCs w:val="18"/>
              </w:rPr>
              <w:t>总经理、副</w:t>
            </w:r>
            <w:r>
              <w:rPr>
                <w:rFonts w:ascii="宋体" w:hAnsi="宋体" w:cs="宋体" w:eastAsia="宋体" w:hint="default"/>
                <w:w w:val="100"/>
                <w:sz w:val="18"/>
                <w:szCs w:val="18"/>
              </w:rPr>
              <w:t> </w:t>
            </w: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27,079,511</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54,159,022</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4"/>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w w:val="100"/>
                <w:sz w:val="18"/>
                <w:szCs w:val="18"/>
              </w:rPr>
              <w:t> </w:t>
            </w:r>
            <w:r>
              <w:rPr>
                <w:rFonts w:ascii="宋体" w:hAnsi="宋体" w:cs="宋体" w:eastAsia="宋体" w:hint="default"/>
                <w:spacing w:val="-7"/>
                <w:sz w:val="18"/>
                <w:szCs w:val="18"/>
              </w:rPr>
              <w:t>书、董事、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张莲梅</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18"/>
                <w:w w:val="100"/>
                <w:sz w:val="18"/>
                <w:szCs w:val="18"/>
              </w:rPr>
              <w:t>董事、副总</w:t>
            </w:r>
            <w:r>
              <w:rPr>
                <w:rFonts w:ascii="宋体" w:hAnsi="宋体" w:cs="宋体" w:eastAsia="宋体" w:hint="default"/>
                <w:w w:val="100"/>
                <w:sz w:val="18"/>
                <w:szCs w:val="18"/>
              </w:rPr>
              <w:t> </w:t>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阎明涛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执行总经</w:t>
            </w:r>
            <w:r>
              <w:rPr>
                <w:rFonts w:ascii="宋体" w:hAnsi="宋体" w:cs="宋体" w:eastAsia="宋体" w:hint="default"/>
                <w:w w:val="100"/>
                <w:sz w:val="18"/>
                <w:szCs w:val="18"/>
              </w:rPr>
              <w:t> </w:t>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尚毅力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徐世奎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二、任职情况 " w:id="109"/>
            <w:bookmarkEnd w:id="109"/>
            <w:r>
              <w:rPr/>
            </w: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48,488,639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96,977,278</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both"/>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公司现任董事、监事、高级管理人员最近</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年的主要工作经历</w:t>
      </w:r>
    </w:p>
    <w:p>
      <w:pPr>
        <w:pStyle w:val="Heading4"/>
        <w:spacing w:line="240" w:lineRule="auto" w:before="103"/>
        <w:ind w:left="635" w:right="93"/>
        <w:jc w:val="left"/>
        <w:rPr>
          <w:b w:val="0"/>
          <w:bCs w:val="0"/>
        </w:rPr>
      </w:pPr>
      <w:r>
        <w:rPr>
          <w:rFonts w:ascii="Times New Roman" w:hAnsi="Times New Roman" w:cs="Times New Roman" w:eastAsia="Times New Roman" w:hint="default"/>
        </w:rPr>
        <w:t>1</w:t>
      </w:r>
      <w:r>
        <w:rPr/>
        <w:t>、董事</w:t>
      </w:r>
      <w:r>
        <w:rPr>
          <w:b w:val="0"/>
          <w:bCs w:val="0"/>
        </w:rPr>
      </w:r>
    </w:p>
    <w:p>
      <w:pPr>
        <w:pStyle w:val="BodyText"/>
        <w:spacing w:line="300" w:lineRule="auto" w:before="62"/>
        <w:ind w:right="197" w:firstLine="376"/>
        <w:jc w:val="both"/>
      </w:pPr>
      <w:r>
        <w:rPr>
          <w:rFonts w:ascii="宋体" w:hAnsi="宋体" w:cs="宋体" w:eastAsia="宋体" w:hint="default"/>
          <w:b/>
          <w:bCs/>
        </w:rPr>
        <w:t>韩旭先生：</w:t>
      </w:r>
      <w:r>
        <w:rPr/>
        <w:t>中国国籍，拥有加拿大永久居留权，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6"/>
        </w:rPr>
        <w:t> </w:t>
      </w:r>
      <w:r>
        <w:rPr/>
        <w:t>年出生，本科学历。历任烟台二运公司职业高中教师，烟台二运</w:t>
      </w:r>
      <w:r>
        <w:rPr>
          <w:w w:val="100"/>
        </w:rPr>
        <w:t> </w:t>
      </w:r>
      <w:r>
        <w:rPr/>
        <w:t>公司企管科科员，山东瑞康药业董事长，瑞康配送董事长，现任本公司董事长。</w:t>
      </w:r>
    </w:p>
    <w:p>
      <w:pPr>
        <w:pStyle w:val="BodyText"/>
        <w:spacing w:line="300" w:lineRule="auto" w:before="31"/>
        <w:ind w:right="197" w:firstLine="376"/>
        <w:jc w:val="both"/>
      </w:pPr>
      <w:r>
        <w:rPr>
          <w:rFonts w:ascii="宋体" w:hAnsi="宋体" w:cs="宋体" w:eastAsia="宋体" w:hint="default"/>
          <w:b/>
          <w:bCs/>
        </w:rPr>
        <w:t>张仁华女士：</w:t>
      </w:r>
      <w:r>
        <w:rPr/>
        <w:t>中国国籍，拥有加拿大永久居留权，</w:t>
      </w:r>
      <w:r>
        <w:rPr>
          <w:rFonts w:ascii="Times New Roman" w:hAnsi="Times New Roman" w:cs="Times New Roman" w:eastAsia="Times New Roman" w:hint="default"/>
        </w:rPr>
        <w:t>1966</w:t>
      </w:r>
      <w:r>
        <w:rPr>
          <w:rFonts w:ascii="Times New Roman" w:hAnsi="Times New Roman" w:cs="Times New Roman" w:eastAsia="Times New Roman" w:hint="default"/>
          <w:spacing w:val="6"/>
        </w:rPr>
        <w:t> </w:t>
      </w:r>
      <w:r>
        <w:rPr/>
        <w:t>年出生，大专学历，药剂师。历任烟台山医院团总支书记，山</w:t>
      </w:r>
      <w:r>
        <w:rPr>
          <w:w w:val="100"/>
        </w:rPr>
        <w:t> </w:t>
      </w:r>
      <w:r>
        <w:rPr/>
        <w:t>东瑞康药业总经理，瑞康配送总经理，现任本公司副董事长兼总经理，山东省人大代表。</w:t>
      </w:r>
    </w:p>
    <w:p>
      <w:pPr>
        <w:pStyle w:val="BodyText"/>
        <w:spacing w:line="309" w:lineRule="auto" w:before="31"/>
        <w:ind w:right="194" w:firstLine="376"/>
        <w:jc w:val="both"/>
      </w:pPr>
      <w:r>
        <w:rPr>
          <w:rFonts w:ascii="宋体" w:hAnsi="宋体" w:cs="宋体" w:eastAsia="宋体" w:hint="default"/>
          <w:b/>
          <w:bCs/>
        </w:rPr>
        <w:t>周云女士：</w:t>
      </w:r>
      <w:r>
        <w:rPr/>
        <w:t>中国国籍，无境外永久居留权，</w:t>
      </w:r>
      <w:r>
        <w:rPr>
          <w:rFonts w:ascii="Times New Roman" w:hAnsi="Times New Roman" w:cs="Times New Roman" w:eastAsia="Times New Roman" w:hint="default"/>
        </w:rPr>
        <w:t>1970</w:t>
      </w:r>
      <w:r>
        <w:rPr>
          <w:rFonts w:ascii="Times New Roman" w:hAnsi="Times New Roman" w:cs="Times New Roman" w:eastAsia="Times New Roman" w:hint="default"/>
          <w:spacing w:val="7"/>
        </w:rPr>
        <w:t> </w:t>
      </w:r>
      <w:r>
        <w:rPr/>
        <w:t>年出生，本科学历，助理工程师。历任烟台市医药公司组织科干事至</w:t>
      </w:r>
      <w:r>
        <w:rPr>
          <w:w w:val="100"/>
        </w:rPr>
        <w:t> </w:t>
      </w:r>
      <w:r>
        <w:rPr>
          <w:spacing w:val="-3"/>
        </w:rPr>
        <w:t>烟台市医药公司下属企业劳资主管，山东瑞康药业人力资源部经理，瑞康配送人力资源中心经理、总监，瑞康配送监事，现</w:t>
      </w:r>
      <w:r>
        <w:rPr>
          <w:spacing w:val="-53"/>
        </w:rPr>
        <w:t> </w:t>
      </w:r>
      <w:r>
        <w:rPr>
          <w:spacing w:val="-53"/>
        </w:rPr>
      </w:r>
      <w:r>
        <w:rPr/>
        <w:t>任本公司副总经理兼董事会秘书、董事。</w:t>
      </w:r>
    </w:p>
    <w:p>
      <w:pPr>
        <w:pStyle w:val="BodyText"/>
        <w:spacing w:line="300" w:lineRule="auto" w:before="24"/>
        <w:ind w:right="199" w:firstLine="376"/>
        <w:jc w:val="both"/>
      </w:pPr>
      <w:r>
        <w:rPr>
          <w:rFonts w:ascii="宋体" w:hAnsi="宋体" w:cs="宋体" w:eastAsia="宋体" w:hint="default"/>
          <w:b/>
          <w:bCs/>
        </w:rPr>
        <w:t>杨博先生</w:t>
      </w:r>
      <w:r>
        <w:rPr/>
        <w:t>：中国国籍，无境外永久居留权，</w:t>
      </w:r>
      <w:r>
        <w:rPr>
          <w:rFonts w:ascii="Times New Roman" w:hAnsi="Times New Roman" w:cs="Times New Roman" w:eastAsia="Times New Roman" w:hint="default"/>
        </w:rPr>
        <w:t>1983</w:t>
      </w:r>
      <w:r>
        <w:rPr>
          <w:rFonts w:ascii="Times New Roman" w:hAnsi="Times New Roman" w:cs="Times New Roman" w:eastAsia="Times New Roman" w:hint="default"/>
          <w:spacing w:val="5"/>
        </w:rPr>
        <w:t> </w:t>
      </w:r>
      <w:r>
        <w:rPr/>
        <w:t>年出生，本科学历。历任瑞康配送采购主管，监事，董事。现任本公</w:t>
      </w:r>
      <w:r>
        <w:rPr>
          <w:w w:val="100"/>
        </w:rPr>
        <w:t> </w:t>
      </w:r>
      <w:r>
        <w:rPr/>
        <w:t>司商务事业部总经理、董事。</w:t>
      </w:r>
    </w:p>
    <w:p>
      <w:pPr>
        <w:pStyle w:val="BodyText"/>
        <w:spacing w:line="300" w:lineRule="auto" w:before="31"/>
        <w:ind w:left="529" w:right="93"/>
        <w:jc w:val="left"/>
      </w:pPr>
      <w:r>
        <w:rPr>
          <w:rFonts w:ascii="宋体" w:hAnsi="宋体" w:cs="宋体" w:eastAsia="宋体" w:hint="default"/>
          <w:b/>
          <w:bCs/>
        </w:rPr>
        <w:t>崔胜利先生：</w:t>
      </w:r>
      <w:r>
        <w:rPr/>
        <w:t>中国国籍，无境外永久居留权，</w:t>
      </w:r>
      <w:r>
        <w:rPr>
          <w:rFonts w:ascii="Times New Roman" w:hAnsi="Times New Roman" w:cs="Times New Roman" w:eastAsia="Times New Roman" w:hint="default"/>
        </w:rPr>
        <w:t>1955</w:t>
      </w:r>
      <w:r>
        <w:rPr>
          <w:rFonts w:ascii="Times New Roman" w:hAnsi="Times New Roman" w:cs="Times New Roman" w:eastAsia="Times New Roman" w:hint="default"/>
          <w:spacing w:val="24"/>
        </w:rPr>
        <w:t> </w:t>
      </w:r>
      <w:r>
        <w:rPr/>
        <w:t>年出生，中专学历，现任本公司物流事业部总经理、董事。</w:t>
      </w:r>
      <w:r>
        <w:rPr>
          <w:w w:val="100"/>
        </w:rPr>
        <w:t> </w:t>
      </w:r>
      <w:r>
        <w:rPr>
          <w:rFonts w:ascii="宋体" w:hAnsi="宋体" w:cs="宋体" w:eastAsia="宋体" w:hint="default"/>
          <w:b/>
          <w:bCs/>
        </w:rPr>
        <w:t>张莲梅女士：</w:t>
      </w:r>
      <w:r>
        <w:rPr/>
        <w:t>中国国籍，无境外永久居留权，</w:t>
      </w:r>
      <w:r>
        <w:rPr>
          <w:rFonts w:ascii="Times New Roman" w:hAnsi="Times New Roman" w:cs="Times New Roman" w:eastAsia="Times New Roman" w:hint="default"/>
        </w:rPr>
        <w:t>1969</w:t>
      </w:r>
      <w:r>
        <w:rPr>
          <w:rFonts w:ascii="Times New Roman" w:hAnsi="Times New Roman" w:cs="Times New Roman" w:eastAsia="Times New Roman" w:hint="default"/>
          <w:spacing w:val="-7"/>
        </w:rPr>
        <w:t> </w:t>
      </w:r>
      <w:r>
        <w:rPr/>
        <w:t>年出生，本科学历，执业药师。历任烟台医药采购供应站药品质量</w:t>
      </w:r>
    </w:p>
    <w:p>
      <w:pPr>
        <w:pStyle w:val="BodyText"/>
        <w:spacing w:line="316" w:lineRule="auto" w:before="13"/>
        <w:ind w:left="495" w:right="93" w:hanging="344"/>
        <w:jc w:val="left"/>
      </w:pPr>
      <w:r>
        <w:rPr/>
        <w:t>管理员，山东瑞康药业质量管理部经理，瑞康配送质量管理部经理。现任本公司副总经理、董事。</w:t>
      </w:r>
      <w:r>
        <w:rPr>
          <w:w w:val="100"/>
        </w:rPr>
        <w:t> </w:t>
      </w:r>
      <w:r>
        <w:rPr>
          <w:rFonts w:ascii="宋体" w:hAnsi="宋体" w:cs="宋体" w:eastAsia="宋体" w:hint="default"/>
          <w:b/>
          <w:bCs/>
          <w:spacing w:val="-2"/>
        </w:rPr>
        <w:t>王锦霞女士：</w:t>
      </w:r>
      <w:r>
        <w:rPr>
          <w:spacing w:val="-2"/>
        </w:rPr>
        <w:t>中国国籍，无永久境外居留权，</w:t>
      </w:r>
      <w:r>
        <w:rPr>
          <w:rFonts w:ascii="Times New Roman" w:hAnsi="Times New Roman" w:cs="Times New Roman" w:eastAsia="Times New Roman" w:hint="default"/>
          <w:spacing w:val="-2"/>
        </w:rPr>
        <w:t>1954</w:t>
      </w:r>
      <w:r>
        <w:rPr>
          <w:spacing w:val="-2"/>
        </w:rPr>
        <w:t>年出生，大学本科，高级经济师，中共党员。曾任中国医药公司财务</w:t>
      </w:r>
    </w:p>
    <w:p>
      <w:pPr>
        <w:pStyle w:val="BodyText"/>
        <w:spacing w:line="316" w:lineRule="auto"/>
        <w:ind w:right="189"/>
        <w:jc w:val="both"/>
      </w:pPr>
      <w:r>
        <w:rPr>
          <w:spacing w:val="-3"/>
        </w:rPr>
        <w:t>处副处长、北京中新利医药咨询公司总经理，《中国新药杂志》编辑部主任、中国医药商业协会秘书长、副会长、中国医药</w:t>
      </w:r>
      <w:r>
        <w:rPr>
          <w:spacing w:val="-53"/>
        </w:rPr>
        <w:t> </w:t>
      </w:r>
      <w:r>
        <w:rPr>
          <w:spacing w:val="-53"/>
        </w:rPr>
      </w:r>
      <w:r>
        <w:rPr>
          <w:spacing w:val="-3"/>
        </w:rPr>
        <w:t>商业协会连锁药店分会负责人。现任商务部药品流通行业专家委员会专家、国家发展和改革委员会药品价格评审中心专家委</w:t>
      </w:r>
      <w:r>
        <w:rPr>
          <w:spacing w:val="-52"/>
        </w:rPr>
        <w:t> </w:t>
      </w:r>
      <w:r>
        <w:rPr>
          <w:spacing w:val="-52"/>
        </w:rPr>
      </w:r>
      <w:r>
        <w:rPr>
          <w:spacing w:val="-3"/>
        </w:rPr>
        <w:t>员、中国商业统计学会副会长、中国非处方药物协会高级顾问、上海交通大学继续教育学院客座教授，同时担任美罗药业股</w:t>
      </w:r>
      <w:r>
        <w:rPr>
          <w:spacing w:val="-45"/>
        </w:rPr>
        <w:t> </w:t>
      </w:r>
      <w:r>
        <w:rPr>
          <w:spacing w:val="-45"/>
        </w:rPr>
      </w:r>
      <w:r>
        <w:rPr/>
        <w:t>份有限公司、九州通医药集团股份有限公司</w:t>
      </w:r>
      <w:r>
        <w:rPr>
          <w:spacing w:val="-38"/>
        </w:rPr>
        <w:t> </w:t>
      </w:r>
      <w:r>
        <w:rPr/>
        <w:t>、山东瑞康医药股份有限公司、山东威高集团医用高分子制品股份有限公司和</w:t>
      </w:r>
      <w:r>
        <w:rPr>
          <w:w w:val="100"/>
        </w:rPr>
        <w:t> </w:t>
      </w:r>
      <w:r>
        <w:rPr/>
        <w:t>云南鸿翔一心堂药业（集团）股份有限公司独立董事。</w:t>
      </w:r>
    </w:p>
    <w:p>
      <w:pPr>
        <w:pStyle w:val="BodyText"/>
        <w:spacing w:line="300" w:lineRule="auto" w:before="18"/>
        <w:ind w:right="93" w:firstLine="352"/>
        <w:jc w:val="left"/>
      </w:pPr>
      <w:r>
        <w:rPr>
          <w:rFonts w:ascii="宋体" w:hAnsi="宋体" w:cs="宋体" w:eastAsia="宋体" w:hint="default"/>
          <w:b/>
          <w:bCs/>
        </w:rPr>
        <w:t>金福海先生：</w:t>
      </w:r>
      <w:r>
        <w:rPr/>
        <w:t>中国国籍，无永久境外居留权，</w:t>
      </w:r>
      <w:r>
        <w:rPr>
          <w:rFonts w:ascii="Times New Roman" w:hAnsi="Times New Roman" w:cs="Times New Roman" w:eastAsia="Times New Roman" w:hint="default"/>
        </w:rPr>
        <w:t>1965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4"/>
        </w:rPr>
        <w:t> </w:t>
      </w:r>
      <w:r>
        <w:rPr/>
        <w:t>月生，博士研究生学历，烟台大学教授，中国法学会经济法学</w:t>
      </w:r>
      <w:r>
        <w:rPr>
          <w:w w:val="100"/>
        </w:rPr>
        <w:t> </w:t>
      </w:r>
      <w:r>
        <w:rPr/>
        <w:t>研究会常务理事、山东省法学会国际经济法暨台湾法问题研究会会长、烟台市人民政府法制咨询专家委员会委员、烟台市</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青岛市</w:t>
      </w:r>
      <w:r>
        <w:rPr>
          <w:rFonts w:ascii="Times New Roman" w:hAnsi="Times New Roman" w:cs="Times New Roman" w:eastAsia="Times New Roman" w:hint="default"/>
          <w:spacing w:val="-2"/>
        </w:rPr>
        <w:t>/</w:t>
      </w:r>
      <w:r>
        <w:rPr>
          <w:spacing w:val="-2"/>
        </w:rPr>
        <w:t>威海市仲裁委员会仲裁员，山东恒邦冶炼股份有限公司、天润曲轴股份有限公司、烟台正海磁性材料股份有限公司、</w:t>
      </w:r>
      <w:r>
        <w:rPr>
          <w:spacing w:val="-64"/>
        </w:rPr>
        <w:t> </w:t>
      </w:r>
      <w:r>
        <w:rPr>
          <w:spacing w:val="-64"/>
        </w:rPr>
      </w:r>
      <w:r>
        <w:rPr/>
        <w:t>山东瑞康医药股份有限公司、山东中际电工装备股份有限公司独立董事。</w:t>
      </w:r>
    </w:p>
    <w:p>
      <w:pPr>
        <w:pStyle w:val="BodyText"/>
        <w:spacing w:line="309" w:lineRule="auto" w:before="31"/>
        <w:ind w:right="190" w:firstLine="376"/>
        <w:jc w:val="both"/>
      </w:pPr>
      <w:r>
        <w:rPr>
          <w:rFonts w:ascii="宋体" w:hAnsi="宋体" w:cs="宋体" w:eastAsia="宋体" w:hint="default"/>
          <w:b/>
          <w:bCs/>
        </w:rPr>
        <w:t>吴国芝女士：</w:t>
      </w:r>
      <w:r>
        <w:rPr/>
        <w:t>中国国籍，无境外永久居留权，</w:t>
      </w:r>
      <w:r>
        <w:rPr>
          <w:rFonts w:ascii="Times New Roman" w:hAnsi="Times New Roman" w:cs="Times New Roman" w:eastAsia="Times New Roman" w:hint="default"/>
        </w:rPr>
        <w:t>1961</w:t>
      </w:r>
      <w:r>
        <w:rPr>
          <w:rFonts w:ascii="Times New Roman" w:hAnsi="Times New Roman" w:cs="Times New Roman" w:eastAsia="Times New Roman" w:hint="default"/>
          <w:spacing w:val="7"/>
        </w:rPr>
        <w:t> </w:t>
      </w:r>
      <w:r>
        <w:rPr/>
        <w:t>年出生，本科学历，高级会计师、注册会计师、注册评估师。历任</w:t>
      </w:r>
      <w:r>
        <w:rPr>
          <w:w w:val="100"/>
        </w:rPr>
        <w:t> </w:t>
      </w:r>
      <w:r>
        <w:rPr>
          <w:spacing w:val="-3"/>
        </w:rPr>
        <w:t>济南市委党校教师，山东省财政学校教师，山东方正会计师事务所审计部主任，山东中山会计师事务所部门经理。现任山东</w:t>
      </w:r>
      <w:r>
        <w:rPr>
          <w:spacing w:val="-44"/>
        </w:rPr>
        <w:t> </w:t>
      </w:r>
      <w:r>
        <w:rPr>
          <w:spacing w:val="-44"/>
        </w:rPr>
      </w:r>
      <w:r>
        <w:rPr/>
        <w:t>和信会计师事务所（特殊普通合伙）烟台芝罘分所部门经理，山东瑞康医药股份有限公司独立董事。</w:t>
      </w:r>
    </w:p>
    <w:p>
      <w:pPr>
        <w:pStyle w:val="Heading4"/>
        <w:spacing w:line="240" w:lineRule="auto" w:before="24"/>
        <w:ind w:left="635" w:right="93"/>
        <w:jc w:val="left"/>
        <w:rPr>
          <w:b w:val="0"/>
          <w:bCs w:val="0"/>
        </w:rPr>
      </w:pPr>
      <w:r>
        <w:rPr>
          <w:rFonts w:ascii="Times New Roman" w:hAnsi="Times New Roman" w:cs="Times New Roman" w:eastAsia="Times New Roman" w:hint="default"/>
        </w:rPr>
        <w:t>2</w:t>
      </w:r>
      <w:r>
        <w:rPr/>
        <w:t>、公司监事</w:t>
      </w:r>
      <w:r>
        <w:rPr>
          <w:b w:val="0"/>
          <w:bCs w:val="0"/>
        </w:rPr>
      </w:r>
    </w:p>
    <w:p>
      <w:pPr>
        <w:pStyle w:val="BodyText"/>
        <w:spacing w:line="309" w:lineRule="auto" w:before="63"/>
        <w:ind w:right="189" w:firstLine="376"/>
        <w:jc w:val="both"/>
      </w:pPr>
      <w:r>
        <w:rPr>
          <w:rFonts w:ascii="宋体" w:hAnsi="宋体" w:cs="宋体" w:eastAsia="宋体" w:hint="default"/>
          <w:b/>
          <w:bCs/>
        </w:rPr>
        <w:t>刘志华女士：</w:t>
      </w:r>
      <w:r>
        <w:rPr/>
        <w:t>中国国籍，无境外永久居留权，</w:t>
      </w:r>
      <w:r>
        <w:rPr>
          <w:rFonts w:ascii="Times New Roman" w:hAnsi="Times New Roman" w:cs="Times New Roman" w:eastAsia="Times New Roman" w:hint="default"/>
        </w:rPr>
        <w:t>1962</w:t>
      </w:r>
      <w:r>
        <w:rPr>
          <w:rFonts w:ascii="Times New Roman" w:hAnsi="Times New Roman" w:cs="Times New Roman" w:eastAsia="Times New Roman" w:hint="default"/>
          <w:spacing w:val="7"/>
        </w:rPr>
        <w:t> </w:t>
      </w:r>
      <w:r>
        <w:rPr/>
        <w:t>年出生，大专学历，会计师。历任烟台合成革总厂设备保全员，烟</w:t>
      </w:r>
      <w:r>
        <w:rPr>
          <w:w w:val="100"/>
        </w:rPr>
        <w:t> </w:t>
      </w:r>
      <w:r>
        <w:rPr>
          <w:spacing w:val="-3"/>
        </w:rPr>
        <w:t>台合成革总厂财务部会计师，烟台万华合成革集团有限公司监察审计处内部审计师，瑞康配送财务主管。现任本公司资金管</w:t>
      </w:r>
      <w:r>
        <w:rPr>
          <w:spacing w:val="-48"/>
        </w:rPr>
        <w:t> </w:t>
      </w:r>
      <w:r>
        <w:rPr>
          <w:spacing w:val="-48"/>
        </w:rPr>
      </w:r>
      <w:r>
        <w:rPr/>
        <w:t>理部经理、监事会主席。</w:t>
      </w:r>
    </w:p>
    <w:p>
      <w:pPr>
        <w:pStyle w:val="BodyText"/>
        <w:spacing w:line="300" w:lineRule="auto" w:before="24"/>
        <w:ind w:right="196" w:firstLine="376"/>
        <w:jc w:val="both"/>
      </w:pPr>
      <w:r>
        <w:rPr>
          <w:rFonts w:ascii="宋体" w:hAnsi="宋体" w:cs="宋体" w:eastAsia="宋体" w:hint="default"/>
          <w:b/>
          <w:bCs/>
        </w:rPr>
        <w:t>陶春芳女士</w:t>
      </w:r>
      <w:r>
        <w:rPr/>
        <w:t>：中国国籍，无境外永久居留权，</w:t>
      </w:r>
      <w:r>
        <w:rPr>
          <w:rFonts w:ascii="Times New Roman" w:hAnsi="Times New Roman" w:cs="Times New Roman" w:eastAsia="Times New Roman" w:hint="default"/>
        </w:rPr>
        <w:t>1975</w:t>
      </w:r>
      <w:r>
        <w:rPr>
          <w:rFonts w:ascii="Times New Roman" w:hAnsi="Times New Roman" w:cs="Times New Roman" w:eastAsia="Times New Roman" w:hint="default"/>
          <w:spacing w:val="6"/>
        </w:rPr>
        <w:t> </w:t>
      </w:r>
      <w:r>
        <w:rPr/>
        <w:t>年出生，大专学历，曾任瑞康配送财务主管。现任本公司销售服务</w:t>
      </w:r>
      <w:r>
        <w:rPr>
          <w:w w:val="100"/>
        </w:rPr>
        <w:t> </w:t>
      </w:r>
      <w:r>
        <w:rPr/>
        <w:t>部经理、监事。</w:t>
      </w:r>
    </w:p>
    <w:p>
      <w:pPr>
        <w:pStyle w:val="BodyText"/>
        <w:spacing w:line="240" w:lineRule="auto" w:before="31"/>
        <w:ind w:left="529" w:right="93"/>
        <w:jc w:val="left"/>
      </w:pPr>
      <w:r>
        <w:rPr>
          <w:rFonts w:ascii="宋体" w:hAnsi="宋体" w:cs="宋体" w:eastAsia="宋体" w:hint="default"/>
          <w:b/>
          <w:bCs/>
        </w:rPr>
        <w:t>黄少杰先生：</w:t>
      </w:r>
      <w:r>
        <w:rPr/>
        <w:t>中国国籍，无境外永久居留权，</w:t>
      </w:r>
      <w:r>
        <w:rPr>
          <w:rFonts w:ascii="Times New Roman" w:hAnsi="Times New Roman" w:cs="Times New Roman" w:eastAsia="Times New Roman" w:hint="default"/>
        </w:rPr>
        <w:t>1972</w:t>
      </w:r>
      <w:r>
        <w:rPr>
          <w:rFonts w:ascii="Times New Roman" w:hAnsi="Times New Roman" w:cs="Times New Roman" w:eastAsia="Times New Roman" w:hint="default"/>
          <w:spacing w:val="-7"/>
        </w:rPr>
        <w:t> </w:t>
      </w:r>
      <w:r>
        <w:rPr/>
        <w:t>年出生，中专学历，执业药师，历任烟台永达生化制药公司质量检</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验员，山东瑞康药业质量检验员，瑞康配送物流管理部副经理。现任本公司物流管理部副总经理、监事。</w:t>
      </w:r>
    </w:p>
    <w:p>
      <w:pPr>
        <w:spacing w:line="300" w:lineRule="auto" w:before="76"/>
        <w:ind w:left="529" w:right="7292" w:firstLine="10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w w:val="99"/>
          <w:sz w:val="18"/>
          <w:szCs w:val="18"/>
        </w:rPr>
        <w:t> </w:t>
      </w:r>
      <w:r>
        <w:rPr>
          <w:rFonts w:ascii="宋体" w:hAnsi="宋体" w:cs="宋体" w:eastAsia="宋体" w:hint="default"/>
          <w:b/>
          <w:bCs/>
          <w:sz w:val="18"/>
          <w:szCs w:val="18"/>
        </w:rPr>
        <w:t>张仁华女士：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9" w:lineRule="auto" w:before="13"/>
        <w:ind w:right="194" w:firstLine="376"/>
        <w:jc w:val="both"/>
      </w:pPr>
      <w:r>
        <w:rPr>
          <w:rFonts w:ascii="宋体" w:hAnsi="宋体" w:cs="宋体" w:eastAsia="宋体" w:hint="default"/>
          <w:b/>
          <w:bCs/>
        </w:rPr>
        <w:t>阎明涛先生：</w:t>
      </w:r>
      <w:r>
        <w:rPr/>
        <w:t>中国国籍，无境外永久居留权，</w:t>
      </w:r>
      <w:r>
        <w:rPr>
          <w:rFonts w:ascii="Times New Roman" w:hAnsi="Times New Roman" w:cs="Times New Roman" w:eastAsia="Times New Roman" w:hint="default"/>
        </w:rPr>
        <w:t>1965</w:t>
      </w:r>
      <w:r>
        <w:rPr>
          <w:rFonts w:ascii="Times New Roman" w:hAnsi="Times New Roman" w:cs="Times New Roman" w:eastAsia="Times New Roman" w:hint="default"/>
          <w:spacing w:val="6"/>
        </w:rPr>
        <w:t> </w:t>
      </w:r>
      <w:r>
        <w:rPr/>
        <w:t>年出生，本科学历，高级工程师、执业药师。历任烟台中策药业公</w:t>
      </w:r>
      <w:r>
        <w:rPr>
          <w:w w:val="100"/>
        </w:rPr>
        <w:t> </w:t>
      </w:r>
      <w:r>
        <w:rPr>
          <w:spacing w:val="-3"/>
        </w:rPr>
        <w:t>司生产科长、销售科长，烟台益生药业有限公司副总经理，山东瑞康药业常务副总经理，瑞康配送常务副总经理。现任本公</w:t>
      </w:r>
      <w:r>
        <w:rPr>
          <w:spacing w:val="-52"/>
        </w:rPr>
        <w:t> </w:t>
      </w:r>
      <w:r>
        <w:rPr>
          <w:spacing w:val="-52"/>
        </w:rPr>
      </w:r>
      <w:r>
        <w:rPr/>
        <w:t>司执行总经理。</w:t>
      </w:r>
    </w:p>
    <w:p>
      <w:pPr>
        <w:pStyle w:val="BodyText"/>
        <w:spacing w:line="309" w:lineRule="auto" w:before="24"/>
        <w:ind w:right="93" w:firstLine="376"/>
        <w:jc w:val="left"/>
      </w:pPr>
      <w:r>
        <w:rPr>
          <w:rFonts w:ascii="宋体" w:hAnsi="宋体" w:cs="宋体" w:eastAsia="宋体" w:hint="default"/>
          <w:b/>
          <w:bCs/>
        </w:rPr>
        <w:t>苏立臣先生：</w:t>
      </w:r>
      <w:r>
        <w:rPr/>
        <w:t>中国国籍，无境外永久居留权，</w:t>
      </w:r>
      <w:r>
        <w:rPr>
          <w:rFonts w:ascii="Times New Roman" w:hAnsi="Times New Roman" w:cs="Times New Roman" w:eastAsia="Times New Roman" w:hint="default"/>
        </w:rPr>
        <w:t>1972</w:t>
      </w:r>
      <w:r>
        <w:rPr/>
        <w:t>年出生，本科学历，会计师，中国注册会计师。历任烟台市医药物</w:t>
      </w:r>
      <w:r>
        <w:rPr>
          <w:w w:val="100"/>
        </w:rPr>
        <w:t> </w:t>
      </w:r>
      <w:r>
        <w:rPr/>
        <w:t>资经营总公司会计，</w:t>
      </w:r>
      <w:r>
        <w:rPr>
          <w:spacing w:val="-54"/>
        </w:rPr>
        <w:t> </w:t>
      </w:r>
      <w:r>
        <w:rPr/>
        <w:t>烟台市医药物资经营总公司会计主管，烟台市医药公司审计，</w:t>
      </w:r>
      <w:r>
        <w:rPr>
          <w:spacing w:val="-54"/>
        </w:rPr>
        <w:t> </w:t>
      </w:r>
      <w:r>
        <w:rPr/>
        <w:t>烟台市医药公司会计主管，烟台医药国</w:t>
      </w:r>
      <w:r>
        <w:rPr>
          <w:w w:val="100"/>
        </w:rPr>
        <w:t> </w:t>
      </w:r>
      <w:r>
        <w:rPr/>
        <w:t>有控股有限公司会计主管，</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月加入本公司。现任本公司财务总监。</w:t>
      </w:r>
    </w:p>
    <w:p>
      <w:pPr>
        <w:spacing w:before="5"/>
        <w:ind w:left="529" w:right="93" w:firstLine="0"/>
        <w:jc w:val="left"/>
        <w:rPr>
          <w:rFonts w:ascii="宋体" w:hAnsi="宋体" w:cs="宋体" w:eastAsia="宋体" w:hint="default"/>
          <w:sz w:val="18"/>
          <w:szCs w:val="18"/>
        </w:rPr>
      </w:pPr>
      <w:r>
        <w:rPr>
          <w:rFonts w:ascii="宋体" w:hAnsi="宋体" w:cs="宋体" w:eastAsia="宋体" w:hint="default"/>
          <w:b/>
          <w:bCs/>
          <w:sz w:val="18"/>
          <w:szCs w:val="18"/>
        </w:rPr>
        <w:t>周云女士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9" w:lineRule="auto" w:before="62"/>
        <w:ind w:right="189" w:firstLine="376"/>
        <w:jc w:val="both"/>
      </w:pPr>
      <w:r>
        <w:rPr>
          <w:rFonts w:ascii="宋体" w:hAnsi="宋体" w:cs="宋体" w:eastAsia="宋体" w:hint="default"/>
          <w:b/>
          <w:bCs/>
        </w:rPr>
        <w:t>韩松先生：</w:t>
      </w:r>
      <w:r>
        <w:rPr/>
        <w:t>中国国籍，无境外永久居留权，</w:t>
      </w:r>
      <w:r>
        <w:rPr>
          <w:rFonts w:ascii="Times New Roman" w:hAnsi="Times New Roman" w:cs="Times New Roman" w:eastAsia="Times New Roman" w:hint="default"/>
        </w:rPr>
        <w:t>1967</w:t>
      </w:r>
      <w:r>
        <w:rPr>
          <w:rFonts w:ascii="Times New Roman" w:hAnsi="Times New Roman" w:cs="Times New Roman" w:eastAsia="Times New Roman" w:hint="default"/>
          <w:spacing w:val="7"/>
        </w:rPr>
        <w:t> </w:t>
      </w:r>
      <w:r>
        <w:rPr/>
        <w:t>年出生，本科学历。历任兖矿工程处科员，烟台冰轮集团科员，山东</w:t>
      </w:r>
      <w:r>
        <w:rPr>
          <w:w w:val="100"/>
        </w:rPr>
        <w:t> </w:t>
      </w:r>
      <w:r>
        <w:rPr>
          <w:spacing w:val="-3"/>
        </w:rPr>
        <w:t>煤炭工业总公司职员，山东瑞康药业公共关系管理中心经理，瑞康配送公共关系管理中心经理、副总经理。现任本公司副总</w:t>
      </w:r>
      <w:r>
        <w:rPr>
          <w:spacing w:val="-45"/>
        </w:rPr>
        <w:t> </w:t>
      </w:r>
      <w:r>
        <w:rPr>
          <w:spacing w:val="-45"/>
        </w:rPr>
      </w:r>
      <w:r>
        <w:rPr/>
        <w:t>经理。</w:t>
      </w:r>
    </w:p>
    <w:p>
      <w:pPr>
        <w:spacing w:before="24"/>
        <w:ind w:left="529" w:right="93" w:firstLine="0"/>
        <w:jc w:val="left"/>
        <w:rPr>
          <w:rFonts w:ascii="宋体" w:hAnsi="宋体" w:cs="宋体" w:eastAsia="宋体" w:hint="default"/>
          <w:sz w:val="18"/>
          <w:szCs w:val="18"/>
        </w:rPr>
      </w:pPr>
      <w:r>
        <w:rPr>
          <w:rFonts w:ascii="宋体" w:hAnsi="宋体" w:cs="宋体" w:eastAsia="宋体" w:hint="default"/>
          <w:b/>
          <w:bCs/>
          <w:sz w:val="18"/>
          <w:szCs w:val="18"/>
        </w:rPr>
        <w:t>张莲梅女士：</w:t>
      </w: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BodyText"/>
        <w:spacing w:line="300" w:lineRule="auto" w:before="63"/>
        <w:ind w:right="93" w:firstLine="376"/>
        <w:jc w:val="left"/>
      </w:pPr>
      <w:r>
        <w:rPr>
          <w:rFonts w:ascii="宋体" w:hAnsi="宋体" w:cs="宋体" w:eastAsia="宋体" w:hint="default"/>
          <w:b/>
          <w:bCs/>
        </w:rPr>
        <w:t>尚毅力女士：</w:t>
      </w:r>
      <w:r>
        <w:rPr/>
        <w:t>中国国籍，无境外永久居留权，</w:t>
      </w:r>
      <w:r>
        <w:rPr>
          <w:rFonts w:ascii="Times New Roman" w:hAnsi="Times New Roman" w:cs="Times New Roman" w:eastAsia="Times New Roman" w:hint="default"/>
        </w:rPr>
        <w:t>1958</w:t>
      </w:r>
      <w:r>
        <w:rPr>
          <w:rFonts w:ascii="Times New Roman" w:hAnsi="Times New Roman" w:cs="Times New Roman" w:eastAsia="Times New Roman" w:hint="default"/>
          <w:spacing w:val="6"/>
        </w:rPr>
        <w:t> </w:t>
      </w:r>
      <w:r>
        <w:rPr/>
        <w:t>年出生，大专学历，药师。历任烟台市医药站业务员，山东瑞康药</w:t>
      </w:r>
      <w:r>
        <w:rPr>
          <w:w w:val="100"/>
        </w:rPr>
        <w:t> </w:t>
      </w:r>
      <w:r>
        <w:rPr/>
        <w:t>业采购部经理，瑞康配送采购总监。现任本公司副总经理。</w:t>
      </w:r>
    </w:p>
    <w:p>
      <w:pPr>
        <w:pStyle w:val="BodyText"/>
        <w:spacing w:line="309" w:lineRule="auto" w:before="31"/>
        <w:ind w:right="93" w:firstLine="376"/>
        <w:jc w:val="left"/>
      </w:pPr>
      <w:r>
        <w:rPr>
          <w:rFonts w:ascii="宋体" w:hAnsi="宋体" w:cs="宋体" w:eastAsia="宋体" w:hint="default"/>
          <w:b/>
          <w:bCs/>
          <w:spacing w:val="-3"/>
        </w:rPr>
        <w:t>徐世奎先生：</w:t>
      </w:r>
      <w:r>
        <w:rPr>
          <w:spacing w:val="-3"/>
        </w:rPr>
        <w:t>中国国籍，无境外永久居留权，</w:t>
      </w:r>
      <w:r>
        <w:rPr>
          <w:rFonts w:ascii="Times New Roman" w:hAnsi="Times New Roman" w:cs="Times New Roman" w:eastAsia="Times New Roman" w:hint="default"/>
          <w:spacing w:val="-3"/>
        </w:rPr>
        <w:t>1972</w:t>
      </w:r>
      <w:r>
        <w:rPr>
          <w:rFonts w:ascii="Times New Roman" w:hAnsi="Times New Roman" w:cs="Times New Roman" w:eastAsia="Times New Roman" w:hint="default"/>
          <w:spacing w:val="11"/>
        </w:rPr>
        <w:t> </w:t>
      </w:r>
      <w:r>
        <w:rPr>
          <w:spacing w:val="-3"/>
        </w:rPr>
        <w:t>年出生，本科学历，执业药师。历任山东华能集团山东分公司科员，</w:t>
      </w:r>
      <w:r>
        <w:rPr>
          <w:w w:val="100"/>
        </w:rPr>
        <w:t> </w:t>
      </w:r>
      <w:r>
        <w:rPr>
          <w:spacing w:val="-3"/>
        </w:rPr>
        <w:t>阿斯特拉无锡制药有限公司济南办事处经理，上海罗氏制药有限公司商务部山东商务经理，瑞康配送采购总监。现任本公司</w:t>
      </w:r>
      <w:r>
        <w:rPr>
          <w:spacing w:val="-50"/>
        </w:rPr>
        <w:t> </w:t>
      </w:r>
      <w:r>
        <w:rPr>
          <w:spacing w:val="-50"/>
        </w:rPr>
      </w:r>
      <w:r>
        <w:rPr/>
        <w:t>副总经理。</w:t>
      </w:r>
    </w:p>
    <w:p>
      <w:pPr>
        <w:spacing w:line="240" w:lineRule="auto" w:before="0"/>
        <w:rPr>
          <w:rFonts w:ascii="宋体" w:hAnsi="宋体" w:cs="宋体" w:eastAsia="宋体" w:hint="default"/>
          <w:sz w:val="18"/>
          <w:szCs w:val="18"/>
        </w:rPr>
      </w:pPr>
    </w:p>
    <w:p>
      <w:pPr>
        <w:pStyle w:val="BodyText"/>
        <w:spacing w:line="240" w:lineRule="auto" w:before="141"/>
        <w:ind w:right="93"/>
        <w:jc w:val="left"/>
      </w:pPr>
      <w:r>
        <w:rPr/>
        <w:t>在股东单位任职情况</w:t>
      </w:r>
    </w:p>
    <w:p>
      <w:pPr>
        <w:pStyle w:val="BodyText"/>
        <w:spacing w:line="340" w:lineRule="auto" w:before="115"/>
        <w:ind w:right="8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t>在其他单位任职情况</w:t>
      </w:r>
    </w:p>
    <w:p>
      <w:pPr>
        <w:pStyle w:val="BodyText"/>
        <w:spacing w:line="240" w:lineRule="auto" w:before="41"/>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4" w:right="77"/>
              <w:jc w:val="left"/>
              <w:rPr>
                <w:rFonts w:ascii="宋体" w:hAnsi="宋体" w:cs="宋体" w:eastAsia="宋体" w:hint="default"/>
                <w:sz w:val="18"/>
                <w:szCs w:val="18"/>
              </w:rPr>
            </w:pPr>
            <w:r>
              <w:rPr>
                <w:rFonts w:ascii="宋体" w:hAnsi="宋体" w:cs="宋体" w:eastAsia="宋体" w:hint="default"/>
                <w:sz w:val="18"/>
                <w:szCs w:val="18"/>
              </w:rPr>
              <w:t>在其他单位</w:t>
            </w:r>
            <w:r>
              <w:rPr>
                <w:rFonts w:ascii="宋体" w:hAnsi="宋体" w:cs="宋体" w:eastAsia="宋体" w:hint="default"/>
                <w:w w:val="100"/>
                <w:sz w:val="18"/>
                <w:szCs w:val="18"/>
              </w:rPr>
              <w:t> </w:t>
            </w:r>
            <w:r>
              <w:rPr>
                <w:rFonts w:ascii="宋体" w:hAnsi="宋体" w:cs="宋体" w:eastAsia="宋体" w:hint="default"/>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2" w:right="69" w:hanging="272"/>
              <w:jc w:val="left"/>
              <w:rPr>
                <w:rFonts w:ascii="宋体" w:hAnsi="宋体" w:cs="宋体" w:eastAsia="宋体" w:hint="default"/>
                <w:sz w:val="18"/>
                <w:szCs w:val="18"/>
              </w:rPr>
            </w:pPr>
            <w:r>
              <w:rPr>
                <w:rFonts w:ascii="宋体" w:hAnsi="宋体" w:cs="宋体" w:eastAsia="宋体" w:hint="default"/>
                <w:sz w:val="18"/>
                <w:szCs w:val="18"/>
              </w:rPr>
              <w:t>在其他单位是否领</w:t>
            </w:r>
            <w:r>
              <w:rPr>
                <w:rFonts w:ascii="宋体" w:hAnsi="宋体" w:cs="宋体" w:eastAsia="宋体" w:hint="default"/>
                <w:w w:val="100"/>
                <w:sz w:val="18"/>
                <w:szCs w:val="18"/>
              </w:rPr>
              <w:t> </w:t>
            </w:r>
            <w:r>
              <w:rPr>
                <w:rFonts w:ascii="宋体" w:hAnsi="宋体" w:cs="宋体" w:eastAsia="宋体" w:hint="default"/>
                <w:sz w:val="18"/>
                <w:szCs w:val="18"/>
              </w:rPr>
              <w:t>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山东瑞祥医疗器械有限公司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烟台天际健康咨询服务有限公司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泰安瑞康药品配送有限公司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东营瑞康药品配送有限公司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济南明康大药房有限责任公司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青岛海誉泰德商贸有限公司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bl>
    <w:p>
      <w:pPr>
        <w:spacing w:after="0" w:line="240" w:lineRule="auto"/>
        <w:jc w:val="left"/>
        <w:rPr>
          <w:rFonts w:ascii="宋体" w:hAnsi="宋体" w:cs="宋体" w:eastAsia="宋体" w:hint="default"/>
          <w:sz w:val="18"/>
          <w:szCs w:val="18"/>
        </w:rPr>
        <w:sectPr>
          <w:footerReference w:type="default" r:id="rId18"/>
          <w:pgSz w:w="11910" w:h="16840"/>
          <w:pgMar w:footer="981" w:header="745" w:top="1060" w:bottom="1180" w:left="980" w:right="94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362"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济南瑞康医药有限公司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荣成市业安医疗器械有限公司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山东福颐养老投资有限公司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烟台诚厚投资有限公司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青岛瑞康药品配送有限公司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青岛德新康医药有限公司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中华全国工商业联合会医药业商会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淄博瑞康药品配送有限公司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山东瑞康德一医疗器械有限公司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潍坊瑞康药品配送有限公司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青岛瑞康药品配送有限公司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云南鸿翔一心堂药业（集团）股份有限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九州通医药集团股份有限公司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山东威高集团医用高分子制品股份有限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大连美罗药业股份有限公司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烟台正海磁性材料股份有限公司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76.480011pt;margin-top:322.490021pt;width:52.7pt;height:27.85pt;mso-position-horizontal-relative:page;mso-position-vertical-relative:page;z-index:-898312" coordorigin="5530,6450" coordsize="1054,557">
            <v:group style="position:absolute;left:5540;top:6602;width:2;height:394" coordorigin="5540,6602" coordsize="2,394">
              <v:shape style="position:absolute;left:5540;top:6602;width:2;height:394" coordorigin="5540,6602" coordsize="0,394" path="m5540,6602l5540,6996e" filled="false" stroked="true" strokeweight="1.08pt" strokecolor="#ffffff">
                <v:path arrowok="t"/>
              </v:shape>
            </v:group>
            <v:group style="position:absolute;left:5530;top:6450;width:1054;height:152" coordorigin="5530,6450" coordsize="1054,152">
              <v:shape style="position:absolute;left:5530;top:6450;width:1054;height:152" coordorigin="5530,6450" coordsize="1054,152" path="m5530,6602l6583,6602,6583,6450,5530,6450,5530,6602xe" filled="true" fillcolor="#ffffff" stroked="false">
                <v:path arrowok="t"/>
                <v:fill type="solid"/>
              </v:shape>
            </v:group>
            <v:group style="position:absolute;left:5551;top:6602;width:1008;height:394" coordorigin="5551,6602" coordsize="1008,394">
              <v:shape style="position:absolute;left:5551;top:6602;width:1008;height:394" coordorigin="5551,6602" coordsize="1008,394" path="m5551,6602l6559,6602,6559,6996,5551,6996,5551,660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3"/>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山东中际电工装备股份有限公司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山东恒邦冶炼股份有限公司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中国经济法学研究会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山东省法学会国际经济法暨台湾法律问</w:t>
            </w:r>
            <w:r>
              <w:rPr>
                <w:rFonts w:ascii="宋体" w:hAnsi="宋体" w:cs="宋体" w:eastAsia="宋体" w:hint="default"/>
                <w:w w:val="100"/>
                <w:sz w:val="18"/>
                <w:szCs w:val="18"/>
              </w:rPr>
              <w:t> </w:t>
            </w:r>
            <w:r>
              <w:rPr>
                <w:rFonts w:ascii="宋体" w:hAnsi="宋体" w:cs="宋体" w:eastAsia="宋体" w:hint="default"/>
                <w:sz w:val="18"/>
                <w:szCs w:val="18"/>
              </w:rPr>
              <w:t>题研究会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烟台市人民政府法制咨询专家委员会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r>
              <w:rPr>
                <w:rFonts w:ascii="Times New Roman" w:hAnsi="Times New Roman" w:cs="Times New Roman" w:eastAsia="Times New Roman" w:hint="default"/>
                <w:sz w:val="18"/>
                <w:szCs w:val="18"/>
              </w:rPr>
              <w:t>/</w:t>
            </w:r>
            <w:r>
              <w:rPr>
                <w:rFonts w:ascii="宋体" w:hAnsi="宋体" w:cs="宋体" w:eastAsia="宋体" w:hint="default"/>
                <w:sz w:val="18"/>
                <w:szCs w:val="18"/>
              </w:rPr>
              <w:t>烟台</w:t>
            </w:r>
            <w:r>
              <w:rPr>
                <w:rFonts w:ascii="Times New Roman" w:hAnsi="Times New Roman" w:cs="Times New Roman" w:eastAsia="Times New Roman" w:hint="default"/>
                <w:sz w:val="18"/>
                <w:szCs w:val="18"/>
              </w:rPr>
              <w:t>/</w:t>
            </w:r>
            <w:r>
              <w:rPr>
                <w:rFonts w:ascii="宋体" w:hAnsi="宋体" w:cs="宋体" w:eastAsia="宋体" w:hint="default"/>
                <w:sz w:val="18"/>
                <w:szCs w:val="18"/>
              </w:rPr>
              <w:t>威海仲裁委员会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天润曲轴股份有限公司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pacing w:val="-2"/>
                <w:sz w:val="18"/>
                <w:szCs w:val="18"/>
              </w:rPr>
              <w:t>山东和信会计师事务所（特殊普通合伙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烟台芝罘分所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6" w:right="0"/>
              <w:jc w:val="left"/>
              <w:rPr>
                <w:rFonts w:ascii="宋体" w:hAnsi="宋体" w:cs="宋体" w:eastAsia="宋体" w:hint="default"/>
                <w:sz w:val="18"/>
                <w:szCs w:val="18"/>
              </w:rPr>
            </w:pPr>
            <w:r>
              <w:rPr>
                <w:rFonts w:ascii="宋体" w:hAnsi="宋体" w:cs="宋体" w:eastAsia="宋体" w:hint="default"/>
                <w:w w:val="100"/>
                <w:sz w:val="18"/>
                <w:szCs w:val="18"/>
              </w:rPr>
              <w:t>）</w:t>
            </w:r>
          </w:p>
          <w:p>
            <w:pPr>
              <w:pStyle w:val="TableParagraph"/>
              <w:spacing w:line="196" w:lineRule="exact"/>
              <w:ind w:left="21"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威海神瑞贸易有限公司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枣庄际安医疗器械有限责任公司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聊城瑞康宏源医药有限公司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山东滨州瑞康医药有限公司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bookmarkStart w:name="三、董事、监事、高级管理人员报酬情况 " w:id="110"/>
            <w:bookmarkEnd w:id="110"/>
            <w:r>
              <w:rPr/>
            </w:r>
            <w:r>
              <w:rPr>
                <w:rFonts w:ascii="宋体" w:hAnsi="宋体" w:cs="宋体" w:eastAsia="宋体" w:hint="default"/>
                <w:sz w:val="18"/>
                <w:szCs w:val="18"/>
              </w:rPr>
              <w:t>韩松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菏泽金岳瑞康医药有限公司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423" w:right="0" w:hanging="272"/>
        <w:jc w:val="left"/>
      </w:pPr>
      <w:r>
        <w:rPr/>
        <w:t>董事、监事、高级管理人员报酬的决策程序、确定依据</w:t>
      </w:r>
      <w:r>
        <w:rPr>
          <w:w w:val="100"/>
        </w:rPr>
        <w:t> </w:t>
      </w:r>
      <w:r>
        <w:rPr>
          <w:spacing w:val="-1"/>
        </w:rPr>
        <w:t>报酬的决策程序和报酬确定依据：在公司任职的董事、监事、高级管理人员按其职务根据公司现行的绩效考核体系及薪</w:t>
      </w:r>
    </w:p>
    <w:p>
      <w:pPr>
        <w:pStyle w:val="BodyText"/>
        <w:spacing w:line="222" w:lineRule="exact"/>
        <w:ind w:right="0"/>
        <w:jc w:val="left"/>
      </w:pPr>
      <w:r>
        <w:rPr>
          <w:spacing w:val="-3"/>
        </w:rPr>
        <w:t>酬制度领取报酬。在公司领取报酬的董事（不含独立董事）、监事和高级管理人员的收入均为其从事公司管理工作的工资性</w:t>
      </w:r>
    </w:p>
    <w:p>
      <w:pPr>
        <w:pStyle w:val="BodyText"/>
        <w:spacing w:line="240" w:lineRule="auto" w:before="76"/>
        <w:ind w:right="0"/>
        <w:jc w:val="left"/>
      </w:pPr>
      <w:r>
        <w:rPr/>
        <w:t>收入。</w:t>
      </w: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2"/>
        <w:jc w:val="right"/>
      </w:pPr>
      <w:r>
        <w:rPr>
          <w:spacing w:val="-1"/>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w:t>
            </w:r>
            <w:r>
              <w:rPr>
                <w:rFonts w:ascii="宋体" w:hAnsi="宋体" w:cs="宋体" w:eastAsia="宋体" w:hint="default"/>
                <w:w w:val="100"/>
                <w:sz w:val="18"/>
                <w:szCs w:val="18"/>
              </w:rPr>
              <w:t> </w:t>
            </w:r>
            <w:r>
              <w:rPr>
                <w:rFonts w:ascii="宋体" w:hAnsi="宋体" w:cs="宋体" w:eastAsia="宋体" w:hint="default"/>
                <w:sz w:val="18"/>
                <w:szCs w:val="18"/>
              </w:rPr>
              <w:t>应付报酬总额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w:t>
            </w:r>
            <w:r>
              <w:rPr>
                <w:rFonts w:ascii="宋体" w:hAnsi="宋体" w:cs="宋体" w:eastAsia="宋体" w:hint="default"/>
                <w:w w:val="100"/>
                <w:sz w:val="18"/>
                <w:szCs w:val="18"/>
              </w:rPr>
              <w:t> </w:t>
            </w:r>
            <w:r>
              <w:rPr>
                <w:rFonts w:ascii="宋体" w:hAnsi="宋体" w:cs="宋体" w:eastAsia="宋体" w:hint="default"/>
                <w:sz w:val="18"/>
                <w:szCs w:val="18"/>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w:t>
            </w:r>
            <w:r>
              <w:rPr>
                <w:rFonts w:ascii="宋体" w:hAnsi="宋体" w:cs="宋体" w:eastAsia="宋体" w:hint="default"/>
                <w:w w:val="100"/>
                <w:sz w:val="18"/>
                <w:szCs w:val="18"/>
              </w:rPr>
              <w:t> </w:t>
            </w:r>
            <w:r>
              <w:rPr>
                <w:rFonts w:ascii="宋体" w:hAnsi="宋体" w:cs="宋体" w:eastAsia="宋体" w:hint="default"/>
                <w:sz w:val="18"/>
                <w:szCs w:val="18"/>
              </w:rPr>
              <w:t>获得报酬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37.26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37.26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5"/>
        <w:gridCol w:w="1195"/>
        <w:gridCol w:w="1198"/>
        <w:gridCol w:w="1195"/>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张仁华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3"/>
              <w:jc w:val="left"/>
              <w:rPr>
                <w:rFonts w:ascii="宋体" w:hAnsi="宋体" w:cs="宋体" w:eastAsia="宋体" w:hint="default"/>
                <w:sz w:val="18"/>
                <w:szCs w:val="18"/>
              </w:rPr>
            </w:pPr>
            <w:r>
              <w:rPr>
                <w:rFonts w:ascii="宋体" w:hAnsi="宋体" w:cs="宋体" w:eastAsia="宋体" w:hint="default"/>
                <w:sz w:val="18"/>
                <w:szCs w:val="18"/>
              </w:rPr>
              <w:t>副董事长、总</w:t>
            </w:r>
            <w:r>
              <w:rPr>
                <w:rFonts w:ascii="宋体" w:hAnsi="宋体" w:cs="宋体" w:eastAsia="宋体" w:hint="default"/>
                <w:w w:val="100"/>
                <w:sz w:val="18"/>
                <w:szCs w:val="18"/>
              </w:rPr>
              <w:t> </w:t>
            </w: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37.26</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周云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81"/>
              <w:jc w:val="both"/>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w w:val="100"/>
                <w:sz w:val="18"/>
                <w:szCs w:val="18"/>
              </w:rPr>
              <w:t> </w:t>
            </w:r>
            <w:r>
              <w:rPr>
                <w:rFonts w:ascii="宋体" w:hAnsi="宋体" w:cs="宋体" w:eastAsia="宋体" w:hint="default"/>
                <w:sz w:val="18"/>
                <w:szCs w:val="18"/>
              </w:rPr>
              <w:t>董事、副总经</w:t>
            </w:r>
            <w:r>
              <w:rPr>
                <w:rFonts w:ascii="宋体" w:hAnsi="宋体" w:cs="宋体" w:eastAsia="宋体" w:hint="default"/>
                <w:w w:val="100"/>
                <w:sz w:val="18"/>
                <w:szCs w:val="18"/>
              </w:rPr>
              <w:t> </w:t>
            </w:r>
            <w:r>
              <w:rPr>
                <w:rFonts w:ascii="宋体" w:hAnsi="宋体" w:cs="宋体" w:eastAsia="宋体" w:hint="default"/>
                <w:sz w:val="18"/>
                <w:szCs w:val="18"/>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12.36</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张莲梅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81"/>
              <w:jc w:val="left"/>
              <w:rPr>
                <w:rFonts w:ascii="宋体" w:hAnsi="宋体" w:cs="宋体" w:eastAsia="宋体" w:hint="default"/>
                <w:sz w:val="18"/>
                <w:szCs w:val="18"/>
              </w:rPr>
            </w:pPr>
            <w:r>
              <w:rPr>
                <w:rFonts w:ascii="宋体" w:hAnsi="宋体" w:cs="宋体" w:eastAsia="宋体" w:hint="default"/>
                <w:sz w:val="18"/>
                <w:szCs w:val="18"/>
              </w:rPr>
              <w:t>董事、副总经</w:t>
            </w:r>
            <w:r>
              <w:rPr>
                <w:rFonts w:ascii="宋体" w:hAnsi="宋体" w:cs="宋体" w:eastAsia="宋体" w:hint="default"/>
                <w:w w:val="100"/>
                <w:sz w:val="18"/>
                <w:szCs w:val="18"/>
              </w:rPr>
              <w:t> </w:t>
            </w:r>
            <w:r>
              <w:rPr>
                <w:rFonts w:ascii="宋体" w:hAnsi="宋体" w:cs="宋体" w:eastAsia="宋体" w:hint="default"/>
                <w:sz w:val="18"/>
                <w:szCs w:val="18"/>
              </w:rPr>
              <w:t>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13.18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崔胜利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刘志华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陶春芳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黄少杰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阎明涛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13.08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尚毅力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徐世奎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12.78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苏立臣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w w:val="100"/>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243.51</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4"/>
        <w:ind w:right="0"/>
        <w:jc w:val="left"/>
      </w:pPr>
      <w:bookmarkStart w:name="四、报告期核心技术团队或关键技术人员变动情况（非董事、监事、高级管理人员） " w:id="111"/>
      <w:bookmarkEnd w:id="111"/>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五、公司员工情况 " w:id="112"/>
      <w:bookmarkEnd w:id="112"/>
      <w:r>
        <w:rPr/>
      </w:r>
      <w:r>
        <w:rPr>
          <w:w w:val="100"/>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41" w:right="0"/>
        <w:jc w:val="left"/>
        <w:rPr>
          <w:b w:val="0"/>
          <w:bCs w:val="0"/>
        </w:rPr>
      </w:pPr>
      <w:r>
        <w:rPr>
          <w:rFonts w:ascii="Times New Roman" w:hAnsi="Times New Roman" w:cs="Times New Roman" w:eastAsia="Times New Roman" w:hint="default"/>
        </w:rPr>
        <w:t>1</w:t>
      </w:r>
      <w:r>
        <w:rPr/>
        <w:t>、按专业类别划分</w:t>
      </w:r>
      <w:r>
        <w:rPr>
          <w:b w:val="0"/>
          <w:bCs w:val="0"/>
        </w:rPr>
      </w:r>
    </w:p>
    <w:p>
      <w:pPr>
        <w:spacing w:line="240" w:lineRule="auto" w:before="3"/>
        <w:rPr>
          <w:rFonts w:ascii="宋体" w:hAnsi="宋体" w:cs="宋体" w:eastAsia="宋体" w:hint="default"/>
          <w:b/>
          <w:bCs/>
          <w:sz w:val="22"/>
          <w:szCs w:val="22"/>
        </w:rPr>
      </w:pPr>
    </w:p>
    <w:tbl>
      <w:tblPr>
        <w:tblW w:w="0" w:type="auto"/>
        <w:jc w:val="left"/>
        <w:tblInd w:w="145" w:type="dxa"/>
        <w:tblLayout w:type="fixed"/>
        <w:tblCellMar>
          <w:top w:w="0" w:type="dxa"/>
          <w:left w:w="0" w:type="dxa"/>
          <w:bottom w:w="0" w:type="dxa"/>
          <w:right w:w="0" w:type="dxa"/>
        </w:tblCellMar>
        <w:tblLook w:val="01E0"/>
      </w:tblPr>
      <w:tblGrid>
        <w:gridCol w:w="2849"/>
        <w:gridCol w:w="2834"/>
        <w:gridCol w:w="3857"/>
      </w:tblGrid>
      <w:tr>
        <w:trPr>
          <w:trHeight w:val="342" w:hRule="exact"/>
        </w:trPr>
        <w:tc>
          <w:tcPr>
            <w:tcW w:w="28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专业类别</w:t>
            </w:r>
            <w:r>
              <w:rPr>
                <w:rFonts w:ascii="宋体" w:hAnsi="宋体" w:cs="宋体" w:eastAsia="宋体" w:hint="default"/>
                <w:sz w:val="18"/>
                <w:szCs w:val="18"/>
              </w:rPr>
            </w:r>
          </w:p>
        </w:tc>
        <w:tc>
          <w:tcPr>
            <w:tcW w:w="28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226"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5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54"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销售</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271" w:right="0"/>
              <w:jc w:val="left"/>
              <w:rPr>
                <w:rFonts w:ascii="Times New Roman" w:hAnsi="Times New Roman" w:cs="Times New Roman" w:eastAsia="Times New Roman" w:hint="default"/>
                <w:sz w:val="18"/>
                <w:szCs w:val="18"/>
              </w:rPr>
            </w:pPr>
            <w:r>
              <w:rPr>
                <w:rFonts w:ascii="Times New Roman"/>
                <w:sz w:val="18"/>
              </w:rPr>
              <w:t>691</w:t>
            </w:r>
          </w:p>
        </w:tc>
        <w:tc>
          <w:tcPr>
            <w:tcW w:w="3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Times New Roman" w:hAnsi="Times New Roman" w:cs="Times New Roman" w:eastAsia="Times New Roman" w:hint="default"/>
                <w:sz w:val="18"/>
                <w:szCs w:val="18"/>
              </w:rPr>
            </w:pPr>
            <w:r>
              <w:rPr>
                <w:rFonts w:ascii="Times New Roman"/>
                <w:sz w:val="18"/>
              </w:rPr>
              <w:t>40.29%</w:t>
            </w:r>
          </w:p>
        </w:tc>
      </w:tr>
      <w:tr>
        <w:trPr>
          <w:trHeight w:val="346"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71" w:right="0"/>
              <w:jc w:val="left"/>
              <w:rPr>
                <w:rFonts w:ascii="Times New Roman" w:hAnsi="Times New Roman" w:cs="Times New Roman" w:eastAsia="Times New Roman" w:hint="default"/>
                <w:sz w:val="18"/>
                <w:szCs w:val="18"/>
              </w:rPr>
            </w:pPr>
            <w:r>
              <w:rPr>
                <w:rFonts w:ascii="Times New Roman"/>
                <w:sz w:val="18"/>
              </w:rPr>
              <w:t>410</w:t>
            </w:r>
          </w:p>
        </w:tc>
        <w:tc>
          <w:tcPr>
            <w:tcW w:w="3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23.91%</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采购</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71" w:right="0"/>
              <w:jc w:val="left"/>
              <w:rPr>
                <w:rFonts w:ascii="Times New Roman" w:hAnsi="Times New Roman" w:cs="Times New Roman" w:eastAsia="Times New Roman" w:hint="default"/>
                <w:sz w:val="18"/>
                <w:szCs w:val="18"/>
              </w:rPr>
            </w:pPr>
            <w:r>
              <w:rPr>
                <w:rFonts w:ascii="Times New Roman"/>
                <w:sz w:val="18"/>
              </w:rPr>
              <w:t>202</w:t>
            </w:r>
          </w:p>
        </w:tc>
        <w:tc>
          <w:tcPr>
            <w:tcW w:w="3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11.78%</w:t>
            </w:r>
          </w:p>
        </w:tc>
      </w:tr>
      <w:tr>
        <w:trPr>
          <w:trHeight w:val="346"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71" w:right="0"/>
              <w:jc w:val="left"/>
              <w:rPr>
                <w:rFonts w:ascii="Times New Roman" w:hAnsi="Times New Roman" w:cs="Times New Roman" w:eastAsia="Times New Roman" w:hint="default"/>
                <w:sz w:val="18"/>
                <w:szCs w:val="18"/>
              </w:rPr>
            </w:pPr>
            <w:r>
              <w:rPr>
                <w:rFonts w:ascii="Times New Roman"/>
                <w:sz w:val="18"/>
              </w:rPr>
              <w:t>412</w:t>
            </w:r>
          </w:p>
        </w:tc>
        <w:tc>
          <w:tcPr>
            <w:tcW w:w="3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24.02%</w:t>
            </w:r>
          </w:p>
        </w:tc>
      </w:tr>
      <w:tr>
        <w:trPr>
          <w:trHeight w:val="34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228" w:right="0"/>
              <w:jc w:val="left"/>
              <w:rPr>
                <w:rFonts w:ascii="Times New Roman" w:hAnsi="Times New Roman" w:cs="Times New Roman" w:eastAsia="Times New Roman" w:hint="default"/>
                <w:sz w:val="18"/>
                <w:szCs w:val="18"/>
              </w:rPr>
            </w:pPr>
            <w:r>
              <w:rPr>
                <w:rFonts w:ascii="Times New Roman"/>
                <w:sz w:val="18"/>
              </w:rPr>
              <w:t>1715</w:t>
            </w:r>
          </w:p>
        </w:tc>
        <w:tc>
          <w:tcPr>
            <w:tcW w:w="3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8"/>
        <w:ind w:right="0"/>
        <w:jc w:val="left"/>
      </w:pPr>
      <w:r>
        <w:rPr/>
        <w:t>饼状图：</w:t>
      </w:r>
    </w:p>
    <w:p>
      <w:pPr>
        <w:spacing w:after="0" w:line="240"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1"/>
          <w:szCs w:val="11"/>
        </w:rPr>
      </w:pPr>
    </w:p>
    <w:p>
      <w:pPr>
        <w:spacing w:line="5856" w:lineRule="exact"/>
        <w:ind w:left="152" w:right="0" w:firstLine="0"/>
        <w:rPr>
          <w:rFonts w:ascii="宋体" w:hAnsi="宋体" w:cs="宋体" w:eastAsia="宋体" w:hint="default"/>
          <w:sz w:val="20"/>
          <w:szCs w:val="20"/>
        </w:rPr>
      </w:pPr>
      <w:r>
        <w:rPr>
          <w:rFonts w:ascii="宋体" w:hAnsi="宋体" w:cs="宋体" w:eastAsia="宋体" w:hint="default"/>
          <w:position w:val="-116"/>
          <w:sz w:val="20"/>
          <w:szCs w:val="20"/>
        </w:rPr>
        <w:drawing>
          <wp:inline distT="0" distB="0" distL="0" distR="0">
            <wp:extent cx="6182433" cy="371894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9" cstate="print"/>
                    <a:stretch>
                      <a:fillRect/>
                    </a:stretch>
                  </pic:blipFill>
                  <pic:spPr>
                    <a:xfrm>
                      <a:off x="0" y="0"/>
                      <a:ext cx="6182433" cy="3718941"/>
                    </a:xfrm>
                    <a:prstGeom prst="rect">
                      <a:avLst/>
                    </a:prstGeom>
                  </pic:spPr>
                </pic:pic>
              </a:graphicData>
            </a:graphic>
          </wp:inline>
        </w:drawing>
      </w:r>
      <w:r>
        <w:rPr>
          <w:rFonts w:ascii="宋体" w:hAnsi="宋体" w:cs="宋体" w:eastAsia="宋体" w:hint="default"/>
          <w:position w:val="-116"/>
          <w:sz w:val="20"/>
          <w:szCs w:val="20"/>
        </w:rPr>
      </w:r>
    </w:p>
    <w:p>
      <w:pPr>
        <w:spacing w:line="240" w:lineRule="auto" w:before="1"/>
        <w:rPr>
          <w:rFonts w:ascii="宋体" w:hAnsi="宋体" w:cs="宋体" w:eastAsia="宋体" w:hint="default"/>
          <w:sz w:val="23"/>
          <w:szCs w:val="23"/>
        </w:rPr>
      </w:pPr>
    </w:p>
    <w:p>
      <w:pPr>
        <w:pStyle w:val="Heading4"/>
        <w:spacing w:line="240" w:lineRule="auto"/>
        <w:ind w:left="229" w:right="0"/>
        <w:jc w:val="left"/>
        <w:rPr>
          <w:b w:val="0"/>
          <w:bCs w:val="0"/>
        </w:rPr>
      </w:pPr>
      <w:r>
        <w:rPr>
          <w:rFonts w:ascii="Times New Roman" w:hAnsi="Times New Roman" w:cs="Times New Roman" w:eastAsia="Times New Roman" w:hint="default"/>
        </w:rPr>
        <w:t>2</w:t>
      </w:r>
      <w:r>
        <w:rPr/>
        <w:t>、按教育程度划分</w:t>
      </w:r>
      <w:r>
        <w:rPr>
          <w:b w:val="0"/>
          <w:bCs w:val="0"/>
        </w:rPr>
      </w:r>
    </w:p>
    <w:p>
      <w:pPr>
        <w:spacing w:line="240" w:lineRule="auto" w:before="0"/>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2801"/>
        <w:gridCol w:w="2870"/>
        <w:gridCol w:w="3881"/>
      </w:tblGrid>
      <w:tr>
        <w:trPr>
          <w:trHeight w:val="347" w:hRule="exact"/>
        </w:trPr>
        <w:tc>
          <w:tcPr>
            <w:tcW w:w="28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c>
          <w:tcPr>
            <w:tcW w:w="28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5"/>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b/>
                <w:bCs/>
                <w:sz w:val="18"/>
                <w:szCs w:val="18"/>
              </w:rPr>
              <w:t>占员工总数比例</w:t>
            </w:r>
            <w:r>
              <w:rPr>
                <w:rFonts w:ascii="宋体" w:hAnsi="宋体" w:cs="宋体" w:eastAsia="宋体" w:hint="default"/>
                <w:sz w:val="18"/>
                <w:szCs w:val="18"/>
              </w:rPr>
            </w:r>
          </w:p>
        </w:tc>
      </w:tr>
      <w:tr>
        <w:trPr>
          <w:trHeight w:val="347" w:hRule="exact"/>
        </w:trPr>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本科及以上</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
              <w:jc w:val="center"/>
              <w:rPr>
                <w:rFonts w:ascii="Times New Roman" w:hAnsi="Times New Roman" w:cs="Times New Roman" w:eastAsia="Times New Roman" w:hint="default"/>
                <w:sz w:val="18"/>
                <w:szCs w:val="18"/>
              </w:rPr>
            </w:pPr>
            <w:r>
              <w:rPr>
                <w:rFonts w:ascii="Times New Roman"/>
                <w:sz w:val="18"/>
              </w:rPr>
              <w:t>276</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16.09%</w:t>
            </w:r>
          </w:p>
        </w:tc>
      </w:tr>
      <w:tr>
        <w:trPr>
          <w:trHeight w:val="348" w:hRule="exact"/>
        </w:trPr>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789</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46.01%</w:t>
            </w:r>
          </w:p>
        </w:tc>
      </w:tr>
      <w:tr>
        <w:trPr>
          <w:trHeight w:val="346" w:hRule="exact"/>
        </w:trPr>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中专及以下</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
              <w:jc w:val="center"/>
              <w:rPr>
                <w:rFonts w:ascii="Times New Roman" w:hAnsi="Times New Roman" w:cs="Times New Roman" w:eastAsia="Times New Roman" w:hint="default"/>
                <w:sz w:val="18"/>
                <w:szCs w:val="18"/>
              </w:rPr>
            </w:pPr>
            <w:r>
              <w:rPr>
                <w:rFonts w:ascii="Times New Roman"/>
                <w:sz w:val="18"/>
              </w:rPr>
              <w:t>650</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37.90%</w:t>
            </w:r>
          </w:p>
        </w:tc>
      </w:tr>
      <w:tr>
        <w:trPr>
          <w:trHeight w:val="348" w:hRule="exact"/>
        </w:trPr>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1715</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b/>
          <w:bCs/>
          <w:sz w:val="21"/>
          <w:szCs w:val="21"/>
        </w:rPr>
      </w:pPr>
    </w:p>
    <w:p>
      <w:pPr>
        <w:pStyle w:val="BodyText"/>
        <w:spacing w:line="240" w:lineRule="auto" w:before="44"/>
        <w:ind w:right="0"/>
        <w:jc w:val="left"/>
      </w:pPr>
      <w:r>
        <w:rPr/>
        <w:t>饼状图：</w:t>
      </w:r>
    </w:p>
    <w:p>
      <w:pPr>
        <w:spacing w:after="0" w:line="240" w:lineRule="auto"/>
        <w:jc w:val="left"/>
        <w:sectPr>
          <w:pgSz w:w="11910" w:h="16840"/>
          <w:pgMar w:header="745" w:footer="981" w:top="1060" w:bottom="1180" w:left="980" w:right="9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5652" w:lineRule="exact"/>
        <w:ind w:left="152" w:right="0" w:firstLine="0"/>
        <w:rPr>
          <w:rFonts w:ascii="宋体" w:hAnsi="宋体" w:cs="宋体" w:eastAsia="宋体" w:hint="default"/>
          <w:sz w:val="20"/>
          <w:szCs w:val="20"/>
        </w:rPr>
      </w:pPr>
      <w:r>
        <w:rPr>
          <w:rFonts w:ascii="宋体" w:hAnsi="宋体" w:cs="宋体" w:eastAsia="宋体" w:hint="default"/>
          <w:position w:val="-112"/>
          <w:sz w:val="20"/>
          <w:szCs w:val="20"/>
        </w:rPr>
        <w:drawing>
          <wp:inline distT="0" distB="0" distL="0" distR="0">
            <wp:extent cx="6075813" cy="358921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0" cstate="print"/>
                    <a:stretch>
                      <a:fillRect/>
                    </a:stretch>
                  </pic:blipFill>
                  <pic:spPr>
                    <a:xfrm>
                      <a:off x="0" y="0"/>
                      <a:ext cx="6075813" cy="3589210"/>
                    </a:xfrm>
                    <a:prstGeom prst="rect">
                      <a:avLst/>
                    </a:prstGeom>
                  </pic:spPr>
                </pic:pic>
              </a:graphicData>
            </a:graphic>
          </wp:inline>
        </w:drawing>
      </w:r>
      <w:r>
        <w:rPr>
          <w:rFonts w:ascii="宋体" w:hAnsi="宋体" w:cs="宋体" w:eastAsia="宋体" w:hint="default"/>
          <w:position w:val="-112"/>
          <w:sz w:val="20"/>
          <w:szCs w:val="20"/>
        </w:rPr>
      </w:r>
    </w:p>
    <w:p>
      <w:pPr>
        <w:spacing w:line="240" w:lineRule="auto" w:before="2"/>
        <w:rPr>
          <w:rFonts w:ascii="宋体" w:hAnsi="宋体" w:cs="宋体" w:eastAsia="宋体" w:hint="default"/>
          <w:sz w:val="7"/>
          <w:szCs w:val="7"/>
        </w:rPr>
      </w:pPr>
    </w:p>
    <w:p>
      <w:pPr>
        <w:pStyle w:val="Heading4"/>
        <w:spacing w:line="240" w:lineRule="auto"/>
        <w:ind w:left="229" w:right="0"/>
        <w:jc w:val="left"/>
        <w:rPr>
          <w:b w:val="0"/>
          <w:bCs w:val="0"/>
        </w:rPr>
      </w:pPr>
      <w:r>
        <w:rPr>
          <w:rFonts w:ascii="Times New Roman" w:hAnsi="Times New Roman" w:cs="Times New Roman" w:eastAsia="Times New Roman" w:hint="default"/>
        </w:rPr>
        <w:t>3</w:t>
      </w:r>
      <w:r>
        <w:rPr/>
        <w:t>、按年龄结构划分</w:t>
      </w:r>
      <w:r>
        <w:rPr>
          <w:b w:val="0"/>
          <w:bCs w:val="0"/>
        </w:rPr>
      </w:r>
    </w:p>
    <w:p>
      <w:pPr>
        <w:spacing w:line="240" w:lineRule="auto" w:before="2"/>
        <w:rPr>
          <w:rFonts w:ascii="宋体" w:hAnsi="宋体" w:cs="宋体" w:eastAsia="宋体" w:hint="default"/>
          <w:b/>
          <w:bCs/>
          <w:sz w:val="4"/>
          <w:szCs w:val="4"/>
        </w:rPr>
      </w:pPr>
    </w:p>
    <w:tbl>
      <w:tblPr>
        <w:tblW w:w="0" w:type="auto"/>
        <w:jc w:val="left"/>
        <w:tblInd w:w="145" w:type="dxa"/>
        <w:tblLayout w:type="fixed"/>
        <w:tblCellMar>
          <w:top w:w="0" w:type="dxa"/>
          <w:left w:w="0" w:type="dxa"/>
          <w:bottom w:w="0" w:type="dxa"/>
          <w:right w:w="0" w:type="dxa"/>
        </w:tblCellMar>
        <w:tblLook w:val="01E0"/>
      </w:tblPr>
      <w:tblGrid>
        <w:gridCol w:w="2453"/>
        <w:gridCol w:w="3799"/>
        <w:gridCol w:w="3305"/>
      </w:tblGrid>
      <w:tr>
        <w:trPr>
          <w:trHeight w:val="347" w:hRule="exact"/>
        </w:trPr>
        <w:tc>
          <w:tcPr>
            <w:tcW w:w="24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b/>
                <w:bCs/>
                <w:sz w:val="18"/>
                <w:szCs w:val="18"/>
              </w:rPr>
              <w:t>年龄幅度</w:t>
            </w:r>
            <w:r>
              <w:rPr>
                <w:rFonts w:ascii="宋体" w:hAnsi="宋体" w:cs="宋体" w:eastAsia="宋体" w:hint="default"/>
                <w:sz w:val="18"/>
                <w:szCs w:val="18"/>
              </w:rPr>
            </w:r>
          </w:p>
        </w:tc>
        <w:tc>
          <w:tcPr>
            <w:tcW w:w="37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709"/>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3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7"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岁及以下</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53"/>
              <w:jc w:val="right"/>
              <w:rPr>
                <w:rFonts w:ascii="Times New Roman" w:hAnsi="Times New Roman" w:cs="Times New Roman" w:eastAsia="Times New Roman" w:hint="default"/>
                <w:sz w:val="18"/>
                <w:szCs w:val="18"/>
              </w:rPr>
            </w:pPr>
            <w:r>
              <w:rPr>
                <w:rFonts w:ascii="Times New Roman"/>
                <w:sz w:val="18"/>
              </w:rPr>
              <w:t>718</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center"/>
              <w:rPr>
                <w:rFonts w:ascii="Times New Roman" w:hAnsi="Times New Roman" w:cs="Times New Roman" w:eastAsia="Times New Roman" w:hint="default"/>
                <w:sz w:val="18"/>
                <w:szCs w:val="18"/>
              </w:rPr>
            </w:pPr>
            <w:r>
              <w:rPr>
                <w:rFonts w:ascii="Times New Roman"/>
                <w:sz w:val="18"/>
              </w:rPr>
              <w:t>41.86%</w:t>
            </w:r>
          </w:p>
        </w:tc>
      </w:tr>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53"/>
              <w:jc w:val="right"/>
              <w:rPr>
                <w:rFonts w:ascii="Times New Roman" w:hAnsi="Times New Roman" w:cs="Times New Roman" w:eastAsia="Times New Roman" w:hint="default"/>
                <w:sz w:val="18"/>
                <w:szCs w:val="18"/>
              </w:rPr>
            </w:pPr>
            <w:r>
              <w:rPr>
                <w:rFonts w:ascii="Times New Roman"/>
                <w:sz w:val="18"/>
              </w:rPr>
              <w:t>735</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42.86%</w:t>
            </w:r>
          </w:p>
        </w:tc>
      </w:tr>
      <w:tr>
        <w:trPr>
          <w:trHeight w:val="346"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53"/>
              <w:jc w:val="right"/>
              <w:rPr>
                <w:rFonts w:ascii="Times New Roman" w:hAnsi="Times New Roman" w:cs="Times New Roman" w:eastAsia="Times New Roman" w:hint="default"/>
                <w:sz w:val="18"/>
                <w:szCs w:val="18"/>
              </w:rPr>
            </w:pPr>
            <w:r>
              <w:rPr>
                <w:rFonts w:ascii="Times New Roman"/>
                <w:sz w:val="18"/>
              </w:rPr>
              <w:t>200</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11.66%</w:t>
            </w:r>
          </w:p>
        </w:tc>
      </w:tr>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99"/>
              <w:jc w:val="right"/>
              <w:rPr>
                <w:rFonts w:ascii="Times New Roman" w:hAnsi="Times New Roman" w:cs="Times New Roman" w:eastAsia="Times New Roman" w:hint="default"/>
                <w:sz w:val="18"/>
                <w:szCs w:val="18"/>
              </w:rPr>
            </w:pPr>
            <w:r>
              <w:rPr>
                <w:rFonts w:ascii="Times New Roman"/>
                <w:sz w:val="18"/>
              </w:rPr>
              <w:t>62</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3.62%</w:t>
            </w:r>
          </w:p>
        </w:tc>
      </w:tr>
      <w:tr>
        <w:trPr>
          <w:trHeight w:val="348" w:hRule="exact"/>
        </w:trPr>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08"/>
              <w:jc w:val="right"/>
              <w:rPr>
                <w:rFonts w:ascii="Times New Roman" w:hAnsi="Times New Roman" w:cs="Times New Roman" w:eastAsia="Times New Roman" w:hint="default"/>
                <w:sz w:val="18"/>
                <w:szCs w:val="18"/>
              </w:rPr>
            </w:pPr>
            <w:r>
              <w:rPr>
                <w:rFonts w:ascii="Times New Roman"/>
                <w:sz w:val="18"/>
              </w:rPr>
              <w:t>1715</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w:t>
            </w:r>
          </w:p>
        </w:tc>
      </w:tr>
    </w:tbl>
    <w:p>
      <w:pPr>
        <w:spacing w:line="262"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饼状图：</w:t>
      </w:r>
    </w:p>
    <w:p>
      <w:pPr>
        <w:spacing w:after="0" w:line="262" w:lineRule="exact"/>
        <w:jc w:val="left"/>
        <w:rPr>
          <w:rFonts w:ascii="宋体" w:hAnsi="宋体" w:cs="宋体" w:eastAsia="宋体" w:hint="default"/>
          <w:sz w:val="21"/>
          <w:szCs w:val="21"/>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line="5992"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9"/>
          <w:sz w:val="20"/>
          <w:szCs w:val="20"/>
        </w:rPr>
        <w:drawing>
          <wp:inline distT="0" distB="0" distL="0" distR="0">
            <wp:extent cx="6325788" cy="380542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1" cstate="print"/>
                    <a:stretch>
                      <a:fillRect/>
                    </a:stretch>
                  </pic:blipFill>
                  <pic:spPr>
                    <a:xfrm>
                      <a:off x="0" y="0"/>
                      <a:ext cx="6325788" cy="3805428"/>
                    </a:xfrm>
                    <a:prstGeom prst="rect">
                      <a:avLst/>
                    </a:prstGeom>
                  </pic:spPr>
                </pic:pic>
              </a:graphicData>
            </a:graphic>
          </wp:inline>
        </w:drawing>
      </w:r>
      <w:r>
        <w:rPr>
          <w:rFonts w:ascii="Times New Roman" w:hAnsi="Times New Roman" w:cs="Times New Roman" w:eastAsia="Times New Roman" w:hint="default"/>
          <w:position w:val="-119"/>
          <w:sz w:val="20"/>
          <w:szCs w:val="20"/>
        </w:rPr>
      </w:r>
    </w:p>
    <w:p>
      <w:pPr>
        <w:spacing w:after="0" w:line="5992" w:lineRule="exact"/>
        <w:rPr>
          <w:rFonts w:ascii="Times New Roman" w:hAnsi="Times New Roman" w:cs="Times New Roman" w:eastAsia="Times New Roman" w:hint="default"/>
          <w:sz w:val="20"/>
          <w:szCs w:val="20"/>
        </w:rPr>
        <w:sectPr>
          <w:pgSz w:w="11910" w:h="16840"/>
          <w:pgMar w:header="745" w:footer="981" w:top="1060" w:bottom="1180" w:left="980" w:right="6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590" w:right="3629"/>
        <w:jc w:val="center"/>
        <w:rPr>
          <w:b w:val="0"/>
          <w:bCs w:val="0"/>
        </w:rPr>
      </w:pPr>
      <w:bookmarkStart w:name="第九节 公司治理 " w:id="113"/>
      <w:bookmarkEnd w:id="113"/>
      <w:r>
        <w:rPr>
          <w:b w:val="0"/>
          <w:bCs w:val="0"/>
        </w:rPr>
      </w:r>
      <w:bookmarkStart w:name="_bookmark8" w:id="114"/>
      <w:bookmarkEnd w:id="114"/>
      <w:r>
        <w:rPr>
          <w:b w:val="0"/>
          <w:bCs w:val="0"/>
        </w:rPr>
      </w:r>
      <w:r>
        <w:rPr/>
        <w:t>第九节</w:t>
      </w:r>
      <w:r>
        <w:rPr>
          <w:spacing w:val="-6"/>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3"/>
        <w:jc w:val="left"/>
        <w:rPr>
          <w:b w:val="0"/>
          <w:bCs w:val="0"/>
        </w:rPr>
      </w:pPr>
      <w:bookmarkStart w:name="一、公司治理的基本状况 " w:id="115"/>
      <w:bookmarkEnd w:id="11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3" w:firstLine="388"/>
        <w:jc w:val="left"/>
      </w:pPr>
      <w:r>
        <w:rPr/>
        <w:t>治理层面制定有《公司章程》，并根据章程等规定，制定有股东大会、董事会、监事会等议事规则，及战略委员会、</w:t>
      </w:r>
      <w:r>
        <w:rPr>
          <w:w w:val="100"/>
        </w:rPr>
        <w:t> </w:t>
      </w:r>
      <w:r>
        <w:rPr>
          <w:spacing w:val="-3"/>
        </w:rPr>
        <w:t>提名委员会、审计委员会、薪酬与考核委员会、总经理、董事会秘书等工作制度，制定信息披露、关联交易、募集资金、履</w:t>
      </w:r>
      <w:r>
        <w:rPr>
          <w:spacing w:val="-43"/>
        </w:rPr>
        <w:t> </w:t>
      </w:r>
      <w:r>
        <w:rPr>
          <w:spacing w:val="-43"/>
        </w:rPr>
      </w:r>
      <w:r>
        <w:rPr>
          <w:spacing w:val="-3"/>
        </w:rPr>
        <w:t>行社会责任、内幕信息及知情人管理、投资者关系管理、会计师事务所选聘、防范大股东及关联方占用上市公司资金管理等</w:t>
      </w:r>
      <w:r>
        <w:rPr>
          <w:spacing w:val="-43"/>
        </w:rPr>
        <w:t> </w:t>
      </w:r>
      <w:r>
        <w:rPr>
          <w:spacing w:val="-43"/>
        </w:rPr>
      </w:r>
      <w:r>
        <w:rPr>
          <w:spacing w:val="-2"/>
        </w:rPr>
        <w:t>公司治理制度。报告期内根据监管要求及治理需要修订《募集资金管理办法</w:t>
      </w:r>
      <w:r>
        <w:rPr>
          <w:spacing w:val="-10"/>
        </w:rPr>
        <w:t> </w:t>
      </w:r>
      <w:r>
        <w:rPr>
          <w:spacing w:val="-2"/>
        </w:rPr>
        <w:t>》（详见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w:t>
      </w:r>
      <w:r>
        <w:rPr>
          <w:spacing w:val="-2"/>
        </w:rPr>
        <w:t>日和</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日发布于巨潮资</w:t>
      </w:r>
      <w:r>
        <w:rPr>
          <w:spacing w:val="-84"/>
        </w:rPr>
        <w:t> </w:t>
      </w:r>
      <w:r>
        <w:rPr>
          <w:spacing w:val="-84"/>
        </w:rPr>
      </w:r>
      <w:r>
        <w:rPr>
          <w:spacing w:val="-1"/>
        </w:rPr>
        <w:t>讯网（</w:t>
      </w:r>
      <w:hyperlink r:id="rId12">
        <w:r>
          <w:rPr>
            <w:rFonts w:ascii="Times New Roman" w:hAnsi="Times New Roman" w:cs="Times New Roman" w:eastAsia="Times New Roman" w:hint="default"/>
            <w:spacing w:val="-1"/>
          </w:rPr>
          <w:t>http://www.cninfo.com.cn</w:t>
        </w:r>
      </w:hyperlink>
      <w:r>
        <w:rPr>
          <w:spacing w:val="-1"/>
        </w:rPr>
        <w:t>）的公告）以规范细化募集资金的存储、使用、投向变更、监督等管控。上述公司治理制度</w:t>
      </w:r>
      <w:r>
        <w:rPr>
          <w:spacing w:val="-61"/>
        </w:rPr>
        <w:t> </w:t>
      </w:r>
      <w:r>
        <w:rPr>
          <w:spacing w:val="-61"/>
        </w:rPr>
      </w:r>
      <w:r>
        <w:rPr/>
        <w:t>的有效执行，保证了相关委员会有效履行职责，有利于发挥监事会的监督作用，为董事会科学决策提供帮助。</w:t>
      </w:r>
    </w:p>
    <w:p>
      <w:pPr>
        <w:pStyle w:val="BodyText"/>
        <w:spacing w:line="240" w:lineRule="auto" w:before="22"/>
        <w:ind w:left="541" w:right="93"/>
        <w:jc w:val="left"/>
      </w:pPr>
      <w:r>
        <w:rPr/>
        <w:t>公司治理的具体情况如下：</w:t>
      </w:r>
    </w:p>
    <w:p>
      <w:pPr>
        <w:pStyle w:val="BodyText"/>
        <w:spacing w:line="300" w:lineRule="auto" w:before="76"/>
        <w:ind w:left="541" w:right="93"/>
        <w:jc w:val="left"/>
      </w:pPr>
      <w:r>
        <w:rPr>
          <w:rFonts w:ascii="Times New Roman" w:hAnsi="Times New Roman" w:cs="Times New Roman" w:eastAsia="Times New Roman" w:hint="default"/>
        </w:rPr>
        <w:t>1</w:t>
      </w:r>
      <w:r>
        <w:rPr/>
        <w:t>、关于股东和股东大会</w:t>
      </w:r>
      <w:r>
        <w:rPr>
          <w:w w:val="100"/>
        </w:rPr>
        <w:t> </w:t>
      </w:r>
      <w:r>
        <w:rPr>
          <w:spacing w:val="-1"/>
        </w:rPr>
        <w:t>公司严格按照《公司章程》和《股东大会议事规则》的规定要求，认真履行股东大会的召集、召开及表决程序，并聘</w:t>
      </w:r>
    </w:p>
    <w:p>
      <w:pPr>
        <w:pStyle w:val="BodyText"/>
        <w:spacing w:line="309" w:lineRule="auto" w:before="31"/>
        <w:ind w:left="541" w:right="93" w:hanging="389"/>
        <w:jc w:val="left"/>
      </w:pPr>
      <w:r>
        <w:rPr/>
        <w:t>请律师出席见证，确保全体股东、特别是中小股东享有平等地位，确保全体股东充分地行使自己的合法权利。</w:t>
      </w:r>
      <w:r>
        <w:rPr>
          <w:w w:val="100"/>
        </w:rPr>
        <w:t> </w:t>
      </w:r>
      <w:r>
        <w:rPr>
          <w:rFonts w:ascii="Times New Roman" w:hAnsi="Times New Roman" w:cs="Times New Roman" w:eastAsia="Times New Roman" w:hint="default"/>
        </w:rPr>
        <w:t>2</w:t>
      </w:r>
      <w:r>
        <w:rPr/>
        <w:t>、关于董事和董事会</w:t>
      </w:r>
      <w:r>
        <w:rPr>
          <w:w w:val="100"/>
        </w:rPr>
        <w:t> </w:t>
      </w:r>
      <w:r>
        <w:rPr>
          <w:spacing w:val="-1"/>
        </w:rPr>
        <w:t>在报告期内，董事会严格按照《公司法》、《董事会议事规则》召开会议，执行股东大会决议并依法行使职权。公司</w:t>
      </w:r>
    </w:p>
    <w:p>
      <w:pPr>
        <w:pStyle w:val="BodyText"/>
        <w:spacing w:line="316" w:lineRule="auto" w:before="24"/>
        <w:ind w:right="189"/>
        <w:jc w:val="both"/>
      </w:pPr>
      <w:r>
        <w:rPr>
          <w:spacing w:val="-3"/>
        </w:rPr>
        <w:t>各位董事能够勤勉尽责的行使权利，科学决策，维护公司和股东利益。公司严格按照《董事会议事规则》和《董事会审计委</w:t>
      </w:r>
      <w:r>
        <w:rPr>
          <w:spacing w:val="-45"/>
        </w:rPr>
        <w:t> </w:t>
      </w:r>
      <w:r>
        <w:rPr>
          <w:spacing w:val="-45"/>
        </w:rPr>
      </w:r>
      <w:r>
        <w:rPr>
          <w:spacing w:val="-3"/>
        </w:rPr>
        <w:t>员议事规则》等制度，进一步明确董事会及其专业委员会的职责。董事会成员九名，其中有三名独立董事，一名为行业专业</w:t>
      </w:r>
      <w:r>
        <w:rPr>
          <w:spacing w:val="-52"/>
        </w:rPr>
        <w:t> </w:t>
      </w:r>
      <w:r>
        <w:rPr>
          <w:spacing w:val="-52"/>
        </w:rPr>
      </w:r>
      <w:r>
        <w:rPr>
          <w:spacing w:val="-3"/>
        </w:rPr>
        <w:t>人士，一名为财务专业人士，一名为法律专业人士，符合中国证监会《关于在上市公司建立独立董事制度的指导意见》的要</w:t>
      </w:r>
      <w:r>
        <w:rPr>
          <w:spacing w:val="-52"/>
        </w:rPr>
        <w:t> </w:t>
      </w:r>
      <w:r>
        <w:rPr>
          <w:spacing w:val="-52"/>
        </w:rPr>
      </w:r>
      <w:r>
        <w:rPr/>
        <w:t>求，并下设董事会审计委员会、薪酬与考核委员会、提名委员会和战略委员会。</w:t>
      </w:r>
    </w:p>
    <w:p>
      <w:pPr>
        <w:pStyle w:val="BodyText"/>
        <w:spacing w:line="300" w:lineRule="auto" w:before="18"/>
        <w:ind w:left="541" w:right="93"/>
        <w:jc w:val="left"/>
      </w:pPr>
      <w:r>
        <w:rPr>
          <w:rFonts w:ascii="Times New Roman" w:hAnsi="Times New Roman" w:cs="Times New Roman" w:eastAsia="Times New Roman" w:hint="default"/>
        </w:rPr>
        <w:t>3</w:t>
      </w:r>
      <w:r>
        <w:rPr/>
        <w:t>、关于监事和监事会</w:t>
      </w:r>
      <w:r>
        <w:rPr>
          <w:w w:val="100"/>
        </w:rPr>
        <w:t> </w:t>
      </w:r>
      <w:r>
        <w:rPr>
          <w:spacing w:val="-1"/>
        </w:rPr>
        <w:t>公司监事严格按照《公司章程》和《监事会议事规则》的规定召集、召开监事会，认真履行职责，审议公司的定期报</w:t>
      </w:r>
    </w:p>
    <w:p>
      <w:pPr>
        <w:pStyle w:val="BodyText"/>
        <w:spacing w:line="316" w:lineRule="auto" w:before="31"/>
        <w:ind w:right="93"/>
        <w:jc w:val="left"/>
      </w:pPr>
      <w:r>
        <w:rPr>
          <w:spacing w:val="-3"/>
        </w:rPr>
        <w:t>告，列席公司股东大会和董事会，对公司的重大事项、关联交易、财务状况以及公司董事、高级管理人员履行职责情况等方</w:t>
      </w:r>
      <w:r>
        <w:rPr>
          <w:spacing w:val="-51"/>
        </w:rPr>
        <w:t> </w:t>
      </w:r>
      <w:r>
        <w:rPr>
          <w:spacing w:val="-51"/>
        </w:rPr>
      </w:r>
      <w:r>
        <w:rPr/>
        <w:t>面进行了监督，维护了公司及股东的合法权益。</w:t>
      </w:r>
    </w:p>
    <w:p>
      <w:pPr>
        <w:pStyle w:val="BodyText"/>
        <w:spacing w:line="319" w:lineRule="auto" w:before="18"/>
        <w:ind w:right="93" w:firstLine="388"/>
        <w:jc w:val="left"/>
      </w:pPr>
      <w:r>
        <w:rPr>
          <w:spacing w:val="-1"/>
        </w:rPr>
        <w:t>公司监事会向股东大会负责，对公司财务以及公司董事、经理级其他高级管理人员履行职责的合法合规性进行监督，</w:t>
      </w:r>
      <w:r>
        <w:rPr>
          <w:w w:val="100"/>
        </w:rPr>
        <w:t> </w:t>
      </w:r>
      <w:r>
        <w:rPr/>
        <w:t>维护公司及股东的合法权益，为保证监事正常履行职责，公司保障了监事的知情权。</w:t>
      </w:r>
    </w:p>
    <w:p>
      <w:pPr>
        <w:pStyle w:val="BodyText"/>
        <w:spacing w:line="300" w:lineRule="auto" w:before="17"/>
        <w:ind w:left="541" w:right="93"/>
        <w:jc w:val="left"/>
      </w:pPr>
      <w:r>
        <w:rPr>
          <w:rFonts w:ascii="Times New Roman" w:hAnsi="Times New Roman" w:cs="Times New Roman" w:eastAsia="Times New Roman" w:hint="default"/>
        </w:rPr>
        <w:t>4</w:t>
      </w:r>
      <w:r>
        <w:rPr/>
        <w:t>、关于信息披露与投资者关系</w:t>
      </w:r>
      <w:r>
        <w:rPr>
          <w:w w:val="100"/>
        </w:rPr>
        <w:t> </w:t>
      </w:r>
      <w:r>
        <w:rPr>
          <w:spacing w:val="-4"/>
        </w:rPr>
        <w:t>报告期内，公司严格按照《公司章程》、《信息披露事务管理制度》、《年报信息披露重大差错责任追究制度》、《内</w:t>
      </w:r>
    </w:p>
    <w:p>
      <w:pPr>
        <w:pStyle w:val="BodyText"/>
        <w:spacing w:line="316" w:lineRule="auto" w:before="31"/>
        <w:ind w:right="93"/>
        <w:jc w:val="left"/>
      </w:pPr>
      <w:r>
        <w:rPr>
          <w:spacing w:val="-3"/>
        </w:rPr>
        <w:t>幕信息及知情人管理制度》、《外部信息使用人管理制度》等法律、法规的规定，真实、准确、完整、及时地披露信息，明</w:t>
      </w:r>
      <w:r>
        <w:rPr>
          <w:spacing w:val="-49"/>
        </w:rPr>
        <w:t> </w:t>
      </w:r>
      <w:r>
        <w:rPr>
          <w:spacing w:val="-49"/>
        </w:rPr>
      </w:r>
      <w:r>
        <w:rPr>
          <w:spacing w:val="-3"/>
        </w:rPr>
        <w:t>确信息披露的责任人，加强了内幕信息的保密工作，提高了年报信息披露的质量和透明度，加强公司定期报告及重大事项在</w:t>
      </w:r>
      <w:r>
        <w:rPr>
          <w:spacing w:val="-47"/>
        </w:rPr>
        <w:t> </w:t>
      </w:r>
      <w:r>
        <w:rPr>
          <w:spacing w:val="-47"/>
        </w:rPr>
      </w:r>
      <w:r>
        <w:rPr>
          <w:spacing w:val="-3"/>
        </w:rPr>
        <w:t>编制、审议和披露期间公司外部信息的报送和使用管理。报告期内，公司及信息披露义务人严格按照《深圳证券交易所上市</w:t>
      </w:r>
      <w:r>
        <w:rPr>
          <w:spacing w:val="-44"/>
        </w:rPr>
        <w:t> </w:t>
      </w:r>
      <w:r>
        <w:rPr>
          <w:spacing w:val="-44"/>
        </w:rPr>
      </w:r>
      <w:r>
        <w:rPr>
          <w:spacing w:val="-1"/>
        </w:rPr>
        <w:t>公司公平信息披露指引》的要求协调投资者关系，接待股东来访，回答投资者咨询，确保公司信息披露真实、准确、完整、</w:t>
      </w:r>
      <w:r>
        <w:rPr>
          <w:spacing w:val="-76"/>
        </w:rPr>
        <w:t> </w:t>
      </w:r>
      <w:r>
        <w:rPr>
          <w:spacing w:val="-76"/>
        </w:rPr>
      </w:r>
      <w:r>
        <w:rPr/>
        <w:t>及时、公开。</w:t>
      </w:r>
    </w:p>
    <w:p>
      <w:pPr>
        <w:pStyle w:val="BodyText"/>
        <w:spacing w:line="300" w:lineRule="auto" w:before="18"/>
        <w:ind w:left="541" w:right="93"/>
        <w:jc w:val="left"/>
      </w:pPr>
      <w:r>
        <w:rPr>
          <w:rFonts w:ascii="Times New Roman" w:hAnsi="Times New Roman" w:cs="Times New Roman" w:eastAsia="Times New Roman" w:hint="default"/>
        </w:rPr>
        <w:t>5</w:t>
      </w:r>
      <w:r>
        <w:rPr/>
        <w:t>、关于公司内部审计情况</w:t>
      </w:r>
      <w:r>
        <w:rPr>
          <w:w w:val="100"/>
        </w:rPr>
        <w:t> </w:t>
      </w:r>
      <w:r>
        <w:rPr>
          <w:spacing w:val="-1"/>
        </w:rPr>
        <w:t>公司设立审计监管部，制定了《内部审计制度》，明确规定了审计部门的职责、实施等内容。通过内部审计工作的有</w:t>
      </w:r>
    </w:p>
    <w:p>
      <w:pPr>
        <w:pStyle w:val="BodyText"/>
        <w:spacing w:line="316" w:lineRule="auto" w:before="31"/>
        <w:ind w:right="93"/>
        <w:jc w:val="left"/>
      </w:pPr>
      <w:r>
        <w:rPr>
          <w:spacing w:val="-3"/>
        </w:rPr>
        <w:t>效开展，对公司的资金运作、资产利用情况及其他财务运作情况进行审计和监督，有效防范了内部控制的风险，保证公司资</w:t>
      </w:r>
      <w:r>
        <w:rPr>
          <w:spacing w:val="-45"/>
        </w:rPr>
        <w:t> </w:t>
      </w:r>
      <w:r>
        <w:rPr>
          <w:spacing w:val="-45"/>
        </w:rPr>
      </w:r>
      <w:r>
        <w:rPr/>
        <w:t>产的真实和完整，确保公司治理规范。</w:t>
      </w:r>
    </w:p>
    <w:p>
      <w:pPr>
        <w:spacing w:line="240" w:lineRule="auto" w:before="0"/>
        <w:rPr>
          <w:rFonts w:ascii="宋体" w:hAnsi="宋体" w:cs="宋体" w:eastAsia="宋体" w:hint="default"/>
          <w:sz w:val="18"/>
          <w:szCs w:val="18"/>
        </w:rPr>
      </w:pPr>
    </w:p>
    <w:p>
      <w:pPr>
        <w:pStyle w:val="BodyText"/>
        <w:spacing w:line="240" w:lineRule="auto" w:before="136"/>
        <w:ind w:right="93"/>
        <w:jc w:val="left"/>
      </w:pPr>
      <w:r>
        <w:rPr/>
        <w:t>公司治理与《公司法》和中国证监会相关规定的要求是否存在差异</w:t>
      </w:r>
    </w:p>
    <w:p>
      <w:pPr>
        <w:pStyle w:val="BodyText"/>
        <w:spacing w:line="360" w:lineRule="auto" w:before="114"/>
        <w:ind w:right="4226"/>
        <w:jc w:val="left"/>
      </w:pPr>
      <w:r>
        <w:rPr/>
        <w:t>□ 是 √</w:t>
      </w:r>
      <w:r>
        <w:rPr>
          <w:spacing w:val="1"/>
        </w:rPr>
        <w:t> </w:t>
      </w:r>
      <w:r>
        <w:rPr/>
        <w:t>否</w:t>
      </w:r>
      <w:r>
        <w:rPr>
          <w:w w:val="100"/>
        </w:rPr>
        <w:t> </w:t>
      </w:r>
      <w:r>
        <w:rPr>
          <w:spacing w:val="-1"/>
        </w:rPr>
        <w:t>公司治理与《公司法》和中国证监会相关规定的要求不存在差异。</w:t>
      </w:r>
    </w:p>
    <w:p>
      <w:pPr>
        <w:spacing w:after="0" w:line="36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r>
        <w:rPr/>
        <w:pict>
          <v:group style="position:absolute;margin-left:296.040009pt;margin-top:573.290039pt;width:79.350pt;height:93.6pt;mso-position-horizontal-relative:page;mso-position-vertical-relative:page;z-index:-898288" coordorigin="5921,11466" coordsize="1587,1872">
            <v:shape style="position:absolute;left:5921;top:11466;width:1587;height:1872" coordorigin="5921,11466" coordsize="1587,1872" path="m5921,13338l7507,13338,7507,11466,5921,11466,5921,13338xe" filled="true" fillcolor="#ffffff" stroked="false">
              <v:path arrowok="t"/>
              <v:fill type="solid"/>
            </v:shape>
            <w10:wrap type="none"/>
          </v:group>
        </w:pict>
      </w:r>
    </w:p>
    <w:p>
      <w:pPr>
        <w:pStyle w:val="BodyText"/>
        <w:spacing w:line="360" w:lineRule="auto" w:before="44"/>
        <w:ind w:left="515" w:right="93" w:hanging="363"/>
        <w:jc w:val="left"/>
      </w:pPr>
      <w:r>
        <w:rPr/>
        <w:t>公司治理专项活动开展情况以及内幕信息知情人登记管理制度的制定、实施情况</w:t>
      </w:r>
      <w:r>
        <w:rPr>
          <w:w w:val="100"/>
        </w:rPr>
        <w:t> </w:t>
      </w:r>
      <w:r>
        <w:rPr>
          <w:spacing w:val="-1"/>
        </w:rPr>
        <w:t>公司制定《内幕信息及知情人管理制度》明确规定信息管理职责划定、知情人员范围、信息保密规定、信息流转审批、</w:t>
      </w:r>
    </w:p>
    <w:p>
      <w:pPr>
        <w:pStyle w:val="BodyText"/>
        <w:spacing w:line="222" w:lineRule="exact"/>
        <w:ind w:right="93"/>
        <w:jc w:val="left"/>
      </w:pPr>
      <w:bookmarkStart w:name="二、报告期内召开的年度股东大会和临时股东大会的有关情况 " w:id="116"/>
      <w:bookmarkEnd w:id="116"/>
      <w:r>
        <w:rPr/>
      </w:r>
      <w:r>
        <w:rPr/>
        <w:t>知情人登记备案及责任追究等方面。公司报告期内公司严格按照制度规定执行信息保密管理工作。</w:t>
      </w:r>
    </w:p>
    <w:p>
      <w:pPr>
        <w:spacing w:line="240" w:lineRule="auto" w:before="1"/>
        <w:rPr>
          <w:rFonts w:ascii="宋体" w:hAnsi="宋体" w:cs="宋体" w:eastAsia="宋体" w:hint="default"/>
          <w:sz w:val="25"/>
          <w:szCs w:val="25"/>
        </w:rPr>
      </w:pPr>
    </w:p>
    <w:p>
      <w:pPr>
        <w:pStyle w:val="Heading2"/>
        <w:spacing w:line="240" w:lineRule="auto"/>
        <w:ind w:right="93"/>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bookmarkStart w:name="1、本报告期年度股东大会情况 " w:id="117"/>
      <w:bookmarkEnd w:id="117"/>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pacing w:val="-1"/>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年度董事会</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1"/>
                <w:w w:val="100"/>
                <w:sz w:val="18"/>
                <w:szCs w:val="18"/>
              </w:rPr>
              <w:t>工作报告</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201</w:t>
            </w:r>
            <w:r>
              <w:rPr>
                <w:rFonts w:ascii="Times New Roman" w:hAnsi="Times New Roman" w:cs="Times New Roman" w:eastAsia="Times New Roman" w:hint="default"/>
                <w:w w:val="100"/>
                <w:sz w:val="18"/>
                <w:szCs w:val="18"/>
              </w:rPr>
              <w:t>3</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年年度报告及其摘</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要</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201</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pacing w:val="-1"/>
                <w:w w:val="100"/>
                <w:sz w:val="18"/>
                <w:szCs w:val="18"/>
              </w:rPr>
              <w:t>年度</w:t>
            </w:r>
            <w:r>
              <w:rPr>
                <w:rFonts w:ascii="宋体" w:hAnsi="宋体" w:cs="宋体" w:eastAsia="宋体" w:hint="default"/>
                <w:w w:val="100"/>
                <w:sz w:val="18"/>
                <w:szCs w:val="18"/>
              </w:rPr>
              <w:t>财</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务决算报告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1"/>
                <w:w w:val="100"/>
                <w:sz w:val="18"/>
                <w:szCs w:val="18"/>
              </w:rPr>
              <w:t>年预算报告</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201</w:t>
            </w:r>
            <w:r>
              <w:rPr>
                <w:rFonts w:ascii="Times New Roman" w:hAnsi="Times New Roman" w:cs="Times New Roman" w:eastAsia="Times New Roman" w:hint="default"/>
                <w:w w:val="100"/>
                <w:sz w:val="18"/>
                <w:szCs w:val="18"/>
              </w:rPr>
              <w:t>3</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77"/>
              <w:jc w:val="right"/>
              <w:rPr>
                <w:rFonts w:ascii="宋体" w:hAnsi="宋体" w:cs="宋体" w:eastAsia="宋体" w:hint="default"/>
                <w:sz w:val="18"/>
                <w:szCs w:val="18"/>
              </w:rPr>
            </w:pPr>
            <w:r>
              <w:rPr>
                <w:rFonts w:ascii="宋体" w:hAnsi="宋体" w:cs="宋体" w:eastAsia="宋体" w:hint="default"/>
                <w:spacing w:val="-1"/>
                <w:sz w:val="18"/>
                <w:szCs w:val="18"/>
              </w:rPr>
              <w:t>全部审议通过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）上的《公</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年度利润分配的预</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w:t>
            </w: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《关于续聘会</w:t>
            </w:r>
            <w:r>
              <w:rPr>
                <w:rFonts w:ascii="宋体" w:hAnsi="宋体" w:cs="宋体" w:eastAsia="宋体" w:hint="default"/>
                <w:w w:val="100"/>
                <w:sz w:val="18"/>
                <w:szCs w:val="18"/>
              </w:rPr>
              <w:t>计</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师事务所的议案</w:t>
            </w:r>
            <w:r>
              <w:rPr>
                <w:rFonts w:ascii="宋体" w:hAnsi="宋体" w:cs="宋体" w:eastAsia="宋体" w:hint="default"/>
                <w:spacing w:val="-92"/>
                <w:w w:val="100"/>
                <w:sz w:val="18"/>
                <w:szCs w:val="18"/>
              </w:rPr>
              <w:t>》</w:t>
            </w:r>
            <w:r>
              <w:rPr>
                <w:rFonts w:ascii="宋体" w:hAnsi="宋体" w:cs="宋体" w:eastAsia="宋体" w:hint="default"/>
                <w:w w:val="100"/>
                <w:sz w:val="18"/>
                <w:szCs w:val="18"/>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年度监事会</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bookmarkStart w:name="2、本报告期临时股东大会情况 " w:id="118"/>
            <w:bookmarkEnd w:id="118"/>
            <w:r>
              <w:rPr/>
            </w:r>
            <w:r>
              <w:rPr>
                <w:rFonts w:ascii="宋体" w:hAnsi="宋体" w:cs="宋体" w:eastAsia="宋体" w:hint="default"/>
                <w:sz w:val="18"/>
                <w:szCs w:val="18"/>
              </w:rPr>
              <w:t>工作报告》</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93"/>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pacing w:val="-1"/>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94"/>
              <w:jc w:val="center"/>
              <w:rPr>
                <w:rFonts w:ascii="宋体" w:hAnsi="宋体" w:cs="宋体" w:eastAsia="宋体" w:hint="default"/>
                <w:sz w:val="18"/>
                <w:szCs w:val="18"/>
              </w:rPr>
            </w:pPr>
            <w:r>
              <w:rPr>
                <w:rFonts w:ascii="宋体" w:hAnsi="宋体" w:cs="宋体" w:eastAsia="宋体" w:hint="default"/>
                <w:sz w:val="18"/>
                <w:szCs w:val="18"/>
              </w:rPr>
              <w:t>《关于修改公司章</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
                <w:w w:val="100"/>
                <w:sz w:val="18"/>
                <w:szCs w:val="18"/>
              </w:rPr>
              <w:t>程的议案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《关于</w:t>
            </w:r>
            <w:r>
              <w:rPr>
                <w:rFonts w:ascii="宋体" w:hAnsi="宋体" w:cs="宋体" w:eastAsia="宋体" w:hint="default"/>
                <w:w w:val="100"/>
                <w:sz w:val="18"/>
                <w:szCs w:val="18"/>
              </w:rPr>
              <w:t>为</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淄博瑞康药品配送</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有限公司和泰安瑞</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康药品配送有限公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00"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w:t>
            </w:r>
            <w:r>
              <w:rPr>
                <w:rFonts w:ascii="宋体" w:hAnsi="宋体" w:cs="宋体" w:eastAsia="宋体" w:hint="default"/>
                <w:w w:val="100"/>
                <w:sz w:val="18"/>
                <w:szCs w:val="18"/>
              </w:rPr>
              <w:t> </w:t>
            </w:r>
            <w:r>
              <w:rPr>
                <w:rFonts w:ascii="宋体" w:hAnsi="宋体" w:cs="宋体" w:eastAsia="宋体" w:hint="default"/>
                <w:sz w:val="18"/>
                <w:szCs w:val="18"/>
              </w:rPr>
              <w:t>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17"/>
              <w:jc w:val="both"/>
              <w:rPr>
                <w:rFonts w:ascii="宋体" w:hAnsi="宋体" w:cs="宋体" w:eastAsia="宋体" w:hint="default"/>
                <w:sz w:val="18"/>
                <w:szCs w:val="18"/>
              </w:rPr>
            </w:pPr>
            <w:r>
              <w:rPr>
                <w:rFonts w:ascii="宋体" w:hAnsi="宋体" w:cs="宋体" w:eastAsia="宋体" w:hint="default"/>
                <w:sz w:val="18"/>
                <w:szCs w:val="18"/>
              </w:rPr>
              <w:t>司在招商银行股份</w:t>
            </w:r>
            <w:r>
              <w:rPr>
                <w:rFonts w:ascii="宋体" w:hAnsi="宋体" w:cs="宋体" w:eastAsia="宋体" w:hint="default"/>
                <w:w w:val="100"/>
                <w:sz w:val="18"/>
                <w:szCs w:val="18"/>
              </w:rPr>
              <w:t> </w:t>
            </w:r>
            <w:r>
              <w:rPr>
                <w:rFonts w:ascii="宋体" w:hAnsi="宋体" w:cs="宋体" w:eastAsia="宋体" w:hint="default"/>
                <w:sz w:val="18"/>
                <w:szCs w:val="18"/>
              </w:rPr>
              <w:t>有限公司烟台分行</w:t>
            </w:r>
            <w:r>
              <w:rPr>
                <w:rFonts w:ascii="宋体" w:hAnsi="宋体" w:cs="宋体" w:eastAsia="宋体" w:hint="default"/>
                <w:w w:val="100"/>
                <w:sz w:val="18"/>
                <w:szCs w:val="18"/>
              </w:rPr>
              <w:t> </w:t>
            </w:r>
            <w:r>
              <w:rPr>
                <w:rFonts w:ascii="宋体" w:hAnsi="宋体" w:cs="宋体" w:eastAsia="宋体" w:hint="default"/>
                <w:sz w:val="18"/>
                <w:szCs w:val="18"/>
              </w:rPr>
              <w:t>分别办理综合授信</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477"/>
              <w:jc w:val="right"/>
              <w:rPr>
                <w:rFonts w:ascii="宋体" w:hAnsi="宋体" w:cs="宋体" w:eastAsia="宋体" w:hint="default"/>
                <w:sz w:val="18"/>
                <w:szCs w:val="18"/>
              </w:rPr>
            </w:pPr>
            <w:r>
              <w:rPr>
                <w:rFonts w:ascii="宋体" w:hAnsi="宋体" w:cs="宋体" w:eastAsia="宋体" w:hint="default"/>
                <w:spacing w:val="-1"/>
                <w:sz w:val="18"/>
                <w:szCs w:val="18"/>
              </w:rPr>
              <w:t>全部审议通过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）上的《</w:t>
            </w:r>
            <w:r>
              <w:rPr>
                <w:rFonts w:ascii="Times New Roman" w:hAnsi="Times New Roman" w:cs="Times New Roman" w:eastAsia="Times New Roman" w:hint="default"/>
                <w:spacing w:val="-8"/>
                <w:sz w:val="18"/>
                <w:szCs w:val="18"/>
              </w:rPr>
              <w:t>2014</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年第一次临时股东</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人民币贰仟万元整</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提供连带责任担保</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1"/>
                <w:w w:val="100"/>
                <w:sz w:val="18"/>
                <w:szCs w:val="18"/>
              </w:rPr>
              <w:t>的议案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《关于使</w:t>
            </w:r>
            <w:r>
              <w:rPr>
                <w:rFonts w:ascii="宋体" w:hAnsi="宋体" w:cs="宋体" w:eastAsia="宋体" w:hint="default"/>
                <w:w w:val="100"/>
                <w:sz w:val="18"/>
                <w:szCs w:val="18"/>
              </w:rPr>
              <w:t>用</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自有资金进行国债</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93"/>
              <w:jc w:val="center"/>
              <w:rPr>
                <w:rFonts w:ascii="宋体" w:hAnsi="宋体" w:cs="宋体" w:eastAsia="宋体" w:hint="default"/>
                <w:sz w:val="18"/>
                <w:szCs w:val="18"/>
              </w:rPr>
            </w:pPr>
            <w:r>
              <w:rPr>
                <w:rFonts w:ascii="宋体" w:hAnsi="宋体" w:cs="宋体" w:eastAsia="宋体" w:hint="default"/>
                <w:sz w:val="18"/>
                <w:szCs w:val="18"/>
              </w:rPr>
              <w:t>逆回购投资的议案</w:t>
            </w:r>
          </w:p>
        </w:tc>
        <w:tc>
          <w:tcPr>
            <w:tcW w:w="15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w:t>
            </w:r>
            <w:r>
              <w:rPr>
                <w:rFonts w:ascii="宋体" w:hAnsi="宋体" w:cs="宋体" w:eastAsia="宋体" w:hint="default"/>
                <w:w w:val="100"/>
                <w:sz w:val="18"/>
                <w:szCs w:val="18"/>
              </w:rPr>
              <w:t> </w:t>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7"/>
              <w:jc w:val="both"/>
              <w:rPr>
                <w:rFonts w:ascii="宋体" w:hAnsi="宋体" w:cs="宋体" w:eastAsia="宋体" w:hint="default"/>
                <w:sz w:val="18"/>
                <w:szCs w:val="18"/>
              </w:rPr>
            </w:pPr>
            <w:r>
              <w:rPr>
                <w:rFonts w:ascii="宋体" w:hAnsi="宋体" w:cs="宋体" w:eastAsia="宋体" w:hint="default"/>
                <w:sz w:val="18"/>
                <w:szCs w:val="18"/>
              </w:rPr>
              <w:t>《关于继续使用部</w:t>
            </w:r>
            <w:r>
              <w:rPr>
                <w:rFonts w:ascii="宋体" w:hAnsi="宋体" w:cs="宋体" w:eastAsia="宋体" w:hint="default"/>
                <w:w w:val="100"/>
                <w:sz w:val="18"/>
                <w:szCs w:val="18"/>
              </w:rPr>
              <w:t> </w:t>
            </w:r>
            <w:r>
              <w:rPr>
                <w:rFonts w:ascii="宋体" w:hAnsi="宋体" w:cs="宋体" w:eastAsia="宋体" w:hint="default"/>
                <w:sz w:val="18"/>
                <w:szCs w:val="18"/>
              </w:rPr>
              <w:t>分闲置募集资金临</w:t>
            </w:r>
            <w:r>
              <w:rPr>
                <w:rFonts w:ascii="宋体" w:hAnsi="宋体" w:cs="宋体" w:eastAsia="宋体" w:hint="default"/>
                <w:w w:val="100"/>
                <w:sz w:val="18"/>
                <w:szCs w:val="18"/>
              </w:rPr>
              <w:t> </w:t>
            </w:r>
            <w:r>
              <w:rPr>
                <w:rFonts w:ascii="宋体" w:hAnsi="宋体" w:cs="宋体" w:eastAsia="宋体" w:hint="default"/>
                <w:sz w:val="18"/>
                <w:szCs w:val="18"/>
              </w:rPr>
              <w:t>时性补充流动资金</w:t>
            </w:r>
            <w:r>
              <w:rPr>
                <w:rFonts w:ascii="宋体" w:hAnsi="宋体" w:cs="宋体" w:eastAsia="宋体" w:hint="default"/>
                <w:w w:val="100"/>
                <w:sz w:val="18"/>
                <w:szCs w:val="18"/>
              </w:rPr>
              <w:t> </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7"/>
              <w:jc w:val="right"/>
              <w:rPr>
                <w:rFonts w:ascii="宋体" w:hAnsi="宋体" w:cs="宋体" w:eastAsia="宋体" w:hint="default"/>
                <w:sz w:val="18"/>
                <w:szCs w:val="18"/>
              </w:rPr>
            </w:pPr>
            <w:r>
              <w:rPr>
                <w:rFonts w:ascii="宋体" w:hAnsi="宋体" w:cs="宋体" w:eastAsia="宋体" w:hint="default"/>
                <w:spacing w:val="-1"/>
                <w:sz w:val="18"/>
                <w:szCs w:val="18"/>
              </w:rPr>
              <w:t>全部审议通过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2"/>
              <w:ind w:left="21"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）上的《</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年第二次临时股东</w:t>
            </w:r>
            <w:r>
              <w:rPr>
                <w:rFonts w:ascii="宋体" w:hAnsi="宋体" w:cs="宋体" w:eastAsia="宋体" w:hint="default"/>
                <w:w w:val="100"/>
                <w:sz w:val="18"/>
                <w:szCs w:val="18"/>
              </w:rPr>
              <w:t> </w:t>
            </w:r>
            <w:r>
              <w:rPr>
                <w:rFonts w:ascii="宋体" w:hAnsi="宋体" w:cs="宋体" w:eastAsia="宋体" w:hint="default"/>
                <w:sz w:val="18"/>
                <w:szCs w:val="18"/>
              </w:rPr>
              <w:t>大会决议公告》</w:t>
            </w:r>
          </w:p>
        </w:tc>
      </w:tr>
    </w:tbl>
    <w:p>
      <w:pPr>
        <w:spacing w:after="0" w:line="309" w:lineRule="auto"/>
        <w:jc w:val="left"/>
        <w:rPr>
          <w:rFonts w:ascii="宋体" w:hAnsi="宋体" w:cs="宋体" w:eastAsia="宋体" w:hint="default"/>
          <w:sz w:val="18"/>
          <w:szCs w:val="18"/>
        </w:rPr>
        <w:sectPr>
          <w:pgSz w:w="11910" w:h="16840"/>
          <w:pgMar w:header="745" w:footer="981" w:top="1060" w:bottom="1180" w:left="980" w:right="940"/>
        </w:sectPr>
      </w:pPr>
    </w:p>
    <w:p>
      <w:pPr>
        <w:spacing w:line="240" w:lineRule="auto" w:before="0"/>
        <w:rPr>
          <w:rFonts w:ascii="Times New Roman" w:hAnsi="Times New Roman" w:cs="Times New Roman" w:eastAsia="Times New Roman" w:hint="default"/>
          <w:sz w:val="20"/>
          <w:szCs w:val="20"/>
        </w:rPr>
      </w:pPr>
      <w:r>
        <w:rPr/>
        <w:pict>
          <v:group style="position:absolute;margin-left:296.040009pt;margin-top:426.490021pt;width:79.350pt;height:334.4pt;mso-position-horizontal-relative:page;mso-position-vertical-relative:page;z-index:-898264" coordorigin="5921,8530" coordsize="1587,6688">
            <v:shape style="position:absolute;left:5921;top:8530;width:1587;height:6688" coordorigin="5921,8530" coordsize="1587,6688" path="m5921,15218l7507,15218,7507,8530,5921,8530,5921,1521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55"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《山东瑞康医药股</w:t>
            </w: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份有限公司符合本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次非公开发行</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A</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股股票条件</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《山</w:t>
            </w:r>
            <w:r>
              <w:rPr>
                <w:rFonts w:ascii="宋体" w:hAnsi="宋体" w:cs="宋体" w:eastAsia="宋体" w:hint="default"/>
                <w:w w:val="100"/>
                <w:sz w:val="18"/>
                <w:szCs w:val="18"/>
              </w:rPr>
              <w:t>东</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瑞康医药股份有限</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公司本次非公开发</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股股票方</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《山东瑞康医</w:t>
            </w:r>
            <w:r>
              <w:rPr>
                <w:rFonts w:ascii="宋体" w:hAnsi="宋体" w:cs="宋体" w:eastAsia="宋体" w:hint="default"/>
                <w:w w:val="100"/>
                <w:sz w:val="18"/>
                <w:szCs w:val="18"/>
              </w:rPr>
              <w:t>药</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股份有限公司非公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股股票</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预案的议案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《山</w:t>
            </w:r>
            <w:r>
              <w:rPr>
                <w:rFonts w:ascii="宋体" w:hAnsi="宋体" w:cs="宋体" w:eastAsia="宋体" w:hint="default"/>
                <w:w w:val="100"/>
                <w:sz w:val="18"/>
                <w:szCs w:val="18"/>
              </w:rPr>
              <w:t>东</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瑞康医药股份有限</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公司非公开发行</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A</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股股票募集资金运</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用的可行性分析报</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告的议案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《山东</w:t>
            </w:r>
            <w:r>
              <w:rPr>
                <w:rFonts w:ascii="宋体" w:hAnsi="宋体" w:cs="宋体" w:eastAsia="宋体" w:hint="default"/>
                <w:w w:val="100"/>
                <w:sz w:val="18"/>
                <w:szCs w:val="18"/>
              </w:rPr>
              <w:t>瑞</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康医药股份有限公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司本次非公开发行</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股股票涉及重大</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关联交易的议案</w:t>
            </w:r>
            <w:r>
              <w:rPr>
                <w:rFonts w:ascii="宋体" w:hAnsi="宋体" w:cs="宋体" w:eastAsia="宋体" w:hint="default"/>
                <w:spacing w:val="-92"/>
                <w:w w:val="100"/>
                <w:sz w:val="18"/>
                <w:szCs w:val="18"/>
              </w:rPr>
              <w:t>》</w:t>
            </w:r>
            <w:r>
              <w:rPr>
                <w:rFonts w:ascii="宋体" w:hAnsi="宋体" w:cs="宋体" w:eastAsia="宋体" w:hint="default"/>
                <w:w w:val="100"/>
                <w:sz w:val="18"/>
                <w:szCs w:val="18"/>
              </w:rPr>
              <w:t>、</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《瑞康医药股份有</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300"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w:t>
            </w:r>
            <w:r>
              <w:rPr>
                <w:rFonts w:ascii="宋体" w:hAnsi="宋体" w:cs="宋体" w:eastAsia="宋体" w:hint="default"/>
                <w:w w:val="100"/>
                <w:sz w:val="18"/>
                <w:szCs w:val="18"/>
              </w:rPr>
              <w:t> </w:t>
            </w:r>
            <w:r>
              <w:rPr>
                <w:rFonts w:ascii="宋体" w:hAnsi="宋体" w:cs="宋体" w:eastAsia="宋体" w:hint="default"/>
                <w:sz w:val="18"/>
                <w:szCs w:val="18"/>
              </w:rPr>
              <w:t>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117"/>
              <w:jc w:val="left"/>
              <w:rPr>
                <w:rFonts w:ascii="宋体" w:hAnsi="宋体" w:cs="宋体" w:eastAsia="宋体" w:hint="default"/>
                <w:sz w:val="18"/>
                <w:szCs w:val="18"/>
              </w:rPr>
            </w:pPr>
            <w:r>
              <w:rPr>
                <w:rFonts w:ascii="宋体" w:hAnsi="宋体" w:cs="宋体" w:eastAsia="宋体" w:hint="default"/>
                <w:sz w:val="18"/>
                <w:szCs w:val="18"/>
              </w:rPr>
              <w:t>限公司前次募集资</w:t>
            </w:r>
            <w:r>
              <w:rPr>
                <w:rFonts w:ascii="宋体" w:hAnsi="宋体" w:cs="宋体" w:eastAsia="宋体" w:hint="default"/>
                <w:w w:val="100"/>
                <w:sz w:val="18"/>
                <w:szCs w:val="18"/>
              </w:rPr>
              <w:t> </w:t>
            </w:r>
            <w:r>
              <w:rPr>
                <w:rFonts w:ascii="宋体" w:hAnsi="宋体" w:cs="宋体" w:eastAsia="宋体" w:hint="default"/>
                <w:sz w:val="18"/>
                <w:szCs w:val="18"/>
              </w:rPr>
              <w:t>金使用情况专项报</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）上的《</w:t>
            </w:r>
            <w:r>
              <w:rPr>
                <w:rFonts w:ascii="Times New Roman" w:hAnsi="Times New Roman" w:cs="Times New Roman" w:eastAsia="Times New Roman" w:hint="default"/>
                <w:spacing w:val="-8"/>
                <w:sz w:val="18"/>
                <w:szCs w:val="18"/>
              </w:rPr>
              <w:t>2014</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年第三次临时股东</w:t>
            </w:r>
          </w:p>
        </w:tc>
      </w:tr>
      <w:tr>
        <w:trPr>
          <w:trHeight w:val="32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告的议案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《山东</w:t>
            </w:r>
            <w:r>
              <w:rPr>
                <w:rFonts w:ascii="宋体" w:hAnsi="宋体" w:cs="宋体" w:eastAsia="宋体" w:hint="default"/>
                <w:w w:val="100"/>
                <w:sz w:val="18"/>
                <w:szCs w:val="18"/>
              </w:rPr>
              <w:t>瑞</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1"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康医药股份有限公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司与张仁华签署的</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附条件生效</w:t>
            </w:r>
            <w:r>
              <w:rPr>
                <w:rFonts w:ascii="宋体" w:hAnsi="宋体" w:cs="宋体" w:eastAsia="宋体" w:hint="default"/>
                <w:spacing w:val="-83"/>
                <w:w w:val="100"/>
                <w:sz w:val="18"/>
                <w:szCs w:val="18"/>
              </w:rPr>
              <w:t>的</w:t>
            </w:r>
            <w:r>
              <w:rPr>
                <w:rFonts w:ascii="宋体" w:hAnsi="宋体" w:cs="宋体" w:eastAsia="宋体" w:hint="default"/>
                <w:spacing w:val="-1"/>
                <w:w w:val="100"/>
                <w:sz w:val="18"/>
                <w:szCs w:val="18"/>
              </w:rPr>
              <w:t>《股</w:t>
            </w:r>
            <w:r>
              <w:rPr>
                <w:rFonts w:ascii="宋体" w:hAnsi="宋体" w:cs="宋体" w:eastAsia="宋体" w:hint="default"/>
                <w:w w:val="100"/>
                <w:sz w:val="18"/>
                <w:szCs w:val="18"/>
              </w:rPr>
              <w:t>份</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认购协议</w:t>
            </w:r>
            <w:r>
              <w:rPr>
                <w:rFonts w:ascii="宋体" w:hAnsi="宋体" w:cs="宋体" w:eastAsia="宋体" w:hint="default"/>
                <w:spacing w:val="-82"/>
                <w:w w:val="100"/>
                <w:sz w:val="18"/>
                <w:szCs w:val="18"/>
              </w:rPr>
              <w:t>》</w:t>
            </w:r>
            <w:r>
              <w:rPr>
                <w:rFonts w:ascii="宋体" w:hAnsi="宋体" w:cs="宋体" w:eastAsia="宋体" w:hint="default"/>
                <w:spacing w:val="-1"/>
                <w:w w:val="100"/>
                <w:sz w:val="18"/>
                <w:szCs w:val="18"/>
              </w:rPr>
              <w:t>的议案</w:t>
            </w:r>
            <w:r>
              <w:rPr>
                <w:rFonts w:ascii="宋体" w:hAnsi="宋体" w:cs="宋体" w:eastAsia="宋体" w:hint="default"/>
                <w:spacing w:val="-92"/>
                <w:w w:val="100"/>
                <w:sz w:val="18"/>
                <w:szCs w:val="18"/>
              </w:rPr>
              <w:t>》</w:t>
            </w:r>
            <w:r>
              <w:rPr>
                <w:rFonts w:ascii="宋体" w:hAnsi="宋体" w:cs="宋体" w:eastAsia="宋体" w:hint="default"/>
                <w:w w:val="100"/>
                <w:sz w:val="18"/>
                <w:szCs w:val="18"/>
              </w:rPr>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《山东瑞康医药股</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份有限公司与汇添</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富基金管理股份有</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限公司签署附条件</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生效</w:t>
            </w:r>
            <w:r>
              <w:rPr>
                <w:rFonts w:ascii="宋体" w:hAnsi="宋体" w:cs="宋体" w:eastAsia="宋体" w:hint="default"/>
                <w:spacing w:val="-82"/>
                <w:w w:val="100"/>
                <w:sz w:val="18"/>
                <w:szCs w:val="18"/>
              </w:rPr>
              <w:t>的</w:t>
            </w:r>
            <w:r>
              <w:rPr>
                <w:rFonts w:ascii="宋体" w:hAnsi="宋体" w:cs="宋体" w:eastAsia="宋体" w:hint="default"/>
                <w:spacing w:val="-1"/>
                <w:w w:val="100"/>
                <w:sz w:val="18"/>
                <w:szCs w:val="18"/>
              </w:rPr>
              <w:t>《股份认购</w:t>
            </w:r>
            <w:r>
              <w:rPr>
                <w:rFonts w:ascii="宋体" w:hAnsi="宋体" w:cs="宋体" w:eastAsia="宋体" w:hint="default"/>
                <w:w w:val="100"/>
                <w:sz w:val="18"/>
                <w:szCs w:val="18"/>
              </w:rPr>
              <w:t>协</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议</w:t>
            </w:r>
            <w:r>
              <w:rPr>
                <w:rFonts w:ascii="宋体" w:hAnsi="宋体" w:cs="宋体" w:eastAsia="宋体" w:hint="default"/>
                <w:spacing w:val="-42"/>
                <w:w w:val="100"/>
                <w:sz w:val="18"/>
                <w:szCs w:val="18"/>
              </w:rPr>
              <w:t>》</w:t>
            </w:r>
            <w:r>
              <w:rPr>
                <w:rFonts w:ascii="宋体" w:hAnsi="宋体" w:cs="宋体" w:eastAsia="宋体" w:hint="default"/>
                <w:spacing w:val="-1"/>
                <w:w w:val="100"/>
                <w:sz w:val="18"/>
                <w:szCs w:val="18"/>
              </w:rPr>
              <w:t>的议案</w:t>
            </w:r>
            <w:r>
              <w:rPr>
                <w:rFonts w:ascii="宋体" w:hAnsi="宋体" w:cs="宋体" w:eastAsia="宋体" w:hint="default"/>
                <w:spacing w:val="-92"/>
                <w:w w:val="100"/>
                <w:sz w:val="18"/>
                <w:szCs w:val="18"/>
              </w:rPr>
              <w:t>》</w:t>
            </w:r>
            <w:r>
              <w:rPr>
                <w:rFonts w:ascii="宋体" w:hAnsi="宋体" w:cs="宋体" w:eastAsia="宋体" w:hint="default"/>
                <w:spacing w:val="-133"/>
                <w:w w:val="100"/>
                <w:sz w:val="18"/>
                <w:szCs w:val="18"/>
              </w:rPr>
              <w:t>、</w:t>
            </w:r>
            <w:r>
              <w:rPr>
                <w:rFonts w:ascii="宋体" w:hAnsi="宋体" w:cs="宋体" w:eastAsia="宋体" w:hint="default"/>
                <w:spacing w:val="-1"/>
                <w:w w:val="100"/>
                <w:sz w:val="18"/>
                <w:szCs w:val="18"/>
              </w:rPr>
              <w:t>《关</w:t>
            </w:r>
            <w:r>
              <w:rPr>
                <w:rFonts w:ascii="宋体" w:hAnsi="宋体" w:cs="宋体" w:eastAsia="宋体" w:hint="default"/>
                <w:w w:val="100"/>
                <w:sz w:val="18"/>
                <w:szCs w:val="18"/>
              </w:rPr>
              <w:t>于</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提请股东大会授权</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董事会全权办理本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次非公开发行</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A</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股股票相关事宜的</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《关于修改</w:t>
            </w:r>
            <w:r>
              <w:rPr>
                <w:rFonts w:ascii="宋体" w:hAnsi="宋体" w:cs="宋体" w:eastAsia="宋体" w:hint="default"/>
                <w:w w:val="100"/>
                <w:sz w:val="18"/>
                <w:szCs w:val="18"/>
              </w:rPr>
              <w:t>公</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司章程的议案</w:t>
            </w:r>
            <w:r>
              <w:rPr>
                <w:rFonts w:ascii="宋体" w:hAnsi="宋体" w:cs="宋体" w:eastAsia="宋体" w:hint="default"/>
                <w:spacing w:val="-92"/>
                <w:w w:val="100"/>
                <w:sz w:val="18"/>
                <w:szCs w:val="18"/>
              </w:rPr>
              <w:t>》</w:t>
            </w:r>
            <w:r>
              <w:rPr>
                <w:rFonts w:ascii="宋体" w:hAnsi="宋体" w:cs="宋体" w:eastAsia="宋体" w:hint="default"/>
                <w:spacing w:val="-174"/>
                <w:w w:val="100"/>
                <w:sz w:val="18"/>
                <w:szCs w:val="18"/>
              </w:rPr>
              <w:t>、</w:t>
            </w:r>
            <w:r>
              <w:rPr>
                <w:rFonts w:ascii="宋体" w:hAnsi="宋体" w:cs="宋体" w:eastAsia="宋体" w:hint="default"/>
                <w:spacing w:val="-1"/>
                <w:w w:val="100"/>
                <w:sz w:val="18"/>
                <w:szCs w:val="18"/>
              </w:rPr>
              <w:t>《</w:t>
            </w:r>
            <w:r>
              <w:rPr>
                <w:rFonts w:ascii="宋体" w:hAnsi="宋体" w:cs="宋体" w:eastAsia="宋体" w:hint="default"/>
                <w:w w:val="100"/>
                <w:sz w:val="18"/>
                <w:szCs w:val="18"/>
              </w:rPr>
              <w:t>关</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于修改公司股东大</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会议事规则的议</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案</w:t>
            </w:r>
            <w:r>
              <w:rPr>
                <w:rFonts w:ascii="宋体" w:hAnsi="宋体" w:cs="宋体" w:eastAsia="宋体" w:hint="default"/>
                <w:spacing w:val="-92"/>
                <w:w w:val="100"/>
                <w:sz w:val="18"/>
                <w:szCs w:val="18"/>
              </w:rPr>
              <w:t>》</w:t>
            </w:r>
            <w:r>
              <w:rPr>
                <w:rFonts w:ascii="宋体" w:hAnsi="宋体" w:cs="宋体" w:eastAsia="宋体" w:hint="default"/>
                <w:spacing w:val="-133"/>
                <w:w w:val="100"/>
                <w:sz w:val="18"/>
                <w:szCs w:val="18"/>
              </w:rPr>
              <w:t>、</w:t>
            </w:r>
            <w:r>
              <w:rPr>
                <w:rFonts w:ascii="宋体" w:hAnsi="宋体" w:cs="宋体" w:eastAsia="宋体" w:hint="default"/>
                <w:spacing w:val="-1"/>
                <w:w w:val="100"/>
                <w:sz w:val="18"/>
                <w:szCs w:val="18"/>
              </w:rPr>
              <w:t>《关</w:t>
            </w:r>
            <w:r>
              <w:rPr>
                <w:rFonts w:ascii="宋体" w:hAnsi="宋体" w:cs="宋体" w:eastAsia="宋体" w:hint="default"/>
                <w:spacing w:val="-42"/>
                <w:w w:val="100"/>
                <w:sz w:val="18"/>
                <w:szCs w:val="18"/>
              </w:rPr>
              <w:t>于</w:t>
            </w:r>
            <w:r>
              <w:rPr>
                <w:rFonts w:ascii="宋体" w:hAnsi="宋体" w:cs="宋体" w:eastAsia="宋体" w:hint="default"/>
                <w:spacing w:val="-1"/>
                <w:w w:val="100"/>
                <w:sz w:val="18"/>
                <w:szCs w:val="18"/>
              </w:rPr>
              <w:t>《公司</w:t>
            </w:r>
            <w:r>
              <w:rPr>
                <w:rFonts w:ascii="宋体" w:hAnsi="宋体" w:cs="宋体" w:eastAsia="宋体" w:hint="default"/>
                <w:w w:val="100"/>
                <w:sz w:val="18"/>
                <w:szCs w:val="18"/>
              </w:rPr>
              <w:t>未</w:t>
            </w:r>
          </w:p>
        </w:tc>
        <w:tc>
          <w:tcPr>
            <w:tcW w:w="159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来三年（</w:t>
            </w:r>
            <w:r>
              <w:rPr>
                <w:rFonts w:ascii="Times New Roman" w:hAnsi="Times New Roman" w:cs="Times New Roman" w:eastAsia="Times New Roman" w:hint="default"/>
                <w:sz w:val="18"/>
                <w:szCs w:val="18"/>
              </w:rPr>
              <w:t>2014-2016</w:t>
            </w: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5" w:hRule="exact"/>
        </w:trPr>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年）股东回报规</w:t>
            </w:r>
          </w:p>
        </w:tc>
        <w:tc>
          <w:tcPr>
            <w:tcW w:w="1596"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划</w:t>
            </w:r>
            <w:r>
              <w:rPr>
                <w:rFonts w:ascii="宋体" w:hAnsi="宋体" w:cs="宋体" w:eastAsia="宋体" w:hint="default"/>
                <w:imprint/>
                <w:spacing w:val="-1"/>
                <w:w w:val="100"/>
                <w:sz w:val="18"/>
                <w:szCs w:val="18"/>
              </w:rPr>
              <w:t>》</w:t>
            </w:r>
            <w:r>
              <w:rPr>
                <w:rFonts w:ascii="宋体" w:hAnsi="宋体" w:cs="宋体" w:eastAsia="宋体" w:hint="default"/>
                <w:shadow w:val="0"/>
                <w:spacing w:val="-1"/>
                <w:w w:val="100"/>
                <w:sz w:val="18"/>
                <w:szCs w:val="18"/>
              </w:rPr>
            </w:r>
            <w:r>
              <w:rPr>
                <w:rFonts w:ascii="宋体" w:hAnsi="宋体" w:cs="宋体" w:eastAsia="宋体" w:hint="default"/>
                <w:shadow w:val="0"/>
                <w:spacing w:val="-92"/>
                <w:w w:val="100"/>
                <w:sz w:val="18"/>
                <w:szCs w:val="18"/>
              </w:rPr>
              <w:t>、</w:t>
            </w:r>
            <w:r>
              <w:rPr>
                <w:rFonts w:ascii="宋体" w:hAnsi="宋体" w:cs="宋体" w:eastAsia="宋体" w:hint="default"/>
                <w:shadow w:val="0"/>
                <w:spacing w:val="-1"/>
                <w:w w:val="100"/>
                <w:sz w:val="18"/>
                <w:szCs w:val="18"/>
              </w:rPr>
              <w:t>《关于提请</w:t>
            </w:r>
            <w:r>
              <w:rPr>
                <w:rFonts w:ascii="宋体" w:hAnsi="宋体" w:cs="宋体" w:eastAsia="宋体" w:hint="default"/>
                <w:shadow w:val="0"/>
                <w:w w:val="100"/>
                <w:sz w:val="18"/>
                <w:szCs w:val="18"/>
              </w:rPr>
              <w:t>股</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东大会同意张仁华</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免于以要约收购方</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式增持公司股份的</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议案</w:t>
            </w:r>
            <w:r>
              <w:rPr>
                <w:rFonts w:ascii="宋体" w:hAnsi="宋体" w:cs="宋体" w:eastAsia="宋体" w:hint="default"/>
                <w:spacing w:val="-92"/>
                <w:w w:val="100"/>
                <w:sz w:val="18"/>
                <w:szCs w:val="18"/>
              </w:rPr>
              <w:t>》、</w:t>
            </w:r>
            <w:r>
              <w:rPr>
                <w:rFonts w:ascii="宋体" w:hAnsi="宋体" w:cs="宋体" w:eastAsia="宋体" w:hint="default"/>
                <w:spacing w:val="-1"/>
                <w:w w:val="100"/>
                <w:sz w:val="18"/>
                <w:szCs w:val="18"/>
              </w:rPr>
              <w:t>《关于修</w:t>
            </w:r>
            <w:r>
              <w:rPr>
                <w:rFonts w:ascii="宋体" w:hAnsi="宋体" w:cs="宋体" w:eastAsia="宋体" w:hint="default"/>
                <w:w w:val="100"/>
                <w:sz w:val="18"/>
                <w:szCs w:val="18"/>
              </w:rPr>
              <w:t>改</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2" w:hRule="exact"/>
        </w:trPr>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《募集资金管理制</w:t>
            </w: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60" w:hRule="exact"/>
        </w:trPr>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度》的议案》</w:t>
            </w: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54"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93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97"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w:t>
            </w:r>
            <w:r>
              <w:rPr>
                <w:rFonts w:ascii="宋体" w:hAnsi="宋体" w:cs="宋体" w:eastAsia="宋体" w:hint="default"/>
                <w:w w:val="100"/>
                <w:sz w:val="18"/>
                <w:szCs w:val="18"/>
              </w:rPr>
              <w:t> </w:t>
            </w:r>
            <w:r>
              <w:rPr>
                <w:rFonts w:ascii="宋体" w:hAnsi="宋体" w:cs="宋体" w:eastAsia="宋体" w:hint="default"/>
                <w:sz w:val="18"/>
                <w:szCs w:val="18"/>
              </w:rPr>
              <w:t>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4" w:lineRule="auto"/>
              <w:ind w:left="23" w:right="117"/>
              <w:jc w:val="left"/>
              <w:rPr>
                <w:rFonts w:ascii="宋体" w:hAnsi="宋体" w:cs="宋体" w:eastAsia="宋体" w:hint="default"/>
                <w:sz w:val="18"/>
                <w:szCs w:val="18"/>
              </w:rPr>
            </w:pPr>
            <w:r>
              <w:rPr>
                <w:rFonts w:ascii="宋体" w:hAnsi="宋体" w:cs="宋体" w:eastAsia="宋体" w:hint="default"/>
                <w:sz w:val="18"/>
                <w:szCs w:val="18"/>
              </w:rPr>
              <w:t>《关于修改公司章</w:t>
            </w:r>
            <w:r>
              <w:rPr>
                <w:rFonts w:ascii="宋体" w:hAnsi="宋体" w:cs="宋体" w:eastAsia="宋体" w:hint="default"/>
                <w:w w:val="100"/>
                <w:sz w:val="18"/>
                <w:szCs w:val="18"/>
              </w:rPr>
              <w:t> </w:t>
            </w:r>
            <w:r>
              <w:rPr>
                <w:rFonts w:ascii="宋体" w:hAnsi="宋体" w:cs="宋体" w:eastAsia="宋体" w:hint="default"/>
                <w:sz w:val="18"/>
                <w:szCs w:val="18"/>
              </w:rPr>
              <w:t>程的议案》</w:t>
            </w:r>
          </w:p>
        </w:tc>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6"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2"/>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）上的《</w:t>
            </w:r>
            <w:r>
              <w:rPr>
                <w:rFonts w:ascii="Times New Roman" w:hAnsi="Times New Roman" w:cs="Times New Roman" w:eastAsia="Times New Roman" w:hint="default"/>
                <w:spacing w:val="-8"/>
                <w:sz w:val="18"/>
                <w:szCs w:val="18"/>
              </w:rPr>
              <w:t>2014</w:t>
            </w:r>
          </w:p>
          <w:p>
            <w:pPr>
              <w:pStyle w:val="TableParagraph"/>
              <w:spacing w:line="240" w:lineRule="auto" w:before="62"/>
              <w:ind w:left="21" w:right="0"/>
              <w:jc w:val="left"/>
              <w:rPr>
                <w:rFonts w:ascii="宋体" w:hAnsi="宋体" w:cs="宋体" w:eastAsia="宋体" w:hint="default"/>
                <w:sz w:val="18"/>
                <w:szCs w:val="18"/>
              </w:rPr>
            </w:pPr>
            <w:r>
              <w:rPr>
                <w:rFonts w:ascii="宋体" w:hAnsi="宋体" w:cs="宋体" w:eastAsia="宋体" w:hint="default"/>
                <w:sz w:val="18"/>
                <w:szCs w:val="18"/>
              </w:rPr>
              <w:t>年第四次临时股东</w:t>
            </w:r>
          </w:p>
        </w:tc>
      </w:tr>
      <w:tr>
        <w:trPr>
          <w:trHeight w:val="360"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大会决议公告》</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3"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w:t>
            </w:r>
            <w:r>
              <w:rPr>
                <w:rFonts w:ascii="宋体" w:hAnsi="宋体" w:cs="宋体" w:eastAsia="宋体" w:hint="default"/>
                <w:w w:val="100"/>
                <w:sz w:val="18"/>
                <w:szCs w:val="18"/>
              </w:rPr>
              <w:t> </w:t>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17"/>
              <w:jc w:val="both"/>
              <w:rPr>
                <w:rFonts w:ascii="宋体" w:hAnsi="宋体" w:cs="宋体" w:eastAsia="宋体" w:hint="default"/>
                <w:sz w:val="18"/>
                <w:szCs w:val="18"/>
              </w:rPr>
            </w:pPr>
            <w:r>
              <w:rPr>
                <w:rFonts w:ascii="宋体" w:hAnsi="宋体" w:cs="宋体" w:eastAsia="宋体" w:hint="default"/>
                <w:sz w:val="18"/>
                <w:szCs w:val="18"/>
              </w:rPr>
              <w:t>《关于继续使用部</w:t>
            </w:r>
            <w:r>
              <w:rPr>
                <w:rFonts w:ascii="宋体" w:hAnsi="宋体" w:cs="宋体" w:eastAsia="宋体" w:hint="default"/>
                <w:w w:val="100"/>
                <w:sz w:val="18"/>
                <w:szCs w:val="18"/>
              </w:rPr>
              <w:t> </w:t>
            </w:r>
            <w:r>
              <w:rPr>
                <w:rFonts w:ascii="宋体" w:hAnsi="宋体" w:cs="宋体" w:eastAsia="宋体" w:hint="default"/>
                <w:sz w:val="18"/>
                <w:szCs w:val="18"/>
              </w:rPr>
              <w:t>分闲置募集资金临</w:t>
            </w:r>
            <w:r>
              <w:rPr>
                <w:rFonts w:ascii="宋体" w:hAnsi="宋体" w:cs="宋体" w:eastAsia="宋体" w:hint="default"/>
                <w:w w:val="100"/>
                <w:sz w:val="18"/>
                <w:szCs w:val="18"/>
              </w:rPr>
              <w:t> </w:t>
            </w:r>
            <w:r>
              <w:rPr>
                <w:rFonts w:ascii="宋体" w:hAnsi="宋体" w:cs="宋体" w:eastAsia="宋体" w:hint="default"/>
                <w:sz w:val="18"/>
                <w:szCs w:val="18"/>
              </w:rPr>
              <w:t>时性补充流动资金</w:t>
            </w:r>
            <w:r>
              <w:rPr>
                <w:rFonts w:ascii="宋体" w:hAnsi="宋体" w:cs="宋体" w:eastAsia="宋体" w:hint="default"/>
                <w:w w:val="100"/>
                <w:sz w:val="18"/>
                <w:szCs w:val="18"/>
              </w:rPr>
              <w:t> </w:t>
            </w:r>
            <w:r>
              <w:rPr>
                <w:rFonts w:ascii="宋体" w:hAnsi="宋体" w:cs="宋体" w:eastAsia="宋体" w:hint="default"/>
                <w:sz w:val="18"/>
                <w:szCs w:val="18"/>
              </w:rPr>
              <w:t>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全部审议通过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2"/>
              <w:ind w:left="21"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.com.cn</w:t>
            </w:r>
            <w:r>
              <w:rPr>
                <w:rFonts w:ascii="宋体" w:hAnsi="宋体" w:cs="宋体" w:eastAsia="宋体" w:hint="default"/>
                <w:spacing w:val="-8"/>
                <w:sz w:val="18"/>
                <w:szCs w:val="18"/>
              </w:rPr>
              <w:t>）上的《</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年第五次临时股东</w:t>
            </w:r>
            <w:r>
              <w:rPr>
                <w:rFonts w:ascii="宋体" w:hAnsi="宋体" w:cs="宋体" w:eastAsia="宋体" w:hint="default"/>
                <w:w w:val="100"/>
                <w:sz w:val="18"/>
                <w:szCs w:val="18"/>
              </w:rPr>
              <w:t> </w:t>
            </w:r>
            <w:r>
              <w:rPr>
                <w:rFonts w:ascii="宋体" w:hAnsi="宋体" w:cs="宋体" w:eastAsia="宋体" w:hint="default"/>
                <w:sz w:val="18"/>
                <w:szCs w:val="18"/>
              </w:rPr>
              <w:t>大会决议公告》</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表决权恢复的优先股股东请求召开临时股东大会 " w:id="119"/>
      <w:bookmarkEnd w:id="119"/>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报告期内独立董事履行职责的情况 " w:id="120"/>
      <w:bookmarkEnd w:id="120"/>
      <w:r>
        <w:rPr>
          <w:b w:val="0"/>
          <w:bCs w:val="0"/>
        </w:rPr>
      </w: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 w:id="121"/>
      <w:bookmarkEnd w:id="12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2"/>
        <w:gridCol w:w="1325"/>
        <w:gridCol w:w="1325"/>
        <w:gridCol w:w="1322"/>
        <w:gridCol w:w="1325"/>
        <w:gridCol w:w="1325"/>
      </w:tblGrid>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8"/>
              <w:ind w:left="206" w:right="23" w:hanging="181"/>
              <w:jc w:val="left"/>
              <w:rPr>
                <w:rFonts w:ascii="宋体" w:hAnsi="宋体" w:cs="宋体" w:eastAsia="宋体" w:hint="default"/>
                <w:sz w:val="18"/>
                <w:szCs w:val="18"/>
              </w:rPr>
            </w:pPr>
            <w:r>
              <w:rPr>
                <w:rFonts w:ascii="宋体" w:hAnsi="宋体" w:cs="宋体" w:eastAsia="宋体" w:hint="default"/>
                <w:sz w:val="18"/>
                <w:szCs w:val="18"/>
              </w:rPr>
              <w:t>本报告期应参加</w:t>
            </w:r>
            <w:r>
              <w:rPr>
                <w:rFonts w:ascii="宋体" w:hAnsi="宋体" w:cs="宋体" w:eastAsia="宋体" w:hint="default"/>
                <w:w w:val="100"/>
                <w:sz w:val="18"/>
                <w:szCs w:val="18"/>
              </w:rPr>
              <w:t> </w:t>
            </w:r>
            <w:r>
              <w:rPr>
                <w:rFonts w:ascii="宋体" w:hAnsi="宋体" w:cs="宋体" w:eastAsia="宋体" w:hint="default"/>
                <w:sz w:val="18"/>
                <w:szCs w:val="18"/>
              </w:rPr>
              <w:t>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8"/>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w:t>
            </w:r>
            <w:r>
              <w:rPr>
                <w:rFonts w:ascii="宋体" w:hAnsi="宋体" w:cs="宋体" w:eastAsia="宋体" w:hint="default"/>
                <w:w w:val="100"/>
                <w:sz w:val="18"/>
                <w:szCs w:val="18"/>
              </w:rPr>
              <w:t> </w:t>
            </w:r>
            <w:r>
              <w:rPr>
                <w:rFonts w:ascii="宋体" w:hAnsi="宋体" w:cs="宋体" w:eastAsia="宋体" w:hint="default"/>
                <w:sz w:val="18"/>
                <w:szCs w:val="18"/>
              </w:rPr>
              <w:t>次数</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8"/>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w:t>
            </w:r>
            <w:r>
              <w:rPr>
                <w:rFonts w:ascii="宋体" w:hAnsi="宋体" w:cs="宋体" w:eastAsia="宋体" w:hint="default"/>
                <w:w w:val="100"/>
                <w:sz w:val="18"/>
                <w:szCs w:val="18"/>
              </w:rPr>
              <w:t> </w:t>
            </w:r>
            <w:r>
              <w:rPr>
                <w:rFonts w:ascii="宋体" w:hAnsi="宋体" w:cs="宋体" w:eastAsia="宋体" w:hint="default"/>
                <w:sz w:val="18"/>
                <w:szCs w:val="18"/>
              </w:rPr>
              <w:t>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王锦霞</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金福海</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吴国芝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100"/>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w w:val="100"/>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29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100"/>
                <w:sz w:val="18"/>
              </w:rPr>
              <w:t>4</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独立董事对公司有关事项提出异议的情况 " w:id="122"/>
      <w:bookmarkEnd w:id="12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right="5260"/>
        <w:jc w:val="left"/>
      </w:pPr>
      <w:r>
        <w:rPr/>
        <w:t>□ 是 √</w:t>
      </w:r>
      <w:r>
        <w:rPr>
          <w:spacing w:val="1"/>
        </w:rPr>
        <w:t> </w:t>
      </w:r>
      <w:r>
        <w:rPr/>
        <w:t>否</w:t>
      </w:r>
      <w:r>
        <w:rPr>
          <w:w w:val="100"/>
        </w:rPr>
        <w:t> </w:t>
      </w:r>
      <w:r>
        <w:rPr>
          <w:spacing w:val="-1"/>
        </w:rPr>
        <w:t>报告期内独立董事对公司有关事项未提出异议。</w:t>
      </w:r>
    </w:p>
    <w:p>
      <w:pPr>
        <w:spacing w:after="0" w:line="357" w:lineRule="auto"/>
        <w:jc w:val="left"/>
        <w:sectPr>
          <w:footerReference w:type="default" r:id="rId22"/>
          <w:pgSz w:w="11910" w:h="16840"/>
          <w:pgMar w:footer="981" w:header="745" w:top="1060" w:bottom="1180" w:left="980" w:right="980"/>
          <w:pgNumType w:start="6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bookmarkStart w:name="3、独立董事履行职责的其他说明 " w:id="123"/>
      <w:bookmarkEnd w:id="12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60" w:lineRule="auto" w:before="115"/>
        <w:ind w:right="5819"/>
        <w:jc w:val="left"/>
      </w:pPr>
      <w:r>
        <w:rPr/>
        <w:t>√ 是 □</w:t>
      </w:r>
      <w:r>
        <w:rPr>
          <w:spacing w:val="1"/>
        </w:rPr>
        <w:t> </w:t>
      </w:r>
      <w:r>
        <w:rPr/>
        <w:t>否</w:t>
      </w:r>
      <w:r>
        <w:rPr>
          <w:w w:val="100"/>
        </w:rPr>
        <w:t> </w:t>
      </w:r>
      <w:r>
        <w:rPr>
          <w:spacing w:val="-1"/>
        </w:rPr>
        <w:t>独立董事对公司有关建议被采纳或未被采纳的说明</w:t>
      </w:r>
    </w:p>
    <w:p>
      <w:pPr>
        <w:pStyle w:val="BodyText"/>
        <w:spacing w:line="316" w:lineRule="auto" w:before="27"/>
        <w:ind w:right="189" w:firstLine="307"/>
        <w:jc w:val="both"/>
      </w:pPr>
      <w:r>
        <w:rPr>
          <w:spacing w:val="-2"/>
        </w:rPr>
        <w:t>公司独立董事根据《公司法》、《证券法》、《公司章程》和《独立董事工作制度》等法律法规的规定，关注公司运作</w:t>
      </w:r>
      <w:r>
        <w:rPr>
          <w:w w:val="100"/>
        </w:rPr>
        <w:t> </w:t>
      </w:r>
      <w:r>
        <w:rPr>
          <w:spacing w:val="-3"/>
        </w:rPr>
        <w:t>的规范性，独立履行职责，对公司的制度完善和日常经营决策等方面提出了许多宝贵的专业性意见，对报告期内公司发生的</w:t>
      </w:r>
      <w:r>
        <w:rPr>
          <w:spacing w:val="-50"/>
        </w:rPr>
        <w:t> </w:t>
      </w:r>
      <w:r>
        <w:rPr>
          <w:spacing w:val="-50"/>
        </w:rPr>
      </w:r>
      <w:r>
        <w:rPr>
          <w:spacing w:val="-3"/>
        </w:rPr>
        <w:t>聘请年度报告审计机构、关联交易事项、募集资金存放与使用情况等需要独立董事发表意见的事项出具了独立、公正的独立</w:t>
      </w:r>
      <w:r>
        <w:rPr>
          <w:spacing w:val="-48"/>
        </w:rPr>
        <w:t> </w:t>
      </w:r>
      <w:r>
        <w:rPr>
          <w:spacing w:val="-48"/>
        </w:rPr>
      </w:r>
      <w:bookmarkStart w:name="四、董事会下设专门委员会在报告期内履行职责情况 " w:id="124"/>
      <w:bookmarkEnd w:id="124"/>
      <w:r>
        <w:rPr/>
        <w:t>董</w:t>
      </w:r>
      <w:r>
        <w:rPr/>
        <w:t>事意见，为完善公司监督机制，维护公司和全体股东的合法权益发挥了应有的作用。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9"/>
          <w:szCs w:val="29"/>
        </w:rPr>
      </w:pPr>
    </w:p>
    <w:p>
      <w:pPr>
        <w:pStyle w:val="BodyText"/>
        <w:spacing w:line="240" w:lineRule="auto"/>
        <w:ind w:left="512" w:right="93"/>
        <w:jc w:val="left"/>
      </w:pPr>
      <w:r>
        <w:rPr>
          <w:spacing w:val="-3"/>
        </w:rPr>
        <w:t>公司董事会下设审计委员会、提名委员会、薪酬与考核委员会、战略委员会四个专业委员会，</w:t>
      </w:r>
      <w:r>
        <w:rPr>
          <w:rFonts w:ascii="Times New Roman" w:hAnsi="Times New Roman" w:cs="Times New Roman" w:eastAsia="Times New Roman" w:hint="default"/>
          <w:spacing w:val="-3"/>
        </w:rPr>
        <w:t>2014</w:t>
      </w:r>
      <w:r>
        <w:rPr>
          <w:spacing w:val="-3"/>
        </w:rPr>
        <w:t>年，专业委员会根据</w:t>
      </w:r>
    </w:p>
    <w:p>
      <w:pPr>
        <w:pStyle w:val="BodyText"/>
        <w:spacing w:line="319" w:lineRule="auto" w:before="62"/>
        <w:ind w:right="93"/>
        <w:jc w:val="left"/>
      </w:pPr>
      <w:r>
        <w:rPr>
          <w:spacing w:val="-3"/>
        </w:rPr>
        <w:t>《上市公司治理准则》、《公司章程》、《董事会议事规则》以及各专业委员会实施细则赋予的职权和义务，认真履行了职</w:t>
      </w:r>
      <w:r>
        <w:rPr>
          <w:spacing w:val="-47"/>
        </w:rPr>
        <w:t> </w:t>
      </w:r>
      <w:r>
        <w:rPr>
          <w:spacing w:val="-47"/>
        </w:rPr>
      </w:r>
      <w:r>
        <w:rPr/>
        <w:t>责。</w:t>
      </w:r>
    </w:p>
    <w:p>
      <w:pPr>
        <w:pStyle w:val="BodyText"/>
        <w:spacing w:line="312" w:lineRule="auto" w:before="55"/>
        <w:ind w:right="190"/>
        <w:jc w:val="both"/>
      </w:pPr>
      <w:r>
        <w:rPr/>
        <w:t>（一）审计委员会履职情况：</w:t>
      </w:r>
      <w:r>
        <w:rPr>
          <w:spacing w:val="-21"/>
        </w:rPr>
        <w:t> </w:t>
      </w:r>
      <w:r>
        <w:rPr/>
        <w:t>审计委员会根据相关制度以及董事会赋予的职权和义务，本着勤勉尽责的原则，认真进行公</w:t>
      </w:r>
      <w:r>
        <w:rPr>
          <w:w w:val="100"/>
        </w:rPr>
        <w:t> </w:t>
      </w:r>
      <w:r>
        <w:rPr>
          <w:spacing w:val="-3"/>
        </w:rPr>
        <w:t>司内、外部审计的沟通、监督和核查工作，维护了审计的独立性。报告期内，审计委员会共召开了四次会议，对内部审计工</w:t>
      </w:r>
      <w:r>
        <w:rPr>
          <w:spacing w:val="-47"/>
        </w:rPr>
        <w:t> </w:t>
      </w:r>
      <w:r>
        <w:rPr>
          <w:spacing w:val="-47"/>
        </w:rPr>
      </w:r>
      <w:r>
        <w:rPr>
          <w:spacing w:val="-3"/>
        </w:rPr>
        <w:t>作总结和计划、定期财务报告、财务决算报告、审计事务所年度审计工作总结、公司</w:t>
      </w:r>
      <w:r>
        <w:rPr>
          <w:rFonts w:ascii="Times New Roman" w:hAnsi="Times New Roman" w:cs="Times New Roman" w:eastAsia="Times New Roman" w:hint="default"/>
          <w:spacing w:val="-3"/>
        </w:rPr>
        <w:t>2013</w:t>
      </w:r>
      <w:r>
        <w:rPr>
          <w:spacing w:val="-3"/>
        </w:rPr>
        <w:t>年的年度报告进行了审议，指导公</w:t>
      </w:r>
      <w:r>
        <w:rPr>
          <w:spacing w:val="-46"/>
        </w:rPr>
        <w:t> </w:t>
      </w:r>
      <w:r>
        <w:rPr>
          <w:spacing w:val="-46"/>
        </w:rPr>
      </w:r>
      <w:r>
        <w:rPr/>
        <w:t>司审计部开展各项内部审计工作。</w:t>
      </w:r>
    </w:p>
    <w:p>
      <w:pPr>
        <w:pStyle w:val="BodyText"/>
        <w:spacing w:line="300" w:lineRule="auto" w:before="63"/>
        <w:ind w:right="93"/>
        <w:jc w:val="left"/>
      </w:pPr>
      <w:r>
        <w:rPr>
          <w:spacing w:val="-3"/>
        </w:rPr>
        <w:t>（二）提名委员会履职情况：报告期内，公司提名委员会召开了一次会议，就提名委员会</w:t>
      </w:r>
      <w:r>
        <w:rPr>
          <w:rFonts w:ascii="Times New Roman" w:hAnsi="Times New Roman" w:cs="Times New Roman" w:eastAsia="Times New Roman" w:hint="default"/>
          <w:spacing w:val="-3"/>
        </w:rPr>
        <w:t>2013</w:t>
      </w:r>
      <w:r>
        <w:rPr>
          <w:spacing w:val="-3"/>
        </w:rPr>
        <w:t>年度工作进行总结，并对</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年工作进行了部署。</w:t>
      </w:r>
    </w:p>
    <w:p>
      <w:pPr>
        <w:pStyle w:val="BodyText"/>
        <w:spacing w:line="316" w:lineRule="auto" w:before="72"/>
        <w:ind w:right="93"/>
        <w:jc w:val="left"/>
      </w:pPr>
      <w:r>
        <w:rPr>
          <w:spacing w:val="-3"/>
        </w:rPr>
        <w:t>（三）薪酬与考核委员会履职情况：报告期内，公司薪酬与考核委员会召开了一次会议，就公司董事、监事及高级管理人员</w:t>
      </w:r>
      <w:r>
        <w:rPr>
          <w:spacing w:val="-53"/>
        </w:rPr>
        <w:t> </w:t>
      </w:r>
      <w:r>
        <w:rPr>
          <w:spacing w:val="-53"/>
        </w:rPr>
      </w:r>
      <w:r>
        <w:rPr/>
        <w:t>年度履职情况进行了综合考核和评价，确定了年度薪酬发放方案。</w:t>
      </w:r>
    </w:p>
    <w:p>
      <w:pPr>
        <w:pStyle w:val="BodyText"/>
        <w:spacing w:line="316" w:lineRule="auto" w:before="57"/>
        <w:ind w:right="192"/>
        <w:jc w:val="both"/>
      </w:pPr>
      <w:r>
        <w:rPr>
          <w:spacing w:val="-3"/>
        </w:rPr>
        <w:t>（四）战略委员会履职情况：董事会战略委员会根据《公司法》、《上市公司治理准则》、《公司章程》、《董事会战略委</w:t>
      </w:r>
      <w:r>
        <w:rPr>
          <w:spacing w:val="-48"/>
        </w:rPr>
        <w:t> </w:t>
      </w:r>
      <w:r>
        <w:rPr>
          <w:spacing w:val="-48"/>
        </w:rPr>
      </w:r>
      <w:r>
        <w:rPr>
          <w:spacing w:val="-3"/>
        </w:rPr>
        <w:t>员会实施细则》及其它相关规定认真履行职责，报告期内，召开了一次会议，对公司有关体制改革、发展战略、方针政策方</w:t>
      </w:r>
      <w:r>
        <w:rPr>
          <w:spacing w:val="-48"/>
        </w:rPr>
        <w:t> </w:t>
      </w:r>
      <w:r>
        <w:rPr>
          <w:spacing w:val="-48"/>
        </w:rPr>
      </w:r>
      <w:r>
        <w:rPr/>
        <w:t>面的意见和建议提出要求。</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0"/>
        <w:jc w:val="both"/>
        <w:rPr>
          <w:b w:val="0"/>
          <w:bCs w:val="0"/>
        </w:rPr>
      </w:pPr>
      <w:bookmarkStart w:name="五、监事会工作情况 " w:id="125"/>
      <w:bookmarkEnd w:id="125"/>
      <w:r>
        <w:rPr>
          <w:b w:val="0"/>
          <w:bCs w:val="0"/>
        </w:rPr>
      </w: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60" w:lineRule="auto" w:before="114"/>
        <w:ind w:right="5819"/>
        <w:jc w:val="left"/>
      </w:pPr>
      <w:r>
        <w:rPr/>
        <w:t>□ 是 √</w:t>
      </w:r>
      <w:r>
        <w:rPr>
          <w:spacing w:val="1"/>
        </w:rPr>
        <w:t> </w:t>
      </w:r>
      <w:r>
        <w:rPr/>
        <w:t>否</w:t>
      </w:r>
      <w:r>
        <w:rPr>
          <w:w w:val="100"/>
        </w:rPr>
        <w:t> </w:t>
      </w:r>
      <w:bookmarkStart w:name="六、公司相对于控股股东在业务、人员、资产、机构、财务等方面的独立完整情况 " w:id="126"/>
      <w:bookmarkEnd w:id="126"/>
      <w:r>
        <w:rPr>
          <w:spacing w:val="-1"/>
        </w:rPr>
        <w:t>监</w:t>
      </w:r>
      <w:r>
        <w:rPr>
          <w:spacing w:val="-1"/>
        </w:rPr>
        <w:t>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489"/>
        <w:jc w:val="left"/>
      </w:pPr>
      <w:r>
        <w:rPr/>
        <w:t>公司在业务、人员、资产、机构、财务等方面与控股股东相互独立，公司具有独立完整的业务及自主经营能力。</w:t>
      </w:r>
      <w:r>
        <w:rPr>
          <w:spacing w:val="-29"/>
        </w:rPr>
        <w:t> </w:t>
      </w:r>
      <w:r>
        <w:rPr/>
        <w:t>自</w:t>
      </w:r>
      <w:r>
        <w:rPr>
          <w:w w:val="100"/>
        </w:rPr>
        <w:t> </w:t>
      </w:r>
      <w:r>
        <w:rPr>
          <w:spacing w:val="-5"/>
        </w:rPr>
        <w:t>公司成立以来，严格按照《公司法》、《证券法》等有关法律、法规和《公司章程》的要求规范运作，在业务、资产、人员、</w:t>
      </w:r>
      <w:r>
        <w:rPr>
          <w:spacing w:val="-24"/>
        </w:rPr>
        <w:t> </w:t>
      </w:r>
      <w:r>
        <w:rPr>
          <w:spacing w:val="-24"/>
        </w:rPr>
      </w:r>
      <w:r>
        <w:rPr/>
        <w:t>机构、财务等方面与现有股东完全分开，具有独立完整的业务及自主经营能力。</w:t>
      </w:r>
    </w:p>
    <w:p>
      <w:pPr>
        <w:pStyle w:val="BodyText"/>
        <w:spacing w:line="360" w:lineRule="auto" w:before="59"/>
        <w:ind w:left="512" w:right="93" w:hanging="360"/>
        <w:jc w:val="left"/>
      </w:pPr>
      <w:r>
        <w:rPr/>
        <w:t>（一）资产独立情况</w:t>
      </w:r>
      <w:r>
        <w:rPr>
          <w:w w:val="100"/>
        </w:rPr>
        <w:t> </w:t>
      </w:r>
      <w:r>
        <w:rPr>
          <w:spacing w:val="-3"/>
        </w:rPr>
        <w:t>本公司是采用整体变更方式设立的股份公司，原有限责任公司的资产和人员全部进入股份公司，拥有独立、完整的经营</w:t>
      </w:r>
    </w:p>
    <w:p>
      <w:pPr>
        <w:pStyle w:val="BodyText"/>
        <w:spacing w:line="222" w:lineRule="exact"/>
        <w:ind w:right="0"/>
        <w:jc w:val="both"/>
      </w:pPr>
      <w:r>
        <w:rPr>
          <w:spacing w:val="-3"/>
        </w:rPr>
        <w:t>资产。整体变更后，公司依法办理了相关资产和产权的变更登记，公司拥有独立完整的经营设备、配套设施及房屋、土地等</w:t>
      </w:r>
    </w:p>
    <w:p>
      <w:pPr>
        <w:spacing w:after="0" w:line="222" w:lineRule="exact"/>
        <w:jc w:val="both"/>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的所有权和使用权，具有独立的商品采购和产品销售系统。本公司与股东的资产产权已经明确界定。</w:t>
      </w:r>
    </w:p>
    <w:p>
      <w:pPr>
        <w:pStyle w:val="BodyText"/>
        <w:spacing w:line="357" w:lineRule="auto" w:before="117"/>
        <w:ind w:left="495" w:right="0" w:hanging="344"/>
        <w:jc w:val="left"/>
      </w:pPr>
      <w:r>
        <w:rPr/>
        <w:t>（二）人员独立情况</w:t>
      </w:r>
      <w:r>
        <w:rPr>
          <w:w w:val="100"/>
        </w:rPr>
        <w:t> </w:t>
      </w:r>
      <w:r>
        <w:rPr>
          <w:spacing w:val="-3"/>
        </w:rPr>
        <w:t>本公司总经理、副总经理、财务负责人、董事会秘书等高级管理人员均专职在本公司工作并领取报酬，不存在持有本公</w:t>
      </w:r>
    </w:p>
    <w:p>
      <w:pPr>
        <w:pStyle w:val="BodyText"/>
        <w:spacing w:line="237" w:lineRule="exact"/>
        <w:ind w:right="0"/>
        <w:jc w:val="left"/>
      </w:pPr>
      <w:r>
        <w:rPr/>
        <w:t>司</w:t>
      </w:r>
      <w:r>
        <w:rPr>
          <w:spacing w:val="14"/>
        </w:rPr>
        <w:t> </w:t>
      </w:r>
      <w:r>
        <w:rPr>
          <w:rFonts w:ascii="Times New Roman" w:hAnsi="Times New Roman" w:cs="Times New Roman" w:eastAsia="Times New Roman" w:hint="default"/>
          <w:spacing w:val="-2"/>
        </w:rPr>
        <w:t>5%</w:t>
      </w:r>
      <w:r>
        <w:rPr>
          <w:spacing w:val="-2"/>
        </w:rPr>
        <w:t>以上股份的股东及其下属企业担任除董事、监事以外其他行政职务的情况，亦没有在与本公司业务相同或相近的其他</w:t>
      </w:r>
    </w:p>
    <w:p>
      <w:pPr>
        <w:pStyle w:val="BodyText"/>
        <w:spacing w:line="314" w:lineRule="auto" w:before="62"/>
        <w:ind w:right="149"/>
        <w:jc w:val="both"/>
      </w:pPr>
      <w:r>
        <w:rPr>
          <w:spacing w:val="-3"/>
        </w:rPr>
        <w:t>企业任职的情况。公司董事、监事均严格按照《公司法》和《公司章程》的有关规定选举产生，公司高级管理人员都是公司</w:t>
      </w:r>
      <w:r>
        <w:rPr>
          <w:spacing w:val="-52"/>
        </w:rPr>
        <w:t> </w:t>
      </w:r>
      <w:r>
        <w:rPr>
          <w:spacing w:val="-52"/>
        </w:rPr>
      </w:r>
      <w:r>
        <w:rPr/>
        <w:t>董事会依照职权聘任的，不存在股东或其它关联方干涉公司有关人事任免的情况</w:t>
      </w:r>
      <w:r>
        <w:rPr>
          <w:rFonts w:ascii="Times New Roman" w:hAnsi="Times New Roman" w:cs="Times New Roman" w:eastAsia="Times New Roman" w:hint="default"/>
        </w:rPr>
        <w:t>-</w:t>
      </w:r>
      <w:r>
        <w:rPr/>
        <w:t>公司拥有独立的员工队伍，并已建立完善</w:t>
      </w:r>
      <w:r>
        <w:rPr>
          <w:w w:val="100"/>
        </w:rPr>
        <w:t> </w:t>
      </w:r>
      <w:r>
        <w:rPr>
          <w:spacing w:val="-3"/>
        </w:rPr>
        <w:t>的劳动用工和人事管理制度。公司根据《劳动法》和公司劳动管理制度等有关规定与公司员工签订劳动合同，由公司人力资</w:t>
      </w:r>
      <w:r>
        <w:rPr>
          <w:spacing w:val="-46"/>
        </w:rPr>
        <w:t> </w:t>
      </w:r>
      <w:r>
        <w:rPr>
          <w:spacing w:val="-46"/>
        </w:rPr>
      </w:r>
      <w:r>
        <w:rPr>
          <w:spacing w:val="-3"/>
        </w:rPr>
        <w:t>源部负责公司员工的聘任、考核和奖惩，公司已在烟台市芝罘区劳动和社会保障局及各子分公司属地的劳动和社会保障局办</w:t>
      </w:r>
      <w:r>
        <w:rPr>
          <w:spacing w:val="-50"/>
        </w:rPr>
        <w:t> </w:t>
      </w:r>
      <w:r>
        <w:rPr>
          <w:spacing w:val="-50"/>
        </w:rPr>
      </w:r>
      <w:r>
        <w:rPr/>
        <w:t>理了独立的社保登记，本公司在员工的社会保障、工薪报酬等方面完全独立。</w:t>
      </w:r>
    </w:p>
    <w:p>
      <w:pPr>
        <w:pStyle w:val="BodyText"/>
        <w:spacing w:line="240" w:lineRule="auto" w:before="61"/>
        <w:ind w:right="0"/>
        <w:jc w:val="left"/>
      </w:pPr>
      <w:r>
        <w:rPr/>
        <w:t>（三）财务独立情况</w:t>
      </w:r>
    </w:p>
    <w:p>
      <w:pPr>
        <w:pStyle w:val="BodyText"/>
        <w:spacing w:line="312" w:lineRule="auto" w:before="117"/>
        <w:ind w:right="149" w:firstLine="359"/>
        <w:jc w:val="both"/>
      </w:pPr>
      <w:r>
        <w:rPr/>
        <w:t>本公司开设有独立的银行账户，作为独立的纳税人，依法独立纳税，税务登记证号码鲁税烟字 </w:t>
      </w:r>
      <w:r>
        <w:rPr>
          <w:rFonts w:ascii="Times New Roman" w:hAnsi="Times New Roman" w:cs="Times New Roman" w:eastAsia="Times New Roman" w:hint="default"/>
        </w:rPr>
        <w:t>370602766690447</w:t>
      </w:r>
      <w:r>
        <w:rPr>
          <w:rFonts w:ascii="Times New Roman" w:hAnsi="Times New Roman" w:cs="Times New Roman" w:eastAsia="Times New Roman" w:hint="default"/>
          <w:spacing w:val="-14"/>
        </w:rPr>
        <w:t> </w:t>
      </w:r>
      <w:r>
        <w:rPr/>
        <w:t>号，</w:t>
      </w:r>
      <w:r>
        <w:rPr>
          <w:w w:val="100"/>
        </w:rPr>
        <w:t> </w:t>
      </w:r>
      <w:r>
        <w:rPr>
          <w:spacing w:val="-3"/>
        </w:rPr>
        <w:t>与股东无混合纳税现象。本公司不存在以资产、权益或信誉为股东提供债务担保的情况，也不存在资产被股东占用而损害公</w:t>
      </w:r>
      <w:r>
        <w:rPr>
          <w:spacing w:val="-47"/>
        </w:rPr>
        <w:t> </w:t>
      </w:r>
      <w:r>
        <w:rPr>
          <w:spacing w:val="-47"/>
        </w:rPr>
      </w:r>
      <w:r>
        <w:rPr>
          <w:spacing w:val="-3"/>
        </w:rPr>
        <w:t>司利益的情况。公司设有独立的财务会计部门，制定了《财务管理制度》等规章制度，建立了独立的会计核算体系及财务会</w:t>
      </w:r>
      <w:r>
        <w:rPr>
          <w:spacing w:val="-52"/>
        </w:rPr>
        <w:t> </w:t>
      </w:r>
      <w:r>
        <w:rPr>
          <w:spacing w:val="-52"/>
        </w:rPr>
      </w:r>
      <w:r>
        <w:rPr/>
        <w:t>计管理制度，独立进行财务决策，财务人员无兼职情况。</w:t>
      </w:r>
    </w:p>
    <w:p>
      <w:pPr>
        <w:pStyle w:val="BodyText"/>
        <w:spacing w:line="360" w:lineRule="auto" w:before="60"/>
        <w:ind w:left="512" w:right="0" w:hanging="360"/>
        <w:jc w:val="left"/>
      </w:pPr>
      <w:r>
        <w:rPr/>
        <w:t>（四）机构独立情况</w:t>
      </w:r>
      <w:r>
        <w:rPr>
          <w:w w:val="100"/>
        </w:rPr>
        <w:t> </w:t>
      </w:r>
      <w:r>
        <w:rPr>
          <w:spacing w:val="-3"/>
        </w:rPr>
        <w:t>公司依照《公司法》、《公司章程》设置了股东大会、董事会、监事会等决策及监督机构，建立了完整、独立的法人治</w:t>
      </w:r>
    </w:p>
    <w:p>
      <w:pPr>
        <w:pStyle w:val="BodyText"/>
        <w:spacing w:line="222" w:lineRule="exact"/>
        <w:ind w:right="0"/>
        <w:jc w:val="left"/>
      </w:pPr>
      <w:r>
        <w:rPr>
          <w:spacing w:val="-3"/>
        </w:rPr>
        <w:t>理结构，设立了适应发展需要的组织机构。公司各部门与下属分公司、子公司组成了有机的整体，依照《公司章程》和各项</w:t>
      </w:r>
    </w:p>
    <w:p>
      <w:pPr>
        <w:pStyle w:val="BodyText"/>
        <w:spacing w:line="240" w:lineRule="auto" w:before="76"/>
        <w:ind w:right="0"/>
        <w:jc w:val="left"/>
      </w:pPr>
      <w:r>
        <w:rPr/>
        <w:t>规章制度行使职权。因公司控股股东为自然人，不存在公司与控股股东在机构独立方面的独立性问题。</w:t>
      </w:r>
    </w:p>
    <w:p>
      <w:pPr>
        <w:pStyle w:val="BodyText"/>
        <w:spacing w:line="357" w:lineRule="auto" w:before="117"/>
        <w:ind w:left="512" w:right="0" w:hanging="360"/>
        <w:jc w:val="left"/>
      </w:pPr>
      <w:r>
        <w:rPr/>
        <w:t>（五）业务独立情况</w:t>
      </w:r>
      <w:r>
        <w:rPr>
          <w:w w:val="100"/>
        </w:rPr>
        <w:t> </w:t>
      </w:r>
      <w:r>
        <w:rPr>
          <w:spacing w:val="-3"/>
        </w:rPr>
        <w:t>本公司主要是以山东省为目标市场，以规模以上医院及基础医疗市场的直接销售为主营业务的医药商业企业，具有独立</w:t>
      </w:r>
    </w:p>
    <w:p>
      <w:pPr>
        <w:pStyle w:val="BodyText"/>
        <w:spacing w:line="224" w:lineRule="exact"/>
        <w:ind w:right="0"/>
        <w:jc w:val="left"/>
      </w:pPr>
      <w:r>
        <w:rPr>
          <w:spacing w:val="-3"/>
        </w:rPr>
        <w:t>面向市场的能力，不存在受制于公司股东及其他关联方的情况。公司股东及其他关联方目前业务均与本公司不同，而且向本</w:t>
      </w:r>
    </w:p>
    <w:p>
      <w:pPr>
        <w:pStyle w:val="BodyText"/>
        <w:spacing w:line="240" w:lineRule="auto" w:before="76"/>
        <w:ind w:right="0"/>
        <w:jc w:val="left"/>
      </w:pPr>
      <w:r>
        <w:rPr/>
        <w:t>公司出具了《避免同业竞争的承诺函》。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bookmarkStart w:name="七、同业竞争情况 " w:id="127"/>
      <w:bookmarkEnd w:id="127"/>
      <w:r>
        <w:rPr>
          <w:b w:val="0"/>
          <w:bCs w:val="0"/>
        </w:rPr>
      </w: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八、高级管理人员的考评及激励情况 " w:id="128"/>
      <w:bookmarkEnd w:id="128"/>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9" w:firstLine="326"/>
        <w:jc w:val="both"/>
      </w:pPr>
      <w:r>
        <w:rPr>
          <w:spacing w:val="-2"/>
        </w:rPr>
        <w:t>公司建立了高级管理人员的选择、考评、激励与约束机制并不断完善，公司高级管理人员全部由董事会聘任，直接对董</w:t>
      </w:r>
      <w:r>
        <w:rPr>
          <w:w w:val="100"/>
        </w:rPr>
        <w:t> </w:t>
      </w:r>
      <w:r>
        <w:rPr>
          <w:spacing w:val="-3"/>
        </w:rPr>
        <w:t>事会负责，承担董事会下达的经营指标，董事会下设的薪酬与考核委员会负责对高级管理人员的工作能力、履职情况、责任</w:t>
      </w:r>
      <w:r>
        <w:rPr>
          <w:spacing w:val="-45"/>
        </w:rPr>
        <w:t> </w:t>
      </w:r>
      <w:r>
        <w:rPr>
          <w:spacing w:val="-45"/>
        </w:rPr>
      </w:r>
      <w:r>
        <w:rPr>
          <w:spacing w:val="-6"/>
          <w:w w:val="100"/>
        </w:rPr>
        <w:t>目标完成情况等进行年终考评，制定薪酬方案并报董事会审批。报告期内，公司高级管理人员能够严格按照《公司法》、《公</w:t>
      </w:r>
      <w:r>
        <w:rPr>
          <w:spacing w:val="-75"/>
          <w:w w:val="100"/>
        </w:rPr>
        <w:t> </w:t>
      </w:r>
      <w:r>
        <w:rPr>
          <w:spacing w:val="-75"/>
          <w:w w:val="100"/>
        </w:rPr>
      </w:r>
      <w:r>
        <w:rPr>
          <w:spacing w:val="-3"/>
        </w:rPr>
        <w:t>司章程》及国家有关法律法规认真履行职责，积极落实公司股东大会和董事会相关决议，在董事会的正确指导下积极调整经</w:t>
      </w:r>
      <w:r>
        <w:rPr>
          <w:spacing w:val="-48"/>
        </w:rPr>
        <w:t> </w:t>
      </w:r>
      <w:r>
        <w:rPr>
          <w:spacing w:val="-48"/>
        </w:rPr>
      </w:r>
      <w:r>
        <w:rPr/>
        <w:t>营思路，优化产品结构，不断加强内部管理，较好地完成了本年度的各项任务。</w:t>
      </w:r>
    </w:p>
    <w:p>
      <w:pPr>
        <w:spacing w:after="0" w:line="316" w:lineRule="auto"/>
        <w:jc w:val="both"/>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90" w:right="3629"/>
        <w:jc w:val="center"/>
        <w:rPr>
          <w:b w:val="0"/>
          <w:bCs w:val="0"/>
        </w:rPr>
      </w:pPr>
      <w:bookmarkStart w:name="第十节 内部控制 " w:id="129"/>
      <w:bookmarkEnd w:id="129"/>
      <w:r>
        <w:rPr>
          <w:b w:val="0"/>
          <w:bCs w:val="0"/>
        </w:rPr>
      </w:r>
      <w:bookmarkStart w:name="_bookmark9" w:id="130"/>
      <w:bookmarkEnd w:id="130"/>
      <w:r>
        <w:rPr>
          <w:b w:val="0"/>
          <w:bCs w:val="0"/>
        </w:rPr>
      </w:r>
      <w:r>
        <w:rPr/>
        <w:t>第十节</w:t>
      </w:r>
      <w:r>
        <w:rPr>
          <w:spacing w:val="-6"/>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内部控制建设情况 " w:id="131"/>
      <w:bookmarkEnd w:id="131"/>
      <w:r>
        <w:rPr>
          <w:b w:val="0"/>
          <w:bCs w:val="0"/>
        </w:rPr>
      </w: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89" w:firstLine="431"/>
        <w:jc w:val="both"/>
      </w:pPr>
      <w:r>
        <w:rPr/>
        <w:t>为加强和规范公司内部控制，提高公司经营管理水平，促进公司规范运作和健康发展，保护投资者合法权益，保障公</w:t>
      </w:r>
      <w:r>
        <w:rPr>
          <w:w w:val="100"/>
        </w:rPr>
        <w:t> </w:t>
      </w:r>
      <w:r>
        <w:rPr>
          <w:spacing w:val="-3"/>
        </w:rPr>
        <w:t>司资产安全与完整，公司依据《中华人民共和国公司法》、《中华人民共和国证券法》、《企业内部控制基本规范》等有关</w:t>
      </w:r>
      <w:r>
        <w:rPr>
          <w:spacing w:val="-48"/>
        </w:rPr>
        <w:t> </w:t>
      </w:r>
      <w:r>
        <w:rPr>
          <w:spacing w:val="-48"/>
        </w:rPr>
      </w:r>
      <w:r>
        <w:rPr>
          <w:spacing w:val="-3"/>
        </w:rPr>
        <w:t>法律法规和规范性文件的规定以及公司内控制度的要求，不断建立、健全、完善内部控制体系，强化对内控制度的检查，完</w:t>
      </w:r>
      <w:r>
        <w:rPr>
          <w:spacing w:val="-50"/>
        </w:rPr>
        <w:t> </w:t>
      </w:r>
      <w:r>
        <w:rPr>
          <w:spacing w:val="-50"/>
        </w:rPr>
      </w:r>
      <w:r>
        <w:rPr>
          <w:spacing w:val="-3"/>
        </w:rPr>
        <w:t>善公司内部控制的组织架构和相关制度。报告期内，公司进一步健全公司法人治理结构，完善内部控制体系，并对公司的业</w:t>
      </w:r>
      <w:r>
        <w:rPr>
          <w:spacing w:val="-46"/>
        </w:rPr>
        <w:t> </w:t>
      </w:r>
      <w:r>
        <w:rPr>
          <w:spacing w:val="-46"/>
        </w:rPr>
      </w:r>
      <w:r>
        <w:rPr/>
        <w:t>务流程和管理制度进行了全面梳理与检查，规范公司运作，提高公司管理水平。具体情况如下：</w:t>
      </w:r>
    </w:p>
    <w:p>
      <w:pPr>
        <w:pStyle w:val="BodyText"/>
        <w:spacing w:line="340" w:lineRule="auto" w:before="57"/>
        <w:ind w:left="512" w:right="93"/>
        <w:jc w:val="left"/>
      </w:pPr>
      <w:r>
        <w:rPr>
          <w:rFonts w:ascii="Times New Roman" w:hAnsi="Times New Roman" w:cs="Times New Roman" w:eastAsia="Times New Roman" w:hint="default"/>
        </w:rPr>
        <w:t>1</w:t>
      </w:r>
      <w:r>
        <w:rPr/>
        <w:t>、法人治理结构</w:t>
      </w:r>
      <w:r>
        <w:rPr>
          <w:w w:val="100"/>
        </w:rPr>
        <w:t> </w:t>
      </w:r>
      <w:r>
        <w:rPr>
          <w:spacing w:val="-3"/>
        </w:rPr>
        <w:t>公司有较为健全的法人治理结构和完善的管理制度，主要包括《公司章程》、《股东大会议事规则》、《董事会议事规</w:t>
      </w:r>
    </w:p>
    <w:p>
      <w:pPr>
        <w:pStyle w:val="BodyText"/>
        <w:spacing w:line="316" w:lineRule="auto"/>
        <w:ind w:right="110"/>
        <w:jc w:val="both"/>
      </w:pPr>
      <w:r>
        <w:rPr>
          <w:spacing w:val="-3"/>
        </w:rPr>
        <w:t>则》、《监事会议事规则》、《总经理工作细则》、《独立董事工作制度》、《董事会秘书工作细则》、《战略委员会工作</w:t>
      </w:r>
      <w:r>
        <w:rPr>
          <w:spacing w:val="-47"/>
        </w:rPr>
        <w:t> </w:t>
      </w:r>
      <w:r>
        <w:rPr>
          <w:spacing w:val="-47"/>
        </w:rPr>
      </w:r>
      <w:r>
        <w:rPr>
          <w:spacing w:val="-1"/>
        </w:rPr>
        <w:t>细则》、《提名委员会工作细则》、《审计委员会工作细则》、《薪酬与考核委员会工作细则》、《募集资金管理制度》、</w:t>
      </w:r>
    </w:p>
    <w:p>
      <w:pPr>
        <w:pStyle w:val="BodyText"/>
        <w:spacing w:line="316" w:lineRule="auto" w:before="19"/>
        <w:ind w:right="190"/>
        <w:jc w:val="both"/>
      </w:pPr>
      <w:r>
        <w:rPr>
          <w:spacing w:val="-3"/>
        </w:rPr>
        <w:t>《关联交易决策制度》、《财务管理制度》、《内部审计制度》、《信息披露制度》、《投资者关系管理制度》等制度。同</w:t>
      </w:r>
      <w:r>
        <w:rPr>
          <w:spacing w:val="-46"/>
        </w:rPr>
        <w:t> </w:t>
      </w:r>
      <w:r>
        <w:rPr>
          <w:spacing w:val="-46"/>
        </w:rPr>
      </w:r>
      <w:r>
        <w:rPr>
          <w:spacing w:val="-3"/>
        </w:rPr>
        <w:t>时，公司定期对各项制度进行检查和评估，通过内控制度的及时补充、修订，以及内部信息沟通有效性持续加强，公司的内</w:t>
      </w:r>
      <w:r>
        <w:rPr>
          <w:spacing w:val="-53"/>
        </w:rPr>
        <w:t> </w:t>
      </w:r>
      <w:r>
        <w:rPr>
          <w:spacing w:val="-53"/>
        </w:rPr>
      </w:r>
      <w:r>
        <w:rPr/>
        <w:t>部控制环境得到进一步的提升。</w:t>
      </w:r>
    </w:p>
    <w:p>
      <w:pPr>
        <w:pStyle w:val="BodyText"/>
        <w:spacing w:line="338" w:lineRule="auto" w:before="59"/>
        <w:ind w:left="495" w:right="93" w:firstLine="16"/>
        <w:jc w:val="left"/>
      </w:pPr>
      <w:r>
        <w:rPr>
          <w:rFonts w:ascii="Times New Roman" w:hAnsi="Times New Roman" w:cs="Times New Roman" w:eastAsia="Times New Roman" w:hint="default"/>
        </w:rPr>
        <w:t>2</w:t>
      </w:r>
      <w:r>
        <w:rPr/>
        <w:t>、信息披露管理</w:t>
      </w:r>
      <w:r>
        <w:rPr>
          <w:w w:val="100"/>
        </w:rPr>
        <w:t> </w:t>
      </w:r>
      <w:r>
        <w:rPr>
          <w:spacing w:val="-3"/>
        </w:rPr>
        <w:t>公司制定了《信息披露事务管理制度》、《审计委员会年报工作制度》、《内幕信息知情人登记备案制度》、《投资者</w:t>
      </w:r>
    </w:p>
    <w:p>
      <w:pPr>
        <w:pStyle w:val="BodyText"/>
        <w:spacing w:line="316" w:lineRule="auto" w:before="2"/>
        <w:ind w:right="189"/>
        <w:jc w:val="both"/>
      </w:pPr>
      <w:r>
        <w:rPr>
          <w:spacing w:val="-3"/>
        </w:rPr>
        <w:t>关系管理办法》、《年报信息披露重大差错责任追究制度》、《外部信息报送和使用管理制度》等。在制度中规定了信息披</w:t>
      </w:r>
      <w:r>
        <w:rPr>
          <w:spacing w:val="-46"/>
        </w:rPr>
        <w:t> </w:t>
      </w:r>
      <w:r>
        <w:rPr>
          <w:spacing w:val="-46"/>
        </w:rPr>
      </w:r>
      <w:r>
        <w:rPr>
          <w:spacing w:val="-3"/>
        </w:rPr>
        <w:t>露事务管理部门、责任人及义务人职责；信息披露的范围和内容及重大信息的范围；信息披露的报告、传递、审核、披露程</w:t>
      </w:r>
      <w:r>
        <w:rPr>
          <w:spacing w:val="-50"/>
        </w:rPr>
        <w:t> </w:t>
      </w:r>
      <w:r>
        <w:rPr>
          <w:spacing w:val="-50"/>
        </w:rPr>
      </w:r>
      <w:r>
        <w:rPr>
          <w:spacing w:val="-3"/>
        </w:rPr>
        <w:t>序；信息披露相关文件、资料的档案管理；投资者关系活动等等。对公司公开信息披露和重大内部信息沟通进行全程、有效</w:t>
      </w:r>
      <w:r>
        <w:rPr>
          <w:spacing w:val="-50"/>
        </w:rPr>
        <w:t> </w:t>
      </w:r>
      <w:r>
        <w:rPr>
          <w:spacing w:val="-50"/>
        </w:rPr>
      </w:r>
      <w:r>
        <w:rPr>
          <w:spacing w:val="-3"/>
        </w:rPr>
        <w:t>的控制。报告期内，公司信息披露相关制度得到有效执行，公司对外接待、网上互动等投资者关系活动规范，确保了信息披</w:t>
      </w:r>
      <w:r>
        <w:rPr>
          <w:spacing w:val="-54"/>
        </w:rPr>
        <w:t> </w:t>
      </w:r>
      <w:r>
        <w:rPr>
          <w:spacing w:val="-54"/>
        </w:rPr>
      </w:r>
      <w:r>
        <w:rPr/>
        <w:t>露公平。</w:t>
      </w:r>
    </w:p>
    <w:p>
      <w:pPr>
        <w:pStyle w:val="BodyText"/>
        <w:spacing w:line="340" w:lineRule="auto" w:before="59"/>
        <w:ind w:left="495" w:right="93" w:firstLine="71"/>
        <w:jc w:val="left"/>
      </w:pPr>
      <w:r>
        <w:rPr>
          <w:rFonts w:ascii="Times New Roman" w:hAnsi="Times New Roman" w:cs="Times New Roman" w:eastAsia="Times New Roman" w:hint="default"/>
        </w:rPr>
        <w:t>3</w:t>
      </w:r>
      <w:r>
        <w:rPr/>
        <w:t>、经营控制管理</w:t>
      </w:r>
      <w:r>
        <w:rPr>
          <w:w w:val="100"/>
        </w:rPr>
        <w:t> </w:t>
      </w:r>
      <w:r>
        <w:rPr>
          <w:spacing w:val="-3"/>
        </w:rPr>
        <w:t>公司已建立全面的预算体系，能较好的完成各项基础工作，并明确了费用的开支标准。结合公司战略规划，对年度目标</w:t>
      </w:r>
    </w:p>
    <w:p>
      <w:pPr>
        <w:pStyle w:val="BodyText"/>
        <w:spacing w:line="316" w:lineRule="auto"/>
        <w:ind w:right="194"/>
        <w:jc w:val="both"/>
      </w:pPr>
      <w:r>
        <w:rPr>
          <w:spacing w:val="-3"/>
        </w:rPr>
        <w:t>进行合理、有效的分解，结合全员绩效管理工作的开展，确保公司战略目标的实现。同时公司的内审部门，针对公司运营情</w:t>
      </w:r>
      <w:r>
        <w:rPr>
          <w:spacing w:val="-51"/>
        </w:rPr>
        <w:t> </w:t>
      </w:r>
      <w:r>
        <w:rPr>
          <w:spacing w:val="-51"/>
        </w:rPr>
      </w:r>
      <w:r>
        <w:rPr/>
        <w:t>况，开展专项或全面的核查工作。本报告期内，公司经营的内控管理制度得到了较好执行。</w:t>
      </w:r>
    </w:p>
    <w:p>
      <w:pPr>
        <w:pStyle w:val="BodyText"/>
        <w:spacing w:line="340" w:lineRule="auto" w:before="57"/>
        <w:ind w:left="495" w:right="93" w:firstLine="124"/>
        <w:jc w:val="left"/>
      </w:pPr>
      <w:r>
        <w:rPr>
          <w:rFonts w:ascii="Times New Roman" w:hAnsi="Times New Roman" w:cs="Times New Roman" w:eastAsia="Times New Roman" w:hint="default"/>
        </w:rPr>
        <w:t>4</w:t>
      </w:r>
      <w:r>
        <w:rPr/>
        <w:t>、对外投资管理</w:t>
      </w:r>
      <w:r>
        <w:rPr>
          <w:w w:val="100"/>
        </w:rPr>
        <w:t> </w:t>
      </w:r>
      <w:r>
        <w:rPr>
          <w:spacing w:val="-3"/>
        </w:rPr>
        <w:t>本报告期内，公司对外投资的内部控制遵循合法、审慎、安全、有效的原则，控制投资风险、注重投资效益。公司组织</w:t>
      </w:r>
    </w:p>
    <w:p>
      <w:pPr>
        <w:pStyle w:val="BodyText"/>
        <w:spacing w:line="319" w:lineRule="auto"/>
        <w:ind w:right="190"/>
        <w:jc w:val="both"/>
      </w:pPr>
      <w:r>
        <w:rPr>
          <w:spacing w:val="-3"/>
        </w:rPr>
        <w:t>相关部门负责对投资项目的可行性、投资风险、投资回报等事宜进行专门研究和评估，监督投资项目的执行进展情况，及时</w:t>
      </w:r>
      <w:r>
        <w:rPr>
          <w:spacing w:val="-47"/>
        </w:rPr>
        <w:t> </w:t>
      </w:r>
      <w:r>
        <w:rPr>
          <w:spacing w:val="-47"/>
        </w:rPr>
      </w:r>
      <w:r>
        <w:rPr/>
        <w:t>向公司董事会报告，并按审议程序进行审议并及时对外披露信息。本报告期内，公司没有发生投资风险。</w:t>
      </w:r>
    </w:p>
    <w:p>
      <w:pPr>
        <w:pStyle w:val="BodyText"/>
        <w:spacing w:line="338" w:lineRule="auto" w:before="58"/>
        <w:ind w:left="512" w:right="93"/>
        <w:jc w:val="left"/>
      </w:pPr>
      <w:r>
        <w:rPr>
          <w:rFonts w:ascii="Times New Roman" w:hAnsi="Times New Roman" w:cs="Times New Roman" w:eastAsia="Times New Roman" w:hint="default"/>
        </w:rPr>
        <w:t>5</w:t>
      </w:r>
      <w:r>
        <w:rPr/>
        <w:t>、关联交易管理</w:t>
      </w:r>
      <w:r>
        <w:rPr>
          <w:w w:val="100"/>
        </w:rPr>
        <w:t> </w:t>
      </w:r>
      <w:r>
        <w:rPr>
          <w:spacing w:val="-3"/>
        </w:rPr>
        <w:t>公司制订了《公司章程》、《关联交易实施细则》，在制度中对关联交易需遵循的原则、关联交易的审批权限以及关联</w:t>
      </w:r>
    </w:p>
    <w:p>
      <w:pPr>
        <w:pStyle w:val="BodyText"/>
        <w:spacing w:line="240" w:lineRule="auto" w:before="2"/>
        <w:ind w:right="0"/>
        <w:jc w:val="both"/>
      </w:pPr>
      <w:r>
        <w:rPr/>
        <w:t>交易认定、审查和决策程序、回避表决等作了明确规定。</w:t>
      </w:r>
    </w:p>
    <w:p>
      <w:pPr>
        <w:pStyle w:val="BodyText"/>
        <w:spacing w:line="340" w:lineRule="auto" w:before="117"/>
        <w:ind w:left="567" w:right="93" w:hanging="20"/>
        <w:jc w:val="left"/>
      </w:pPr>
      <w:r>
        <w:rPr>
          <w:rFonts w:ascii="Times New Roman" w:hAnsi="Times New Roman" w:cs="Times New Roman" w:eastAsia="Times New Roman" w:hint="default"/>
        </w:rPr>
        <w:t>6</w:t>
      </w:r>
      <w:r>
        <w:rPr/>
        <w:t>、募集资金存放与使用管理</w:t>
      </w:r>
      <w:r>
        <w:rPr>
          <w:w w:val="100"/>
        </w:rPr>
        <w:t> </w:t>
      </w:r>
      <w:r>
        <w:rPr>
          <w:spacing w:val="-1"/>
        </w:rPr>
        <w:t>公司依照《公司法》、《深圳证券交易所股票上市规则》的有关规定，结合公司实际情况，制定了《募集资金管理制</w:t>
      </w:r>
    </w:p>
    <w:p>
      <w:pPr>
        <w:pStyle w:val="BodyText"/>
        <w:spacing w:line="316" w:lineRule="auto"/>
        <w:ind w:right="194"/>
        <w:jc w:val="both"/>
      </w:pPr>
      <w:r>
        <w:rPr>
          <w:spacing w:val="-3"/>
        </w:rPr>
        <w:t>度》。公司严格按照《募集资金管理制度》的规定和要求，对募集资金采用专户存储，保证专款专用。对超额募集资金的使</w:t>
      </w:r>
      <w:r>
        <w:rPr>
          <w:spacing w:val="-52"/>
        </w:rPr>
        <w:t> </w:t>
      </w:r>
      <w:r>
        <w:rPr>
          <w:spacing w:val="-52"/>
        </w:rPr>
      </w:r>
      <w:r>
        <w:rPr/>
        <w:t>用，及时报公司董事会审议批准。</w:t>
      </w:r>
    </w:p>
    <w:p>
      <w:pPr>
        <w:pStyle w:val="BodyText"/>
        <w:spacing w:line="340" w:lineRule="auto" w:before="57"/>
        <w:ind w:left="495" w:right="93" w:firstLine="71"/>
        <w:jc w:val="left"/>
      </w:pPr>
      <w:r>
        <w:rPr>
          <w:rFonts w:ascii="Times New Roman" w:hAnsi="Times New Roman" w:cs="Times New Roman" w:eastAsia="Times New Roman" w:hint="default"/>
        </w:rPr>
        <w:t>7</w:t>
      </w:r>
      <w:r>
        <w:rPr/>
        <w:t>、</w:t>
      </w:r>
      <w:r>
        <w:rPr>
          <w:spacing w:val="-19"/>
        </w:rPr>
        <w:t> </w:t>
      </w:r>
      <w:r>
        <w:rPr/>
        <w:t>年报披露信息管理</w:t>
      </w:r>
      <w:r>
        <w:rPr>
          <w:w w:val="100"/>
        </w:rPr>
        <w:t> </w:t>
      </w:r>
      <w:r>
        <w:rPr>
          <w:spacing w:val="-3"/>
        </w:rPr>
        <w:t>公司制订了《年报信息披露重大差错责任追究制度》，以董事会审计委员会、监事会为主要监督机构，公司审计部门为</w:t>
      </w:r>
    </w:p>
    <w:p>
      <w:pPr>
        <w:spacing w:after="0" w:line="3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3"/>
        </w:rPr>
        <w:t>主要审核部门，对年报披露信息进行检查及审核，并及时向董事会汇报检查情况。本报告期内，公司未发生定期报告重大差</w:t>
      </w:r>
      <w:r>
        <w:rPr>
          <w:spacing w:val="-44"/>
        </w:rPr>
        <w:t> </w:t>
      </w:r>
      <w:r>
        <w:rPr>
          <w:spacing w:val="-44"/>
        </w:rPr>
      </w:r>
      <w:r>
        <w:rPr/>
        <w:t>错更正情况。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0"/>
        <w:jc w:val="left"/>
        <w:rPr>
          <w:b w:val="0"/>
          <w:bCs w:val="0"/>
        </w:rPr>
      </w:pPr>
      <w:bookmarkStart w:name="二、董事会关于内部控制责任的声明 " w:id="132"/>
      <w:bookmarkEnd w:id="132"/>
      <w:r>
        <w:rPr>
          <w:b w:val="0"/>
          <w:bCs w:val="0"/>
        </w:rPr>
      </w:r>
      <w:r>
        <w:rPr/>
        <w:t>二、董事会关于内部控制责任的声明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144"/>
        <w:jc w:val="left"/>
      </w:pPr>
      <w:r>
        <w:rPr>
          <w:spacing w:val="-2"/>
        </w:rPr>
        <w:t>公司董事会及全体董事保证内部控制相关内容不存在任何虚假记载、误导性陈述或者重大遗漏，并对其内容的真实性、准</w:t>
      </w:r>
      <w:r>
        <w:rPr>
          <w:w w:val="100"/>
        </w:rPr>
        <w:t> </w:t>
      </w:r>
      <w:r>
        <w:rPr/>
        <w:t>确性和完整性承担个别及连带责任。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0"/>
        <w:jc w:val="left"/>
        <w:rPr>
          <w:b w:val="0"/>
          <w:bCs w:val="0"/>
        </w:rPr>
      </w:pPr>
      <w:bookmarkStart w:name="三、建立财务报告内部控制的依据 " w:id="133"/>
      <w:bookmarkEnd w:id="133"/>
      <w:r>
        <w:rPr>
          <w:b w:val="0"/>
          <w:bCs w:val="0"/>
        </w:rPr>
      </w:r>
      <w:r>
        <w:rPr/>
        <w:t>三、建立财务报告内部控制的依据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59"/>
        <w:jc w:val="left"/>
      </w:pPr>
      <w:r>
        <w:rPr>
          <w:spacing w:val="-3"/>
        </w:rPr>
        <w:t>公司以《会计法》、《企业会计准则》、《企业内部控制基本规范》以及监管部门的相关规范性文件为依据，建立了财</w:t>
      </w:r>
      <w:r>
        <w:rPr>
          <w:w w:val="100"/>
        </w:rPr>
        <w:t> </w:t>
      </w:r>
      <w:r>
        <w:rPr/>
        <w:t>务报告内部控制，本年度的财务报告内部控制不存在重大缺陷。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4"/>
        <w:ind w:right="0"/>
        <w:jc w:val="left"/>
        <w:rPr>
          <w:b w:val="0"/>
          <w:bCs w:val="0"/>
        </w:rPr>
      </w:pPr>
      <w:bookmarkStart w:name="四、内部控制评价报告 " w:id="134"/>
      <w:bookmarkEnd w:id="134"/>
      <w:r>
        <w:rPr>
          <w:b w:val="0"/>
          <w:bCs w:val="0"/>
        </w:rPr>
      </w:r>
      <w:r>
        <w:rPr/>
        <w:t>四、内部控制评价报告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69"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r>
              <w:rPr>
                <w:rFonts w:ascii="宋体" w:hAnsi="宋体" w:cs="宋体" w:eastAsia="宋体" w:hint="default"/>
                <w:spacing w:val="-11"/>
                <w:sz w:val="18"/>
                <w:szCs w:val="18"/>
              </w:rPr>
              <w:t> </w:t>
            </w:r>
            <w:r>
              <w:rPr>
                <w:rFonts w:ascii="宋体" w:hAnsi="宋体" w:cs="宋体" w:eastAsia="宋体" w:hint="default"/>
                <w:sz w:val="18"/>
                <w:szCs w:val="18"/>
              </w:rPr>
              <w:t>。</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1"/>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1"/>
              <w:jc w:val="center"/>
              <w:rPr>
                <w:rFonts w:ascii="宋体" w:hAnsi="宋体" w:cs="宋体" w:eastAsia="宋体" w:hint="default"/>
                <w:sz w:val="18"/>
                <w:szCs w:val="18"/>
              </w:rPr>
            </w:pPr>
            <w:bookmarkStart w:name="五、内部控制审计报告或鉴证报告 " w:id="135"/>
            <w:bookmarkEnd w:id="135"/>
            <w:r>
              <w:rPr/>
            </w: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2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六、年度报告重大差错责任追究制度的建立与执行情况 " w:id="136"/>
      <w:bookmarkEnd w:id="136"/>
      <w:r>
        <w:rPr/>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59"/>
        <w:jc w:val="left"/>
      </w:pPr>
      <w:r>
        <w:rPr>
          <w:spacing w:val="-3"/>
        </w:rPr>
        <w:t>公司建立了《年报信息披露重大差错责任追究制度》，该制度明确了由于年报信息披露工作中有关人员不履行或者不正</w:t>
      </w:r>
      <w:r>
        <w:rPr>
          <w:w w:val="100"/>
        </w:rPr>
        <w:t> </w:t>
      </w:r>
      <w:r>
        <w:rPr/>
        <w:t>确履行职责、义务或其他个人原因，对公司造成重大经济损失或造成不良社会影响时的追究与处理。</w:t>
      </w:r>
    </w:p>
    <w:p>
      <w:pPr>
        <w:spacing w:after="0" w:line="316" w:lineRule="auto"/>
        <w:jc w:val="left"/>
        <w:sectPr>
          <w:pgSz w:w="11910" w:h="16840"/>
          <w:pgMar w:header="745"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590" w:right="3631"/>
        <w:jc w:val="center"/>
        <w:rPr>
          <w:b w:val="0"/>
          <w:bCs w:val="0"/>
        </w:rPr>
      </w:pPr>
      <w:bookmarkStart w:name="第十一节 财务报告 " w:id="137"/>
      <w:bookmarkEnd w:id="137"/>
      <w:r>
        <w:rPr>
          <w:b w:val="0"/>
          <w:bCs w:val="0"/>
        </w:rPr>
      </w:r>
      <w:bookmarkStart w:name="_bookmark10" w:id="138"/>
      <w:bookmarkEnd w:id="138"/>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3"/>
        <w:jc w:val="left"/>
        <w:rPr>
          <w:b w:val="0"/>
          <w:bCs w:val="0"/>
        </w:rPr>
      </w:pPr>
      <w:bookmarkStart w:name="一、审计报告 " w:id="139"/>
      <w:bookmarkEnd w:id="139"/>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北京天圆全会计师事务所（特殊普通合伙）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天圆全审字</w:t>
            </w:r>
            <w:r>
              <w:rPr>
                <w:rFonts w:ascii="Times New Roman" w:hAnsi="Times New Roman" w:cs="Times New Roman" w:eastAsia="Times New Roman" w:hint="default"/>
                <w:sz w:val="18"/>
                <w:szCs w:val="18"/>
              </w:rPr>
              <w:t>[2015]000814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周瑕、杜宪超</w:t>
            </w:r>
          </w:p>
        </w:tc>
      </w:tr>
    </w:tbl>
    <w:p>
      <w:pPr>
        <w:pStyle w:val="BodyText"/>
        <w:spacing w:line="240" w:lineRule="auto" w:before="49"/>
        <w:ind w:left="3590" w:right="3629"/>
        <w:jc w:val="center"/>
      </w:pPr>
      <w:r>
        <w:rPr/>
        <w:t>审计报告正文</w:t>
      </w:r>
    </w:p>
    <w:p>
      <w:pPr>
        <w:pStyle w:val="Heading3"/>
        <w:spacing w:line="240" w:lineRule="auto" w:before="156"/>
        <w:ind w:left="3590" w:right="3631"/>
        <w:jc w:val="center"/>
        <w:rPr>
          <w:b w:val="0"/>
          <w:bCs w:val="0"/>
        </w:rPr>
      </w:pPr>
      <w:r>
        <w:rPr/>
        <w:t>审  计  报</w:t>
      </w:r>
      <w:r>
        <w:rPr>
          <w:spacing w:val="6"/>
        </w:rPr>
        <w:t> </w:t>
      </w:r>
      <w:r>
        <w:rPr/>
        <w:t>告</w:t>
      </w:r>
      <w:r>
        <w:rPr>
          <w:b w:val="0"/>
          <w:bCs w:val="0"/>
        </w:rPr>
      </w:r>
    </w:p>
    <w:p>
      <w:pPr>
        <w:pStyle w:val="Heading4"/>
        <w:spacing w:line="240" w:lineRule="auto" w:before="156"/>
        <w:ind w:left="3589" w:right="3631"/>
        <w:jc w:val="center"/>
        <w:rPr>
          <w:b w:val="0"/>
          <w:bCs w:val="0"/>
        </w:rPr>
      </w:pPr>
      <w:r>
        <w:rPr/>
        <w:t>天圆全审字</w:t>
      </w:r>
      <w:r>
        <w:rPr>
          <w:rFonts w:ascii="Times New Roman" w:hAnsi="Times New Roman" w:cs="Times New Roman" w:eastAsia="Times New Roman" w:hint="default"/>
        </w:rPr>
        <w:t>[2015]000814</w:t>
      </w:r>
      <w:r>
        <w:rPr/>
        <w:t>号</w:t>
      </w:r>
      <w:r>
        <w:rPr>
          <w:b w:val="0"/>
          <w:bCs w:val="0"/>
        </w:rPr>
      </w:r>
    </w:p>
    <w:p>
      <w:pPr>
        <w:spacing w:line="240" w:lineRule="auto" w:before="1"/>
        <w:rPr>
          <w:rFonts w:ascii="宋体" w:hAnsi="宋体" w:cs="宋体" w:eastAsia="宋体" w:hint="default"/>
          <w:b/>
          <w:bCs/>
          <w:sz w:val="9"/>
          <w:szCs w:val="9"/>
        </w:rPr>
      </w:pPr>
    </w:p>
    <w:p>
      <w:pPr>
        <w:pStyle w:val="BodyText"/>
        <w:spacing w:line="240" w:lineRule="auto" w:before="44"/>
        <w:ind w:right="93"/>
        <w:jc w:val="left"/>
      </w:pPr>
      <w:r>
        <w:rPr/>
        <w:t>山东瑞康医药股份有限公司全体股东：</w:t>
      </w:r>
    </w:p>
    <w:p>
      <w:pPr>
        <w:spacing w:line="240" w:lineRule="auto" w:before="7"/>
        <w:rPr>
          <w:rFonts w:ascii="宋体" w:hAnsi="宋体" w:cs="宋体" w:eastAsia="宋体" w:hint="default"/>
          <w:sz w:val="13"/>
          <w:szCs w:val="13"/>
        </w:rPr>
      </w:pPr>
    </w:p>
    <w:p>
      <w:pPr>
        <w:pStyle w:val="BodyText"/>
        <w:spacing w:line="300" w:lineRule="auto"/>
        <w:ind w:right="93" w:firstLine="359"/>
        <w:jc w:val="left"/>
      </w:pPr>
      <w:r>
        <w:rPr>
          <w:spacing w:val="-2"/>
        </w:rPr>
        <w:t>我们审计了后附的山东瑞康医药股份有限公司（以下简称</w:t>
      </w:r>
      <w:r>
        <w:rPr>
          <w:rFonts w:ascii="Times New Roman" w:hAnsi="Times New Roman" w:cs="Times New Roman" w:eastAsia="Times New Roman" w:hint="default"/>
          <w:spacing w:val="-2"/>
        </w:rPr>
        <w:t>“</w:t>
      </w:r>
      <w:r>
        <w:rPr>
          <w:spacing w:val="-2"/>
        </w:rPr>
        <w:t>瑞康医药</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w:t>
      </w:r>
      <w:r>
        <w:rPr>
          <w:w w:val="100"/>
        </w:rPr>
        <w:t> </w:t>
      </w:r>
      <w:r>
        <w:rPr/>
        <w:t>资产负债表，</w:t>
      </w:r>
      <w:r>
        <w:rPr>
          <w:rFonts w:ascii="Times New Roman" w:hAnsi="Times New Roman" w:cs="Times New Roman" w:eastAsia="Times New Roman" w:hint="default"/>
        </w:rPr>
        <w:t>2014</w:t>
      </w:r>
      <w:r>
        <w:rPr/>
        <w:t>年度的合并及母公司利润表、所有者权益变动表和现金流量表以及财务报表附注。</w:t>
      </w:r>
    </w:p>
    <w:p>
      <w:pPr>
        <w:pStyle w:val="Heading4"/>
        <w:spacing w:line="240" w:lineRule="auto" w:before="111"/>
        <w:ind w:left="512" w:right="93"/>
        <w:jc w:val="left"/>
        <w:rPr>
          <w:b w:val="0"/>
          <w:bCs w:val="0"/>
        </w:rPr>
      </w:pPr>
      <w:r>
        <w:rPr/>
        <w:t>一、管理层对财务报表的责任</w:t>
      </w:r>
      <w:r>
        <w:rPr>
          <w:b w:val="0"/>
          <w:bCs w:val="0"/>
        </w:rPr>
      </w:r>
    </w:p>
    <w:p>
      <w:pPr>
        <w:spacing w:line="240" w:lineRule="auto" w:before="7"/>
        <w:rPr>
          <w:rFonts w:ascii="宋体" w:hAnsi="宋体" w:cs="宋体" w:eastAsia="宋体" w:hint="default"/>
          <w:b/>
          <w:bCs/>
          <w:sz w:val="13"/>
          <w:szCs w:val="13"/>
        </w:rPr>
      </w:pPr>
    </w:p>
    <w:p>
      <w:pPr>
        <w:pStyle w:val="BodyText"/>
        <w:spacing w:line="300" w:lineRule="auto"/>
        <w:ind w:right="93" w:firstLine="359"/>
        <w:jc w:val="left"/>
      </w:pPr>
      <w:r>
        <w:rPr>
          <w:spacing w:val="-1"/>
        </w:rPr>
        <w:t>编制和公允列报财务报表是瑞康医药管理层的责任。这种责任包括：（</w:t>
      </w:r>
      <w:r>
        <w:rPr>
          <w:rFonts w:ascii="Times New Roman" w:hAnsi="Times New Roman" w:cs="Times New Roman" w:eastAsia="Times New Roman" w:hint="default"/>
          <w:spacing w:val="-1"/>
        </w:rPr>
        <w:t>1</w:t>
      </w:r>
      <w:r>
        <w:rPr>
          <w:spacing w:val="-1"/>
        </w:rPr>
        <w:t>）按照企业会计准则的规定编制财务报表，并</w:t>
      </w:r>
      <w:r>
        <w:rPr>
          <w:w w:val="100"/>
        </w:rPr>
        <w:t> </w:t>
      </w:r>
      <w:r>
        <w:rPr/>
        <w:t>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Heading4"/>
        <w:spacing w:line="240" w:lineRule="auto" w:before="113"/>
        <w:ind w:left="512" w:right="93"/>
        <w:jc w:val="left"/>
        <w:rPr>
          <w:b w:val="0"/>
          <w:bCs w:val="0"/>
        </w:rPr>
      </w:pPr>
      <w:r>
        <w:rPr/>
        <w:t>二、注册会计师的责任</w:t>
      </w:r>
      <w:r>
        <w:rPr>
          <w:b w:val="0"/>
          <w:bCs w:val="0"/>
        </w:rPr>
      </w:r>
    </w:p>
    <w:p>
      <w:pPr>
        <w:spacing w:line="240" w:lineRule="auto" w:before="5"/>
        <w:rPr>
          <w:rFonts w:ascii="宋体" w:hAnsi="宋体" w:cs="宋体" w:eastAsia="宋体" w:hint="default"/>
          <w:b/>
          <w:bCs/>
          <w:sz w:val="13"/>
          <w:szCs w:val="13"/>
        </w:rPr>
      </w:pPr>
    </w:p>
    <w:p>
      <w:pPr>
        <w:pStyle w:val="BodyText"/>
        <w:spacing w:line="316" w:lineRule="auto"/>
        <w:ind w:right="191" w:firstLine="359"/>
        <w:jc w:val="both"/>
      </w:pPr>
      <w:r>
        <w:rPr>
          <w:spacing w:val="-3"/>
          <w:w w:val="100"/>
        </w:rPr>
        <w:t>我们的责任是在执行审计工作的基础上对财务报表发表审计意见。我们按照中国注册会计师审计准则的规定执行了审计</w:t>
      </w:r>
      <w:r>
        <w:rPr>
          <w:w w:val="100"/>
        </w:rPr>
        <w:t> </w:t>
      </w:r>
      <w:r>
        <w:rPr>
          <w:spacing w:val="-3"/>
        </w:rPr>
        <w:t>工作。中国注册会计师审计准则要求我们遵守中国注册会计师职业道德守则，计划和执行审计工作以对财务报表是否不存在</w:t>
      </w:r>
      <w:r>
        <w:rPr>
          <w:spacing w:val="-51"/>
        </w:rPr>
        <w:t> </w:t>
      </w:r>
      <w:r>
        <w:rPr>
          <w:spacing w:val="-51"/>
        </w:rPr>
      </w:r>
      <w:r>
        <w:rPr/>
        <w:t>重大错报获取合理保证。</w:t>
      </w:r>
    </w:p>
    <w:p>
      <w:pPr>
        <w:pStyle w:val="BodyText"/>
        <w:spacing w:line="316" w:lineRule="auto" w:before="119"/>
        <w:ind w:right="93" w:firstLine="359"/>
        <w:jc w:val="left"/>
      </w:pPr>
      <w:r>
        <w:rPr>
          <w:spacing w:val="-2"/>
        </w:rPr>
        <w:t>审计工作涉及实施审计程序，以获取有关财务报表金额和披露的审计证据。选择的审计程序取决于注册会计师的判断，</w:t>
      </w:r>
      <w:r>
        <w:rPr>
          <w:w w:val="100"/>
        </w:rPr>
        <w:t> </w:t>
      </w:r>
      <w:r>
        <w:rPr>
          <w:spacing w:val="-3"/>
        </w:rPr>
        <w:t>包括对由于舞弊或错误导致的财务报表重大错报风险的评估。在进行风险评估时，注册会计师考虑与财务报表编制和公允列</w:t>
      </w:r>
      <w:r>
        <w:rPr>
          <w:spacing w:val="-51"/>
        </w:rPr>
        <w:t> </w:t>
      </w:r>
      <w:r>
        <w:rPr>
          <w:spacing w:val="-51"/>
        </w:rPr>
      </w:r>
      <w:r>
        <w:rPr>
          <w:spacing w:val="-3"/>
        </w:rPr>
        <w:t>报相关的内部控制，以设计恰当的审计程序，但目的并非对内部控制的有效性发表意见。审计工作还包括评价管理层选用会</w:t>
      </w:r>
      <w:r>
        <w:rPr>
          <w:spacing w:val="-47"/>
        </w:rPr>
        <w:t> </w:t>
      </w:r>
      <w:r>
        <w:rPr>
          <w:spacing w:val="-47"/>
        </w:rPr>
      </w:r>
      <w:r>
        <w:rPr/>
        <w:t>计政策的恰当性和作出会计估计的合理性，以及评价财务报表的总体列报。</w:t>
      </w:r>
    </w:p>
    <w:p>
      <w:pPr>
        <w:pStyle w:val="BodyText"/>
        <w:spacing w:line="417" w:lineRule="auto" w:before="119"/>
        <w:ind w:left="512" w:right="2144"/>
        <w:jc w:val="left"/>
        <w:rPr>
          <w:rFonts w:ascii="宋体" w:hAnsi="宋体" w:cs="宋体" w:eastAsia="宋体" w:hint="default"/>
        </w:rPr>
      </w:pPr>
      <w:r>
        <w:rPr>
          <w:spacing w:val="-1"/>
        </w:rPr>
        <w:t>我们相信，我们获取的审计证据是充分、适当的，为发表审计意见提供了基础。</w:t>
      </w:r>
      <w:r>
        <w:rPr>
          <w:spacing w:val="-82"/>
        </w:rPr>
        <w:t> </w:t>
      </w:r>
      <w:r>
        <w:rPr>
          <w:spacing w:val="-82"/>
        </w:rPr>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44"/>
        <w:ind w:right="93" w:firstLine="359"/>
        <w:jc w:val="left"/>
      </w:pPr>
      <w:r>
        <w:rPr>
          <w:spacing w:val="-3"/>
        </w:rPr>
        <w:t>我们认为，瑞康医药财务报表在所有重大方面按照企业会计准则的规定编制，公允反映了瑞康医药</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日的合</w:t>
      </w:r>
      <w:r>
        <w:rPr>
          <w:w w:val="100"/>
        </w:rPr>
        <w:t> </w:t>
      </w:r>
      <w:r>
        <w:rPr/>
        <w:t>并及母公司财务状况以及</w:t>
      </w:r>
      <w:r>
        <w:rPr>
          <w:rFonts w:ascii="Times New Roman" w:hAnsi="Times New Roman" w:cs="Times New Roman" w:eastAsia="Times New Roman" w:hint="default"/>
        </w:rPr>
        <w:t>2014</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left="4479" w:right="93"/>
        <w:jc w:val="left"/>
      </w:pPr>
      <w:r>
        <w:rPr/>
        <w:t>北京天圆全会计师事务所（特殊普通合伙）</w:t>
      </w:r>
      <w:r>
        <w:rPr>
          <w:spacing w:val="-36"/>
        </w:rPr>
        <w:t> </w:t>
      </w:r>
      <w:r>
        <w:rPr/>
        <w:t>中国注册会计师：周瑕</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0" w:right="596"/>
        <w:jc w:val="right"/>
      </w:pPr>
      <w:r>
        <w:rPr>
          <w:spacing w:val="-1"/>
        </w:rPr>
        <w:t>中国注册会计师：杜宪超</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BodyText"/>
        <w:tabs>
          <w:tab w:pos="7822" w:val="left" w:leader="none"/>
        </w:tabs>
        <w:spacing w:line="240" w:lineRule="auto"/>
        <w:ind w:left="5739" w:right="0"/>
        <w:jc w:val="left"/>
      </w:pPr>
      <w:r>
        <w:rPr/>
        <w:t>中国 </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北京</w:t>
        <w:tab/>
        <w:t>二</w:t>
      </w:r>
      <w:r>
        <w:rPr>
          <w:rFonts w:ascii="Times New Roman" w:hAnsi="Times New Roman" w:cs="Times New Roman" w:eastAsia="Times New Roman" w:hint="default"/>
        </w:rPr>
        <w:t>○</w:t>
      </w:r>
      <w:r>
        <w:rPr/>
        <w:t>一五年四月二十一日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spacing w:line="240" w:lineRule="auto" w:before="26"/>
        <w:ind w:right="0"/>
        <w:jc w:val="left"/>
        <w:rPr>
          <w:b w:val="0"/>
          <w:bCs w:val="0"/>
        </w:rPr>
      </w:pPr>
      <w:bookmarkStart w:name="二、财务报表 " w:id="140"/>
      <w:bookmarkEnd w:id="140"/>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bookmarkStart w:name="1、合并资产负债表 " w:id="141"/>
      <w:bookmarkEnd w:id="141"/>
      <w:r>
        <w:rPr/>
      </w: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980"/>
        </w:sectPr>
      </w:pPr>
    </w:p>
    <w:p>
      <w:pPr>
        <w:pStyle w:val="BodyText"/>
        <w:spacing w:line="240" w:lineRule="auto" w:before="44"/>
        <w:ind w:right="-2"/>
        <w:jc w:val="left"/>
      </w:pPr>
      <w:r>
        <w:rPr>
          <w:spacing w:val="-1"/>
        </w:rPr>
        <w:t>编制单位：山东瑞康医药股份有限公司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1"/>
        <w:jc w:val="left"/>
      </w:pP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80" w:left="980" w:right="980"/>
          <w:cols w:num="3" w:equalWidth="0">
            <w:col w:w="3214" w:space="861"/>
            <w:col w:w="1642" w:space="3201"/>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578,518,281.23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648,074,433.42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w w:val="100"/>
                <w:sz w:val="18"/>
                <w:szCs w:val="18"/>
              </w:rPr>
              <w:t> </w:t>
            </w:r>
            <w:r>
              <w:rPr>
                <w:rFonts w:ascii="宋体" w:hAnsi="宋体" w:cs="宋体" w:eastAsia="宋体" w:hint="default"/>
                <w:sz w:val="18"/>
                <w:szCs w:val="18"/>
              </w:rPr>
              <w:t>期损益的金融资产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330,882,913.60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379,238,147.51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3,243,058,702.01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2,375,667,213.14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123,486,580.81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58,873,111.39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50,423,502.78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12,931,258.85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710,583,512.43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513,355,870.72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11,904,096.31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2,290,482.98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5,048,857,589.17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3,990,430,518.01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403,891,100.90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224,872,606.95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46,765,560.58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94,590,269.67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76,340,518.00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58,079,984.10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55,534,986.49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30,092,892.55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7,136,405.88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3,637,834.04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19,330,093.28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12,548,841.06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20,475,516.85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39,980,265.62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629,474,181.98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463,802,693.99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5,678,331,771.15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4,454,233,212.00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1,272,746,736.50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912,712,772.84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w w:val="100"/>
                <w:sz w:val="18"/>
                <w:szCs w:val="18"/>
              </w:rPr>
              <w:t> </w:t>
            </w:r>
            <w:r>
              <w:rPr>
                <w:rFonts w:ascii="宋体" w:hAnsi="宋体" w:cs="宋体" w:eastAsia="宋体" w:hint="default"/>
                <w:sz w:val="18"/>
                <w:szCs w:val="18"/>
              </w:rPr>
              <w:t>期损益的金融负债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339,300,908.52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214,629,791.79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2,074,648,399.15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1,546,081,131.04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3,329,899.60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4,164,099.50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6,177,379.03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6,149,090.07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38,470,937.29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35,965,365.72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3,715,464.16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2,576,566.45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114,641,008.86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81,966,008.43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3,853,030,733.11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2,804,244,825.84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3,853,030,733.11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2,804,244,825.84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217,895,200.00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108,947,600.00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1,021,994,197.02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1,131,018,647.66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42,941,823.99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35,044,149.23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515,059,111.00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356,677,919.09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1,797,890,332.01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1,631,688,315.98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27,410,706.03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18,300,070.18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1,825,301,038.04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1,649,988,386.16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5,678,331,771.15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4,454,233,212.00</w:t>
            </w:r>
          </w:p>
        </w:tc>
      </w:tr>
    </w:tbl>
    <w:p>
      <w:pPr>
        <w:spacing w:line="240" w:lineRule="auto" w:before="11"/>
        <w:rPr>
          <w:rFonts w:ascii="Times New Roman" w:hAnsi="Times New Roman" w:cs="Times New Roman" w:eastAsia="Times New Roman" w:hint="default"/>
          <w:sz w:val="22"/>
          <w:szCs w:val="22"/>
        </w:rPr>
      </w:pPr>
    </w:p>
    <w:p>
      <w:pPr>
        <w:pStyle w:val="BodyText"/>
        <w:tabs>
          <w:tab w:pos="3333" w:val="left" w:leader="none"/>
          <w:tab w:pos="7564" w:val="left" w:leader="none"/>
        </w:tabs>
        <w:spacing w:line="240" w:lineRule="auto" w:before="44"/>
        <w:ind w:left="0" w:right="246"/>
        <w:jc w:val="right"/>
      </w:pPr>
      <w:bookmarkStart w:name="2、母公司资产负债表 " w:id="142"/>
      <w:bookmarkEnd w:id="142"/>
      <w:r>
        <w:rPr/>
      </w:r>
      <w:r>
        <w:rPr>
          <w:spacing w:val="-1"/>
        </w:rPr>
        <w:t>法定代表人：韩旭</w:t>
        <w:tab/>
      </w:r>
      <w:r>
        <w:rPr>
          <w:spacing w:val="-2"/>
        </w:rPr>
        <w:t>主管会计工作负责人：苏立臣</w:t>
        <w:tab/>
      </w:r>
      <w:r>
        <w:rPr>
          <w:spacing w:val="-1"/>
        </w:rPr>
        <w:t>会计机构负责人：程学功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518,872,315.68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497,457,434.73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w w:val="100"/>
                <w:sz w:val="18"/>
                <w:szCs w:val="18"/>
              </w:rPr>
              <w:t> </w:t>
            </w:r>
            <w:r>
              <w:rPr>
                <w:rFonts w:ascii="宋体" w:hAnsi="宋体" w:cs="宋体" w:eastAsia="宋体" w:hint="default"/>
                <w:sz w:val="18"/>
                <w:szCs w:val="18"/>
              </w:rPr>
              <w:t>期损益的金融资产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221,760,245.08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324,745,856.93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2,300,555,036.22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1,779,310,726.00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79,505,000.18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39,769,225.05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473,505,674.62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410,086,304.06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398,858,646.38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342,682,459.33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1,173,941.98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744,795.37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3,994,230,860.14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3,394,796,801.47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267,432,055.79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225,134,242.68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323,809,623.26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215,155,498.62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44,448,193.73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57,456,402.67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44,367,968.98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44,411,091.21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1,056,832.08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87,499.95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11,756,351.83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10,173,501.35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19,777,016.85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37,921,352.32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712,648,042.52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590,339,588.80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4,706,878,902.66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3,985,136,390.27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1,272,746,736.50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912,712,772.84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r>
              <w:rPr>
                <w:rFonts w:ascii="宋体" w:hAnsi="宋体" w:cs="宋体" w:eastAsia="宋体" w:hint="default"/>
                <w:w w:val="100"/>
                <w:sz w:val="18"/>
                <w:szCs w:val="18"/>
              </w:rPr>
              <w:t> </w:t>
            </w:r>
            <w:r>
              <w:rPr>
                <w:rFonts w:ascii="宋体" w:hAnsi="宋体" w:cs="宋体" w:eastAsia="宋体" w:hint="default"/>
                <w:sz w:val="18"/>
                <w:szCs w:val="18"/>
              </w:rPr>
              <w:t>期损益的金融负债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339,300,908.52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215,920,591.79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1,149,197,691.99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1,078,351,365.96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2,183,455.63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2,529,226.66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4,604,438.40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6,682,164.60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28,404,703.78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3,715,464.16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2,576,566.45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295,325,047.75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170,226,112.47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81" w:header="745" w:top="1060" w:bottom="1180" w:left="980" w:right="98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3,072,799,469.15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2,415,325,778.35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3,072,799,469.15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2,415,325,778.35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217,895,200.00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108,947,600.00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1,022,109,919.73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1,131,057,519.73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42,941,823.99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35,044,149.23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351,132,489.79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294,761,342.96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1,634,079,433.51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1,569,810,611.92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3、合并利润表 " w:id="143"/>
            <w:bookmarkEnd w:id="143"/>
            <w:r>
              <w:rPr/>
            </w:r>
            <w:r>
              <w:rPr>
                <w:rFonts w:ascii="宋体" w:hAnsi="宋体" w:cs="宋体" w:eastAsia="宋体" w:hint="default"/>
                <w:sz w:val="18"/>
                <w:szCs w:val="18"/>
              </w:rPr>
              <w:t>负债和所有者权益总计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4,706,878,902.66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3,985,136,390.27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7,785,907,077.03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5,925,841,691.21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7,785,907,077.03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5,925,841,691.21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6"/>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7,551,294,144.14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5,730,079,127.39</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7,080,522,924.24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5,416,680,005.26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12,963,966.95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9,868,524.22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234,025,961.11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136,892,067.89</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131,914,393.59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89,466,127.23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76,752,887.57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66,220,997.23</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15,114,010.68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10,951,405.56</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6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宋体" w:hAnsi="宋体" w:cs="宋体" w:eastAsia="宋体" w:hint="default"/>
                <w:w w:val="100"/>
                <w:sz w:val="18"/>
                <w:szCs w:val="18"/>
              </w:rPr>
              <w:t> </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投资收益（损失以“－”号填</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1,156,496.11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-456,144.34</w:t>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9"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其中：对联营企业和合营企业</w:t>
            </w:r>
            <w:r>
              <w:rPr>
                <w:rFonts w:ascii="宋体" w:hAnsi="宋体" w:cs="宋体" w:eastAsia="宋体" w:hint="default"/>
                <w:w w:val="100"/>
                <w:sz w:val="18"/>
                <w:szCs w:val="18"/>
              </w:rPr>
              <w:t> </w:t>
            </w:r>
            <w:r>
              <w:rPr>
                <w:rFonts w:ascii="宋体" w:hAnsi="宋体" w:cs="宋体" w:eastAsia="宋体" w:hint="default"/>
                <w:sz w:val="18"/>
                <w:szCs w:val="18"/>
              </w:rPr>
              <w:t>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12"/>
              <w:jc w:val="left"/>
              <w:rPr>
                <w:rFonts w:ascii="宋体" w:hAnsi="宋体" w:cs="宋体" w:eastAsia="宋体" w:hint="default"/>
                <w:sz w:val="18"/>
                <w:szCs w:val="18"/>
              </w:rPr>
            </w:pPr>
            <w:r>
              <w:rPr>
                <w:rFonts w:ascii="宋体" w:hAnsi="宋体" w:cs="宋体" w:eastAsia="宋体" w:hint="default"/>
                <w:spacing w:val="-1"/>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235,769,429.00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195,306,419.48</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6,932,982.02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104,461.90</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667,223.69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13,552.94</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943,175.54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1,908,634.02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30,162.93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543,416.63</w:t>
            </w:r>
          </w:p>
        </w:tc>
      </w:tr>
      <w:tr>
        <w:trPr>
          <w:trHeight w:val="71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四、利润总额（亏损总额以“－”号填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241,759,235.48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193,502,247.36</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59,998,061.06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49,260,279.92</w:t>
            </w:r>
          </w:p>
        </w:tc>
      </w:tr>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12"/>
              <w:jc w:val="left"/>
              <w:rPr>
                <w:rFonts w:ascii="宋体" w:hAnsi="宋体" w:cs="宋体" w:eastAsia="宋体" w:hint="default"/>
                <w:sz w:val="18"/>
                <w:szCs w:val="18"/>
              </w:rPr>
            </w:pPr>
            <w:r>
              <w:rPr>
                <w:rFonts w:ascii="宋体" w:hAnsi="宋体" w:cs="宋体" w:eastAsia="宋体" w:hint="default"/>
                <w:spacing w:val="-1"/>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181,761,174.42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144,241,967.44</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180,986,792.67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143,554,930.80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774,381.75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687,036.64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w:t>
            </w:r>
            <w:r>
              <w:rPr>
                <w:rFonts w:ascii="宋体" w:hAnsi="宋体" w:cs="宋体" w:eastAsia="宋体" w:hint="default"/>
                <w:w w:val="100"/>
                <w:sz w:val="18"/>
                <w:szCs w:val="18"/>
              </w:rPr>
              <w:t> </w:t>
            </w:r>
            <w:r>
              <w:rPr>
                <w:rFonts w:ascii="宋体" w:hAnsi="宋体" w:cs="宋体" w:eastAsia="宋体" w:hint="default"/>
                <w:sz w:val="18"/>
                <w:szCs w:val="18"/>
              </w:rPr>
              <w:t>的税后净额</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firstLine="343"/>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（一）以后不能重分类进损益的其</w:t>
            </w:r>
            <w:r>
              <w:rPr>
                <w:rFonts w:ascii="宋体" w:hAnsi="宋体" w:cs="宋体" w:eastAsia="宋体" w:hint="default"/>
                <w:w w:val="100"/>
                <w:sz w:val="18"/>
                <w:szCs w:val="18"/>
              </w:rPr>
              <w:t> </w:t>
            </w:r>
            <w:r>
              <w:rPr>
                <w:rFonts w:ascii="宋体" w:hAnsi="宋体" w:cs="宋体" w:eastAsia="宋体" w:hint="default"/>
                <w:sz w:val="18"/>
                <w:szCs w:val="18"/>
              </w:rPr>
              <w:t>他综合收益</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w:t>
            </w:r>
            <w:r>
              <w:rPr>
                <w:rFonts w:ascii="宋体" w:hAnsi="宋体" w:cs="宋体" w:eastAsia="宋体" w:hint="default"/>
                <w:w w:val="100"/>
                <w:sz w:val="18"/>
                <w:szCs w:val="18"/>
              </w:rPr>
              <w:t> </w:t>
            </w:r>
            <w:r>
              <w:rPr>
                <w:rFonts w:ascii="宋体" w:hAnsi="宋体" w:cs="宋体" w:eastAsia="宋体" w:hint="default"/>
                <w:sz w:val="18"/>
                <w:szCs w:val="18"/>
              </w:rPr>
              <w:t>负债或净资产的变动</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1"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w:t>
            </w:r>
            <w:r>
              <w:rPr>
                <w:rFonts w:ascii="宋体" w:hAnsi="宋体" w:cs="宋体" w:eastAsia="宋体" w:hint="default"/>
                <w:w w:val="100"/>
                <w:sz w:val="18"/>
                <w:szCs w:val="18"/>
              </w:rPr>
              <w:t> </w:t>
            </w:r>
            <w:r>
              <w:rPr>
                <w:rFonts w:ascii="宋体" w:hAnsi="宋体" w:cs="宋体" w:eastAsia="宋体" w:hint="default"/>
                <w:sz w:val="18"/>
                <w:szCs w:val="18"/>
              </w:rPr>
              <w:t>能重分类进损益的其他综合收益中享</w:t>
            </w:r>
            <w:r>
              <w:rPr>
                <w:rFonts w:ascii="宋体" w:hAnsi="宋体" w:cs="宋体" w:eastAsia="宋体" w:hint="default"/>
                <w:w w:val="100"/>
                <w:sz w:val="18"/>
                <w:szCs w:val="18"/>
              </w:rPr>
              <w:t> </w:t>
            </w:r>
            <w:r>
              <w:rPr>
                <w:rFonts w:ascii="宋体" w:hAnsi="宋体" w:cs="宋体" w:eastAsia="宋体" w:hint="default"/>
                <w:sz w:val="18"/>
                <w:szCs w:val="18"/>
              </w:rPr>
              <w:t>有的份额</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8" w:firstLine="343"/>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（二）以后将重分类进损益的其他</w:t>
            </w:r>
            <w:r>
              <w:rPr>
                <w:rFonts w:ascii="宋体" w:hAnsi="宋体" w:cs="宋体" w:eastAsia="宋体" w:hint="default"/>
                <w:w w:val="100"/>
                <w:sz w:val="18"/>
                <w:szCs w:val="18"/>
              </w:rPr>
              <w:t> </w:t>
            </w:r>
            <w:r>
              <w:rPr>
                <w:rFonts w:ascii="宋体" w:hAnsi="宋体" w:cs="宋体" w:eastAsia="宋体" w:hint="default"/>
                <w:sz w:val="18"/>
                <w:szCs w:val="18"/>
              </w:rPr>
              <w:t>综合收益</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1"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w:t>
            </w:r>
            <w:r>
              <w:rPr>
                <w:rFonts w:ascii="宋体" w:hAnsi="宋体" w:cs="宋体" w:eastAsia="宋体" w:hint="default"/>
                <w:w w:val="100"/>
                <w:sz w:val="18"/>
                <w:szCs w:val="18"/>
              </w:rPr>
              <w:t> </w:t>
            </w:r>
            <w:r>
              <w:rPr>
                <w:rFonts w:ascii="宋体" w:hAnsi="宋体" w:cs="宋体" w:eastAsia="宋体" w:hint="default"/>
                <w:sz w:val="18"/>
                <w:szCs w:val="18"/>
              </w:rPr>
              <w:t>后将重分类进损益的其他综合收益中</w:t>
            </w:r>
            <w:r>
              <w:rPr>
                <w:rFonts w:ascii="宋体" w:hAnsi="宋体" w:cs="宋体" w:eastAsia="宋体" w:hint="default"/>
                <w:w w:val="100"/>
                <w:sz w:val="18"/>
                <w:szCs w:val="18"/>
              </w:rPr>
              <w:t> </w:t>
            </w:r>
            <w:r>
              <w:rPr>
                <w:rFonts w:ascii="宋体" w:hAnsi="宋体" w:cs="宋体" w:eastAsia="宋体" w:hint="default"/>
                <w:sz w:val="18"/>
                <w:szCs w:val="18"/>
              </w:rPr>
              <w:t>享有的份额</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r>
              <w:rPr>
                <w:rFonts w:ascii="宋体" w:hAnsi="宋体" w:cs="宋体" w:eastAsia="宋体" w:hint="default"/>
                <w:w w:val="100"/>
                <w:sz w:val="18"/>
                <w:szCs w:val="18"/>
              </w:rPr>
              <w:t> </w:t>
            </w:r>
            <w:r>
              <w:rPr>
                <w:rFonts w:ascii="宋体" w:hAnsi="宋体" w:cs="宋体" w:eastAsia="宋体" w:hint="default"/>
                <w:sz w:val="18"/>
                <w:szCs w:val="18"/>
              </w:rPr>
              <w:t>值变动损益</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w:t>
            </w:r>
            <w:r>
              <w:rPr>
                <w:rFonts w:ascii="宋体" w:hAnsi="宋体" w:cs="宋体" w:eastAsia="宋体" w:hint="default"/>
                <w:w w:val="100"/>
                <w:sz w:val="18"/>
                <w:szCs w:val="18"/>
              </w:rPr>
              <w:t> </w:t>
            </w:r>
            <w:r>
              <w:rPr>
                <w:rFonts w:ascii="宋体" w:hAnsi="宋体" w:cs="宋体" w:eastAsia="宋体" w:hint="default"/>
                <w:sz w:val="18"/>
                <w:szCs w:val="18"/>
              </w:rPr>
              <w:t>可供出售金融资产损益</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w:t>
            </w:r>
            <w:r>
              <w:rPr>
                <w:rFonts w:ascii="宋体" w:hAnsi="宋体" w:cs="宋体" w:eastAsia="宋体" w:hint="default"/>
                <w:w w:val="100"/>
                <w:sz w:val="18"/>
                <w:szCs w:val="18"/>
              </w:rPr>
              <w:t> </w:t>
            </w:r>
            <w:r>
              <w:rPr>
                <w:rFonts w:ascii="宋体" w:hAnsi="宋体" w:cs="宋体" w:eastAsia="宋体" w:hint="default"/>
                <w:sz w:val="18"/>
                <w:szCs w:val="18"/>
              </w:rPr>
              <w:t>税后净额</w:t>
            </w:r>
          </w:p>
        </w:tc>
        <w:tc>
          <w:tcPr>
            <w:tcW w:w="3222" w:type="dxa"/>
            <w:tcBorders>
              <w:top w:val="single" w:sz="4" w:space="0" w:color="000000"/>
              <w:left w:val="single" w:sz="12"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181,761,174.42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144,241,967.44</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r>
              <w:rPr>
                <w:rFonts w:ascii="宋体" w:hAnsi="宋体" w:cs="宋体" w:eastAsia="宋体" w:hint="default"/>
                <w:w w:val="100"/>
                <w:sz w:val="18"/>
                <w:szCs w:val="18"/>
              </w:rPr>
              <w:t> </w:t>
            </w:r>
            <w:r>
              <w:rPr>
                <w:rFonts w:ascii="宋体" w:hAnsi="宋体" w:cs="宋体" w:eastAsia="宋体" w:hint="default"/>
                <w:sz w:val="18"/>
                <w:szCs w:val="18"/>
              </w:rPr>
              <w:t>总额</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180,986,792.67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143,554,930.80</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54"/>
              <w:jc w:val="right"/>
              <w:rPr>
                <w:rFonts w:ascii="宋体" w:hAnsi="宋体" w:cs="宋体" w:eastAsia="宋体" w:hint="default"/>
                <w:sz w:val="18"/>
                <w:szCs w:val="18"/>
              </w:rPr>
            </w:pPr>
            <w:r>
              <w:rPr>
                <w:rFonts w:ascii="宋体" w:hAnsi="宋体" w:cs="宋体" w:eastAsia="宋体" w:hint="default"/>
                <w:spacing w:val="-1"/>
                <w:sz w:val="18"/>
                <w:szCs w:val="18"/>
              </w:rPr>
              <w:t>归属于少数股东的综合收益总额</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774,381.75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687,036.64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0.75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0.83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0.75</w:t>
            </w:r>
          </w:p>
        </w:tc>
      </w:tr>
    </w:tbl>
    <w:p>
      <w:pPr>
        <w:pStyle w:val="BodyText"/>
        <w:tabs>
          <w:tab w:pos="3486" w:val="left" w:leader="none"/>
          <w:tab w:pos="7717" w:val="left" w:leader="none"/>
        </w:tabs>
        <w:spacing w:line="621" w:lineRule="auto" w:before="49"/>
        <w:ind w:right="246"/>
        <w:jc w:val="left"/>
      </w:pPr>
      <w:r>
        <w:rPr/>
        <w:t>本期发生同一控制下企业合并的，被合并方在合并前实现的净利润为：元，上期被合并方实现的净利润为：元。</w:t>
      </w:r>
      <w:r>
        <w:rPr>
          <w:w w:val="100"/>
        </w:rPr>
        <w:t> </w:t>
      </w:r>
      <w:r>
        <w:rPr>
          <w:spacing w:val="-1"/>
        </w:rPr>
        <w:t>法定代表人：韩旭</w:t>
        <w:tab/>
      </w:r>
      <w:r>
        <w:rPr>
          <w:spacing w:val="-2"/>
        </w:rPr>
        <w:t>主管会计工作负责人：苏立臣</w:t>
        <w:tab/>
      </w:r>
      <w:r>
        <w:rPr>
          <w:spacing w:val="-1"/>
        </w:rPr>
        <w:t>会计机构负责人：程学功</w:t>
      </w:r>
    </w:p>
    <w:p>
      <w:pPr>
        <w:spacing w:after="0" w:line="621"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r>
        <w:rPr/>
        <w:pict>
          <v:group style="position:absolute;margin-left:205.199997pt;margin-top:388.080017pt;width:163.450pt;height:20.8pt;mso-position-horizontal-relative:page;mso-position-vertical-relative:page;z-index:-898240" coordorigin="4104,7762" coordsize="3269,416">
            <v:group style="position:absolute;left:4116;top:7774;width:2;height:392" coordorigin="4116,7774" coordsize="2,392">
              <v:shape style="position:absolute;left:4116;top:7774;width:2;height:392" coordorigin="4116,7774" coordsize="0,392" path="m4116,7774l4116,8165e" filled="false" stroked="true" strokeweight="1.2pt" strokecolor="#ffffff">
                <v:path arrowok="t"/>
              </v:shape>
            </v:group>
            <v:group style="position:absolute;left:4128;top:7774;width:3245;height:392" coordorigin="4128,7774" coordsize="3245,392">
              <v:shape style="position:absolute;left:4128;top:7774;width:3245;height:392" coordorigin="4128,7774" coordsize="3245,392" path="m4128,7774l7373,7774,7373,8165,4128,8165,4128,7774xe" filled="true" fillcolor="#ffffff" stroked="false">
                <v:path arrowok="t"/>
                <v:fill type="solid"/>
              </v:shape>
            </v:group>
            <w10:wrap type="none"/>
          </v:group>
        </w:pict>
      </w:r>
      <w:r>
        <w:rPr/>
        <w:pict>
          <v:group style="position:absolute;margin-left:205.199997pt;margin-top:544.320007pt;width:163.450pt;height:20.9pt;mso-position-horizontal-relative:page;mso-position-vertical-relative:page;z-index:-898216" coordorigin="4104,10886" coordsize="3269,418">
            <v:group style="position:absolute;left:4116;top:10898;width:2;height:394" coordorigin="4116,10898" coordsize="2,394">
              <v:shape style="position:absolute;left:4116;top:10898;width:2;height:394" coordorigin="4116,10898" coordsize="0,394" path="m4116,10898l4116,11292e" filled="false" stroked="true" strokeweight="1.2pt" strokecolor="#ffffff">
                <v:path arrowok="t"/>
              </v:shape>
            </v:group>
            <v:group style="position:absolute;left:4128;top:10898;width:3245;height:394" coordorigin="4128,10898" coordsize="3245,394">
              <v:shape style="position:absolute;left:4128;top:10898;width:3245;height:394" coordorigin="4128,10898" coordsize="3245,394" path="m4128,10898l7373,10898,7373,11292,4128,11292,4128,10898xe" filled="true" fillcolor="#ffffff" stroked="false">
                <v:path arrowok="t"/>
                <v:fill type="solid"/>
              </v:shape>
            </v:group>
            <w10:wrap type="none"/>
          </v:group>
        </w:pict>
      </w:r>
    </w:p>
    <w:p>
      <w:pPr>
        <w:pStyle w:val="Heading3"/>
        <w:spacing w:line="240" w:lineRule="auto" w:before="36"/>
        <w:ind w:right="0"/>
        <w:jc w:val="left"/>
        <w:rPr>
          <w:b w:val="0"/>
          <w:bCs w:val="0"/>
        </w:rPr>
      </w:pPr>
      <w:bookmarkStart w:name="4、母公司利润表 " w:id="144"/>
      <w:bookmarkEnd w:id="14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6,499,244,918.30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5,373,412,268.49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6,021,425,912.82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4,956,806,123.82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7,967,204.51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7,885,240.64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197,269,477.40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124,344,530.52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84,244,584.07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65,895,515.78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74,072,359.90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64,142,704.65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11,082,818.03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6,828,421.98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宋体" w:hAnsi="宋体" w:cs="宋体" w:eastAsia="宋体" w:hint="default"/>
                <w:w w:val="100"/>
                <w:sz w:val="18"/>
                <w:szCs w:val="18"/>
              </w:rPr>
              <w:t> </w:t>
            </w:r>
            <w:r>
              <w:rPr>
                <w:rFonts w:ascii="宋体" w:hAnsi="宋体" w:cs="宋体" w:eastAsia="宋体" w:hint="default"/>
                <w:sz w:val="18"/>
                <w:szCs w:val="18"/>
              </w:rPr>
              <w:t>“－”号填列）</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1,860,492.61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w:t>
            </w:r>
            <w:r>
              <w:rPr>
                <w:rFonts w:ascii="宋体" w:hAnsi="宋体" w:cs="宋体" w:eastAsia="宋体" w:hint="default"/>
                <w:w w:val="100"/>
                <w:sz w:val="18"/>
                <w:szCs w:val="18"/>
              </w:rPr>
              <w:t> </w:t>
            </w:r>
            <w:r>
              <w:rPr>
                <w:rFonts w:ascii="宋体" w:hAnsi="宋体" w:cs="宋体" w:eastAsia="宋体" w:hint="default"/>
                <w:sz w:val="18"/>
                <w:szCs w:val="18"/>
              </w:rPr>
              <w:t>业的投资收益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二、营业利润（亏损以“－”号填列</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tabs>
                <w:tab w:pos="2145" w:val="left" w:leader="none"/>
              </w:tabs>
              <w:spacing w:line="240" w:lineRule="auto" w:before="49"/>
              <w:ind w:left="-118"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105,043,054.18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146,909,731.10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1,099,664.33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39,108.05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其中：非流动资产处置利得</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667,164.39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833,169.76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1,639,102.42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其中：非流动资产处置损失</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305,817.04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jc w:val="left"/>
              <w:rPr>
                <w:rFonts w:ascii="宋体" w:hAnsi="宋体" w:cs="宋体" w:eastAsia="宋体" w:hint="default"/>
                <w:sz w:val="18"/>
                <w:szCs w:val="18"/>
              </w:rPr>
            </w:pPr>
            <w:r>
              <w:rPr>
                <w:rFonts w:ascii="宋体" w:hAnsi="宋体" w:cs="宋体" w:eastAsia="宋体" w:hint="default"/>
                <w:sz w:val="18"/>
                <w:szCs w:val="18"/>
              </w:rPr>
              <w:t>三、利润总额（亏损总额以“－”号</w:t>
            </w:r>
            <w:r>
              <w:rPr>
                <w:rFonts w:ascii="宋体" w:hAnsi="宋体" w:cs="宋体" w:eastAsia="宋体" w:hint="default"/>
                <w:w w:val="100"/>
                <w:sz w:val="18"/>
                <w:szCs w:val="18"/>
              </w:rPr>
              <w:t> </w:t>
            </w:r>
            <w:r>
              <w:rPr>
                <w:rFonts w:ascii="宋体" w:hAnsi="宋体" w:cs="宋体" w:eastAsia="宋体" w:hint="default"/>
                <w:sz w:val="18"/>
                <w:szCs w:val="18"/>
              </w:rPr>
              <w:t>填列）</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105,309,548.75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145,309,736.73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26,332,801.16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36,521,060.28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四、净利润（净亏损以“－”号填列</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tabs>
                <w:tab w:pos="2236" w:val="left" w:leader="none"/>
              </w:tabs>
              <w:spacing w:line="240" w:lineRule="auto" w:before="49"/>
              <w:ind w:left="-118"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78,976,747.59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108,788,676.45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r>
              <w:rPr>
                <w:rFonts w:ascii="宋体" w:hAnsi="宋体" w:cs="宋体" w:eastAsia="宋体" w:hint="default"/>
                <w:w w:val="100"/>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r>
              <w:rPr>
                <w:rFonts w:ascii="宋体" w:hAnsi="宋体" w:cs="宋体" w:eastAsia="宋体" w:hint="default"/>
                <w:w w:val="100"/>
                <w:sz w:val="18"/>
                <w:szCs w:val="18"/>
              </w:rPr>
              <w:t> </w:t>
            </w:r>
            <w:r>
              <w:rPr>
                <w:rFonts w:ascii="宋体" w:hAnsi="宋体" w:cs="宋体" w:eastAsia="宋体" w:hint="default"/>
                <w:sz w:val="18"/>
                <w:szCs w:val="18"/>
              </w:rPr>
              <w:t>净负债或净资产的变动</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1" w:right="39"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100"/>
                <w:sz w:val="18"/>
                <w:szCs w:val="18"/>
              </w:rPr>
              <w:t> </w:t>
            </w:r>
            <w:r>
              <w:rPr>
                <w:rFonts w:ascii="宋体" w:hAnsi="宋体" w:cs="宋体" w:eastAsia="宋体" w:hint="default"/>
                <w:sz w:val="18"/>
                <w:szCs w:val="18"/>
              </w:rPr>
              <w:t>不能重分类进损益的其他综合收益中</w:t>
            </w:r>
            <w:r>
              <w:rPr>
                <w:rFonts w:ascii="宋体" w:hAnsi="宋体" w:cs="宋体" w:eastAsia="宋体" w:hint="default"/>
                <w:w w:val="100"/>
                <w:sz w:val="18"/>
                <w:szCs w:val="18"/>
              </w:rPr>
              <w:t> </w:t>
            </w:r>
            <w:r>
              <w:rPr>
                <w:rFonts w:ascii="宋体" w:hAnsi="宋体" w:cs="宋体" w:eastAsia="宋体" w:hint="default"/>
                <w:sz w:val="18"/>
                <w:szCs w:val="18"/>
              </w:rPr>
              <w:t>享有的份额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w:t>
            </w:r>
            <w:r>
              <w:rPr>
                <w:rFonts w:ascii="宋体" w:hAnsi="宋体" w:cs="宋体" w:eastAsia="宋体" w:hint="default"/>
                <w:w w:val="100"/>
                <w:sz w:val="18"/>
                <w:szCs w:val="18"/>
              </w:rPr>
              <w:t> </w:t>
            </w:r>
            <w:r>
              <w:rPr>
                <w:rFonts w:ascii="宋体" w:hAnsi="宋体" w:cs="宋体" w:eastAsia="宋体" w:hint="default"/>
                <w:sz w:val="18"/>
                <w:szCs w:val="18"/>
              </w:rPr>
              <w:t>他综合收益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85"/>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权益法下在被投资单位</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8"/>
              <w:ind w:left="11" w:right="4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r>
              <w:rPr>
                <w:rFonts w:ascii="宋体" w:hAnsi="宋体" w:cs="宋体" w:eastAsia="宋体" w:hint="default"/>
                <w:w w:val="100"/>
                <w:sz w:val="18"/>
                <w:szCs w:val="18"/>
              </w:rPr>
              <w:t> </w:t>
            </w:r>
            <w:r>
              <w:rPr>
                <w:rFonts w:ascii="宋体" w:hAnsi="宋体" w:cs="宋体" w:eastAsia="宋体" w:hint="default"/>
                <w:sz w:val="18"/>
                <w:szCs w:val="18"/>
              </w:rPr>
              <w:t>中享有的份额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r>
              <w:rPr>
                <w:rFonts w:ascii="宋体" w:hAnsi="宋体" w:cs="宋体" w:eastAsia="宋体" w:hint="default"/>
                <w:w w:val="100"/>
                <w:sz w:val="18"/>
                <w:szCs w:val="18"/>
              </w:rPr>
              <w:t> </w:t>
            </w:r>
            <w:r>
              <w:rPr>
                <w:rFonts w:ascii="宋体" w:hAnsi="宋体" w:cs="宋体" w:eastAsia="宋体" w:hint="default"/>
                <w:sz w:val="18"/>
                <w:szCs w:val="18"/>
              </w:rPr>
              <w:t>价值变动损益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r>
              <w:rPr>
                <w:rFonts w:ascii="宋体" w:hAnsi="宋体" w:cs="宋体" w:eastAsia="宋体" w:hint="default"/>
                <w:w w:val="100"/>
                <w:sz w:val="18"/>
                <w:szCs w:val="18"/>
              </w:rPr>
              <w:t> </w:t>
            </w:r>
            <w:r>
              <w:rPr>
                <w:rFonts w:ascii="宋体" w:hAnsi="宋体" w:cs="宋体" w:eastAsia="宋体" w:hint="default"/>
                <w:sz w:val="18"/>
                <w:szCs w:val="18"/>
              </w:rPr>
              <w:t>为可供出售金融资产损益</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78,976,747.59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108,788,676.45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bookmarkStart w:name="5、合并现金流量表 " w:id="145"/>
            <w:bookmarkEnd w:id="145"/>
            <w:r>
              <w:rPr/>
            </w:r>
            <w:r>
              <w:rPr>
                <w:rFonts w:ascii="宋体" w:hAnsi="宋体" w:cs="宋体" w:eastAsia="宋体" w:hint="default"/>
                <w:sz w:val="18"/>
                <w:szCs w:val="18"/>
              </w:rPr>
              <w:t>（二）稀释每股收益</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14"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7,168,906,748.04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5,504,602,489.22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0"/>
                <w:sz w:val="18"/>
                <w:szCs w:val="18"/>
              </w:rPr>
              <w:t>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0"/>
                <w:sz w:val="18"/>
                <w:szCs w:val="18"/>
              </w:rPr>
              <w:t>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收到原保险合同保费取得的现金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w:t>
            </w:r>
            <w:r>
              <w:rPr>
                <w:rFonts w:ascii="宋体" w:hAnsi="宋体" w:cs="宋体" w:eastAsia="宋体" w:hint="default"/>
                <w:w w:val="100"/>
                <w:sz w:val="18"/>
                <w:szCs w:val="18"/>
              </w:rPr>
              <w:t> </w:t>
            </w:r>
            <w:r>
              <w:rPr>
                <w:rFonts w:ascii="宋体" w:hAnsi="宋体" w:cs="宋体" w:eastAsia="宋体" w:hint="default"/>
                <w:sz w:val="18"/>
                <w:szCs w:val="18"/>
              </w:rPr>
              <w:t>入当期损益的金融资产净增加额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57,283.49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收到其他与经营活动有关的现金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157,270,996.60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19,539,615.82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7,326,177,744.64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5,524,199,388.53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6,842,117,739.58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5,407,406,835.42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0"/>
                <w:sz w:val="18"/>
                <w:szCs w:val="18"/>
              </w:rPr>
              <w:t>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支付原保险合同赔付款项的现金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支付利息、手续费及佣金的现金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0"/>
                <w:sz w:val="18"/>
                <w:szCs w:val="18"/>
              </w:rPr>
              <w:t>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90,388,371.36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75,589,372.74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192,467,014.37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130,967,379.90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364,825,648.42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184,694,910.35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7,489,798,773.73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5,798,658,498.41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-163,621,029.09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-274,459,109.88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1,156,496.10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r>
              <w:rPr>
                <w:rFonts w:ascii="宋体" w:hAnsi="宋体" w:cs="宋体" w:eastAsia="宋体" w:hint="default"/>
                <w:w w:val="100"/>
                <w:sz w:val="18"/>
                <w:szCs w:val="18"/>
              </w:rPr>
              <w:t> </w:t>
            </w: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6,690,841.43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227,148.99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r>
              <w:rPr>
                <w:rFonts w:ascii="宋体" w:hAnsi="宋体" w:cs="宋体" w:eastAsia="宋体" w:hint="default"/>
                <w:w w:val="100"/>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67,567.62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1,532,847,337.53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294,716.61</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r>
              <w:rPr>
                <w:rFonts w:ascii="宋体" w:hAnsi="宋体" w:cs="宋体" w:eastAsia="宋体" w:hint="default"/>
                <w:w w:val="100"/>
                <w:sz w:val="18"/>
                <w:szCs w:val="18"/>
              </w:rPr>
              <w:t> </w:t>
            </w:r>
            <w:r>
              <w:rPr>
                <w:rFonts w:ascii="宋体" w:hAnsi="宋体" w:cs="宋体" w:eastAsia="宋体" w:hint="default"/>
                <w:sz w:val="18"/>
                <w:szCs w:val="18"/>
              </w:rPr>
              <w:t>长期资产支付的现金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183,249,514.06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153,097,765.38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1,525,085,000.00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r>
              <w:rPr>
                <w:rFonts w:ascii="宋体" w:hAnsi="宋体" w:cs="宋体" w:eastAsia="宋体" w:hint="default"/>
                <w:w w:val="100"/>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26,018,027.58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18,074,032.00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348,135.20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1,734,700,676.84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171,171,797.38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-201,853,339.31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-170,877,080.77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592,403,436.00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w:t>
            </w:r>
            <w:r>
              <w:rPr>
                <w:rFonts w:ascii="宋体" w:hAnsi="宋体" w:cs="宋体" w:eastAsia="宋体" w:hint="default"/>
                <w:w w:val="100"/>
                <w:sz w:val="18"/>
                <w:szCs w:val="18"/>
              </w:rPr>
              <w:t> </w:t>
            </w:r>
            <w:r>
              <w:rPr>
                <w:rFonts w:ascii="宋体" w:hAnsi="宋体" w:cs="宋体" w:eastAsia="宋体" w:hint="default"/>
                <w:sz w:val="18"/>
                <w:szCs w:val="18"/>
              </w:rPr>
              <w:t>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6,987,000.00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2,294,555,363.95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1,292,679,198.66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55,015,270.27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2,315,055,363.95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1,940,097,904.93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1,934,521,400.29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1,120,572,429.57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5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r>
              <w:rPr>
                <w:rFonts w:ascii="宋体" w:hAnsi="宋体" w:cs="宋体" w:eastAsia="宋体" w:hint="default"/>
                <w:w w:val="100"/>
                <w:sz w:val="18"/>
                <w:szCs w:val="18"/>
              </w:rPr>
              <w:t> </w:t>
            </w:r>
            <w:r>
              <w:rPr>
                <w:rFonts w:ascii="宋体" w:hAnsi="宋体" w:cs="宋体" w:eastAsia="宋体" w:hint="default"/>
                <w:sz w:val="18"/>
                <w:szCs w:val="18"/>
              </w:rPr>
              <w:t>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83,190,011.87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70,576,416.15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4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w:t>
            </w:r>
            <w:r>
              <w:rPr>
                <w:rFonts w:ascii="宋体" w:hAnsi="宋体" w:cs="宋体" w:eastAsia="宋体" w:hint="default"/>
                <w:w w:val="100"/>
                <w:sz w:val="18"/>
                <w:szCs w:val="18"/>
              </w:rPr>
              <w:t> </w:t>
            </w:r>
            <w:r>
              <w:rPr>
                <w:rFonts w:ascii="宋体" w:hAnsi="宋体" w:cs="宋体" w:eastAsia="宋体" w:hint="default"/>
                <w:sz w:val="18"/>
                <w:szCs w:val="18"/>
              </w:rPr>
              <w:t>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19,885,093.28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1,012,303.76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2,037,596,505.44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1,192,161,149.48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277,458,858.51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747,936,755.45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4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w w:val="100"/>
                <w:sz w:val="18"/>
                <w:szCs w:val="18"/>
              </w:rPr>
              <w:t> </w:t>
            </w: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-88,015,509.89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302,600,564.80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9"/>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624,591,264.19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321,990,699.39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6、母公司现金流量表 " w:id="146"/>
            <w:bookmarkEnd w:id="146"/>
            <w:r>
              <w:rPr/>
            </w: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536,575,754.30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624,591,264.19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5,141,531,357.32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4,507,553,052.43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收到其他与经营活动有关的现金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240,302,121.75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44,000,360.91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5,381,833,479.07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4,551,553,413.34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购买商品、接受劳务支付的现金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4,932,906,975.62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4,556,097,138.32</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0"/>
                <w:sz w:val="18"/>
                <w:szCs w:val="18"/>
              </w:rPr>
              <w:t>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56,687,735.20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57,986,714.25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127,776,169.29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106,383,009.84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349,575,530.15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84,088,960.19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5,466,946,410.26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4,804,555,822.60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-85,112,931.19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-253,002,409.26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1,525,000,000.00</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1,156,496.10</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w:t>
            </w:r>
            <w:r>
              <w:rPr>
                <w:rFonts w:ascii="宋体" w:hAnsi="宋体" w:cs="宋体" w:eastAsia="宋体" w:hint="default"/>
                <w:w w:val="100"/>
                <w:sz w:val="18"/>
                <w:szCs w:val="18"/>
              </w:rPr>
              <w:t> </w:t>
            </w: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160,668.65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r>
              <w:rPr>
                <w:rFonts w:ascii="宋体" w:hAnsi="宋体" w:cs="宋体" w:eastAsia="宋体" w:hint="default"/>
                <w:w w:val="100"/>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4,940,856.51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1,532,768,352.61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260,668.65</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r>
              <w:rPr>
                <w:rFonts w:ascii="宋体" w:hAnsi="宋体" w:cs="宋体" w:eastAsia="宋体" w:hint="default"/>
                <w:w w:val="100"/>
                <w:sz w:val="18"/>
                <w:szCs w:val="18"/>
              </w:rPr>
              <w:t> </w:t>
            </w:r>
            <w:r>
              <w:rPr>
                <w:rFonts w:ascii="宋体" w:hAnsi="宋体" w:cs="宋体" w:eastAsia="宋体" w:hint="default"/>
                <w:sz w:val="18"/>
                <w:szCs w:val="18"/>
              </w:rPr>
              <w:t>长期资产支付的现金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136,833,756.68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118,480,182.54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1,545,985,000.00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79,110,000.00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r>
              <w:rPr>
                <w:rFonts w:ascii="宋体" w:hAnsi="宋体" w:cs="宋体" w:eastAsia="宋体" w:hint="default"/>
                <w:w w:val="100"/>
                <w:sz w:val="18"/>
                <w:szCs w:val="18"/>
              </w:rPr>
              <w:t> </w:t>
            </w:r>
            <w:r>
              <w:rPr>
                <w:rFonts w:ascii="宋体" w:hAnsi="宋体" w:cs="宋体" w:eastAsia="宋体" w:hint="default"/>
                <w:sz w:val="18"/>
                <w:szCs w:val="18"/>
              </w:rPr>
              <w:t>的现金净额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34,840,000.00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74,458,041.63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1,717,658,756.68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272,048,224.17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-184,890,404.07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-271,787,555.52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585,416,436.00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2,294,555,363.95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1,292,679,198.66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55,015,270.27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2,310,555,363.95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1,933,110,904.93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1,934,521,400.29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1,120,572,429.57</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r>
              <w:rPr>
                <w:rFonts w:ascii="宋体" w:hAnsi="宋体" w:cs="宋体" w:eastAsia="宋体" w:hint="default"/>
                <w:w w:val="100"/>
                <w:sz w:val="18"/>
                <w:szCs w:val="18"/>
              </w:rPr>
              <w:t> </w:t>
            </w:r>
            <w:r>
              <w:rPr>
                <w:rFonts w:ascii="宋体" w:hAnsi="宋体" w:cs="宋体" w:eastAsia="宋体" w:hint="default"/>
                <w:sz w:val="18"/>
                <w:szCs w:val="18"/>
              </w:rPr>
              <w:t>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83,190,011.87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70,576,416.15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19,885,093.28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1,012,303.76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2,037,596,505.44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1,192,161,149.48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272,958,858.51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740,949,755.45</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w w:val="100"/>
                <w:sz w:val="18"/>
                <w:szCs w:val="18"/>
              </w:rPr>
              <w:t> </w:t>
            </w:r>
            <w:r>
              <w:rPr>
                <w:rFonts w:ascii="宋体" w:hAnsi="宋体" w:cs="宋体" w:eastAsia="宋体" w:hint="default"/>
                <w:sz w:val="18"/>
                <w:szCs w:val="18"/>
              </w:rPr>
              <w:t>影响</w:t>
            </w:r>
          </w:p>
        </w:tc>
        <w:tc>
          <w:tcPr>
            <w:tcW w:w="3311" w:type="dxa"/>
            <w:tcBorders>
              <w:top w:val="single" w:sz="4" w:space="0" w:color="000000"/>
              <w:left w:val="single" w:sz="9" w:space="0" w:color="D3D3D3"/>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2,955,523.25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216,159,790.67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9"/>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473,974,265.50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257,814,474.83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476,929,788.75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473,974,265.50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 w:id="147"/>
      <w:bookmarkEnd w:id="14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2"/>
        <w:jc w:val="right"/>
      </w:pPr>
      <w:r>
        <w:rPr>
          <w:spacing w:val="-1"/>
        </w:rPr>
        <w:t>单位：元</w:t>
      </w:r>
    </w:p>
    <w:p>
      <w:pPr>
        <w:spacing w:after="0" w:line="240" w:lineRule="auto"/>
        <w:jc w:val="right"/>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30.080002pt;margin-top:415.920013pt;width:25.2pt;height:15.6pt;mso-position-horizontal-relative:page;mso-position-vertical-relative:page;z-index:-898192" coordorigin="2602,8318" coordsize="504,312">
            <v:shape style="position:absolute;left:2602;top:8318;width:504;height:312" coordorigin="2602,8318" coordsize="504,312" path="m2602,8318l3106,8318,3106,8630,2602,8630,2602,831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4" w:hRule="exact"/>
        </w:trPr>
        <w:tc>
          <w:tcPr>
            <w:tcW w:w="1426" w:type="dxa"/>
            <w:vMerge/>
            <w:tcBorders>
              <w:left w:val="single" w:sz="4" w:space="0" w:color="000000"/>
              <w:right w:val="single" w:sz="4" w:space="0" w:color="000000"/>
            </w:tcBorders>
            <w:shd w:val="clear" w:color="auto" w:fill="D3D3D3"/>
          </w:tcPr>
          <w:p>
            <w:pPr/>
          </w:p>
        </w:tc>
        <w:tc>
          <w:tcPr>
            <w:tcW w:w="6809"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
        </w:tc>
        <w:tc>
          <w:tcPr>
            <w:tcW w:w="6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9"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09" w:type="dxa"/>
            <w:gridSpan w:val="11"/>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54" w:right="53"/>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100"/>
                <w:sz w:val="18"/>
                <w:szCs w:val="18"/>
              </w:rPr>
              <w:t> </w:t>
            </w:r>
            <w:r>
              <w:rPr>
                <w:rFonts w:ascii="宋体" w:hAnsi="宋体" w:cs="宋体" w:eastAsia="宋体" w:hint="default"/>
                <w:sz w:val="18"/>
                <w:szCs w:val="18"/>
              </w:rPr>
              <w:t>权益合</w:t>
            </w:r>
            <w:r>
              <w:rPr>
                <w:rFonts w:ascii="宋体" w:hAnsi="宋体" w:cs="宋体" w:eastAsia="宋体" w:hint="default"/>
                <w:w w:val="100"/>
                <w:sz w:val="18"/>
                <w:szCs w:val="18"/>
              </w:rPr>
              <w:t> </w:t>
            </w:r>
            <w:r>
              <w:rPr>
                <w:rFonts w:ascii="宋体" w:hAnsi="宋体" w:cs="宋体" w:eastAsia="宋体" w:hint="default"/>
                <w:sz w:val="18"/>
                <w:szCs w:val="18"/>
              </w:rPr>
              <w:t>计</w:t>
            </w:r>
          </w:p>
        </w:tc>
      </w:tr>
      <w:tr>
        <w:trPr>
          <w:trHeight w:val="201"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6"/>
              <w:ind w:left="57" w:right="55"/>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660" w:type="dxa"/>
            <w:vMerge/>
            <w:tcBorders>
              <w:left w:val="single" w:sz="4" w:space="0" w:color="000000"/>
              <w:right w:val="single" w:sz="4" w:space="0" w:color="000000"/>
            </w:tcBorders>
            <w:shd w:val="clear" w:color="auto" w:fill="D3D3D3"/>
          </w:tcPr>
          <w:p>
            <w:pPr/>
          </w:p>
        </w:tc>
      </w:tr>
      <w:tr>
        <w:trPr>
          <w:trHeight w:val="17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1594" w:type="dxa"/>
            <w:gridSpan w:val="3"/>
            <w:vMerge/>
            <w:tcBorders>
              <w:left w:val="single" w:sz="4" w:space="0" w:color="000000"/>
              <w:bottom w:val="single" w:sz="4" w:space="0" w:color="000000"/>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39" w:right="53" w:hanging="180"/>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146" w:right="58"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59" w:right="53"/>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w w:val="100"/>
                <w:sz w:val="18"/>
                <w:szCs w:val="18"/>
              </w:rPr>
              <w:t> </w:t>
            </w: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39" w:right="53" w:hanging="181"/>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237" w:right="55" w:hanging="181"/>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54" w:right="58"/>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w w:val="100"/>
                <w:sz w:val="18"/>
                <w:szCs w:val="18"/>
              </w:rPr>
              <w:t> </w:t>
            </w:r>
            <w:r>
              <w:rPr>
                <w:rFonts w:ascii="宋体" w:hAnsi="宋体" w:cs="宋体" w:eastAsia="宋体" w:hint="default"/>
                <w:sz w:val="18"/>
                <w:szCs w:val="18"/>
              </w:rPr>
              <w:t>险准备</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9"/>
              <w:ind w:left="145" w:right="58"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100"/>
                <w:sz w:val="18"/>
                <w:szCs w:val="18"/>
              </w:rPr>
              <w:t> </w:t>
            </w:r>
            <w:r>
              <w:rPr>
                <w:rFonts w:ascii="宋体" w:hAnsi="宋体" w:cs="宋体" w:eastAsia="宋体" w:hint="default"/>
                <w:sz w:val="18"/>
                <w:szCs w:val="18"/>
              </w:rPr>
              <w:t>利润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2"/>
              <w:ind w:left="170" w:right="79" w:hanging="89"/>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53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2"/>
              <w:ind w:left="167" w:right="79" w:hanging="89"/>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w w:val="100"/>
                <w:sz w:val="18"/>
                <w:szCs w:val="18"/>
              </w:rPr>
              <w:t> </w:t>
            </w:r>
            <w:r>
              <w:rPr>
                <w:rFonts w:ascii="宋体" w:hAnsi="宋体" w:cs="宋体" w:eastAsia="宋体" w:hint="default"/>
                <w:sz w:val="18"/>
                <w:szCs w:val="18"/>
              </w:rPr>
              <w:t>债</w:t>
            </w:r>
          </w:p>
        </w:tc>
        <w:tc>
          <w:tcPr>
            <w:tcW w:w="53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165"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3" w:type="dxa"/>
            <w:vMerge/>
            <w:tcBorders>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3" w:type="dxa"/>
            <w:vMerge/>
            <w:tcBorders>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0"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nil" w:sz="6" w:space="0" w:color="auto"/>
              <w:left w:val="single" w:sz="4" w:space="0" w:color="000000"/>
              <w:right w:val="single" w:sz="4" w:space="0" w:color="000000"/>
            </w:tcBorders>
            <w:shd w:val="clear" w:color="auto" w:fill="D3D3D3"/>
          </w:tcPr>
          <w:p>
            <w:pPr/>
          </w:p>
        </w:tc>
        <w:tc>
          <w:tcPr>
            <w:tcW w:w="660" w:type="dxa"/>
            <w:vMerge/>
            <w:tcBorders>
              <w:left w:val="single" w:sz="4" w:space="0" w:color="000000"/>
              <w:bottom w:val="nil" w:sz="6" w:space="0" w:color="auto"/>
              <w:right w:val="single" w:sz="4" w:space="0" w:color="000000"/>
            </w:tcBorders>
            <w:shd w:val="clear" w:color="auto" w:fill="D3D3D3"/>
          </w:tcPr>
          <w:p>
            <w:pPr/>
          </w:p>
        </w:tc>
      </w:tr>
      <w:tr>
        <w:trPr>
          <w:trHeight w:val="234"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5"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35,044,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149.23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356,677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,919.09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18,300,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070.18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3D3D3"/>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6"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9" w:firstLine="360"/>
              <w:jc w:val="left"/>
              <w:rPr>
                <w:rFonts w:ascii="宋体" w:hAnsi="宋体" w:cs="宋体" w:eastAsia="宋体" w:hint="default"/>
                <w:sz w:val="18"/>
                <w:szCs w:val="18"/>
              </w:rPr>
            </w:pPr>
            <w:r>
              <w:rPr>
                <w:rFonts w:ascii="宋体" w:hAnsi="宋体" w:cs="宋体" w:eastAsia="宋体" w:hint="default"/>
                <w:spacing w:val="-11"/>
                <w:sz w:val="18"/>
                <w:szCs w:val="18"/>
              </w:rPr>
              <w:t>加：会计政策</w:t>
            </w:r>
            <w:r>
              <w:rPr>
                <w:rFonts w:ascii="宋体" w:hAnsi="宋体" w:cs="宋体" w:eastAsia="宋体" w:hint="default"/>
                <w:w w:val="100"/>
                <w:sz w:val="18"/>
                <w:szCs w:val="18"/>
              </w:rPr>
              <w:t> </w:t>
            </w:r>
            <w:r>
              <w:rPr>
                <w:rFonts w:ascii="宋体" w:hAnsi="宋体" w:cs="宋体" w:eastAsia="宋体" w:hint="default"/>
                <w:sz w:val="18"/>
                <w:szCs w:val="18"/>
              </w:rPr>
              <w:t>变更</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141"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0"/>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5"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1,131,0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35,044,</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149.23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356,677</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,919.09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18,300,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070.18</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3D3D3"/>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14" w:space="0" w:color="FFFFFF"/>
            </w:tcBorders>
            <w:shd w:val="clear" w:color="auto" w:fill="D3D3D3"/>
          </w:tcPr>
          <w:p>
            <w:pPr>
              <w:pStyle w:val="TableParagraph"/>
              <w:spacing w:line="316" w:lineRule="auto" w:before="49"/>
              <w:ind w:left="11" w:right="5"/>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w w:val="100"/>
                <w:sz w:val="18"/>
                <w:szCs w:val="18"/>
              </w:rPr>
              <w:t> </w:t>
            </w:r>
            <w:r>
              <w:rPr>
                <w:rFonts w:ascii="宋体" w:hAnsi="宋体" w:cs="宋体" w:eastAsia="宋体" w:hint="default"/>
                <w:spacing w:val="-20"/>
                <w:w w:val="100"/>
                <w:sz w:val="18"/>
                <w:szCs w:val="18"/>
              </w:rPr>
              <w:t>金额（减少以“－</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号填列）</w:t>
            </w:r>
          </w:p>
        </w:tc>
        <w:tc>
          <w:tcPr>
            <w:tcW w:w="56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62"/>
              <w:ind w:left="-147" w:right="15"/>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7,600.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4,450.6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158,381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,191.91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9,110,6</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35.85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175,312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,651.88</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180,986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,792.67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774,381</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.75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181,761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,174.42</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w w:val="100"/>
                <w:sz w:val="18"/>
                <w:szCs w:val="18"/>
              </w:rPr>
              <w:t> </w:t>
            </w:r>
            <w:r>
              <w:rPr>
                <w:rFonts w:ascii="宋体" w:hAnsi="宋体" w:cs="宋体" w:eastAsia="宋体" w:hint="default"/>
                <w:sz w:val="18"/>
                <w:szCs w:val="18"/>
              </w:rPr>
              <w:t>和减少资本</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8,336,2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54.10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03.46</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100"/>
                <w:sz w:val="18"/>
                <w:szCs w:val="18"/>
              </w:rPr>
              <w:t> </w:t>
            </w:r>
            <w:r>
              <w:rPr>
                <w:rFonts w:ascii="宋体" w:hAnsi="宋体" w:cs="宋体" w:eastAsia="宋体" w:hint="default"/>
                <w:sz w:val="18"/>
                <w:szCs w:val="18"/>
              </w:rPr>
              <w:t>通股</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100"/>
                <w:sz w:val="18"/>
                <w:szCs w:val="18"/>
              </w:rPr>
              <w:t> </w:t>
            </w:r>
            <w:r>
              <w:rPr>
                <w:rFonts w:ascii="宋体" w:hAnsi="宋体" w:cs="宋体" w:eastAsia="宋体" w:hint="default"/>
                <w:sz w:val="18"/>
                <w:szCs w:val="18"/>
              </w:rPr>
              <w:t>持有者投入资本</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11"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100"/>
                <w:sz w:val="18"/>
                <w:szCs w:val="18"/>
              </w:rPr>
              <w:t> </w:t>
            </w:r>
            <w:r>
              <w:rPr>
                <w:rFonts w:ascii="宋体" w:hAnsi="宋体" w:cs="宋体" w:eastAsia="宋体" w:hint="default"/>
                <w:sz w:val="18"/>
                <w:szCs w:val="18"/>
              </w:rPr>
              <w:t>所有者权益的金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562" w:type="dxa"/>
            <w:tcBorders>
              <w:top w:val="single" w:sz="4" w:space="0" w:color="000000"/>
              <w:left w:val="single" w:sz="9" w:space="0" w:color="D3D3D3"/>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-76,850.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8,336,2</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54.10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8,259,4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03.46</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9" w:space="0" w:color="D3D3D3"/>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0"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0"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-22,605,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600.76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5"/>
              <w:ind w:left="103" w:right="0"/>
              <w:jc w:val="center"/>
              <w:rPr>
                <w:rFonts w:ascii="Times New Roman" w:hAnsi="Times New Roman" w:cs="Times New Roman" w:eastAsia="Times New Roman" w:hint="default"/>
                <w:sz w:val="18"/>
                <w:szCs w:val="18"/>
              </w:rPr>
            </w:pPr>
            <w:r>
              <w:rPr>
                <w:rFonts w:ascii="Times New Roman"/>
                <w:sz w:val="18"/>
              </w:rPr>
              <w:t>926.00</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9" w:space="0" w:color="D3D3D3"/>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74.76</w:t>
            </w: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vMerge/>
            <w:tcBorders>
              <w:left w:val="single" w:sz="9" w:space="0" w:color="D3D3D3"/>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3"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r>
              <w:rPr>
                <w:rFonts w:ascii="宋体" w:hAnsi="宋体" w:cs="宋体" w:eastAsia="宋体" w:hint="default"/>
                <w:w w:val="100"/>
                <w:sz w:val="18"/>
                <w:szCs w:val="18"/>
              </w:rPr>
              <w:t> </w:t>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926.00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5"/>
              <w:ind w:left="103" w:right="0"/>
              <w:jc w:val="center"/>
              <w:rPr>
                <w:rFonts w:ascii="Times New Roman" w:hAnsi="Times New Roman" w:cs="Times New Roman" w:eastAsia="Times New Roman" w:hint="default"/>
                <w:sz w:val="18"/>
                <w:szCs w:val="18"/>
              </w:rPr>
            </w:pPr>
            <w:r>
              <w:rPr>
                <w:rFonts w:ascii="Times New Roman"/>
                <w:sz w:val="18"/>
              </w:rPr>
              <w:t>926.00</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w w:val="100"/>
                <w:sz w:val="18"/>
                <w:szCs w:val="18"/>
              </w:rPr>
              <w:t> </w:t>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100"/>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100"/>
                <w:sz w:val="18"/>
                <w:szCs w:val="18"/>
              </w:rPr>
              <w:t> </w:t>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217,89</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42,941,</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823.99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515,059</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pacing w:val="-3"/>
                <w:sz w:val="18"/>
              </w:rPr>
              <w:t>,111.00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27,410,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706.03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bl>
    <w:p>
      <w:pPr>
        <w:pStyle w:val="BodyText"/>
        <w:spacing w:line="240" w:lineRule="auto" w:before="49"/>
        <w:ind w:right="0"/>
        <w:jc w:val="left"/>
      </w:pPr>
      <w:r>
        <w:rPr/>
        <w:t>上期金额</w:t>
      </w:r>
    </w:p>
    <w:p>
      <w:pPr>
        <w:pStyle w:val="BodyText"/>
        <w:spacing w:line="240" w:lineRule="auto" w:before="115"/>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0"/>
        <w:gridCol w:w="533"/>
        <w:gridCol w:w="662"/>
        <w:gridCol w:w="665"/>
        <w:gridCol w:w="667"/>
        <w:gridCol w:w="665"/>
        <w:gridCol w:w="662"/>
        <w:gridCol w:w="665"/>
        <w:gridCol w:w="679"/>
        <w:gridCol w:w="653"/>
        <w:gridCol w:w="658"/>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3D3D3"/>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5" w:hRule="exact"/>
        </w:trPr>
        <w:tc>
          <w:tcPr>
            <w:tcW w:w="1426" w:type="dxa"/>
            <w:vMerge/>
            <w:tcBorders>
              <w:left w:val="single" w:sz="4" w:space="0" w:color="000000"/>
              <w:right w:val="single" w:sz="4" w:space="0" w:color="000000"/>
            </w:tcBorders>
            <w:shd w:val="clear" w:color="auto" w:fill="D3D3D3"/>
          </w:tcPr>
          <w:p>
            <w:pPr/>
          </w:p>
        </w:tc>
        <w:tc>
          <w:tcPr>
            <w:tcW w:w="6821" w:type="dxa"/>
            <w:gridSpan w:val="11"/>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
        </w:tc>
        <w:tc>
          <w:tcPr>
            <w:tcW w:w="65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426" w:type="dxa"/>
            <w:vMerge/>
            <w:tcBorders>
              <w:left w:val="single" w:sz="4" w:space="0" w:color="000000"/>
              <w:bottom w:val="nil" w:sz="6" w:space="0" w:color="auto"/>
              <w:right w:val="single" w:sz="4" w:space="0" w:color="000000"/>
            </w:tcBorders>
            <w:shd w:val="clear" w:color="auto" w:fill="D3D3D3"/>
          </w:tcPr>
          <w:p>
            <w:pPr/>
          </w:p>
        </w:tc>
        <w:tc>
          <w:tcPr>
            <w:tcW w:w="6821" w:type="dxa"/>
            <w:gridSpan w:val="11"/>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nil" w:sz="6" w:space="0" w:color="auto"/>
              <w:right w:val="single" w:sz="4" w:space="0" w:color="000000"/>
            </w:tcBorders>
            <w:shd w:val="clear" w:color="auto" w:fill="D3D3D3"/>
          </w:tcPr>
          <w:p>
            <w:pPr/>
          </w:p>
        </w:tc>
        <w:tc>
          <w:tcPr>
            <w:tcW w:w="65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52" w:right="53"/>
              <w:jc w:val="center"/>
              <w:rPr>
                <w:rFonts w:ascii="宋体" w:hAnsi="宋体" w:cs="宋体" w:eastAsia="宋体" w:hint="default"/>
                <w:sz w:val="18"/>
                <w:szCs w:val="18"/>
              </w:rPr>
            </w:pPr>
            <w:r>
              <w:rPr>
                <w:rFonts w:ascii="宋体" w:hAnsi="宋体" w:cs="宋体" w:eastAsia="宋体" w:hint="default"/>
                <w:sz w:val="18"/>
                <w:szCs w:val="18"/>
              </w:rPr>
              <w:t>所有者</w:t>
            </w:r>
            <w:r>
              <w:rPr>
                <w:rFonts w:ascii="宋体" w:hAnsi="宋体" w:cs="宋体" w:eastAsia="宋体" w:hint="default"/>
                <w:w w:val="100"/>
                <w:sz w:val="18"/>
                <w:szCs w:val="18"/>
              </w:rPr>
              <w:t> </w:t>
            </w:r>
            <w:r>
              <w:rPr>
                <w:rFonts w:ascii="宋体" w:hAnsi="宋体" w:cs="宋体" w:eastAsia="宋体" w:hint="default"/>
                <w:sz w:val="18"/>
                <w:szCs w:val="18"/>
              </w:rPr>
              <w:t>权益合</w:t>
            </w:r>
            <w:r>
              <w:rPr>
                <w:rFonts w:ascii="宋体" w:hAnsi="宋体" w:cs="宋体" w:eastAsia="宋体" w:hint="default"/>
                <w:w w:val="100"/>
                <w:sz w:val="18"/>
                <w:szCs w:val="18"/>
              </w:rPr>
              <w:t> </w:t>
            </w:r>
            <w:r>
              <w:rPr>
                <w:rFonts w:ascii="宋体" w:hAnsi="宋体" w:cs="宋体" w:eastAsia="宋体" w:hint="default"/>
                <w:sz w:val="18"/>
                <w:szCs w:val="18"/>
              </w:rPr>
              <w:t>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3D3D3"/>
          </w:tcPr>
          <w:p>
            <w:pPr/>
          </w:p>
        </w:tc>
        <w:tc>
          <w:tcPr>
            <w:tcW w:w="159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6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79"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48"/>
              <w:ind w:left="52" w:right="48"/>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0"/>
                <w:sz w:val="18"/>
                <w:szCs w:val="18"/>
              </w:rPr>
              <w:t> </w:t>
            </w:r>
            <w:r>
              <w:rPr>
                <w:rFonts w:ascii="宋体" w:hAnsi="宋体" w:cs="宋体" w:eastAsia="宋体" w:hint="default"/>
                <w:sz w:val="18"/>
                <w:szCs w:val="18"/>
              </w:rPr>
              <w:t>东权益</w:t>
            </w:r>
          </w:p>
        </w:tc>
        <w:tc>
          <w:tcPr>
            <w:tcW w:w="658" w:type="dxa"/>
            <w:vMerge/>
            <w:tcBorders>
              <w:left w:val="single" w:sz="4" w:space="0" w:color="000000"/>
              <w:right w:val="single" w:sz="4" w:space="0" w:color="000000"/>
            </w:tcBorders>
            <w:shd w:val="clear" w:color="auto" w:fill="D3D3D3"/>
          </w:tcPr>
          <w:p>
            <w:pPr/>
          </w:p>
        </w:tc>
      </w:tr>
      <w:tr>
        <w:trPr>
          <w:trHeight w:val="169" w:hRule="exact"/>
        </w:trPr>
        <w:tc>
          <w:tcPr>
            <w:tcW w:w="1426" w:type="dxa"/>
            <w:vMerge/>
            <w:tcBorders>
              <w:left w:val="single" w:sz="4" w:space="0" w:color="000000"/>
              <w:bottom w:val="single" w:sz="20" w:space="0" w:color="FFFFFF"/>
              <w:right w:val="single" w:sz="4" w:space="0" w:color="000000"/>
            </w:tcBorders>
            <w:shd w:val="clear" w:color="auto" w:fill="D3D3D3"/>
          </w:tcPr>
          <w:p>
            <w:pPr/>
          </w:p>
        </w:tc>
        <w:tc>
          <w:tcPr>
            <w:tcW w:w="562" w:type="dxa"/>
            <w:vMerge/>
            <w:tcBorders>
              <w:left w:val="single" w:sz="4" w:space="0" w:color="000000"/>
              <w:bottom w:val="single" w:sz="20" w:space="0" w:color="FFFFFF"/>
              <w:right w:val="single" w:sz="4" w:space="0" w:color="000000"/>
            </w:tcBorders>
            <w:shd w:val="clear" w:color="auto" w:fill="D3D3D3"/>
          </w:tcPr>
          <w:p>
            <w:pPr/>
          </w:p>
        </w:tc>
        <w:tc>
          <w:tcPr>
            <w:tcW w:w="1594" w:type="dxa"/>
            <w:gridSpan w:val="3"/>
            <w:vMerge/>
            <w:tcBorders>
              <w:left w:val="single" w:sz="4" w:space="0" w:color="000000"/>
              <w:bottom w:val="single" w:sz="20" w:space="0" w:color="FFFFFF"/>
              <w:right w:val="single" w:sz="4" w:space="0" w:color="000000"/>
            </w:tcBorders>
            <w:shd w:val="clear" w:color="auto" w:fill="D3D3D3"/>
          </w:tcPr>
          <w:p>
            <w:pPr/>
          </w:p>
        </w:tc>
        <w:tc>
          <w:tcPr>
            <w:tcW w:w="662"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235" w:right="55" w:hanging="181"/>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148" w:right="55" w:hanging="92"/>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w w:val="100"/>
                <w:sz w:val="18"/>
                <w:szCs w:val="18"/>
              </w:rPr>
              <w:t> </w:t>
            </w:r>
            <w:r>
              <w:rPr>
                <w:rFonts w:ascii="宋体" w:hAnsi="宋体" w:cs="宋体" w:eastAsia="宋体" w:hint="default"/>
                <w:sz w:val="18"/>
                <w:szCs w:val="18"/>
              </w:rPr>
              <w:t>存股</w:t>
            </w:r>
          </w:p>
        </w:tc>
        <w:tc>
          <w:tcPr>
            <w:tcW w:w="667"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57" w:right="58"/>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w w:val="100"/>
                <w:sz w:val="18"/>
                <w:szCs w:val="18"/>
              </w:rPr>
              <w:t> </w:t>
            </w:r>
            <w:r>
              <w:rPr>
                <w:rFonts w:ascii="宋体" w:hAnsi="宋体" w:cs="宋体" w:eastAsia="宋体" w:hint="default"/>
                <w:sz w:val="18"/>
                <w:szCs w:val="18"/>
              </w:rPr>
              <w:t>合收益</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234" w:right="57" w:hanging="180"/>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662"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234" w:right="55" w:hanging="181"/>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w w:val="100"/>
                <w:sz w:val="18"/>
                <w:szCs w:val="18"/>
              </w:rPr>
              <w:t> </w:t>
            </w:r>
            <w:r>
              <w:rPr>
                <w:rFonts w:ascii="宋体" w:hAnsi="宋体" w:cs="宋体" w:eastAsia="宋体" w:hint="default"/>
                <w:sz w:val="18"/>
                <w:szCs w:val="18"/>
              </w:rPr>
              <w:t>积</w:t>
            </w:r>
          </w:p>
        </w:tc>
        <w:tc>
          <w:tcPr>
            <w:tcW w:w="665"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57" w:right="55"/>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w w:val="100"/>
                <w:sz w:val="18"/>
                <w:szCs w:val="18"/>
              </w:rPr>
              <w:t> </w:t>
            </w:r>
            <w:r>
              <w:rPr>
                <w:rFonts w:ascii="宋体" w:hAnsi="宋体" w:cs="宋体" w:eastAsia="宋体" w:hint="default"/>
                <w:sz w:val="18"/>
                <w:szCs w:val="18"/>
              </w:rPr>
              <w:t>险准备</w:t>
            </w:r>
          </w:p>
        </w:tc>
        <w:tc>
          <w:tcPr>
            <w:tcW w:w="679"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auto" w:before="48"/>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100"/>
                <w:sz w:val="18"/>
                <w:szCs w:val="18"/>
              </w:rPr>
              <w:t> </w:t>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191" w:hRule="exact"/>
        </w:trPr>
        <w:tc>
          <w:tcPr>
            <w:tcW w:w="1426" w:type="dxa"/>
            <w:vMerge w:val="restart"/>
            <w:tcBorders>
              <w:top w:val="single" w:sz="20" w:space="0" w:color="FFFFFF"/>
              <w:left w:val="single" w:sz="4" w:space="0" w:color="000000"/>
              <w:right w:val="single" w:sz="4" w:space="0" w:color="000000"/>
            </w:tcBorders>
            <w:shd w:val="clear" w:color="auto" w:fill="D3D3D3"/>
          </w:tcPr>
          <w:p>
            <w:pPr/>
          </w:p>
        </w:tc>
        <w:tc>
          <w:tcPr>
            <w:tcW w:w="562" w:type="dxa"/>
            <w:vMerge w:val="restart"/>
            <w:tcBorders>
              <w:top w:val="single" w:sz="20" w:space="0" w:color="FFFFFF"/>
              <w:left w:val="single" w:sz="4" w:space="0" w:color="000000"/>
              <w:right w:val="single" w:sz="4" w:space="0" w:color="000000"/>
            </w:tcBorders>
            <w:shd w:val="clear" w:color="auto" w:fill="D3D3D3"/>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20" w:space="0" w:color="FFFFFF"/>
              <w:left w:val="single" w:sz="4" w:space="0" w:color="000000"/>
              <w:right w:val="single" w:sz="4" w:space="0" w:color="000000"/>
            </w:tcBorders>
            <w:shd w:val="clear" w:color="auto" w:fill="D3D3D3"/>
          </w:tcPr>
          <w:p>
            <w:pPr>
              <w:pStyle w:val="TableParagraph"/>
              <w:spacing w:line="319" w:lineRule="auto" w:before="58"/>
              <w:ind w:left="170" w:right="77" w:hanging="89"/>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530" w:type="dxa"/>
            <w:vMerge w:val="restart"/>
            <w:tcBorders>
              <w:top w:val="single" w:sz="20" w:space="0" w:color="FFFFFF"/>
              <w:left w:val="single" w:sz="4" w:space="0" w:color="000000"/>
              <w:right w:val="single" w:sz="4" w:space="0" w:color="000000"/>
            </w:tcBorders>
            <w:shd w:val="clear" w:color="auto" w:fill="D3D3D3"/>
          </w:tcPr>
          <w:p>
            <w:pPr>
              <w:pStyle w:val="TableParagraph"/>
              <w:spacing w:line="319" w:lineRule="auto" w:before="58"/>
              <w:ind w:left="170" w:right="77" w:hanging="89"/>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w w:val="100"/>
                <w:sz w:val="18"/>
                <w:szCs w:val="18"/>
              </w:rPr>
              <w:t> </w:t>
            </w:r>
            <w:r>
              <w:rPr>
                <w:rFonts w:ascii="宋体" w:hAnsi="宋体" w:cs="宋体" w:eastAsia="宋体" w:hint="default"/>
                <w:sz w:val="18"/>
                <w:szCs w:val="18"/>
              </w:rPr>
              <w:t>债</w:t>
            </w:r>
          </w:p>
        </w:tc>
        <w:tc>
          <w:tcPr>
            <w:tcW w:w="533" w:type="dxa"/>
            <w:tcBorders>
              <w:top w:val="single" w:sz="20" w:space="0" w:color="FFFFFF"/>
              <w:left w:val="single" w:sz="4" w:space="0" w:color="000000"/>
              <w:bottom w:val="nil" w:sz="6" w:space="0" w:color="auto"/>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7"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163" w:hRule="exact"/>
        </w:trPr>
        <w:tc>
          <w:tcPr>
            <w:tcW w:w="1426" w:type="dxa"/>
            <w:vMerge/>
            <w:tcBorders>
              <w:left w:val="single" w:sz="4" w:space="0" w:color="000000"/>
              <w:right w:val="single" w:sz="4" w:space="0" w:color="000000"/>
            </w:tcBorders>
            <w:shd w:val="clear" w:color="auto" w:fill="D3D3D3"/>
          </w:tcPr>
          <w:p>
            <w:pPr/>
          </w:p>
        </w:tc>
        <w:tc>
          <w:tcPr>
            <w:tcW w:w="562" w:type="dxa"/>
            <w:vMerge/>
            <w:tcBorders>
              <w:left w:val="single" w:sz="4" w:space="0" w:color="000000"/>
              <w:bottom w:val="nil" w:sz="6" w:space="0" w:color="auto"/>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7"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c>
          <w:tcPr>
            <w:tcW w:w="665" w:type="dxa"/>
            <w:vMerge/>
            <w:tcBorders>
              <w:left w:val="single" w:sz="4" w:space="0" w:color="000000"/>
              <w:right w:val="single" w:sz="4" w:space="0" w:color="000000"/>
            </w:tcBorders>
            <w:shd w:val="clear" w:color="auto" w:fill="D3D3D3"/>
          </w:tcPr>
          <w:p>
            <w:pPr/>
          </w:p>
        </w:tc>
        <w:tc>
          <w:tcPr>
            <w:tcW w:w="679" w:type="dxa"/>
            <w:vMerge/>
            <w:tcBorders>
              <w:left w:val="single" w:sz="4" w:space="0" w:color="000000"/>
              <w:right w:val="single" w:sz="4" w:space="0" w:color="000000"/>
            </w:tcBorders>
            <w:shd w:val="clear" w:color="auto" w:fill="D3D3D3"/>
          </w:tcPr>
          <w:p>
            <w:pPr/>
          </w:p>
        </w:tc>
        <w:tc>
          <w:tcPr>
            <w:tcW w:w="653" w:type="dxa"/>
            <w:vMerge/>
            <w:tcBorders>
              <w:left w:val="single" w:sz="4" w:space="0" w:color="000000"/>
              <w:bottom w:val="nil" w:sz="6" w:space="0" w:color="auto"/>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156" w:hRule="exact"/>
        </w:trPr>
        <w:tc>
          <w:tcPr>
            <w:tcW w:w="1426" w:type="dxa"/>
            <w:vMerge/>
            <w:tcBorders>
              <w:left w:val="single" w:sz="4" w:space="0" w:color="000000"/>
              <w:right w:val="single" w:sz="4" w:space="0" w:color="000000"/>
            </w:tcBorders>
            <w:shd w:val="clear" w:color="auto" w:fill="D3D3D3"/>
          </w:tcPr>
          <w:p>
            <w:pPr/>
          </w:p>
        </w:tc>
        <w:tc>
          <w:tcPr>
            <w:tcW w:w="562" w:type="dxa"/>
            <w:vMerge w:val="restart"/>
            <w:tcBorders>
              <w:top w:val="nil" w:sz="6" w:space="0" w:color="auto"/>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0" w:type="dxa"/>
            <w:vMerge/>
            <w:tcBorders>
              <w:left w:val="single" w:sz="4" w:space="0" w:color="000000"/>
              <w:right w:val="single" w:sz="4" w:space="0" w:color="000000"/>
            </w:tcBorders>
            <w:shd w:val="clear" w:color="auto" w:fill="D3D3D3"/>
          </w:tcPr>
          <w:p>
            <w:pPr/>
          </w:p>
        </w:tc>
        <w:tc>
          <w:tcPr>
            <w:tcW w:w="533" w:type="dxa"/>
            <w:vMerge/>
            <w:tcBorders>
              <w:left w:val="single" w:sz="4" w:space="0" w:color="000000"/>
              <w:bottom w:val="nil" w:sz="6" w:space="0" w:color="auto"/>
              <w:right w:val="single" w:sz="4" w:space="0" w:color="000000"/>
            </w:tcBorders>
            <w:shd w:val="clear" w:color="auto" w:fill="D3D3D3"/>
          </w:tcPr>
          <w:p>
            <w:pPr/>
          </w:p>
        </w:tc>
        <w:tc>
          <w:tcPr>
            <w:tcW w:w="662"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7"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62" w:type="dxa"/>
            <w:vMerge/>
            <w:tcBorders>
              <w:left w:val="single" w:sz="4" w:space="0" w:color="000000"/>
              <w:bottom w:val="nil" w:sz="6" w:space="0" w:color="auto"/>
              <w:right w:val="single" w:sz="4" w:space="0" w:color="000000"/>
            </w:tcBorders>
            <w:shd w:val="clear" w:color="auto" w:fill="D3D3D3"/>
          </w:tcPr>
          <w:p>
            <w:pPr/>
          </w:p>
        </w:tc>
        <w:tc>
          <w:tcPr>
            <w:tcW w:w="665" w:type="dxa"/>
            <w:vMerge/>
            <w:tcBorders>
              <w:left w:val="single" w:sz="4" w:space="0" w:color="000000"/>
              <w:bottom w:val="nil" w:sz="6" w:space="0" w:color="auto"/>
              <w:right w:val="single" w:sz="4" w:space="0" w:color="000000"/>
            </w:tcBorders>
            <w:shd w:val="clear" w:color="auto" w:fill="D3D3D3"/>
          </w:tcPr>
          <w:p>
            <w:pPr/>
          </w:p>
        </w:tc>
        <w:tc>
          <w:tcPr>
            <w:tcW w:w="679" w:type="dxa"/>
            <w:vMerge/>
            <w:tcBorders>
              <w:left w:val="single" w:sz="4" w:space="0" w:color="000000"/>
              <w:bottom w:val="nil" w:sz="6" w:space="0" w:color="auto"/>
              <w:right w:val="single" w:sz="4" w:space="0" w:color="000000"/>
            </w:tcBorders>
            <w:shd w:val="clear" w:color="auto" w:fill="D3D3D3"/>
          </w:tcPr>
          <w:p>
            <w:pPr/>
          </w:p>
        </w:tc>
        <w:tc>
          <w:tcPr>
            <w:tcW w:w="653" w:type="dxa"/>
            <w:vMerge w:val="restart"/>
            <w:tcBorders>
              <w:top w:val="nil" w:sz="6" w:space="0" w:color="auto"/>
              <w:left w:val="single" w:sz="4" w:space="0" w:color="000000"/>
              <w:right w:val="single" w:sz="4" w:space="0" w:color="000000"/>
            </w:tcBorders>
            <w:shd w:val="clear" w:color="auto" w:fill="D3D3D3"/>
          </w:tcPr>
          <w:p>
            <w:pPr/>
          </w:p>
        </w:tc>
        <w:tc>
          <w:tcPr>
            <w:tcW w:w="658" w:type="dxa"/>
            <w:vMerge/>
            <w:tcBorders>
              <w:left w:val="single" w:sz="4" w:space="0" w:color="000000"/>
              <w:bottom w:val="nil" w:sz="6" w:space="0" w:color="auto"/>
              <w:right w:val="single" w:sz="4" w:space="0" w:color="000000"/>
            </w:tcBorders>
            <w:shd w:val="clear" w:color="auto" w:fill="D3D3D3"/>
          </w:tcPr>
          <w:p>
            <w:pPr/>
          </w:p>
        </w:tc>
      </w:tr>
      <w:tr>
        <w:trPr>
          <w:trHeight w:val="236" w:hRule="exact"/>
        </w:trPr>
        <w:tc>
          <w:tcPr>
            <w:tcW w:w="142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0"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nil" w:sz="6" w:space="0" w:color="auto"/>
              <w:left w:val="single" w:sz="4" w:space="0" w:color="000000"/>
              <w:bottom w:val="single" w:sz="4" w:space="0" w:color="000000"/>
              <w:right w:val="single" w:sz="4" w:space="0" w:color="000000"/>
            </w:tcBorders>
            <w:shd w:val="clear" w:color="auto" w:fill="D3D3D3"/>
          </w:tcPr>
          <w:p>
            <w:pPr/>
          </w:p>
        </w:tc>
        <w:tc>
          <w:tcPr>
            <w:tcW w:w="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7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42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2" w:type="dxa"/>
            <w:vMerge w:val="restart"/>
            <w:tcBorders>
              <w:top w:val="single" w:sz="4" w:space="0" w:color="000000"/>
              <w:left w:val="single" w:sz="9" w:space="0" w:color="D3D3D3"/>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563,185</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,517.17</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24,165,</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281.58</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235,257</w:t>
            </w:r>
          </w:p>
          <w:p>
            <w:pPr>
              <w:pStyle w:val="TableParagraph"/>
              <w:spacing w:line="240" w:lineRule="auto" w:before="102"/>
              <w:ind w:left="102" w:right="0"/>
              <w:jc w:val="left"/>
              <w:rPr>
                <w:rFonts w:ascii="Times New Roman" w:hAnsi="Times New Roman" w:cs="Times New Roman" w:eastAsia="Times New Roman" w:hint="default"/>
                <w:sz w:val="18"/>
                <w:szCs w:val="18"/>
              </w:rPr>
            </w:pPr>
            <w:r>
              <w:rPr>
                <w:rFonts w:ascii="Times New Roman"/>
                <w:sz w:val="18"/>
              </w:rPr>
              <w:t>,855.94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-21,068</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.12</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916,387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,586.57</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9"/>
                <w:sz w:val="18"/>
                <w:szCs w:val="18"/>
              </w:rPr>
              <w:t>一、上年期末余额</w:t>
            </w:r>
          </w:p>
        </w:tc>
        <w:tc>
          <w:tcPr>
            <w:tcW w:w="562" w:type="dxa"/>
            <w:vMerge/>
            <w:tcBorders>
              <w:left w:val="single" w:sz="9" w:space="0" w:color="D3D3D3"/>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2" w:type="dxa"/>
            <w:vMerge/>
            <w:tcBorders>
              <w:left w:val="single" w:sz="9" w:space="0" w:color="D3D3D3"/>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21" w:firstLine="360"/>
              <w:jc w:val="left"/>
              <w:rPr>
                <w:rFonts w:ascii="宋体" w:hAnsi="宋体" w:cs="宋体" w:eastAsia="宋体" w:hint="default"/>
                <w:sz w:val="18"/>
                <w:szCs w:val="18"/>
              </w:rPr>
            </w:pPr>
            <w:r>
              <w:rPr>
                <w:rFonts w:ascii="宋体" w:hAnsi="宋体" w:cs="宋体" w:eastAsia="宋体" w:hint="default"/>
                <w:spacing w:val="-11"/>
                <w:sz w:val="18"/>
                <w:szCs w:val="18"/>
              </w:rPr>
              <w:t>加：会计政策</w:t>
            </w:r>
            <w:r>
              <w:rPr>
                <w:rFonts w:ascii="宋体" w:hAnsi="宋体" w:cs="宋体" w:eastAsia="宋体" w:hint="default"/>
                <w:w w:val="100"/>
                <w:sz w:val="18"/>
                <w:szCs w:val="18"/>
              </w:rPr>
              <w:t> </w:t>
            </w:r>
            <w:r>
              <w:rPr>
                <w:rFonts w:ascii="宋体" w:hAnsi="宋体" w:cs="宋体" w:eastAsia="宋体" w:hint="default"/>
                <w:sz w:val="18"/>
                <w:szCs w:val="18"/>
              </w:rPr>
              <w:t>变更</w:t>
            </w:r>
          </w:p>
        </w:tc>
        <w:tc>
          <w:tcPr>
            <w:tcW w:w="562" w:type="dxa"/>
            <w:tcBorders>
              <w:top w:val="single" w:sz="4" w:space="0" w:color="000000"/>
              <w:left w:val="single" w:sz="9"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9"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731"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9" w:space="0" w:color="D3D3D3"/>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1" w:header="745" w:top="1060" w:bottom="1180" w:left="980" w:right="980"/>
          <w:pgNumType w:start="80"/>
        </w:sectPr>
      </w:pPr>
    </w:p>
    <w:p>
      <w:pPr>
        <w:spacing w:line="240" w:lineRule="auto" w:before="0"/>
        <w:rPr>
          <w:rFonts w:ascii="Times New Roman" w:hAnsi="Times New Roman" w:cs="Times New Roman" w:eastAsia="Times New Roman" w:hint="default"/>
          <w:sz w:val="20"/>
          <w:szCs w:val="20"/>
        </w:rPr>
      </w:pPr>
      <w:r>
        <w:rPr/>
        <w:pict>
          <v:group style="position:absolute;margin-left:129.839996pt;margin-top:179.52002pt;width:25.35pt;height:15.6pt;mso-position-horizontal-relative:page;mso-position-vertical-relative:page;z-index:-898168" coordorigin="2597,3590" coordsize="507,312">
            <v:shape style="position:absolute;left:2597;top:3590;width:507;height:312" coordorigin="2597,3590" coordsize="507,312" path="m2597,3590l3103,3590,3103,3902,2597,3902,2597,35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9"/>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563,185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,517.17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24,165,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281.58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235,257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,855.94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-21,068</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916,387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,586.57</w:t>
            </w:r>
          </w:p>
        </w:tc>
      </w:tr>
      <w:tr>
        <w:trPr>
          <w:trHeight w:val="1025" w:hRule="exact"/>
        </w:trPr>
        <w:tc>
          <w:tcPr>
            <w:tcW w:w="1438" w:type="dxa"/>
            <w:tcBorders>
              <w:top w:val="single" w:sz="4" w:space="0" w:color="000000"/>
              <w:left w:val="single" w:sz="4" w:space="0" w:color="000000"/>
              <w:bottom w:val="single" w:sz="4" w:space="0" w:color="000000"/>
              <w:right w:val="single" w:sz="12" w:space="0" w:color="FFFFFF"/>
            </w:tcBorders>
            <w:shd w:val="clear" w:color="auto" w:fill="D3D3D3"/>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pacing w:val="-9"/>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0"/>
                <w:w w:val="100"/>
                <w:sz w:val="18"/>
                <w:szCs w:val="18"/>
              </w:rPr>
              <w:t>金额（减少以“－</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号填列）</w:t>
            </w:r>
          </w:p>
        </w:tc>
        <w:tc>
          <w:tcPr>
            <w:tcW w:w="562"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w:t>
            </w:r>
          </w:p>
          <w:p>
            <w:pPr>
              <w:pStyle w:val="TableParagraph"/>
              <w:spacing w:line="240" w:lineRule="auto" w:before="60"/>
              <w:ind w:left="-134" w:right="20"/>
              <w:jc w:val="right"/>
              <w:rPr>
                <w:rFonts w:ascii="Times New Roman" w:hAnsi="Times New Roman" w:cs="Times New Roman" w:eastAsia="Times New Roman"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567,833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,130.49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867.65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121,420</w:t>
            </w:r>
          </w:p>
          <w:p>
            <w:pPr>
              <w:pStyle w:val="TableParagraph"/>
              <w:spacing w:line="240" w:lineRule="auto" w:before="102"/>
              <w:ind w:left="102" w:right="0"/>
              <w:jc w:val="left"/>
              <w:rPr>
                <w:rFonts w:ascii="Times New Roman" w:hAnsi="Times New Roman" w:cs="Times New Roman" w:eastAsia="Times New Roman" w:hint="default"/>
                <w:sz w:val="18"/>
                <w:szCs w:val="18"/>
              </w:rPr>
            </w:pPr>
            <w:r>
              <w:rPr>
                <w:rFonts w:ascii="Times New Roman"/>
                <w:sz w:val="18"/>
              </w:rPr>
              <w:t>,063.15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18,321,</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138.30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733,600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,799.59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9"/>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143,554</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,930.80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687,036</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144,241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,967.44</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pacing w:val="-9"/>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567,833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,130.49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17,634,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101.66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600,614</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,832.15</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100"/>
                <w:sz w:val="18"/>
                <w:szCs w:val="18"/>
              </w:rPr>
              <w:t> </w:t>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0"/>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567,833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,130.49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582,980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,730.49</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100"/>
                <w:sz w:val="18"/>
                <w:szCs w:val="18"/>
              </w:rPr>
              <w:t> </w:t>
            </w:r>
            <w:r>
              <w:rPr>
                <w:rFonts w:ascii="宋体" w:hAnsi="宋体" w:cs="宋体" w:eastAsia="宋体" w:hint="default"/>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100"/>
                <w:sz w:val="18"/>
                <w:szCs w:val="18"/>
              </w:rPr>
              <w:t> </w:t>
            </w:r>
            <w:r>
              <w:rPr>
                <w:rFonts w:ascii="宋体" w:hAnsi="宋体" w:cs="宋体" w:eastAsia="宋体" w:hint="default"/>
                <w:sz w:val="18"/>
                <w:szCs w:val="18"/>
              </w:rPr>
              <w:t>所有者权益的金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17,634,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101.66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17,634,</w:t>
            </w:r>
          </w:p>
          <w:p>
            <w:pPr>
              <w:pStyle w:val="TableParagraph"/>
              <w:spacing w:line="240" w:lineRule="auto" w:before="102"/>
              <w:ind w:left="126" w:right="0"/>
              <w:jc w:val="left"/>
              <w:rPr>
                <w:rFonts w:ascii="Times New Roman" w:hAnsi="Times New Roman" w:cs="Times New Roman" w:eastAsia="Times New Roman" w:hint="default"/>
                <w:sz w:val="18"/>
                <w:szCs w:val="18"/>
              </w:rPr>
            </w:pPr>
            <w:r>
              <w:rPr>
                <w:rFonts w:ascii="Times New Roman"/>
                <w:sz w:val="18"/>
              </w:rPr>
              <w:t>101.66</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867.65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-22,134,</w:t>
            </w:r>
          </w:p>
          <w:p>
            <w:pPr>
              <w:pStyle w:val="TableParagraph"/>
              <w:spacing w:line="240" w:lineRule="auto" w:before="105"/>
              <w:ind w:left="122" w:right="0"/>
              <w:jc w:val="center"/>
              <w:rPr>
                <w:rFonts w:ascii="Times New Roman" w:hAnsi="Times New Roman" w:cs="Times New Roman" w:eastAsia="Times New Roman" w:hint="default"/>
                <w:sz w:val="18"/>
                <w:szCs w:val="18"/>
              </w:rPr>
            </w:pPr>
            <w:r>
              <w:rPr>
                <w:rFonts w:ascii="Times New Roman"/>
                <w:sz w:val="18"/>
              </w:rPr>
              <w:t>867.65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-11,256,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867.65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2"/>
              <w:ind w:left="122" w:right="0"/>
              <w:jc w:val="center"/>
              <w:rPr>
                <w:rFonts w:ascii="Times New Roman" w:hAnsi="Times New Roman" w:cs="Times New Roman" w:eastAsia="Times New Roman" w:hint="default"/>
                <w:sz w:val="18"/>
                <w:szCs w:val="18"/>
              </w:rPr>
            </w:pPr>
            <w:r>
              <w:rPr>
                <w:rFonts w:ascii="Times New Roman"/>
                <w:sz w:val="18"/>
              </w:rPr>
              <w:t>867.65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r>
              <w:rPr>
                <w:rFonts w:ascii="宋体" w:hAnsi="宋体" w:cs="宋体" w:eastAsia="宋体" w:hint="default"/>
                <w:w w:val="100"/>
                <w:sz w:val="18"/>
                <w:szCs w:val="18"/>
              </w:rPr>
              <w:t> </w:t>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-11,256,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-11,256,</w:t>
            </w:r>
          </w:p>
          <w:p>
            <w:pPr>
              <w:pStyle w:val="TableParagraph"/>
              <w:spacing w:line="240" w:lineRule="auto" w:before="102"/>
              <w:ind w:left="126" w:right="0"/>
              <w:jc w:val="left"/>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9"/>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880005pt;margin-top:554.190002pt;width:33pt;height:36.3pt;mso-position-horizontal-relative:page;mso-position-vertical-relative:page;z-index:-898144" coordorigin="2578,11084" coordsize="660,726">
            <v:group style="position:absolute;left:2590;top:11096;width:2;height:702" coordorigin="2590,11096" coordsize="2,702">
              <v:shape style="position:absolute;left:2590;top:11096;width:2;height:702" coordorigin="2590,11096" coordsize="0,702" path="m2590,11096l2590,11798e" filled="false" stroked="true" strokeweight="1.2pt" strokecolor="#ffffff">
                <v:path arrowok="t"/>
              </v:shape>
            </v:group>
            <v:group style="position:absolute;left:2602;top:11095;width:636;height:353" coordorigin="2602,11095" coordsize="636,353">
              <v:shape style="position:absolute;left:2602;top:11095;width:636;height:353" coordorigin="2602,11095" coordsize="636,353" path="m2602,11095l3238,11095,3238,11448,2602,11448,2602,11095xe" filled="true" fillcolor="#ffffff" stroked="false">
                <v:path arrowok="t"/>
                <v:fill type="solid"/>
              </v:shape>
            </v:group>
            <v:group style="position:absolute;left:2602;top:11448;width:636;height:351" coordorigin="2602,11448" coordsize="636,351">
              <v:shape style="position:absolute;left:2602;top:11448;width:636;height:351" coordorigin="2602,11448" coordsize="636,351" path="m2602,11448l3238,11448,3238,11798,2602,11798,2602,114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pacing w:val="-9"/>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108,94</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7,600.</w:t>
            </w:r>
          </w:p>
          <w:p>
            <w:pPr>
              <w:pStyle w:val="TableParagraph"/>
              <w:spacing w:line="240" w:lineRule="auto" w:before="105"/>
              <w:ind w:left="345" w:right="0"/>
              <w:jc w:val="left"/>
              <w:rPr>
                <w:rFonts w:ascii="Times New Roman" w:hAnsi="Times New Roman" w:cs="Times New Roman" w:eastAsia="Times New Roman" w:hint="default"/>
                <w:sz w:val="18"/>
                <w:szCs w:val="18"/>
              </w:rPr>
            </w:pPr>
            <w:bookmarkStart w:name="8、母公司所有者权益变动表 " w:id="148"/>
            <w:bookmarkEnd w:id="148"/>
            <w:r>
              <w:rPr/>
            </w: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18,647.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35,044,</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149.23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356,677</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,919.09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18,300,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070.18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88,386.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39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7" w:hRule="exact"/>
        </w:trPr>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w w:val="100"/>
                <w:sz w:val="18"/>
                <w:szCs w:val="18"/>
              </w:rPr>
              <w:t> </w:t>
            </w:r>
            <w:r>
              <w:rPr>
                <w:rFonts w:ascii="宋体" w:hAnsi="宋体" w:cs="宋体" w:eastAsia="宋体" w:hint="default"/>
                <w:sz w:val="18"/>
                <w:szCs w:val="18"/>
              </w:rPr>
              <w:t>收益</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100"/>
                <w:sz w:val="18"/>
                <w:szCs w:val="18"/>
              </w:rPr>
              <w:t> </w:t>
            </w:r>
            <w:r>
              <w:rPr>
                <w:rFonts w:ascii="宋体" w:hAnsi="宋体" w:cs="宋体" w:eastAsia="宋体" w:hint="default"/>
                <w:sz w:val="18"/>
                <w:szCs w:val="18"/>
              </w:rPr>
              <w:t>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4"/>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100"/>
                <w:sz w:val="18"/>
                <w:szCs w:val="18"/>
              </w:rPr>
              <w:t> </w:t>
            </w:r>
            <w:r>
              <w:rPr>
                <w:rFonts w:ascii="宋体" w:hAnsi="宋体" w:cs="宋体" w:eastAsia="宋体" w:hint="default"/>
                <w:sz w:val="18"/>
                <w:szCs w:val="18"/>
              </w:rPr>
              <w:t>益合计</w:t>
            </w:r>
          </w:p>
        </w:tc>
      </w:tr>
      <w:tr>
        <w:trPr>
          <w:trHeight w:val="192" w:hRule="exact"/>
        </w:trPr>
        <w:tc>
          <w:tcPr>
            <w:tcW w:w="1440" w:type="dxa"/>
            <w:vMerge/>
            <w:tcBorders>
              <w:left w:val="single" w:sz="4" w:space="0" w:color="000000"/>
              <w:bottom w:val="nil" w:sz="6" w:space="0" w:color="auto"/>
              <w:right w:val="single" w:sz="4" w:space="0" w:color="000000"/>
            </w:tcBorders>
            <w:shd w:val="clear" w:color="auto" w:fill="D3D3D3"/>
          </w:tcPr>
          <w:p>
            <w:pPr/>
          </w:p>
        </w:tc>
        <w:tc>
          <w:tcPr>
            <w:tcW w:w="6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3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200" w:hRule="exact"/>
        </w:trPr>
        <w:tc>
          <w:tcPr>
            <w:tcW w:w="1440" w:type="dxa"/>
            <w:vMerge w:val="restart"/>
            <w:tcBorders>
              <w:top w:val="nil" w:sz="6" w:space="0" w:color="auto"/>
              <w:left w:val="single" w:sz="4" w:space="0" w:color="000000"/>
              <w:right w:val="single" w:sz="4" w:space="0" w:color="000000"/>
            </w:tcBorders>
            <w:shd w:val="clear" w:color="auto" w:fill="D3D3D3"/>
          </w:tcPr>
          <w:p>
            <w:pPr/>
          </w:p>
        </w:tc>
        <w:tc>
          <w:tcPr>
            <w:tcW w:w="69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7"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209"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8" w:space="0" w:color="D3D3D3"/>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1,131,057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,519.73</w:t>
            </w:r>
          </w:p>
        </w:tc>
        <w:tc>
          <w:tcPr>
            <w:tcW w:w="797" w:type="dxa"/>
            <w:vMerge w:val="restart"/>
            <w:tcBorders>
              <w:top w:val="single" w:sz="23" w:space="0" w:color="D3D3D3"/>
              <w:left w:val="single" w:sz="4" w:space="0" w:color="000000"/>
              <w:right w:val="single" w:sz="4" w:space="0" w:color="000000"/>
            </w:tcBorders>
          </w:tcPr>
          <w:p>
            <w:pPr/>
          </w:p>
        </w:tc>
        <w:tc>
          <w:tcPr>
            <w:tcW w:w="797" w:type="dxa"/>
            <w:vMerge w:val="restart"/>
            <w:tcBorders>
              <w:top w:val="single" w:sz="23" w:space="0" w:color="D3D3D3"/>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35,044,14</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9.23</w:t>
            </w:r>
          </w:p>
        </w:tc>
        <w:tc>
          <w:tcPr>
            <w:tcW w:w="677" w:type="dxa"/>
            <w:vMerge w:val="restart"/>
            <w:tcBorders>
              <w:top w:val="single" w:sz="23" w:space="0" w:color="D3D3D3"/>
              <w:left w:val="single" w:sz="4" w:space="0" w:color="000000"/>
              <w:right w:val="single" w:sz="4" w:space="0" w:color="000000"/>
            </w:tcBorders>
          </w:tcPr>
          <w:p>
            <w:pPr>
              <w:pStyle w:val="TableParagraph"/>
              <w:spacing w:line="240" w:lineRule="auto" w:before="66"/>
              <w:ind w:left="57" w:right="0"/>
              <w:jc w:val="left"/>
              <w:rPr>
                <w:rFonts w:ascii="Times New Roman" w:hAnsi="Times New Roman" w:cs="Times New Roman" w:eastAsia="Times New Roman" w:hint="default"/>
                <w:sz w:val="18"/>
                <w:szCs w:val="18"/>
              </w:rPr>
            </w:pPr>
            <w:r>
              <w:rPr>
                <w:rFonts w:ascii="Times New Roman"/>
                <w:sz w:val="18"/>
              </w:rPr>
              <w:t>294,761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,342.96</w:t>
            </w:r>
          </w:p>
        </w:tc>
        <w:tc>
          <w:tcPr>
            <w:tcW w:w="780" w:type="dxa"/>
            <w:vMerge w:val="restart"/>
            <w:tcBorders>
              <w:top w:val="single" w:sz="23" w:space="0" w:color="D3D3D3"/>
              <w:left w:val="single" w:sz="4" w:space="0" w:color="000000"/>
              <w:right w:val="single" w:sz="4" w:space="0" w:color="000000"/>
            </w:tcBorders>
          </w:tcPr>
          <w:p>
            <w:pPr>
              <w:pStyle w:val="TableParagraph"/>
              <w:spacing w:line="240" w:lineRule="auto" w:before="66"/>
              <w:ind w:left="2" w:right="0"/>
              <w:jc w:val="center"/>
              <w:rPr>
                <w:rFonts w:ascii="Times New Roman" w:hAnsi="Times New Roman" w:cs="Times New Roman" w:eastAsia="Times New Roman" w:hint="default"/>
                <w:sz w:val="18"/>
                <w:szCs w:val="18"/>
              </w:rPr>
            </w:pPr>
            <w:r>
              <w:rPr>
                <w:rFonts w:ascii="Times New Roman"/>
                <w:sz w:val="18"/>
              </w:rPr>
              <w:t>1,569,810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,611.92</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1" w:type="dxa"/>
            <w:vMerge/>
            <w:tcBorders>
              <w:left w:val="single" w:sz="8"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8"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w w:val="100"/>
                <w:sz w:val="18"/>
                <w:szCs w:val="18"/>
              </w:rPr>
              <w:t> </w:t>
            </w:r>
            <w:r>
              <w:rPr>
                <w:rFonts w:ascii="宋体" w:hAnsi="宋体" w:cs="宋体" w:eastAsia="宋体" w:hint="default"/>
                <w:sz w:val="18"/>
                <w:szCs w:val="18"/>
              </w:rPr>
              <w:t>变更</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vMerge w:val="restart"/>
            <w:tcBorders>
              <w:top w:val="single" w:sz="4" w:space="0" w:color="000000"/>
              <w:left w:val="single" w:sz="8" w:space="0" w:color="D3D3D3"/>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1,131,057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,519.73</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35,044,14</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9.23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294,761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,342.96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1,569,810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,611.92</w:t>
            </w:r>
          </w:p>
        </w:tc>
      </w:tr>
      <w:tr>
        <w:trPr>
          <w:trHeight w:val="394"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1" w:type="dxa"/>
            <w:vMerge/>
            <w:tcBorders>
              <w:left w:val="single" w:sz="8"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vMerge/>
            <w:tcBorders>
              <w:left w:val="single" w:sz="8"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w w:val="100"/>
                <w:sz w:val="18"/>
                <w:szCs w:val="18"/>
              </w:rPr>
              <w:t>金额（减少以“－</w:t>
            </w:r>
            <w:r>
              <w:rPr>
                <w:rFonts w:ascii="宋体" w:hAnsi="宋体" w:cs="宋体" w:eastAsia="宋体"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8"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0" w:lineRule="exact"/>
              <w:ind w:left="4"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170" w:lineRule="exact"/>
              <w:ind w:left="-125" w:right="0"/>
              <w:jc w:val="left"/>
              <w:rPr>
                <w:rFonts w:ascii="宋体" w:hAnsi="宋体" w:cs="宋体" w:eastAsia="宋体" w:hint="default"/>
                <w:sz w:val="18"/>
                <w:szCs w:val="18"/>
              </w:rPr>
            </w:pPr>
            <w:r>
              <w:rPr>
                <w:rFonts w:ascii="宋体" w:hAnsi="宋体" w:cs="宋体" w:eastAsia="宋体" w:hint="default"/>
                <w:w w:val="100"/>
                <w:sz w:val="18"/>
                <w:szCs w:val="18"/>
              </w:rPr>
              <w:t>”</w:t>
            </w:r>
          </w:p>
          <w:p>
            <w:pPr>
              <w:pStyle w:val="TableParagraph"/>
              <w:spacing w:line="188" w:lineRule="exact"/>
              <w:ind w:left="135"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600.00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7,897,674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56,371,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146.83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64,268,82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1.59</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747.59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78,976,74</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7.59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100"/>
                <w:sz w:val="18"/>
                <w:szCs w:val="18"/>
              </w:rPr>
              <w:t> </w:t>
            </w:r>
            <w:r>
              <w:rPr>
                <w:rFonts w:ascii="宋体" w:hAnsi="宋体" w:cs="宋体" w:eastAsia="宋体" w:hint="default"/>
                <w:sz w:val="18"/>
                <w:szCs w:val="18"/>
              </w:rPr>
              <w:t>通股</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100"/>
                <w:sz w:val="18"/>
                <w:szCs w:val="18"/>
              </w:rPr>
              <w:t> </w:t>
            </w:r>
            <w:r>
              <w:rPr>
                <w:rFonts w:ascii="宋体" w:hAnsi="宋体" w:cs="宋体" w:eastAsia="宋体" w:hint="default"/>
                <w:sz w:val="18"/>
                <w:szCs w:val="18"/>
              </w:rPr>
              <w:t>持有者投入资本</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8"/>
              <w:ind w:left="23" w:right="143"/>
              <w:jc w:val="left"/>
              <w:rPr>
                <w:rFonts w:ascii="宋体" w:hAnsi="宋体" w:cs="宋体" w:eastAsia="宋体" w:hint="default"/>
                <w:sz w:val="18"/>
                <w:szCs w:val="18"/>
              </w:rPr>
            </w:pPr>
            <w:r>
              <w:rPr>
                <w:rFonts w:ascii="宋体" w:hAnsi="宋体" w:cs="宋体" w:eastAsia="宋体" w:hint="default"/>
                <w:sz w:val="18"/>
                <w:szCs w:val="18"/>
              </w:rPr>
              <w:t>所有者权益的金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-22,605,</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600.76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-14,707,9</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26.00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-7,897,6</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74.76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r>
              <w:rPr>
                <w:rFonts w:ascii="宋体" w:hAnsi="宋体" w:cs="宋体" w:eastAsia="宋体" w:hint="default"/>
                <w:w w:val="100"/>
                <w:sz w:val="18"/>
                <w:szCs w:val="18"/>
              </w:rPr>
              <w:t> </w:t>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-14,707,</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926.00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-14,707,9</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26.00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600.00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-108,947,</w:t>
            </w:r>
          </w:p>
          <w:p>
            <w:pPr>
              <w:pStyle w:val="TableParagraph"/>
              <w:spacing w:line="240" w:lineRule="auto" w:before="102"/>
              <w:ind w:left="240" w:right="0"/>
              <w:jc w:val="center"/>
              <w:rPr>
                <w:rFonts w:ascii="Times New Roman" w:hAnsi="Times New Roman" w:cs="Times New Roman" w:eastAsia="Times New Roman" w:hint="default"/>
                <w:sz w:val="18"/>
                <w:szCs w:val="18"/>
              </w:rPr>
            </w:pPr>
            <w:r>
              <w:rPr>
                <w:rFonts w:ascii="Times New Roman"/>
                <w:sz w:val="18"/>
              </w:rPr>
              <w:t>600.00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100"/>
                <w:sz w:val="18"/>
                <w:szCs w:val="18"/>
              </w:rPr>
              <w:t> </w:t>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217,895,</w:t>
            </w:r>
          </w:p>
          <w:p>
            <w:pPr>
              <w:pStyle w:val="TableParagraph"/>
              <w:spacing w:line="240" w:lineRule="auto" w:before="102"/>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1,022,109</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,919.73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42,941,82</w:t>
            </w:r>
          </w:p>
          <w:p>
            <w:pPr>
              <w:pStyle w:val="TableParagraph"/>
              <w:spacing w:line="240" w:lineRule="auto" w:before="102"/>
              <w:ind w:left="445" w:right="0"/>
              <w:jc w:val="left"/>
              <w:rPr>
                <w:rFonts w:ascii="Times New Roman" w:hAnsi="Times New Roman" w:cs="Times New Roman" w:eastAsia="Times New Roman" w:hint="default"/>
                <w:sz w:val="18"/>
                <w:szCs w:val="18"/>
              </w:rPr>
            </w:pPr>
            <w:r>
              <w:rPr>
                <w:rFonts w:ascii="Times New Roman"/>
                <w:sz w:val="18"/>
              </w:rPr>
              <w:t>3.99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351,132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,489.79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1,634,079</w:t>
            </w:r>
          </w:p>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,433.51</w:t>
            </w:r>
          </w:p>
        </w:tc>
      </w:tr>
    </w:tbl>
    <w:p>
      <w:pPr>
        <w:pStyle w:val="BodyText"/>
        <w:spacing w:line="240" w:lineRule="auto" w:before="49"/>
        <w:ind w:right="0"/>
        <w:jc w:val="left"/>
      </w:pPr>
      <w:r>
        <w:rPr/>
        <w:t>上期金额</w:t>
      </w:r>
    </w:p>
    <w:p>
      <w:pPr>
        <w:pStyle w:val="BodyText"/>
        <w:spacing w:line="240" w:lineRule="auto" w:before="117"/>
        <w:ind w:left="0" w:right="152"/>
        <w:jc w:val="right"/>
      </w:pPr>
      <w:r>
        <w:rPr>
          <w:spacing w:val="-1"/>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1"/>
        <w:gridCol w:w="665"/>
        <w:gridCol w:w="667"/>
        <w:gridCol w:w="665"/>
        <w:gridCol w:w="797"/>
        <w:gridCol w:w="797"/>
        <w:gridCol w:w="797"/>
        <w:gridCol w:w="799"/>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41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w w:val="100"/>
                <w:sz w:val="18"/>
                <w:szCs w:val="18"/>
              </w:rPr>
              <w:t> </w:t>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w w:val="100"/>
                <w:sz w:val="18"/>
                <w:szCs w:val="18"/>
              </w:rPr>
              <w:t> </w:t>
            </w:r>
            <w:r>
              <w:rPr>
                <w:rFonts w:ascii="宋体" w:hAnsi="宋体" w:cs="宋体" w:eastAsia="宋体" w:hint="default"/>
                <w:sz w:val="18"/>
                <w:szCs w:val="18"/>
              </w:rPr>
              <w:t>收益</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w w:val="100"/>
                <w:sz w:val="18"/>
                <w:szCs w:val="18"/>
              </w:rPr>
              <w:t> </w:t>
            </w:r>
            <w:r>
              <w:rPr>
                <w:rFonts w:ascii="宋体" w:hAnsi="宋体" w:cs="宋体" w:eastAsia="宋体" w:hint="default"/>
                <w:sz w:val="18"/>
                <w:szCs w:val="18"/>
              </w:rPr>
              <w:t>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2" w:right="24" w:hanging="89"/>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w w:val="100"/>
                <w:sz w:val="18"/>
                <w:szCs w:val="18"/>
              </w:rPr>
              <w:t> </w:t>
            </w:r>
            <w:r>
              <w:rPr>
                <w:rFonts w:ascii="宋体" w:hAnsi="宋体" w:cs="宋体" w:eastAsia="宋体" w:hint="default"/>
                <w:sz w:val="18"/>
                <w:szCs w:val="18"/>
              </w:rPr>
              <w:t>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3D3D3"/>
          </w:tcPr>
          <w:p>
            <w:pP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677"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211"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vMerge w:val="restart"/>
            <w:tcBorders>
              <w:top w:val="single" w:sz="4" w:space="0" w:color="000000"/>
              <w:left w:val="single" w:sz="8" w:space="0" w:color="D3D3D3"/>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93,800,0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563,224,3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89.24</w:t>
            </w:r>
          </w:p>
        </w:tc>
        <w:tc>
          <w:tcPr>
            <w:tcW w:w="797" w:type="dxa"/>
            <w:vMerge w:val="restart"/>
            <w:tcBorders>
              <w:top w:val="single" w:sz="24" w:space="0" w:color="D3D3D3"/>
              <w:left w:val="single" w:sz="4" w:space="0" w:color="000000"/>
              <w:right w:val="single" w:sz="4" w:space="0" w:color="000000"/>
            </w:tcBorders>
          </w:tcPr>
          <w:p>
            <w:pPr/>
          </w:p>
        </w:tc>
        <w:tc>
          <w:tcPr>
            <w:tcW w:w="797" w:type="dxa"/>
            <w:vMerge w:val="restart"/>
            <w:tcBorders>
              <w:top w:val="single" w:sz="24" w:space="0" w:color="D3D3D3"/>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24,165,28</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1.58</w:t>
            </w:r>
          </w:p>
        </w:tc>
        <w:tc>
          <w:tcPr>
            <w:tcW w:w="677" w:type="dxa"/>
            <w:vMerge w:val="restart"/>
            <w:tcBorders>
              <w:top w:val="single" w:sz="24" w:space="0" w:color="D3D3D3"/>
              <w:left w:val="single" w:sz="4" w:space="0" w:color="000000"/>
              <w:right w:val="single" w:sz="4" w:space="0" w:color="000000"/>
            </w:tcBorders>
          </w:tcPr>
          <w:p>
            <w:pPr>
              <w:pStyle w:val="TableParagraph"/>
              <w:spacing w:line="240" w:lineRule="auto" w:before="66"/>
              <w:ind w:left="57" w:right="0"/>
              <w:jc w:val="left"/>
              <w:rPr>
                <w:rFonts w:ascii="Times New Roman" w:hAnsi="Times New Roman" w:cs="Times New Roman" w:eastAsia="Times New Roman" w:hint="default"/>
                <w:sz w:val="18"/>
                <w:szCs w:val="18"/>
              </w:rPr>
            </w:pPr>
            <w:r>
              <w:rPr>
                <w:rFonts w:ascii="Times New Roman"/>
                <w:sz w:val="18"/>
              </w:rPr>
              <w:t>208,107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,534.16</w:t>
            </w:r>
          </w:p>
        </w:tc>
        <w:tc>
          <w:tcPr>
            <w:tcW w:w="780" w:type="dxa"/>
            <w:vMerge w:val="restart"/>
            <w:tcBorders>
              <w:top w:val="single" w:sz="24" w:space="0" w:color="D3D3D3"/>
              <w:left w:val="single" w:sz="4" w:space="0" w:color="000000"/>
              <w:right w:val="single" w:sz="4" w:space="0" w:color="000000"/>
            </w:tcBorders>
          </w:tcPr>
          <w:p>
            <w:pPr>
              <w:pStyle w:val="TableParagraph"/>
              <w:spacing w:line="240" w:lineRule="auto" w:before="66"/>
              <w:ind w:left="25" w:right="0"/>
              <w:jc w:val="left"/>
              <w:rPr>
                <w:rFonts w:ascii="Times New Roman" w:hAnsi="Times New Roman" w:cs="Times New Roman" w:eastAsia="Times New Roman" w:hint="default"/>
                <w:sz w:val="18"/>
                <w:szCs w:val="18"/>
              </w:rPr>
            </w:pPr>
            <w:r>
              <w:rPr>
                <w:rFonts w:ascii="Times New Roman"/>
                <w:sz w:val="18"/>
              </w:rPr>
              <w:t>889,297,2</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04.98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701" w:type="dxa"/>
            <w:vMerge/>
            <w:tcBorders>
              <w:left w:val="single" w:sz="8" w:space="0" w:color="D3D3D3"/>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0"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vMerge/>
            <w:tcBorders>
              <w:left w:val="single" w:sz="8" w:space="0" w:color="D3D3D3"/>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w w:val="100"/>
                <w:sz w:val="18"/>
                <w:szCs w:val="18"/>
              </w:rPr>
              <w:t> </w:t>
            </w:r>
            <w:r>
              <w:rPr>
                <w:rFonts w:ascii="宋体" w:hAnsi="宋体" w:cs="宋体" w:eastAsia="宋体" w:hint="default"/>
                <w:sz w:val="18"/>
                <w:szCs w:val="18"/>
              </w:rPr>
              <w:t>变更</w:t>
            </w:r>
          </w:p>
        </w:tc>
        <w:tc>
          <w:tcPr>
            <w:tcW w:w="70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1" w:type="dxa"/>
            <w:tcBorders>
              <w:top w:val="single" w:sz="4" w:space="0" w:color="000000"/>
              <w:left w:val="single" w:sz="8" w:space="0" w:color="D3D3D3"/>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28.880005pt;margin-top:115.290016pt;width:33pt;height:36.5pt;mso-position-horizontal-relative:page;mso-position-vertical-relative:page;z-index:-898120" coordorigin="2578,2306" coordsize="660,730">
            <v:group style="position:absolute;left:2590;top:2318;width:2;height:706" coordorigin="2590,2318" coordsize="2,706">
              <v:shape style="position:absolute;left:2590;top:2318;width:2;height:706" coordorigin="2590,2318" coordsize="0,706" path="m2590,2318l2590,3024e" filled="false" stroked="true" strokeweight="1.2pt" strokecolor="#ffffff">
                <v:path arrowok="t"/>
              </v:shape>
            </v:group>
            <v:group style="position:absolute;left:2602;top:2318;width:636;height:353" coordorigin="2602,2318" coordsize="636,353">
              <v:shape style="position:absolute;left:2602;top:2318;width:636;height:353" coordorigin="2602,2318" coordsize="636,353" path="m2602,2318l3238,2318,3238,2671,2602,2671,2602,2318xe" filled="true" fillcolor="#ffffff" stroked="false">
                <v:path arrowok="t"/>
                <v:fill type="solid"/>
              </v:shape>
            </v:group>
            <v:group style="position:absolute;left:2602;top:2671;width:636;height:353" coordorigin="2602,2671" coordsize="636,353">
              <v:shape style="position:absolute;left:2602;top:2671;width:636;height:353" coordorigin="2602,2671" coordsize="636,353" path="m2602,2671l3238,2671,3238,3024,2602,3024,2602,267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93,800,0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563,224,3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89.24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24,165,28</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1.58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208,107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,534.16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889,297,2</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04.98</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w w:val="100"/>
                <w:sz w:val="18"/>
                <w:szCs w:val="18"/>
              </w:rPr>
              <w:t>金额（减少以“－</w:t>
            </w:r>
            <w:r>
              <w:rPr>
                <w:rFonts w:ascii="宋体" w:hAnsi="宋体" w:cs="宋体" w:eastAsia="宋体"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60" w:lineRule="exact"/>
              <w:ind w:left="28" w:right="0"/>
              <w:jc w:val="left"/>
              <w:rPr>
                <w:rFonts w:ascii="Times New Roman" w:hAnsi="Times New Roman" w:cs="Times New Roman" w:eastAsia="Times New Roman" w:hint="default"/>
                <w:sz w:val="18"/>
                <w:szCs w:val="18"/>
              </w:rPr>
            </w:pPr>
            <w:r>
              <w:rPr>
                <w:rFonts w:ascii="Times New Roman"/>
                <w:sz w:val="18"/>
              </w:rPr>
              <w:t>15,147,6</w:t>
            </w:r>
          </w:p>
          <w:p>
            <w:pPr>
              <w:pStyle w:val="TableParagraph"/>
              <w:spacing w:line="170" w:lineRule="exact"/>
              <w:ind w:left="-121" w:right="0"/>
              <w:jc w:val="left"/>
              <w:rPr>
                <w:rFonts w:ascii="宋体" w:hAnsi="宋体" w:cs="宋体" w:eastAsia="宋体" w:hint="default"/>
                <w:sz w:val="18"/>
                <w:szCs w:val="18"/>
              </w:rPr>
            </w:pPr>
            <w:r>
              <w:rPr>
                <w:rFonts w:ascii="宋体" w:hAnsi="宋体" w:cs="宋体" w:eastAsia="宋体" w:hint="default"/>
                <w:w w:val="100"/>
                <w:sz w:val="18"/>
                <w:szCs w:val="18"/>
              </w:rPr>
              <w:t>”</w:t>
            </w:r>
          </w:p>
          <w:p>
            <w:pPr>
              <w:pStyle w:val="TableParagraph"/>
              <w:spacing w:line="188" w:lineRule="exact"/>
              <w:ind w:left="25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567,833,1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10,878,86</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7.65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86,653,</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808.80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680,513,4</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06.94</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108,788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,676.45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108,788,6</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76.45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15,147,6</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567,833,1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582,980,7</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30.49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r>
              <w:rPr>
                <w:rFonts w:ascii="宋体" w:hAnsi="宋体" w:cs="宋体" w:eastAsia="宋体" w:hint="default"/>
                <w:w w:val="100"/>
                <w:sz w:val="18"/>
                <w:szCs w:val="18"/>
              </w:rPr>
              <w:t> </w:t>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r>
              <w:rPr>
                <w:rFonts w:ascii="宋体" w:hAnsi="宋体" w:cs="宋体" w:eastAsia="宋体" w:hint="default"/>
                <w:w w:val="100"/>
                <w:sz w:val="18"/>
                <w:szCs w:val="18"/>
              </w:rPr>
              <w:t> </w:t>
            </w: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r>
              <w:rPr>
                <w:rFonts w:ascii="宋体" w:hAnsi="宋体" w:cs="宋体" w:eastAsia="宋体" w:hint="default"/>
                <w:w w:val="100"/>
                <w:sz w:val="18"/>
                <w:szCs w:val="18"/>
              </w:rPr>
              <w:t> </w:t>
            </w:r>
            <w:r>
              <w:rPr>
                <w:rFonts w:ascii="宋体" w:hAnsi="宋体" w:cs="宋体" w:eastAsia="宋体" w:hint="default"/>
                <w:sz w:val="18"/>
                <w:szCs w:val="18"/>
              </w:rPr>
              <w:t>所有者权益的金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10,878,86</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7.65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-22,134,</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867.65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-11,256,0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10,878,86</w:t>
            </w:r>
          </w:p>
          <w:p>
            <w:pPr>
              <w:pStyle w:val="TableParagraph"/>
              <w:spacing w:line="240" w:lineRule="auto" w:before="105"/>
              <w:ind w:left="445" w:right="0"/>
              <w:jc w:val="left"/>
              <w:rPr>
                <w:rFonts w:ascii="Times New Roman" w:hAnsi="Times New Roman" w:cs="Times New Roman" w:eastAsia="Times New Roman" w:hint="default"/>
                <w:sz w:val="18"/>
                <w:szCs w:val="18"/>
              </w:rPr>
            </w:pPr>
            <w:r>
              <w:rPr>
                <w:rFonts w:ascii="Times New Roman"/>
                <w:sz w:val="18"/>
              </w:rPr>
              <w:t>7.65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-10,878,</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867.65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r>
              <w:rPr>
                <w:rFonts w:ascii="宋体" w:hAnsi="宋体" w:cs="宋体" w:eastAsia="宋体" w:hint="default"/>
                <w:w w:val="100"/>
                <w:sz w:val="18"/>
                <w:szCs w:val="18"/>
              </w:rPr>
              <w:t> </w:t>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-11,256,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-11,256,0</w:t>
            </w:r>
          </w:p>
          <w:p>
            <w:pPr>
              <w:pStyle w:val="TableParagraph"/>
              <w:spacing w:line="240" w:lineRule="auto" w:before="105"/>
              <w:ind w:left="337"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r>
              <w:rPr>
                <w:rFonts w:ascii="宋体" w:hAnsi="宋体" w:cs="宋体" w:eastAsia="宋体" w:hint="default"/>
                <w:w w:val="100"/>
                <w:sz w:val="18"/>
                <w:szCs w:val="18"/>
              </w:rPr>
              <w:t> </w:t>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r>
              <w:rPr>
                <w:rFonts w:ascii="宋体" w:hAnsi="宋体" w:cs="宋体" w:eastAsia="宋体" w:hint="default"/>
                <w:w w:val="100"/>
                <w:sz w:val="18"/>
                <w:szCs w:val="18"/>
              </w:rPr>
              <w:t> </w:t>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108,947,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1,131,057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2" w:right="0"/>
              <w:jc w:val="left"/>
              <w:rPr>
                <w:rFonts w:ascii="Times New Roman" w:hAnsi="Times New Roman" w:cs="Times New Roman" w:eastAsia="Times New Roman" w:hint="default"/>
                <w:sz w:val="18"/>
                <w:szCs w:val="18"/>
              </w:rPr>
            </w:pPr>
            <w:r>
              <w:rPr>
                <w:rFonts w:ascii="Times New Roman"/>
                <w:sz w:val="18"/>
              </w:rPr>
              <w:t>35,044,14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294,761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 w:right="0"/>
              <w:jc w:val="left"/>
              <w:rPr>
                <w:rFonts w:ascii="Times New Roman" w:hAnsi="Times New Roman" w:cs="Times New Roman" w:eastAsia="Times New Roman" w:hint="default"/>
                <w:sz w:val="18"/>
                <w:szCs w:val="18"/>
              </w:rPr>
            </w:pPr>
            <w:r>
              <w:rPr>
                <w:rFonts w:ascii="Times New Roman"/>
                <w:sz w:val="18"/>
              </w:rPr>
              <w:t>1,569,810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3" w:right="0"/>
              <w:jc w:val="left"/>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0" w:right="0"/>
              <w:jc w:val="left"/>
              <w:rPr>
                <w:rFonts w:ascii="Times New Roman" w:hAnsi="Times New Roman" w:cs="Times New Roman" w:eastAsia="Times New Roman" w:hint="default"/>
                <w:sz w:val="18"/>
                <w:szCs w:val="18"/>
              </w:rPr>
            </w:pPr>
            <w:r>
              <w:rPr>
                <w:rFonts w:ascii="Times New Roman"/>
                <w:sz w:val="18"/>
              </w:rPr>
              <w:t>,519.73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5" w:right="0"/>
              <w:jc w:val="left"/>
              <w:rPr>
                <w:rFonts w:ascii="Times New Roman" w:hAnsi="Times New Roman" w:cs="Times New Roman" w:eastAsia="Times New Roman" w:hint="default"/>
                <w:sz w:val="18"/>
                <w:szCs w:val="18"/>
              </w:rPr>
            </w:pPr>
            <w:r>
              <w:rPr>
                <w:rFonts w:ascii="Times New Roman"/>
                <w:sz w:val="18"/>
              </w:rPr>
              <w:t>9.23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,342.96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0" w:right="0"/>
              <w:jc w:val="left"/>
              <w:rPr>
                <w:rFonts w:ascii="Times New Roman" w:hAnsi="Times New Roman" w:cs="Times New Roman" w:eastAsia="Times New Roman" w:hint="default"/>
                <w:sz w:val="18"/>
                <w:szCs w:val="18"/>
              </w:rPr>
            </w:pPr>
            <w:r>
              <w:rPr>
                <w:rFonts w:ascii="Times New Roman"/>
                <w:sz w:val="18"/>
              </w:rPr>
              <w:t>,611.92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3"/>
        <w:jc w:val="left"/>
        <w:rPr>
          <w:b w:val="0"/>
          <w:bCs w:val="0"/>
        </w:rPr>
      </w:pPr>
      <w:bookmarkStart w:name="三、公司基本情况 " w:id="149"/>
      <w:bookmarkEnd w:id="149"/>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3" w:firstLine="359"/>
        <w:jc w:val="left"/>
      </w:pPr>
      <w:r>
        <w:rPr/>
        <w:t>山东瑞康医药股份有限公司（以下简称</w:t>
      </w:r>
      <w:r>
        <w:rPr>
          <w:rFonts w:ascii="Times New Roman" w:hAnsi="Times New Roman" w:cs="Times New Roman" w:eastAsia="Times New Roman" w:hint="default"/>
        </w:rPr>
        <w:t>“</w:t>
      </w:r>
      <w:r>
        <w:rPr/>
        <w:t>瑞康医药</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，注册地址：烟台市芝罘区机场路</w:t>
      </w:r>
      <w:r>
        <w:rPr>
          <w:rFonts w:ascii="Times New Roman" w:hAnsi="Times New Roman" w:cs="Times New Roman" w:eastAsia="Times New Roman" w:hint="default"/>
        </w:rPr>
        <w:t>326</w:t>
      </w:r>
      <w:r>
        <w:rPr/>
        <w:t>号，本公司</w:t>
      </w:r>
      <w:r>
        <w:rPr>
          <w:w w:val="100"/>
        </w:rPr>
        <w:t> </w:t>
      </w:r>
      <w:r>
        <w:rPr>
          <w:spacing w:val="-3"/>
        </w:rPr>
        <w:t>的业务性质：医药商业，主要经营活动：中药材、中药饮片、中成药、化学原料药、化学药制剂、抗生素、生化药品、生物</w:t>
      </w:r>
      <w:r>
        <w:rPr>
          <w:spacing w:val="-46"/>
        </w:rPr>
        <w:t> </w:t>
      </w:r>
      <w:r>
        <w:rPr>
          <w:spacing w:val="-46"/>
        </w:rPr>
      </w:r>
      <w:r>
        <w:rPr>
          <w:spacing w:val="-5"/>
        </w:rPr>
        <w:t>制品（含疫苗）、精神药品、麻醉药品、蛋白同化制剂、肽类激素、医疗用毒性药品、罂粟壳、药品类易制毒化学品的批发；</w:t>
      </w:r>
      <w:r>
        <w:rPr>
          <w:spacing w:val="-28"/>
        </w:rPr>
        <w:t> </w:t>
      </w:r>
      <w:r>
        <w:rPr>
          <w:spacing w:val="-28"/>
        </w:rPr>
      </w:r>
      <w:r>
        <w:rPr>
          <w:spacing w:val="-5"/>
        </w:rPr>
        <w:t>Ⅱ、Ⅲ类医疗器械的批发和零售；常温保存保健食品及日用品销售；健身器械、化妆品、消毒液的批发；药品的仓储、配送；</w:t>
      </w:r>
      <w:r>
        <w:rPr>
          <w:spacing w:val="-27"/>
        </w:rPr>
        <w:t> </w:t>
      </w:r>
      <w:r>
        <w:rPr>
          <w:spacing w:val="-27"/>
        </w:rPr>
      </w:r>
      <w:r>
        <w:rPr>
          <w:spacing w:val="-3"/>
        </w:rPr>
        <w:t>普通货运；医用织物的生产加工、租赁、销售及洗涤配送；玻璃仪器、化工产品（不含危险化学品）、化学试剂（不含危险</w:t>
      </w:r>
      <w:r>
        <w:rPr>
          <w:spacing w:val="-47"/>
        </w:rPr>
        <w:t> </w:t>
      </w:r>
      <w:r>
        <w:rPr>
          <w:spacing w:val="-47"/>
        </w:rPr>
      </w:r>
      <w:r>
        <w:rPr/>
        <w:t>化学品）的批发；批发兼零售预包装食品，乳制品（含婴幼儿配方乳粉）；医疗器械租赁和技术服务；仓储服务</w:t>
      </w:r>
      <w:r>
        <w:rPr>
          <w:rFonts w:ascii="Times New Roman" w:hAnsi="Times New Roman" w:cs="Times New Roman" w:eastAsia="Times New Roman" w:hint="default"/>
        </w:rPr>
        <w:t>(</w:t>
      </w:r>
      <w:r>
        <w:rPr/>
        <w:t>国家专项</w:t>
      </w:r>
      <w:r>
        <w:rPr>
          <w:w w:val="100"/>
        </w:rPr>
        <w:t> </w:t>
      </w:r>
      <w:r>
        <w:rPr/>
        <w:t>规定除外</w:t>
      </w:r>
      <w:r>
        <w:rPr>
          <w:rFonts w:ascii="Times New Roman" w:hAnsi="Times New Roman" w:cs="Times New Roman" w:eastAsia="Times New Roman" w:hint="default"/>
        </w:rPr>
        <w:t>)</w:t>
      </w:r>
      <w:r>
        <w:rPr/>
        <w:t>；经济贸易咨询。（依法须经批准的项目，经相关部门批准后方可开展经营活动，有效期以许可证为准）。</w:t>
      </w:r>
    </w:p>
    <w:p>
      <w:pPr>
        <w:pStyle w:val="BodyText"/>
        <w:spacing w:line="240" w:lineRule="auto" w:before="103"/>
        <w:ind w:left="512" w:right="93"/>
        <w:jc w:val="left"/>
      </w:pPr>
      <w:r>
        <w:rPr/>
        <w:t>本公司财务报表已于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日经公司董事会批准报出。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BodyText"/>
        <w:spacing w:line="240" w:lineRule="auto"/>
        <w:ind w:right="93"/>
        <w:jc w:val="left"/>
      </w:pPr>
      <w:r>
        <w:rPr/>
        <w:t>本公司</w:t>
      </w:r>
      <w:r>
        <w:rPr>
          <w:rFonts w:ascii="Times New Roman" w:hAnsi="Times New Roman" w:cs="Times New Roman" w:eastAsia="Times New Roman" w:hint="default"/>
        </w:rPr>
        <w:t>2014</w:t>
      </w:r>
      <w:r>
        <w:rPr/>
        <w:t>年度纳入合并范围的子公司共</w:t>
      </w:r>
      <w:r>
        <w:rPr>
          <w:rFonts w:ascii="Times New Roman" w:hAnsi="Times New Roman" w:cs="Times New Roman" w:eastAsia="Times New Roman" w:hint="default"/>
        </w:rPr>
        <w:t>25</w:t>
      </w:r>
      <w:r>
        <w:rPr/>
        <w:t>户，详见本附注九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。本公司本年度合并范围比上年度增加</w:t>
      </w:r>
    </w:p>
    <w:p>
      <w:pPr>
        <w:pStyle w:val="BodyText"/>
        <w:spacing w:line="240" w:lineRule="auto" w:before="62"/>
        <w:ind w:right="93"/>
        <w:jc w:val="left"/>
      </w:pPr>
      <w:r>
        <w:rPr>
          <w:rFonts w:ascii="Times New Roman" w:hAnsi="Times New Roman" w:cs="Times New Roman" w:eastAsia="Times New Roman" w:hint="default"/>
        </w:rPr>
        <w:t>5</w:t>
      </w:r>
      <w:r>
        <w:rPr/>
        <w:t>户，减少</w:t>
      </w:r>
      <w:r>
        <w:rPr>
          <w:rFonts w:ascii="Times New Roman" w:hAnsi="Times New Roman" w:cs="Times New Roman" w:eastAsia="Times New Roman" w:hint="default"/>
        </w:rPr>
        <w:t>1</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Heading2"/>
        <w:spacing w:line="240" w:lineRule="auto"/>
        <w:ind w:right="93"/>
        <w:jc w:val="left"/>
        <w:rPr>
          <w:b w:val="0"/>
          <w:bCs w:val="0"/>
        </w:rPr>
      </w:pPr>
      <w:bookmarkStart w:name="四、财务报表的编制基础 " w:id="150"/>
      <w:bookmarkEnd w:id="150"/>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bookmarkStart w:name="1、编制基础 " w:id="151"/>
      <w:bookmarkEnd w:id="15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本公司财务报表以持续经营假设为基础，根据实际发生的交易和事项，按照财政部发布的《企业会计准则</w:t>
      </w:r>
      <w:r>
        <w:rPr>
          <w:rFonts w:ascii="Times New Roman" w:hAnsi="Times New Roman" w:cs="Times New Roman" w:eastAsia="Times New Roman" w:hint="default"/>
        </w:rPr>
        <w:t>—</w:t>
      </w:r>
      <w:r>
        <w:rPr/>
        <w:t>基本准则》</w:t>
      </w:r>
    </w:p>
    <w:p>
      <w:pPr>
        <w:pStyle w:val="BodyText"/>
        <w:spacing w:line="300" w:lineRule="auto" w:before="62"/>
        <w:ind w:right="93"/>
        <w:jc w:val="left"/>
      </w:pPr>
      <w:r>
        <w:rPr>
          <w:spacing w:val="-1"/>
        </w:rPr>
        <w:t>（财政部令第</w:t>
      </w:r>
      <w:r>
        <w:rPr>
          <w:rFonts w:ascii="Times New Roman" w:hAnsi="Times New Roman" w:cs="Times New Roman" w:eastAsia="Times New Roman" w:hint="default"/>
          <w:spacing w:val="-1"/>
        </w:rPr>
        <w:t>33</w:t>
      </w:r>
      <w:r>
        <w:rPr>
          <w:spacing w:val="-1"/>
        </w:rPr>
        <w:t>号发布、财政部令第</w:t>
      </w:r>
      <w:r>
        <w:rPr>
          <w:rFonts w:ascii="Times New Roman" w:hAnsi="Times New Roman" w:cs="Times New Roman" w:eastAsia="Times New Roman" w:hint="default"/>
          <w:spacing w:val="-1"/>
        </w:rPr>
        <w:t>76</w:t>
      </w:r>
      <w:r>
        <w:rPr>
          <w:spacing w:val="-1"/>
        </w:rPr>
        <w:t>号修订）、于</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15</w:t>
      </w:r>
      <w:r>
        <w:rPr>
          <w:spacing w:val="-1"/>
        </w:rPr>
        <w:t>日及其后颁布和修订的</w:t>
      </w:r>
      <w:r>
        <w:rPr>
          <w:rFonts w:ascii="Times New Roman" w:hAnsi="Times New Roman" w:cs="Times New Roman" w:eastAsia="Times New Roman" w:hint="default"/>
          <w:spacing w:val="-1"/>
        </w:rPr>
        <w:t>41</w:t>
      </w:r>
      <w:r>
        <w:rPr>
          <w:spacing w:val="-1"/>
        </w:rPr>
        <w:t>项具体会计准则、企业会计准则</w:t>
      </w:r>
      <w:r>
        <w:rPr>
          <w:spacing w:val="-60"/>
        </w:rPr>
        <w:t> </w:t>
      </w:r>
      <w:r>
        <w:rPr>
          <w:spacing w:val="-60"/>
        </w:rPr>
      </w:r>
      <w:r>
        <w:rPr/>
        <w:t>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w:t>
      </w:r>
    </w:p>
    <w:p>
      <w:pPr>
        <w:pStyle w:val="BodyText"/>
        <w:spacing w:line="300" w:lineRule="auto" w:before="114"/>
        <w:ind w:right="93" w:firstLine="359"/>
        <w:jc w:val="left"/>
      </w:pPr>
      <w:r>
        <w:rPr>
          <w:spacing w:val="-3"/>
        </w:rPr>
        <w:t>此外，本公司还按照《公开发行证券的公司信息披露编报规则第</w:t>
      </w:r>
      <w:r>
        <w:rPr>
          <w:rFonts w:ascii="Times New Roman" w:hAnsi="Times New Roman" w:cs="Times New Roman" w:eastAsia="Times New Roman" w:hint="default"/>
          <w:spacing w:val="-3"/>
        </w:rPr>
        <w:t>15</w:t>
      </w:r>
      <w:r>
        <w:rPr>
          <w:spacing w:val="-3"/>
        </w:rPr>
        <w:t>号</w:t>
      </w:r>
      <w:r>
        <w:rPr>
          <w:rFonts w:ascii="Times New Roman" w:hAnsi="Times New Roman" w:cs="Times New Roman" w:eastAsia="Times New Roman" w:hint="default"/>
          <w:spacing w:val="-3"/>
        </w:rPr>
        <w:t>—</w:t>
      </w:r>
      <w:r>
        <w:rPr>
          <w:spacing w:val="-3"/>
        </w:rPr>
        <w:t>财务报告的一般规定（</w:t>
      </w:r>
      <w:r>
        <w:rPr>
          <w:rFonts w:ascii="Times New Roman" w:hAnsi="Times New Roman" w:cs="Times New Roman" w:eastAsia="Times New Roman" w:hint="default"/>
          <w:spacing w:val="-3"/>
        </w:rPr>
        <w:t>2014</w:t>
      </w:r>
      <w:r>
        <w:rPr>
          <w:spacing w:val="-3"/>
        </w:rPr>
        <w:t>年修订）》披露有关</w:t>
      </w:r>
      <w:r>
        <w:rPr>
          <w:w w:val="100"/>
        </w:rPr>
        <w:t> </w:t>
      </w:r>
      <w:r>
        <w:rPr/>
        <w:t>财务信息。</w:t>
      </w:r>
    </w:p>
    <w:p>
      <w:pPr>
        <w:pStyle w:val="BodyText"/>
        <w:spacing w:line="319" w:lineRule="auto" w:before="132"/>
        <w:ind w:right="93" w:firstLine="359"/>
        <w:jc w:val="left"/>
      </w:pPr>
      <w:r>
        <w:rPr>
          <w:spacing w:val="-3"/>
        </w:rPr>
        <w:t>根据企业会计准则的相关规定，本公司会计核算以权责发生制为基础。本财务报表以历史成本作为计量基础。资产如果</w:t>
      </w:r>
      <w:r>
        <w:rPr>
          <w:w w:val="100"/>
        </w:rPr>
        <w:t> </w:t>
      </w:r>
      <w:r>
        <w:rPr/>
        <w:t>发生减值，则按照相关规定计提相应的减值准备。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ind w:right="93"/>
        <w:jc w:val="left"/>
        <w:rPr>
          <w:b w:val="0"/>
          <w:bCs w:val="0"/>
        </w:rPr>
      </w:pPr>
      <w:bookmarkStart w:name="2、持续经营 " w:id="152"/>
      <w:bookmarkEnd w:id="15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8"/>
        <w:rPr>
          <w:rFonts w:ascii="宋体" w:hAnsi="宋体" w:cs="宋体" w:eastAsia="宋体" w:hint="default"/>
          <w:b/>
          <w:bCs/>
          <w:sz w:val="22"/>
          <w:szCs w:val="22"/>
        </w:rPr>
      </w:pPr>
    </w:p>
    <w:p>
      <w:pPr>
        <w:pStyle w:val="BodyText"/>
        <w:spacing w:line="240" w:lineRule="auto"/>
        <w:ind w:left="512" w:right="93"/>
        <w:jc w:val="left"/>
        <w:rPr>
          <w:rFonts w:ascii="宋体" w:hAnsi="宋体" w:cs="宋体" w:eastAsia="宋体" w:hint="default"/>
          <w:sz w:val="24"/>
          <w:szCs w:val="24"/>
        </w:rPr>
      </w:pPr>
      <w:r>
        <w:rPr/>
        <w:t>公司自本报告期末至少</w:t>
      </w:r>
      <w:r>
        <w:rPr>
          <w:rFonts w:ascii="Times New Roman" w:hAnsi="Times New Roman" w:cs="Times New Roman" w:eastAsia="Times New Roman" w:hint="default"/>
        </w:rPr>
        <w:t>12</w:t>
      </w:r>
      <w:r>
        <w:rPr/>
        <w:t>个月内具备持续经营能力，无影响持续经营能力的重大事项</w:t>
      </w:r>
      <w:r>
        <w:rPr>
          <w:rFonts w:ascii="宋体" w:hAnsi="宋体" w:cs="宋体" w:eastAsia="宋体" w:hint="default"/>
          <w:sz w:val="24"/>
          <w:szCs w:val="24"/>
        </w:rPr>
        <w:t>。</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pStyle w:val="Heading2"/>
        <w:spacing w:line="240" w:lineRule="auto"/>
        <w:ind w:right="93"/>
        <w:jc w:val="left"/>
        <w:rPr>
          <w:b w:val="0"/>
          <w:bCs w:val="0"/>
        </w:rPr>
      </w:pPr>
      <w:bookmarkStart w:name="五、重要会计政策及会计估计 " w:id="153"/>
      <w:bookmarkEnd w:id="153"/>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2" w:right="93" w:hanging="360"/>
        <w:jc w:val="left"/>
      </w:pPr>
      <w:r>
        <w:rPr/>
        <w:t>具体会计政策和会计估计提示：</w:t>
      </w:r>
      <w:r>
        <w:rPr>
          <w:w w:val="100"/>
        </w:rPr>
        <w:t> </w:t>
      </w:r>
      <w:r>
        <w:rPr>
          <w:spacing w:val="-3"/>
        </w:rPr>
        <w:t>本公司根据实际生产经营特点，依据相关企业会计准则的规定，对收入确认等交易和事项制定了若干项具体会计政策和</w:t>
      </w:r>
    </w:p>
    <w:p>
      <w:pPr>
        <w:pStyle w:val="BodyText"/>
        <w:spacing w:line="236" w:lineRule="exact"/>
        <w:ind w:right="93"/>
        <w:jc w:val="left"/>
      </w:pPr>
      <w:r>
        <w:rPr/>
        <w:t>会计估计，详见本附注</w:t>
      </w:r>
      <w:r>
        <w:rPr>
          <w:rFonts w:ascii="Times New Roman" w:hAnsi="Times New Roman" w:cs="Times New Roman" w:eastAsia="Times New Roman" w:hint="default"/>
        </w:rPr>
        <w:t>24“</w:t>
      </w:r>
      <w:r>
        <w:rPr/>
        <w:t>收入</w:t>
      </w:r>
      <w:r>
        <w:rPr>
          <w:rFonts w:ascii="Times New Roman" w:hAnsi="Times New Roman" w:cs="Times New Roman" w:eastAsia="Times New Roman" w:hint="default"/>
        </w:rPr>
        <w:t>”</w:t>
      </w:r>
      <w:r>
        <w:rPr/>
        <w:t>各项描述。</w:t>
      </w:r>
    </w:p>
    <w:p>
      <w:pPr>
        <w:spacing w:after="0" w:line="236" w:lineRule="exact"/>
        <w:jc w:val="left"/>
        <w:sectPr>
          <w:pgSz w:w="11910" w:h="16840"/>
          <w:pgMar w:header="745" w:footer="981"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both"/>
        <w:rPr>
          <w:b w:val="0"/>
          <w:bCs w:val="0"/>
        </w:rPr>
      </w:pPr>
      <w:bookmarkStart w:name="1、遵循企业会计准则的声明 " w:id="154"/>
      <w:bookmarkEnd w:id="154"/>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59"/>
        <w:jc w:val="left"/>
      </w:pPr>
      <w:r>
        <w:rPr>
          <w:spacing w:val="-3"/>
        </w:rPr>
        <w:t>本公司编制的财务报表符合企业会计准则的要求，真实、完整地反映了本公司于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日的公司及合并财务状况</w:t>
      </w:r>
      <w:r>
        <w:rPr>
          <w:w w:val="100"/>
        </w:rPr>
        <w:t> </w:t>
      </w:r>
      <w:r>
        <w:rPr/>
        <w:t>以及</w:t>
      </w:r>
      <w:r>
        <w:rPr>
          <w:rFonts w:ascii="Times New Roman" w:hAnsi="Times New Roman" w:cs="Times New Roman" w:eastAsia="Times New Roman" w:hint="default"/>
        </w:rPr>
        <w:t>2014</w:t>
      </w:r>
      <w:r>
        <w:rPr/>
        <w:t>年度的公司及合并经营成果、公司及合并所有者权益变动和公司及合并现金流量。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bookmarkStart w:name="2、会计期间 " w:id="155"/>
      <w:bookmarkEnd w:id="155"/>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本公司的会计年度为公历年度，即每年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 </w:t>
      </w:r>
      <w:r>
        <w:rPr/>
        <w:t>日起至</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 </w:t>
      </w:r>
      <w:r>
        <w:rPr>
          <w:rFonts w:ascii="Times New Roman" w:hAnsi="Times New Roman" w:cs="Times New Roman" w:eastAsia="Times New Roman" w:hint="default"/>
          <w:spacing w:val="41"/>
        </w:rPr>
        <w:t> </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bookmarkStart w:name="3、营业周期 " w:id="156"/>
      <w:bookmarkEnd w:id="156"/>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59"/>
        <w:jc w:val="left"/>
      </w:pPr>
      <w:r>
        <w:rPr/>
        <w:t>正常营业周期是指本公司从购买用于经营的资产起至实现现金或现金等价物的期间。本公司以</w:t>
      </w:r>
      <w:r>
        <w:rPr>
          <w:rFonts w:ascii="Times New Roman" w:hAnsi="Times New Roman" w:cs="Times New Roman" w:eastAsia="Times New Roman" w:hint="default"/>
        </w:rPr>
        <w:t>12</w:t>
      </w:r>
      <w:r>
        <w:rPr/>
        <w:t>个月作为一个营业周</w:t>
      </w:r>
      <w:r>
        <w:rPr>
          <w:w w:val="100"/>
        </w:rPr>
        <w:t> </w:t>
      </w:r>
      <w:r>
        <w:rPr/>
        <w:t>期，并以其作为资产和负债的流动性划分标准。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4、记账本位币 " w:id="157"/>
      <w:bookmarkEnd w:id="157"/>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t>本公司及境内子公司以人民币为记账本位币。本公司编制本财务报表时所采用的货币为人民币。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both"/>
        <w:rPr>
          <w:b w:val="0"/>
          <w:bCs w:val="0"/>
        </w:rPr>
      </w:pPr>
      <w:bookmarkStart w:name="5、同一控制下和非同一控制下企业合并的会计处理方法 " w:id="158"/>
      <w:bookmarkEnd w:id="158"/>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企业合并分为同一控制下的企业合并和非同一控制下的企业合并。</w:t>
      </w:r>
    </w:p>
    <w:p>
      <w:pPr>
        <w:spacing w:line="240" w:lineRule="auto" w:before="5"/>
        <w:rPr>
          <w:rFonts w:ascii="宋体" w:hAnsi="宋体" w:cs="宋体" w:eastAsia="宋体" w:hint="default"/>
          <w:sz w:val="13"/>
          <w:szCs w:val="13"/>
        </w:rPr>
      </w:pPr>
    </w:p>
    <w:p>
      <w:pPr>
        <w:pStyle w:val="BodyText"/>
        <w:spacing w:line="408" w:lineRule="auto"/>
        <w:ind w:left="512" w:right="0"/>
        <w:jc w:val="left"/>
      </w:pPr>
      <w:r>
        <w:rPr/>
        <w:t>（</w:t>
      </w:r>
      <w:r>
        <w:rPr>
          <w:rFonts w:ascii="Times New Roman" w:hAnsi="Times New Roman" w:cs="Times New Roman" w:eastAsia="Times New Roman" w:hint="default"/>
        </w:rPr>
        <w:t>1</w:t>
      </w:r>
      <w:r>
        <w:rPr/>
        <w:t>）同一控制下的企业合并</w:t>
      </w:r>
      <w:r>
        <w:rPr>
          <w:w w:val="100"/>
        </w:rPr>
        <w:t> </w:t>
      </w:r>
      <w:r>
        <w:rPr/>
        <w:t>参与合并的企业在合并前后均受同一方或相同的多方最终控制，且该控制并非暂时性的，为同一控制下的企业合并。</w:t>
      </w:r>
      <w:r>
        <w:rPr>
          <w:w w:val="100"/>
        </w:rPr>
        <w:t> </w:t>
      </w:r>
      <w:r>
        <w:rPr>
          <w:spacing w:val="-3"/>
        </w:rPr>
        <w:t>在企业合并中取得的资产和负债，按合并日其在被合并方的账面价值计量。合并方取得的净资产账面价值与支付的合并</w:t>
      </w:r>
    </w:p>
    <w:p>
      <w:pPr>
        <w:pStyle w:val="BodyText"/>
        <w:spacing w:line="200" w:lineRule="exact"/>
        <w:ind w:right="0"/>
        <w:jc w:val="both"/>
      </w:pPr>
      <w:r>
        <w:rPr/>
        <w:t>对价的账面价值</w:t>
      </w:r>
      <w:r>
        <w:rPr>
          <w:rFonts w:ascii="Times New Roman" w:hAnsi="Times New Roman" w:cs="Times New Roman" w:eastAsia="Times New Roman" w:hint="default"/>
        </w:rPr>
        <w:t>/</w:t>
      </w:r>
      <w:r>
        <w:rPr/>
        <w:t>发行股份面值总额的差额，调整资本公积中的股本溢价，股本溢价不足冲减的则调整留存收益。</w:t>
      </w:r>
    </w:p>
    <w:p>
      <w:pPr>
        <w:pStyle w:val="BodyText"/>
        <w:spacing w:line="240" w:lineRule="auto" w:before="161"/>
        <w:ind w:left="618" w:right="0"/>
        <w:jc w:val="left"/>
      </w:pPr>
      <w:r>
        <w:rPr/>
        <w:t>进行企业合并发生的各项直接费用，于发生时计入当期损益。</w:t>
      </w:r>
    </w:p>
    <w:p>
      <w:pPr>
        <w:spacing w:line="240" w:lineRule="auto" w:before="7"/>
        <w:rPr>
          <w:rFonts w:ascii="宋体" w:hAnsi="宋体" w:cs="宋体" w:eastAsia="宋体" w:hint="default"/>
          <w:sz w:val="13"/>
          <w:szCs w:val="13"/>
        </w:rPr>
      </w:pPr>
    </w:p>
    <w:p>
      <w:pPr>
        <w:pStyle w:val="BodyText"/>
        <w:spacing w:line="408" w:lineRule="auto"/>
        <w:ind w:left="512" w:right="0" w:firstLine="105"/>
        <w:jc w:val="left"/>
      </w:pPr>
      <w:r>
        <w:rPr/>
        <w:t>（</w:t>
      </w:r>
      <w:r>
        <w:rPr>
          <w:rFonts w:ascii="Times New Roman" w:hAnsi="Times New Roman" w:cs="Times New Roman" w:eastAsia="Times New Roman" w:hint="default"/>
        </w:rPr>
        <w:t>2</w:t>
      </w:r>
      <w:r>
        <w:rPr/>
        <w:t>）非同一控制下的企业合并</w:t>
      </w:r>
      <w:r>
        <w:rPr>
          <w:w w:val="100"/>
        </w:rPr>
        <w:t> </w:t>
      </w:r>
      <w:r>
        <w:rPr/>
        <w:t>参与合并的企业在合并前后不受同一方或相同的多方最终控制，为非同一控制下的企业合并。</w:t>
      </w:r>
      <w:r>
        <w:rPr>
          <w:w w:val="100"/>
        </w:rPr>
        <w:t> </w:t>
      </w:r>
      <w:r>
        <w:rPr>
          <w:spacing w:val="-3"/>
        </w:rPr>
        <w:t>合并成本指购买方为取得被购买方的控制权而付出的资产、发生或承担的负债和发行的权益性工具的公允价值。购买方</w:t>
      </w:r>
    </w:p>
    <w:p>
      <w:pPr>
        <w:pStyle w:val="BodyText"/>
        <w:spacing w:line="186" w:lineRule="exact"/>
        <w:ind w:right="0"/>
        <w:jc w:val="both"/>
      </w:pPr>
      <w:r>
        <w:rPr>
          <w:spacing w:val="-3"/>
        </w:rPr>
        <w:t>为企业合并发生的审计、法律服务、评估咨询等中介费用以及其他相关管理费用，于发生时计入当期损益。通过多次交易分</w:t>
      </w:r>
    </w:p>
    <w:p>
      <w:pPr>
        <w:pStyle w:val="BodyText"/>
        <w:spacing w:line="316" w:lineRule="auto" w:before="76"/>
        <w:ind w:right="149"/>
        <w:jc w:val="both"/>
      </w:pPr>
      <w:r>
        <w:rPr>
          <w:spacing w:val="-3"/>
          <w:w w:val="100"/>
        </w:rPr>
        <w:t>步实现非同一控制下的企业合并的，合并成本为购买日支付的对价与购买日之前已经持有的被购买方的股权在购买日的公允</w:t>
      </w:r>
      <w:r>
        <w:rPr>
          <w:spacing w:val="-63"/>
          <w:w w:val="100"/>
        </w:rPr>
        <w:t> </w:t>
      </w:r>
      <w:r>
        <w:rPr>
          <w:spacing w:val="-63"/>
          <w:w w:val="100"/>
        </w:rPr>
      </w:r>
      <w:r>
        <w:rPr>
          <w:spacing w:val="-3"/>
        </w:rPr>
        <w:t>价值之和。对于购买日之前已经持有的被购买方的股权，按照购买日的公允价值进行重新计量，公允价值与其账面价值之间</w:t>
      </w:r>
      <w:r>
        <w:rPr>
          <w:spacing w:val="-48"/>
        </w:rPr>
        <w:t> </w:t>
      </w:r>
      <w:r>
        <w:rPr>
          <w:spacing w:val="-48"/>
        </w:rPr>
      </w:r>
      <w:r>
        <w:rPr>
          <w:spacing w:val="-3"/>
        </w:rPr>
        <w:t>的差额计入当期投资收益；购买日之前已经持有的被购买方的股权涉及其他综合收益的，与其相关的其他综合收益转为购买</w:t>
      </w:r>
      <w:r>
        <w:rPr>
          <w:spacing w:val="-51"/>
        </w:rPr>
        <w:t> </w:t>
      </w:r>
      <w:r>
        <w:rPr>
          <w:spacing w:val="-51"/>
        </w:rPr>
      </w:r>
      <w:r>
        <w:rPr/>
        <w:t>日当期投资收益。</w:t>
      </w:r>
    </w:p>
    <w:p>
      <w:pPr>
        <w:pStyle w:val="BodyText"/>
        <w:spacing w:line="240" w:lineRule="auto" w:before="119"/>
        <w:ind w:left="512" w:right="0"/>
        <w:jc w:val="left"/>
      </w:pPr>
      <w:r>
        <w:rPr>
          <w:spacing w:val="-3"/>
        </w:rPr>
        <w:t>购买方在合并中所取得的被购买方符合确认条件的可辨认资产、负债及或有负债在购买日以公允价值计量。合并成本大</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91"/>
        <w:jc w:val="both"/>
      </w:pPr>
      <w:r>
        <w:rPr>
          <w:spacing w:val="-3"/>
        </w:rPr>
        <w:t>于合并中取得的被购买方可辨认净资产公允价值份额的差额，作为一项资产确认为商誉并按成本进行初始计量。合并成本小</w:t>
      </w:r>
      <w:r>
        <w:rPr>
          <w:spacing w:val="-52"/>
        </w:rPr>
        <w:t> </w:t>
      </w:r>
      <w:r>
        <w:rPr>
          <w:spacing w:val="-52"/>
        </w:rPr>
      </w:r>
      <w:r>
        <w:rPr>
          <w:spacing w:val="-3"/>
        </w:rPr>
        <w:t>于合并中取得的被购买方可辨认净资产公允价值份额的，首先对取得的被购买方各项可辨认资产、负债及或有负债的公允价</w:t>
      </w:r>
      <w:r>
        <w:rPr>
          <w:spacing w:val="-51"/>
        </w:rPr>
        <w:t> </w:t>
      </w:r>
      <w:r>
        <w:rPr>
          <w:spacing w:val="-51"/>
        </w:rPr>
      </w:r>
      <w:r>
        <w:rPr>
          <w:spacing w:val="-3"/>
        </w:rPr>
        <w:t>值以及合并成本的计量进行复核，复核后合并成本仍小于合并中取得的被购买方可辨认净资产公允价值份额的，计入当期损</w:t>
      </w:r>
      <w:r>
        <w:rPr>
          <w:spacing w:val="-52"/>
        </w:rPr>
        <w:t> </w:t>
      </w:r>
      <w:r>
        <w:rPr>
          <w:spacing w:val="-52"/>
        </w:rPr>
      </w:r>
      <w:r>
        <w:rPr/>
        <w:t>益。</w:t>
      </w:r>
    </w:p>
    <w:p>
      <w:pPr>
        <w:pStyle w:val="BodyText"/>
        <w:spacing w:line="319" w:lineRule="auto" w:before="119"/>
        <w:ind w:right="218" w:firstLine="359"/>
        <w:jc w:val="both"/>
      </w:pPr>
      <w:r>
        <w:rPr/>
        <w:t>因企业合并形成的商誉在合并财务报表中单独列报，并按照成本扣除累计减值准备后的金额计量。</w:t>
      </w:r>
      <w:r>
        <w:rPr>
          <w:spacing w:val="-42"/>
        </w:rPr>
        <w:t> </w:t>
      </w:r>
      <w:r>
        <w:rPr/>
        <w:t>商誉至少在每年年</w:t>
      </w:r>
      <w:r>
        <w:rPr>
          <w:w w:val="100"/>
        </w:rPr>
        <w:t> </w:t>
      </w:r>
      <w:r>
        <w:rPr/>
        <w:t>度终了进行减值测试。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3"/>
        <w:spacing w:line="240" w:lineRule="auto"/>
        <w:ind w:right="0"/>
        <w:jc w:val="both"/>
        <w:rPr>
          <w:b w:val="0"/>
          <w:bCs w:val="0"/>
        </w:rPr>
      </w:pPr>
      <w:bookmarkStart w:name="6、合并财务报表的编制方法 " w:id="159"/>
      <w:bookmarkEnd w:id="159"/>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1" w:firstLine="359"/>
        <w:jc w:val="both"/>
      </w:pPr>
      <w:r>
        <w:rPr>
          <w:spacing w:val="-3"/>
        </w:rPr>
        <w:t>合并财务报表的合并范围以控制为基础予以确定。控制是指本公司拥有对被投资方的权力，通过参与被投资方的相关活</w:t>
      </w:r>
      <w:r>
        <w:rPr>
          <w:w w:val="100"/>
        </w:rPr>
        <w:t> </w:t>
      </w:r>
      <w:r>
        <w:rPr/>
        <w:t>动而享有可变回报，并且有能力运用对被投资方的权力影响其回报金额。子公司，是指被本公司控制的主体。</w:t>
      </w:r>
    </w:p>
    <w:p>
      <w:pPr>
        <w:pStyle w:val="BodyText"/>
        <w:spacing w:line="316" w:lineRule="auto" w:before="117"/>
        <w:ind w:right="189" w:firstLine="359"/>
        <w:jc w:val="both"/>
      </w:pPr>
      <w:r>
        <w:rPr>
          <w:spacing w:val="-3"/>
        </w:rPr>
        <w:t>本公司通过同一控制下的企业合并取得的子公司以及业务，编制合并财务报表时，无论该项企业合并发生在报告期的任</w:t>
      </w:r>
      <w:r>
        <w:rPr>
          <w:w w:val="100"/>
        </w:rPr>
        <w:t> </w:t>
      </w:r>
      <w:r>
        <w:rPr>
          <w:spacing w:val="-3"/>
        </w:rPr>
        <w:t>一时点，视同合并后的报告主体自最终控制方开始控制时点一直存在，调整合并资产负债表所有有关项目的期初数，同时对</w:t>
      </w:r>
      <w:r>
        <w:rPr>
          <w:spacing w:val="-48"/>
        </w:rPr>
        <w:t> </w:t>
      </w:r>
      <w:r>
        <w:rPr>
          <w:spacing w:val="-48"/>
        </w:rPr>
      </w:r>
      <w:r>
        <w:rPr>
          <w:spacing w:val="-3"/>
          <w:w w:val="100"/>
        </w:rPr>
        <w:t>比较报表的相关项目进行调整，其自报告期最早期间期初起的经营成果和现金流量已适当地包括在合并利润表和合并现金流</w:t>
      </w:r>
      <w:r>
        <w:rPr>
          <w:spacing w:val="-63"/>
          <w:w w:val="100"/>
        </w:rPr>
        <w:t> </w:t>
      </w:r>
      <w:r>
        <w:rPr>
          <w:spacing w:val="-63"/>
          <w:w w:val="100"/>
        </w:rPr>
      </w:r>
      <w:r>
        <w:rPr/>
        <w:t>量表中。</w:t>
      </w:r>
    </w:p>
    <w:p>
      <w:pPr>
        <w:pStyle w:val="BodyText"/>
        <w:spacing w:line="300" w:lineRule="auto" w:before="117"/>
        <w:ind w:right="191" w:firstLine="359"/>
        <w:jc w:val="both"/>
      </w:pPr>
      <w:r>
        <w:rPr>
          <w:spacing w:val="-2"/>
        </w:rPr>
        <w:t>对于通过非同一控制下的企业合并取得的子公司以及业务，其自购买日</w:t>
      </w:r>
      <w:r>
        <w:rPr>
          <w:rFonts w:ascii="Times New Roman" w:hAnsi="Times New Roman" w:cs="Times New Roman" w:eastAsia="Times New Roman" w:hint="default"/>
          <w:spacing w:val="-2"/>
        </w:rPr>
        <w:t>(</w:t>
      </w:r>
      <w:r>
        <w:rPr>
          <w:spacing w:val="-2"/>
        </w:rPr>
        <w:t>取得控制权的日期</w:t>
      </w:r>
      <w:r>
        <w:rPr>
          <w:rFonts w:ascii="Times New Roman" w:hAnsi="Times New Roman" w:cs="Times New Roman" w:eastAsia="Times New Roman" w:hint="default"/>
          <w:spacing w:val="-2"/>
        </w:rPr>
        <w:t>)</w:t>
      </w:r>
      <w:r>
        <w:rPr>
          <w:spacing w:val="-2"/>
        </w:rPr>
        <w:t>起的经营成果及现金流量已</w:t>
      </w:r>
      <w:r>
        <w:rPr>
          <w:w w:val="100"/>
        </w:rPr>
        <w:t> </w:t>
      </w:r>
      <w:r>
        <w:rPr/>
        <w:t>经适当地包括在合并利润表和合并现金流量表中，不调整合并财务报表的期初数和对比数。</w:t>
      </w:r>
    </w:p>
    <w:p>
      <w:pPr>
        <w:pStyle w:val="BodyText"/>
        <w:spacing w:line="300" w:lineRule="auto" w:before="132"/>
        <w:ind w:right="190" w:firstLine="359"/>
        <w:jc w:val="both"/>
      </w:pPr>
      <w:r>
        <w:rPr>
          <w:spacing w:val="-2"/>
        </w:rPr>
        <w:t>对于本公司处置的子公司，处置日</w:t>
      </w:r>
      <w:r>
        <w:rPr>
          <w:rFonts w:ascii="Times New Roman" w:hAnsi="Times New Roman" w:cs="Times New Roman" w:eastAsia="Times New Roman" w:hint="default"/>
          <w:spacing w:val="-2"/>
        </w:rPr>
        <w:t>(</w:t>
      </w:r>
      <w:r>
        <w:rPr>
          <w:spacing w:val="-2"/>
        </w:rPr>
        <w:t>丧失控制权的日期</w:t>
      </w:r>
      <w:r>
        <w:rPr>
          <w:rFonts w:ascii="Times New Roman" w:hAnsi="Times New Roman" w:cs="Times New Roman" w:eastAsia="Times New Roman" w:hint="default"/>
          <w:spacing w:val="-2"/>
        </w:rPr>
        <w:t>)</w:t>
      </w:r>
      <w:r>
        <w:rPr>
          <w:spacing w:val="-2"/>
        </w:rPr>
        <w:t>前的经营成果和现金流量已经适当地包括在合并利润表和合并现</w:t>
      </w:r>
      <w:r>
        <w:rPr>
          <w:w w:val="100"/>
        </w:rPr>
        <w:t> </w:t>
      </w:r>
      <w:r>
        <w:rPr/>
        <w:t>金流量表中。</w:t>
      </w:r>
    </w:p>
    <w:p>
      <w:pPr>
        <w:pStyle w:val="BodyText"/>
        <w:spacing w:line="417" w:lineRule="auto" w:before="132"/>
        <w:ind w:left="512" w:right="93"/>
        <w:jc w:val="left"/>
      </w:pPr>
      <w:r>
        <w:rPr>
          <w:spacing w:val="-5"/>
          <w:w w:val="100"/>
        </w:rPr>
        <w:t>子公司所采用的会计政策和会计期间应与本公司保持一致，不一致的，按照本公司统一的会计政策和会计期间进行调整。</w:t>
      </w:r>
      <w:r>
        <w:rPr>
          <w:spacing w:val="-51"/>
          <w:w w:val="100"/>
        </w:rPr>
        <w:t> </w:t>
      </w:r>
      <w:r>
        <w:rPr>
          <w:spacing w:val="-51"/>
          <w:w w:val="100"/>
        </w:rPr>
      </w:r>
      <w:r>
        <w:rPr/>
        <w:t>本公司与子公司之间以及子公司相互之间的所有重大账目及交易在合并时抵销。</w:t>
      </w:r>
    </w:p>
    <w:p>
      <w:pPr>
        <w:pStyle w:val="BodyText"/>
        <w:spacing w:line="300" w:lineRule="auto" w:before="44"/>
        <w:ind w:right="194" w:firstLine="359"/>
        <w:jc w:val="both"/>
      </w:pPr>
      <w:r>
        <w:rPr>
          <w:spacing w:val="-3"/>
        </w:rPr>
        <w:t>子公司所有者权益中不属于母公司的份额作为少数股东权益，在合并资产负债表中所有者权益项目下以</w:t>
      </w:r>
      <w:r>
        <w:rPr>
          <w:rFonts w:ascii="Times New Roman" w:hAnsi="Times New Roman" w:cs="Times New Roman" w:eastAsia="Times New Roman" w:hint="default"/>
          <w:spacing w:val="-3"/>
        </w:rPr>
        <w:t>“</w:t>
      </w:r>
      <w:r>
        <w:rPr>
          <w:spacing w:val="-3"/>
        </w:rPr>
        <w:t>少数股东权益</w:t>
      </w:r>
      <w:r>
        <w:rPr>
          <w:rFonts w:ascii="Times New Roman" w:hAnsi="Times New Roman" w:cs="Times New Roman" w:eastAsia="Times New Roman" w:hint="default"/>
          <w:spacing w:val="-3"/>
        </w:rPr>
        <w:t>”</w:t>
      </w:r>
      <w:r>
        <w:rPr>
          <w:rFonts w:ascii="Times New Roman" w:hAnsi="Times New Roman" w:cs="Times New Roman" w:eastAsia="Times New Roman" w:hint="default"/>
          <w:w w:val="100"/>
        </w:rPr>
        <w:t> </w:t>
      </w: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pStyle w:val="BodyText"/>
        <w:spacing w:line="300" w:lineRule="auto" w:before="13"/>
        <w:ind w:right="211" w:firstLine="359"/>
        <w:jc w:val="both"/>
      </w:pPr>
      <w:r>
        <w:rPr>
          <w:spacing w:val="-1"/>
        </w:rPr>
        <w:t>子公司当期综合收益中属于少数股东权益的份额，在合并利润表中综合收益总额项目下以</w:t>
      </w:r>
      <w:r>
        <w:rPr>
          <w:rFonts w:ascii="Times New Roman" w:hAnsi="Times New Roman" w:cs="Times New Roman" w:eastAsia="Times New Roman" w:hint="default"/>
          <w:spacing w:val="-1"/>
        </w:rPr>
        <w:t>“</w:t>
      </w:r>
      <w:r>
        <w:rPr>
          <w:spacing w:val="-1"/>
        </w:rPr>
        <w:t>归属于少数股东的综合收益</w:t>
      </w:r>
      <w:r>
        <w:rPr>
          <w:w w:val="100"/>
        </w:rPr>
        <w:t> </w:t>
      </w:r>
      <w:r>
        <w:rPr/>
        <w:t>总额</w:t>
      </w:r>
      <w:r>
        <w:rPr>
          <w:rFonts w:ascii="Times New Roman" w:hAnsi="Times New Roman" w:cs="Times New Roman" w:eastAsia="Times New Roman" w:hint="default"/>
        </w:rPr>
        <w:t>”</w:t>
      </w:r>
      <w:r>
        <w:rPr/>
        <w:t>项目列示。</w:t>
      </w:r>
    </w:p>
    <w:p>
      <w:pPr>
        <w:pStyle w:val="BodyText"/>
        <w:spacing w:line="316" w:lineRule="auto" w:before="13"/>
        <w:ind w:right="192" w:firstLine="359"/>
        <w:jc w:val="both"/>
      </w:pPr>
      <w:r>
        <w:rPr>
          <w:spacing w:val="-3"/>
          <w:w w:val="100"/>
        </w:rPr>
        <w:t>少数股东分担的子公司的当期亏损超过了少数股东在该子公司期初所有者权益中所享有的份额的，其余额仍冲减少数股</w:t>
      </w:r>
      <w:r>
        <w:rPr>
          <w:w w:val="100"/>
        </w:rPr>
        <w:t> </w:t>
      </w:r>
      <w:r>
        <w:rPr/>
        <w:t>东权益。</w:t>
      </w:r>
    </w:p>
    <w:p>
      <w:pPr>
        <w:pStyle w:val="BodyText"/>
        <w:spacing w:line="309" w:lineRule="auto" w:before="19"/>
        <w:ind w:right="192" w:firstLine="359"/>
        <w:jc w:val="both"/>
      </w:pPr>
      <w:r>
        <w:rPr>
          <w:spacing w:val="-3"/>
        </w:rPr>
        <w:t>对于购买子公司少数股权或因处置部分股权投资但没有丧失对该子公司控制权的交易，作为权益性交易核算，调整母公</w:t>
      </w:r>
      <w:r>
        <w:rPr>
          <w:w w:val="100"/>
        </w:rPr>
        <w:t> </w:t>
      </w:r>
      <w:r>
        <w:rPr/>
        <w:t>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收到对价的</w:t>
      </w:r>
      <w:r>
        <w:rPr>
          <w:w w:val="100"/>
        </w:rPr>
        <w:t> </w:t>
      </w:r>
      <w:r>
        <w:rPr/>
        <w:t>公允价值之间的差额调整资本公积（资本溢价或股本溢价），资本公积不足冲减的，调整留存收益。</w:t>
      </w:r>
    </w:p>
    <w:p>
      <w:pPr>
        <w:pStyle w:val="BodyText"/>
        <w:spacing w:line="316" w:lineRule="auto" w:before="24"/>
        <w:ind w:right="189" w:firstLine="359"/>
        <w:jc w:val="both"/>
      </w:pPr>
      <w:r>
        <w:rPr>
          <w:spacing w:val="-3"/>
        </w:rPr>
        <w:t>因处置部分股权投资或其他原因丧失了对原有子公司控制权的，在编制合并财务报表时，对于剩余股权按照其在丧失控</w:t>
      </w:r>
      <w:r>
        <w:rPr>
          <w:w w:val="100"/>
        </w:rPr>
        <w:t> </w:t>
      </w:r>
      <w:r>
        <w:rPr>
          <w:spacing w:val="-3"/>
        </w:rPr>
        <w:t>制权日的公允价值进行重新计量。处置股权取得的对价与剩余股权公允价值之和，减去按原持股比例计算应享有原子公司自</w:t>
      </w:r>
      <w:r>
        <w:rPr>
          <w:spacing w:val="-51"/>
        </w:rPr>
        <w:t> </w:t>
      </w:r>
      <w:r>
        <w:rPr>
          <w:spacing w:val="-51"/>
        </w:rPr>
      </w:r>
      <w:r>
        <w:rPr>
          <w:spacing w:val="-3"/>
        </w:rPr>
        <w:t>购买日开始持续计算的净资产的份额之间的差额，计入丧失控制权当期的投资收益，同时冲减商誉。与原有子公司股权投资</w:t>
      </w:r>
      <w:r>
        <w:rPr>
          <w:spacing w:val="-48"/>
        </w:rPr>
        <w:t> </w:t>
      </w:r>
      <w:r>
        <w:rPr>
          <w:spacing w:val="-48"/>
        </w:rPr>
      </w:r>
      <w:r>
        <w:rPr/>
        <w:t>相关的其他综合收益等，在丧失控制权时转为当期投资收益。</w:t>
      </w:r>
    </w:p>
    <w:p>
      <w:pPr>
        <w:pStyle w:val="BodyText"/>
        <w:spacing w:line="312" w:lineRule="auto" w:before="18"/>
        <w:ind w:right="93" w:firstLine="359"/>
        <w:jc w:val="left"/>
      </w:pPr>
      <w:r>
        <w:rPr>
          <w:spacing w:val="-3"/>
        </w:rPr>
        <w:t>对于通过多次交易分步处置对子公司股权投资直至丧失控制权的，处置对子公司股权投资的各项交易的条款、条件以及</w:t>
      </w:r>
      <w:r>
        <w:rPr>
          <w:w w:val="100"/>
        </w:rPr>
        <w:t> </w:t>
      </w:r>
      <w:r>
        <w:rPr/>
        <w:t>经济影响符合以下一种或多种情况，通常表明该多次交易事项为一揽子交易：</w:t>
      </w:r>
      <w:r>
        <w:rPr>
          <w:rFonts w:ascii="Times New Roman" w:hAnsi="Times New Roman" w:cs="Times New Roman" w:eastAsia="Times New Roman" w:hint="default"/>
        </w:rPr>
        <w:t>(1)</w:t>
      </w:r>
      <w:r>
        <w:rPr/>
        <w:t>这些交易是同时或者在考虑了彼此影响的</w:t>
      </w:r>
      <w:r>
        <w:rPr>
          <w:w w:val="100"/>
        </w:rPr>
        <w:t> </w:t>
      </w:r>
      <w:r>
        <w:rPr>
          <w:spacing w:val="-1"/>
        </w:rPr>
        <w:t>情况下订立的；</w:t>
      </w:r>
      <w:r>
        <w:rPr>
          <w:rFonts w:ascii="Times New Roman" w:hAnsi="Times New Roman" w:cs="Times New Roman" w:eastAsia="Times New Roman" w:hint="default"/>
          <w:spacing w:val="-1"/>
        </w:rPr>
        <w:t>(2)</w:t>
      </w:r>
      <w:r>
        <w:rPr>
          <w:spacing w:val="-1"/>
        </w:rPr>
        <w:t>这些交易整体才能达成一项完整的商业结果；</w:t>
      </w:r>
      <w:r>
        <w:rPr>
          <w:rFonts w:ascii="Times New Roman" w:hAnsi="Times New Roman" w:cs="Times New Roman" w:eastAsia="Times New Roman" w:hint="default"/>
          <w:spacing w:val="-1"/>
        </w:rPr>
        <w:t>(3)</w:t>
      </w:r>
      <w:r>
        <w:rPr>
          <w:spacing w:val="-1"/>
        </w:rPr>
        <w:t>一项交易的发生取决于其他至少一项交易的发生；</w:t>
      </w:r>
      <w:r>
        <w:rPr>
          <w:rFonts w:ascii="Times New Roman" w:hAnsi="Times New Roman" w:cs="Times New Roman" w:eastAsia="Times New Roman" w:hint="default"/>
          <w:spacing w:val="-1"/>
        </w:rPr>
        <w:t>(4)</w:t>
      </w:r>
      <w:r>
        <w:rPr>
          <w:spacing w:val="-1"/>
        </w:rPr>
        <w:t>一</w:t>
      </w:r>
      <w:r>
        <w:rPr>
          <w:spacing w:val="-67"/>
        </w:rPr>
        <w:t> </w:t>
      </w:r>
      <w:r>
        <w:rPr>
          <w:spacing w:val="-3"/>
        </w:rPr>
        <w:t>项交易单独考虑时是不经济的，但是和其他交易一并考虑时是经济的。处置对子公司股权投资直至丧失控制权的各项交易属</w:t>
      </w:r>
      <w:r>
        <w:rPr>
          <w:spacing w:val="-52"/>
        </w:rPr>
        <w:t> </w:t>
      </w:r>
      <w:r>
        <w:rPr>
          <w:spacing w:val="-52"/>
        </w:rPr>
      </w:r>
      <w:r>
        <w:rPr>
          <w:spacing w:val="-3"/>
        </w:rPr>
        <w:t>于一揽子交易的，将各项交易作为一项处置子公司并丧失控制权的交易进行会计处理，在丧失控制权之前每一次处置价款与</w:t>
      </w:r>
      <w:r>
        <w:rPr>
          <w:spacing w:val="-51"/>
        </w:rPr>
        <w:t> </w:t>
      </w:r>
      <w:r>
        <w:rPr>
          <w:spacing w:val="-51"/>
        </w:rPr>
      </w:r>
      <w:r>
        <w:rPr>
          <w:spacing w:val="-3"/>
        </w:rPr>
        <w:t>处置投资对应的享有该子公司净资产份额的差额，在合并财务报表中确认为其他综合收益，在丧失控制权时一并转入丧失控</w:t>
      </w:r>
    </w:p>
    <w:p>
      <w:pPr>
        <w:spacing w:after="0" w:line="312"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3"/>
        <w:jc w:val="left"/>
      </w:pPr>
      <w:r>
        <w:rPr>
          <w:spacing w:val="-3"/>
        </w:rPr>
        <w:t>制权当期的损益。处置对子公司股权投资直至丧失控制权的各项交易不属于一揽子交易的，将各项交易作为独立的交易进行</w:t>
      </w:r>
      <w:r>
        <w:rPr>
          <w:spacing w:val="-52"/>
        </w:rPr>
        <w:t> </w:t>
      </w:r>
      <w:r>
        <w:rPr>
          <w:spacing w:val="-52"/>
        </w:rPr>
      </w:r>
      <w:r>
        <w:rPr/>
        <w:t>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3"/>
        <w:jc w:val="left"/>
        <w:rPr>
          <w:b w:val="0"/>
          <w:bCs w:val="0"/>
        </w:rPr>
      </w:pPr>
      <w:bookmarkStart w:name="7、合营安排分类及共同经营会计处理方法 " w:id="160"/>
      <w:bookmarkEnd w:id="16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59"/>
        <w:jc w:val="left"/>
      </w:pPr>
      <w:r>
        <w:rPr>
          <w:spacing w:val="-1"/>
        </w:rPr>
        <w:t>合营安排指一项由两个或两个以上的参与方共同控制的安排。共同控制，是指按照相关约定对某项安排所共有的控制，</w:t>
      </w:r>
      <w:r>
        <w:rPr>
          <w:w w:val="100"/>
        </w:rPr>
        <w:t> </w:t>
      </w:r>
      <w:r>
        <w:rPr/>
        <w:t>并且该安排的相关活动必须经过分享控制权的参与方一致同意后才能决策。</w:t>
      </w:r>
    </w:p>
    <w:p>
      <w:pPr>
        <w:pStyle w:val="BodyText"/>
        <w:spacing w:line="316" w:lineRule="auto" w:before="19"/>
        <w:ind w:left="512" w:right="93"/>
        <w:jc w:val="left"/>
      </w:pPr>
      <w:r>
        <w:rPr/>
        <w:t>本公司根据在合营安排中享有的权利和承担的义务确定合营安排的分类。合营安排分为共同经营和合营企业。</w:t>
      </w:r>
      <w:r>
        <w:rPr>
          <w:w w:val="100"/>
        </w:rPr>
        <w:t> </w:t>
      </w:r>
      <w:r>
        <w:rPr>
          <w:spacing w:val="-3"/>
        </w:rPr>
        <w:t>共同经营，是指合营方享有该安排相关资产且承担该安排相关负债的合营安排。本公司确认其与共同经营中利益份额相</w:t>
      </w:r>
    </w:p>
    <w:p>
      <w:pPr>
        <w:pStyle w:val="BodyText"/>
        <w:spacing w:line="240" w:lineRule="auto" w:before="18"/>
        <w:ind w:right="93"/>
        <w:jc w:val="left"/>
      </w:pPr>
      <w:r>
        <w:rPr/>
        <w:t>关的下列项目，并按照相关企业会计准则的规定进行会计处理：</w:t>
      </w:r>
    </w:p>
    <w:p>
      <w:pPr>
        <w:pStyle w:val="BodyText"/>
        <w:spacing w:line="300" w:lineRule="auto" w:before="76"/>
        <w:ind w:left="512" w:right="2144" w:hanging="89"/>
        <w:jc w:val="left"/>
      </w:pPr>
      <w:r>
        <w:rPr/>
        <w:t>（</w:t>
      </w:r>
      <w:r>
        <w:rPr>
          <w:rFonts w:ascii="Times New Roman" w:hAnsi="Times New Roman" w:cs="Times New Roman" w:eastAsia="Times New Roman" w:hint="default"/>
        </w:rPr>
        <w:t>1</w:t>
      </w:r>
      <w:r>
        <w:rPr/>
        <w:t>）确认单独所持有的资产，以及按其份额确认共同持有的资产；</w:t>
      </w:r>
      <w:r>
        <w:rPr>
          <w:w w:val="100"/>
        </w:rPr>
        <w:t> </w:t>
      </w:r>
      <w:r>
        <w:rPr>
          <w:rFonts w:ascii="Times New Roman" w:hAnsi="Times New Roman" w:cs="Times New Roman" w:eastAsia="Times New Roman" w:hint="default"/>
        </w:rPr>
        <w:t>(2)</w:t>
      </w:r>
      <w:r>
        <w:rPr/>
        <w:t>确认单独所承担的负债，以及按其份额确认共同承担的负债；</w:t>
      </w:r>
      <w:r>
        <w:rPr>
          <w:w w:val="100"/>
        </w:rPr>
        <w:t> </w:t>
      </w:r>
      <w:r>
        <w:rPr>
          <w:rFonts w:ascii="Times New Roman" w:hAnsi="Times New Roman" w:cs="Times New Roman" w:eastAsia="Times New Roman" w:hint="default"/>
        </w:rPr>
        <w:t>(3)</w:t>
      </w:r>
      <w:r>
        <w:rPr/>
        <w:t>确认出售其享有的共同经营产出份额所产生的收入；</w:t>
      </w:r>
      <w:r>
        <w:rPr>
          <w:w w:val="100"/>
        </w:rPr>
        <w:t> </w:t>
      </w:r>
      <w:r>
        <w:rPr>
          <w:rFonts w:ascii="Times New Roman" w:hAnsi="Times New Roman" w:cs="Times New Roman" w:eastAsia="Times New Roman" w:hint="default"/>
        </w:rPr>
        <w:t>(4)</w:t>
      </w:r>
      <w:r>
        <w:rPr/>
        <w:t>按其份额确认共同经营因出售产出所产生的收入；</w:t>
      </w:r>
      <w:r>
        <w:rPr>
          <w:w w:val="100"/>
        </w:rPr>
        <w:t> </w:t>
      </w:r>
      <w:r>
        <w:rPr>
          <w:rFonts w:ascii="Times New Roman" w:hAnsi="Times New Roman" w:cs="Times New Roman" w:eastAsia="Times New Roman" w:hint="default"/>
          <w:spacing w:val="-1"/>
        </w:rPr>
        <w:t>(5)</w:t>
      </w:r>
      <w:r>
        <w:rPr>
          <w:spacing w:val="-1"/>
        </w:rPr>
        <w:t>确认单独所发生的费用，以及按其份额确认共同经营发生的费用。</w:t>
      </w:r>
    </w:p>
    <w:p>
      <w:pPr>
        <w:pStyle w:val="BodyText"/>
        <w:spacing w:line="240" w:lineRule="auto" w:before="13"/>
        <w:ind w:left="512" w:right="93"/>
        <w:jc w:val="left"/>
      </w:pPr>
      <w:r>
        <w:rPr>
          <w:spacing w:val="-1"/>
          <w:w w:val="100"/>
        </w:rPr>
        <w:t>合营企业</w:t>
      </w:r>
      <w:r>
        <w:rPr>
          <w:spacing w:val="-87"/>
          <w:w w:val="100"/>
        </w:rPr>
        <w:t>，</w:t>
      </w:r>
      <w:r>
        <w:rPr>
          <w:spacing w:val="-1"/>
          <w:w w:val="100"/>
        </w:rPr>
        <w:t>是指合营方仅对该安排的净资产享有权利的合营安</w:t>
      </w:r>
      <w:r>
        <w:rPr>
          <w:spacing w:val="-2"/>
          <w:w w:val="100"/>
        </w:rPr>
        <w:t>排</w:t>
      </w:r>
      <w:r>
        <w:rPr>
          <w:spacing w:val="-87"/>
          <w:w w:val="100"/>
        </w:rPr>
        <w:t>。</w:t>
      </w:r>
      <w:r>
        <w:rPr>
          <w:spacing w:val="-1"/>
          <w:w w:val="100"/>
        </w:rPr>
        <w:t>本公司对于合营企业的长期股权投资采用权益法核</w:t>
      </w:r>
      <w:r>
        <w:rPr>
          <w:spacing w:val="-2"/>
          <w:w w:val="100"/>
        </w:rPr>
        <w:t>算</w:t>
      </w:r>
      <w:r>
        <w:rPr>
          <w:w w:val="100"/>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3"/>
        <w:spacing w:line="240" w:lineRule="auto"/>
        <w:ind w:right="93"/>
        <w:jc w:val="left"/>
        <w:rPr>
          <w:b w:val="0"/>
          <w:bCs w:val="0"/>
        </w:rPr>
      </w:pPr>
      <w:bookmarkStart w:name="8、现金及现金等价物的确定标准 " w:id="161"/>
      <w:bookmarkEnd w:id="161"/>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firstLine="359"/>
        <w:jc w:val="left"/>
      </w:pPr>
      <w:r>
        <w:rPr>
          <w:spacing w:val="-3"/>
        </w:rPr>
        <w:t>本公司现金流量表之现金指库存现金以及可以随时用于支付的存款。现金流量表之现金等价物指持有期限短（一般是指</w:t>
      </w:r>
      <w:r>
        <w:rPr>
          <w:w w:val="100"/>
        </w:rPr>
        <w:t> </w:t>
      </w:r>
      <w:r>
        <w:rPr/>
        <w:t>从购买日起三个月内到期）、流动性强、易于转换为已知金额现金、价值变动风险很小的投资。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Heading3"/>
        <w:spacing w:line="240" w:lineRule="auto"/>
        <w:ind w:right="93"/>
        <w:jc w:val="left"/>
        <w:rPr>
          <w:b w:val="0"/>
          <w:bCs w:val="0"/>
        </w:rPr>
      </w:pPr>
      <w:bookmarkStart w:name="9、外币业务和外币报表折算 " w:id="162"/>
      <w:bookmarkEnd w:id="16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93" w:firstLine="359"/>
        <w:jc w:val="left"/>
      </w:pPr>
      <w:r>
        <w:rPr>
          <w:spacing w:val="-3"/>
        </w:rPr>
        <w:t>外币交易在初始确认时采用交易发生日的即期汇率折算，于资产负债表日，外币货币性项目采用该日即期汇率折算为人</w:t>
      </w:r>
      <w:r>
        <w:rPr>
          <w:w w:val="100"/>
        </w:rPr>
        <w:t> </w:t>
      </w:r>
      <w:r>
        <w:rPr/>
        <w:t>民币，因该日的即期汇率与初始确认时或者前一资产负债表日即期汇率不同而产生的汇兑差额，除：</w:t>
      </w:r>
      <w:r>
        <w:rPr>
          <w:rFonts w:ascii="Times New Roman" w:hAnsi="Times New Roman" w:cs="Times New Roman" w:eastAsia="Times New Roman" w:hint="default"/>
        </w:rPr>
        <w:t>(1)</w:t>
      </w:r>
      <w:r>
        <w:rPr/>
        <w:t>符合资本化条件的</w:t>
      </w:r>
      <w:r>
        <w:rPr>
          <w:w w:val="100"/>
        </w:rPr>
        <w:t> </w:t>
      </w:r>
      <w:r>
        <w:rPr/>
        <w:t>外币专门借款的汇兑差额在资本化期间予以资本化计入相关资产的成本；</w:t>
      </w:r>
      <w:r>
        <w:rPr>
          <w:rFonts w:ascii="Times New Roman" w:hAnsi="Times New Roman" w:cs="Times New Roman" w:eastAsia="Times New Roman" w:hint="default"/>
        </w:rPr>
        <w:t>(2)</w:t>
      </w:r>
      <w:r>
        <w:rPr/>
        <w:t>为了规避外汇风险进行套期的套期工具的汇兑</w:t>
      </w:r>
      <w:r>
        <w:rPr>
          <w:w w:val="100"/>
        </w:rPr>
        <w:t> </w:t>
      </w:r>
      <w:r>
        <w:rPr>
          <w:spacing w:val="-2"/>
        </w:rPr>
        <w:t>差额按套期会计方法处理；</w:t>
      </w:r>
      <w:r>
        <w:rPr>
          <w:rFonts w:ascii="Times New Roman" w:hAnsi="Times New Roman" w:cs="Times New Roman" w:eastAsia="Times New Roman" w:hint="default"/>
          <w:spacing w:val="-2"/>
        </w:rPr>
        <w:t>(3)</w:t>
      </w:r>
      <w:r>
        <w:rPr>
          <w:spacing w:val="-2"/>
        </w:rPr>
        <w:t>可供出售外币非货币性项目</w:t>
      </w:r>
      <w:r>
        <w:rPr>
          <w:rFonts w:ascii="Times New Roman" w:hAnsi="Times New Roman" w:cs="Times New Roman" w:eastAsia="Times New Roman" w:hint="default"/>
          <w:spacing w:val="-2"/>
        </w:rPr>
        <w:t>(</w:t>
      </w:r>
      <w:r>
        <w:rPr>
          <w:spacing w:val="-2"/>
        </w:rPr>
        <w:t>如股票</w:t>
      </w:r>
      <w:r>
        <w:rPr>
          <w:rFonts w:ascii="Times New Roman" w:hAnsi="Times New Roman" w:cs="Times New Roman" w:eastAsia="Times New Roman" w:hint="default"/>
          <w:spacing w:val="-2"/>
        </w:rPr>
        <w:t>)</w:t>
      </w:r>
      <w:r>
        <w:rPr>
          <w:spacing w:val="-2"/>
        </w:rPr>
        <w:t>产生的汇兑差额以及可供出售货币性项目除摊余成本之外</w:t>
      </w:r>
      <w:r>
        <w:rPr>
          <w:spacing w:val="-66"/>
        </w:rPr>
        <w:t> </w:t>
      </w:r>
      <w:r>
        <w:rPr>
          <w:spacing w:val="-66"/>
        </w:rPr>
      </w:r>
      <w:r>
        <w:rPr/>
        <w:t>的其他账面余额变动产生的汇兑差额确认为其他综合收益外，均计入当期损益。</w:t>
      </w:r>
    </w:p>
    <w:p>
      <w:pPr>
        <w:pStyle w:val="BodyText"/>
        <w:spacing w:line="319" w:lineRule="auto" w:before="128"/>
        <w:ind w:right="93" w:firstLine="359"/>
        <w:jc w:val="left"/>
      </w:pPr>
      <w:r>
        <w:rPr>
          <w:spacing w:val="-3"/>
        </w:rPr>
        <w:t>编制合并财务报表涉及境外经营的，如有实质上构成对境外经营净投资的外币货币性项目，因汇率变动而产生的汇兑差</w:t>
      </w:r>
      <w:r>
        <w:rPr>
          <w:w w:val="100"/>
        </w:rPr>
        <w:t> </w:t>
      </w:r>
      <w:r>
        <w:rPr/>
        <w:t>额，列入其他综合收益中的</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项目；处置境外经营时，计入处置当期损益。</w:t>
      </w:r>
    </w:p>
    <w:p>
      <w:pPr>
        <w:pStyle w:val="BodyText"/>
        <w:spacing w:line="316" w:lineRule="auto" w:before="97"/>
        <w:ind w:right="189" w:firstLine="359"/>
        <w:jc w:val="both"/>
      </w:pPr>
      <w:r>
        <w:rPr>
          <w:spacing w:val="-3"/>
          <w:w w:val="100"/>
        </w:rPr>
        <w:t>以历史成本计量的外币非货币性项目仍以交易发生日的即期汇率折算的记账本位币金额计量。以公允价值计量的外币非</w:t>
      </w:r>
      <w:r>
        <w:rPr>
          <w:w w:val="100"/>
        </w:rPr>
        <w:t> </w:t>
      </w:r>
      <w:r>
        <w:rPr>
          <w:spacing w:val="-3"/>
        </w:rPr>
        <w:t>货币性项目，采用公允价值确定日的即期汇率折算，折算后的记账本位币金额与原记账本位币金额的差额，作为公允价值变</w:t>
      </w:r>
      <w:r>
        <w:rPr>
          <w:spacing w:val="-48"/>
        </w:rPr>
        <w:t> </w:t>
      </w:r>
      <w:r>
        <w:rPr>
          <w:spacing w:val="-48"/>
        </w:rPr>
      </w:r>
      <w:r>
        <w:rPr/>
        <w:t>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Heading3"/>
        <w:spacing w:line="240" w:lineRule="auto"/>
        <w:ind w:right="93"/>
        <w:jc w:val="left"/>
        <w:rPr>
          <w:b w:val="0"/>
          <w:bCs w:val="0"/>
        </w:rPr>
      </w:pPr>
      <w:bookmarkStart w:name="10、金融工具 " w:id="163"/>
      <w:bookmarkEnd w:id="16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00" w:right="93"/>
        <w:jc w:val="left"/>
      </w:pPr>
      <w:r>
        <w:rPr>
          <w:spacing w:val="-3"/>
        </w:rPr>
        <w:t>金融工具是指形成一个企业的金融资产，并形成其他单位的金融负债或权益工具的合同。金融工具包括金融资产、金融</w:t>
      </w:r>
    </w:p>
    <w:p>
      <w:pPr>
        <w:spacing w:after="0" w:line="24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负债和权益工具。</w:t>
      </w:r>
    </w:p>
    <w:p>
      <w:pPr>
        <w:spacing w:line="240" w:lineRule="auto" w:before="7"/>
        <w:rPr>
          <w:rFonts w:ascii="宋体" w:hAnsi="宋体" w:cs="宋体" w:eastAsia="宋体" w:hint="default"/>
          <w:sz w:val="13"/>
          <w:szCs w:val="13"/>
        </w:rPr>
      </w:pPr>
    </w:p>
    <w:p>
      <w:pPr>
        <w:pStyle w:val="BodyText"/>
        <w:spacing w:line="396" w:lineRule="auto"/>
        <w:ind w:left="512" w:right="0" w:hanging="360"/>
        <w:jc w:val="left"/>
      </w:pPr>
      <w:r>
        <w:rPr/>
        <w:t>（</w:t>
      </w:r>
      <w:r>
        <w:rPr>
          <w:rFonts w:ascii="Times New Roman" w:hAnsi="Times New Roman" w:cs="Times New Roman" w:eastAsia="Times New Roman" w:hint="default"/>
        </w:rPr>
        <w:t>1</w:t>
      </w:r>
      <w:r>
        <w:rPr/>
        <w:t>）金融资产和金融负债的分类：</w:t>
      </w:r>
      <w:r>
        <w:rPr>
          <w:w w:val="100"/>
        </w:rPr>
        <w:t> </w:t>
      </w:r>
      <w:r>
        <w:rPr>
          <w:spacing w:val="-3"/>
        </w:rPr>
        <w:t>本公司结合自身业务特点和风险管理要求，将取得的金融资产或承担的金融负债在初始确认时分为以下五类：以公允价</w:t>
      </w:r>
    </w:p>
    <w:p>
      <w:pPr>
        <w:pStyle w:val="BodyText"/>
        <w:spacing w:line="195" w:lineRule="exact"/>
        <w:ind w:right="0"/>
        <w:jc w:val="left"/>
      </w:pPr>
      <w:r>
        <w:rPr>
          <w:spacing w:val="-3"/>
        </w:rPr>
        <w:t>值计量且其变动计入当期损益的金融资产或金融负债、持有至到期投资、贷款和应收款项、可供出售的金融资产、其他金融</w:t>
      </w:r>
    </w:p>
    <w:p>
      <w:pPr>
        <w:pStyle w:val="BodyText"/>
        <w:spacing w:line="240" w:lineRule="auto" w:before="76"/>
        <w:ind w:right="0"/>
        <w:jc w:val="left"/>
      </w:pPr>
      <w:r>
        <w:rPr/>
        <w:t>负债。</w:t>
      </w:r>
    </w:p>
    <w:p>
      <w:pPr>
        <w:spacing w:line="240" w:lineRule="auto" w:before="7"/>
        <w:rPr>
          <w:rFonts w:ascii="宋体" w:hAnsi="宋体" w:cs="宋体" w:eastAsia="宋体" w:hint="default"/>
          <w:sz w:val="13"/>
          <w:szCs w:val="13"/>
        </w:rPr>
      </w:pPr>
    </w:p>
    <w:p>
      <w:pPr>
        <w:pStyle w:val="BodyText"/>
        <w:spacing w:line="300" w:lineRule="auto"/>
        <w:ind w:right="149" w:firstLine="287"/>
        <w:jc w:val="both"/>
      </w:pPr>
      <w:r>
        <w:rPr>
          <w:rFonts w:ascii="Times New Roman" w:hAnsi="Times New Roman" w:cs="Times New Roman" w:eastAsia="Times New Roman" w:hint="default"/>
        </w:rPr>
        <w:t>1</w:t>
      </w:r>
      <w:r>
        <w:rPr/>
        <w:t>）以公允价值计量且其变动计入当期损益的金融资产或金融负债</w:t>
      </w:r>
      <w:r>
        <w:rPr>
          <w:rFonts w:ascii="Times New Roman" w:hAnsi="Times New Roman" w:cs="Times New Roman" w:eastAsia="Times New Roman" w:hint="default"/>
        </w:rPr>
        <w:t>,</w:t>
      </w:r>
      <w:r>
        <w:rPr/>
        <w:t>可以进一步分为交易性金融资产或金融负债和直接指</w:t>
      </w:r>
      <w:r>
        <w:rPr>
          <w:w w:val="100"/>
        </w:rPr>
        <w:t> </w:t>
      </w:r>
      <w:r>
        <w:rPr/>
        <w:t>定为以公允价值计量且其变动计入当期损益的金融资产或金融负债。</w:t>
      </w:r>
    </w:p>
    <w:p>
      <w:pPr>
        <w:pStyle w:val="BodyText"/>
        <w:spacing w:line="300" w:lineRule="auto" w:before="132"/>
        <w:ind w:right="149" w:firstLine="287"/>
        <w:jc w:val="both"/>
      </w:pPr>
      <w:r>
        <w:rPr>
          <w:rFonts w:ascii="Times New Roman" w:hAnsi="Times New Roman" w:cs="Times New Roman" w:eastAsia="Times New Roman" w:hint="default"/>
        </w:rPr>
        <w:t>2</w:t>
      </w:r>
      <w:r>
        <w:rPr/>
        <w:t>）持有至到期投资：是指到期日固定、回收金额固定或可确定，且管理层有明确意图和能力持有至到期的非衍生金融</w:t>
      </w:r>
      <w:r>
        <w:rPr>
          <w:w w:val="100"/>
        </w:rPr>
        <w:t> </w:t>
      </w:r>
      <w:r>
        <w:rPr/>
        <w:t>资产。</w:t>
      </w:r>
    </w:p>
    <w:p>
      <w:pPr>
        <w:pStyle w:val="BodyText"/>
        <w:spacing w:line="300" w:lineRule="auto" w:before="130"/>
        <w:ind w:right="149" w:firstLine="287"/>
        <w:jc w:val="both"/>
      </w:pPr>
      <w:r>
        <w:rPr>
          <w:rFonts w:ascii="Times New Roman" w:hAnsi="Times New Roman" w:cs="Times New Roman" w:eastAsia="Times New Roman" w:hint="default"/>
        </w:rPr>
        <w:t>3</w:t>
      </w:r>
      <w:r>
        <w:rPr/>
        <w:t>）贷款和应收款项：是指在活跃市场中没有报价，回收金额固定或可确定的非衍生金融资产。本公司划分贷款和应收</w:t>
      </w:r>
      <w:r>
        <w:rPr>
          <w:w w:val="100"/>
        </w:rPr>
        <w:t> </w:t>
      </w:r>
      <w:r>
        <w:rPr/>
        <w:t>款项的金融资产包括应收票据、应收账款、应收利息、应收股利及其他应收款。</w:t>
      </w:r>
    </w:p>
    <w:p>
      <w:pPr>
        <w:pStyle w:val="BodyText"/>
        <w:spacing w:line="300" w:lineRule="auto" w:before="132"/>
        <w:ind w:right="149" w:firstLine="287"/>
        <w:jc w:val="both"/>
      </w:pPr>
      <w:r>
        <w:rPr>
          <w:rFonts w:ascii="Times New Roman" w:hAnsi="Times New Roman" w:cs="Times New Roman" w:eastAsia="Times New Roman" w:hint="default"/>
        </w:rPr>
        <w:t>4</w:t>
      </w:r>
      <w:r>
        <w:rPr/>
        <w:t>）可供出售金融资产：包括初始确认时即被指定为可供出售的非衍生金融资产</w:t>
      </w:r>
      <w:r>
        <w:rPr>
          <w:rFonts w:ascii="Times New Roman" w:hAnsi="Times New Roman" w:cs="Times New Roman" w:eastAsia="Times New Roman" w:hint="default"/>
        </w:rPr>
        <w:t>,</w:t>
      </w:r>
      <w:r>
        <w:rPr/>
        <w:t>以及除了以公允价值计量且其变动计入</w:t>
      </w:r>
      <w:r>
        <w:rPr>
          <w:w w:val="100"/>
        </w:rPr>
        <w:t> </w:t>
      </w:r>
      <w:r>
        <w:rPr/>
        <w:t>当期损益的金融资产、贷款和应收款项、持有至到期投资以外的金融资产。</w:t>
      </w:r>
    </w:p>
    <w:p>
      <w:pPr>
        <w:pStyle w:val="BodyText"/>
        <w:spacing w:line="240" w:lineRule="auto" w:before="132"/>
        <w:ind w:left="507" w:right="0"/>
        <w:jc w:val="left"/>
      </w:pPr>
      <w:r>
        <w:rPr>
          <w:rFonts w:ascii="Times New Roman" w:hAnsi="Times New Roman" w:cs="Times New Roman" w:eastAsia="Times New Roman" w:hint="default"/>
        </w:rPr>
        <w:t>5)</w:t>
      </w:r>
      <w:r>
        <w:rPr/>
        <w:t>其他金融负债：是指没有划分为以公允价值计量且其变动计入当期损益的金融负债。</w:t>
      </w:r>
    </w:p>
    <w:p>
      <w:pPr>
        <w:pStyle w:val="BodyText"/>
        <w:spacing w:line="398" w:lineRule="auto" w:before="161"/>
        <w:ind w:left="512" w:right="0" w:hanging="360"/>
        <w:jc w:val="left"/>
      </w:pPr>
      <w:r>
        <w:rPr/>
        <w:t>（</w:t>
      </w:r>
      <w:r>
        <w:rPr>
          <w:rFonts w:ascii="Times New Roman" w:hAnsi="Times New Roman" w:cs="Times New Roman" w:eastAsia="Times New Roman" w:hint="default"/>
        </w:rPr>
        <w:t>2</w:t>
      </w:r>
      <w:r>
        <w:rPr/>
        <w:t>）金融资产和金融负债的确认和计量：</w:t>
      </w:r>
      <w:r>
        <w:rPr>
          <w:w w:val="100"/>
        </w:rPr>
        <w:t> </w:t>
      </w:r>
      <w:r>
        <w:rPr>
          <w:spacing w:val="-3"/>
        </w:rPr>
        <w:t>当公司成为金融工具合同的一方时，确认一项金融资产或金融负债。根据此确认条件，公司将金融工具确认和计量范围</w:t>
      </w:r>
    </w:p>
    <w:p>
      <w:pPr>
        <w:pStyle w:val="BodyText"/>
        <w:spacing w:line="193" w:lineRule="exact"/>
        <w:ind w:right="0"/>
        <w:jc w:val="left"/>
      </w:pPr>
      <w:r>
        <w:rPr>
          <w:spacing w:val="-3"/>
        </w:rPr>
        <w:t>内的衍生工具合同形成的权利或义务，确认为金融资产或金融负债。但是，如果衍生工具涉及金融资产转移，且导致该金融</w:t>
      </w:r>
    </w:p>
    <w:p>
      <w:pPr>
        <w:pStyle w:val="BodyText"/>
        <w:spacing w:line="240" w:lineRule="auto" w:before="76"/>
        <w:ind w:right="0"/>
        <w:jc w:val="left"/>
      </w:pPr>
      <w:r>
        <w:rPr/>
        <w:t>资产转移不符合终止确认条件，则不应将其确认，否则会导致衍生工具形成的义务被重复确认。</w:t>
      </w:r>
    </w:p>
    <w:p>
      <w:pPr>
        <w:spacing w:line="240" w:lineRule="auto" w:before="7"/>
        <w:rPr>
          <w:rFonts w:ascii="宋体" w:hAnsi="宋体" w:cs="宋体" w:eastAsia="宋体" w:hint="default"/>
          <w:sz w:val="13"/>
          <w:szCs w:val="13"/>
        </w:rPr>
      </w:pPr>
    </w:p>
    <w:p>
      <w:pPr>
        <w:pStyle w:val="BodyText"/>
        <w:spacing w:line="316" w:lineRule="auto"/>
        <w:ind w:right="147" w:firstLine="359"/>
        <w:jc w:val="both"/>
      </w:pPr>
      <w:r>
        <w:rPr/>
        <w:t>金融资产和金融负债在初始确认时以公允价值计量。对于以公允价值计量且其变动计入当期损益的金融资产或金融负</w:t>
      </w:r>
      <w:r>
        <w:rPr>
          <w:w w:val="100"/>
        </w:rPr>
        <w:t> </w:t>
      </w:r>
      <w:r>
        <w:rPr>
          <w:spacing w:val="-3"/>
        </w:rPr>
        <w:t>债，相关交易费用直接计入当期损益；对于其他类别的金融资产或金融负债，相关交易费用计入初始确认金额，构成实际利</w:t>
      </w:r>
      <w:r>
        <w:rPr>
          <w:spacing w:val="-45"/>
        </w:rPr>
        <w:t> </w:t>
      </w:r>
      <w:r>
        <w:rPr>
          <w:spacing w:val="-45"/>
        </w:rPr>
      </w:r>
      <w:r>
        <w:rPr/>
        <w:t>息组成部分。</w:t>
      </w:r>
    </w:p>
    <w:p>
      <w:pPr>
        <w:pStyle w:val="BodyText"/>
        <w:spacing w:line="240" w:lineRule="auto" w:before="117"/>
        <w:ind w:left="512" w:right="0"/>
        <w:jc w:val="left"/>
      </w:pPr>
      <w:r>
        <w:rPr/>
        <w:t>金融资产的后续计量：</w:t>
      </w:r>
    </w:p>
    <w:p>
      <w:pPr>
        <w:spacing w:line="240" w:lineRule="auto" w:before="7"/>
        <w:rPr>
          <w:rFonts w:ascii="宋体" w:hAnsi="宋体" w:cs="宋体" w:eastAsia="宋体" w:hint="default"/>
          <w:sz w:val="13"/>
          <w:szCs w:val="13"/>
        </w:rPr>
      </w:pPr>
    </w:p>
    <w:p>
      <w:pPr>
        <w:pStyle w:val="BodyText"/>
        <w:spacing w:line="316" w:lineRule="auto"/>
        <w:ind w:right="151" w:firstLine="359"/>
        <w:jc w:val="both"/>
      </w:pPr>
      <w:r>
        <w:rPr>
          <w:spacing w:val="-3"/>
        </w:rPr>
        <w:t>以公允价值计量且其变动计入当期损益的金融资产，按照公允价值进行后续计量，且不扣除将来处置该金融资产时可能</w:t>
      </w:r>
      <w:r>
        <w:rPr>
          <w:w w:val="100"/>
        </w:rPr>
        <w:t> </w:t>
      </w:r>
      <w:r>
        <w:rPr/>
        <w:t>发生的交易费用；公允价值变动形成的利得或损失以及与该等金融资产相关的股利和利息收入计入当期损益。</w:t>
      </w:r>
    </w:p>
    <w:p>
      <w:pPr>
        <w:pStyle w:val="BodyText"/>
        <w:spacing w:line="316" w:lineRule="auto" w:before="119"/>
        <w:ind w:right="154" w:firstLine="359"/>
        <w:jc w:val="both"/>
      </w:pPr>
      <w:r>
        <w:rPr>
          <w:spacing w:val="-3"/>
        </w:rPr>
        <w:t>持有至到期投资，采用实际利率法，按摊余成本进行后续计量。在终止确认、发生减值或摊销时产生的利得或损失，计</w:t>
      </w:r>
      <w:r>
        <w:rPr>
          <w:w w:val="100"/>
        </w:rPr>
        <w:t> </w:t>
      </w:r>
      <w:r>
        <w:rPr/>
        <w:t>入当期损益。</w:t>
      </w:r>
    </w:p>
    <w:p>
      <w:pPr>
        <w:pStyle w:val="BodyText"/>
        <w:spacing w:line="316" w:lineRule="auto" w:before="117"/>
        <w:ind w:right="150" w:firstLine="359"/>
        <w:jc w:val="both"/>
      </w:pPr>
      <w:r>
        <w:rPr>
          <w:spacing w:val="-3"/>
        </w:rPr>
        <w:t>贷款和应收款项，采用实际利率法，按摊余成本进行后续计量。在终止确认、发生减值或摊销时产生的利得或损失，计</w:t>
      </w:r>
      <w:r>
        <w:rPr>
          <w:w w:val="100"/>
        </w:rPr>
        <w:t> </w:t>
      </w:r>
      <w:r>
        <w:rPr>
          <w:spacing w:val="-3"/>
        </w:rPr>
        <w:t>入当期损益。可供出售金融资产，按照公允价值进行后续计量，且不扣除将来处置该金融资产时可能发生的交易费用。公允</w:t>
      </w:r>
      <w:r>
        <w:rPr>
          <w:spacing w:val="-45"/>
        </w:rPr>
        <w:t> </w:t>
      </w:r>
      <w:r>
        <w:rPr>
          <w:spacing w:val="-45"/>
        </w:rPr>
      </w:r>
      <w:r>
        <w:rPr>
          <w:spacing w:val="-3"/>
        </w:rPr>
        <w:t>价值变动形成的利得或损失，除减值损失和外币货币性金融资产与摊余成本相关的汇兑差额计入当期损益外，确认为其他综</w:t>
      </w:r>
      <w:r>
        <w:rPr>
          <w:spacing w:val="-52"/>
        </w:rPr>
        <w:t> </w:t>
      </w:r>
      <w:r>
        <w:rPr>
          <w:spacing w:val="-52"/>
        </w:rPr>
      </w:r>
      <w:r>
        <w:rPr/>
        <w:t>合收益，在该金融资产终止确认时转出，计入当期损益。</w:t>
      </w:r>
    </w:p>
    <w:p>
      <w:pPr>
        <w:pStyle w:val="BodyText"/>
        <w:spacing w:line="240" w:lineRule="auto" w:before="119"/>
        <w:ind w:left="512" w:right="0"/>
        <w:jc w:val="left"/>
      </w:pPr>
      <w:r>
        <w:rPr/>
        <w:t>可供出售金融资产持有期间取得的利息及被投资单位宣告发放的现金股利，计入投资收益。</w:t>
      </w:r>
    </w:p>
    <w:p>
      <w:pPr>
        <w:spacing w:line="240" w:lineRule="auto" w:before="7"/>
        <w:rPr>
          <w:rFonts w:ascii="宋体" w:hAnsi="宋体" w:cs="宋体" w:eastAsia="宋体" w:hint="default"/>
          <w:sz w:val="13"/>
          <w:szCs w:val="13"/>
        </w:rPr>
      </w:pPr>
    </w:p>
    <w:p>
      <w:pPr>
        <w:pStyle w:val="BodyText"/>
        <w:spacing w:line="316" w:lineRule="auto"/>
        <w:ind w:right="151" w:firstLine="359"/>
        <w:jc w:val="both"/>
      </w:pPr>
      <w:r>
        <w:rPr>
          <w:spacing w:val="-3"/>
          <w:w w:val="100"/>
        </w:rPr>
        <w:t>在活跃市场中没有报价且其公允价值不能可靠计量的权益工具投资，以及与该权益工具挂钩并须通过交付该权益工具结</w:t>
      </w:r>
      <w:r>
        <w:rPr>
          <w:w w:val="100"/>
        </w:rPr>
        <w:t> </w:t>
      </w:r>
      <w:r>
        <w:rPr/>
        <w:t>算的衍生金融资产，按照成本计量。</w:t>
      </w:r>
    </w:p>
    <w:p>
      <w:pPr>
        <w:pStyle w:val="BodyText"/>
        <w:spacing w:line="240" w:lineRule="auto" w:before="117"/>
        <w:ind w:left="512" w:right="0"/>
        <w:jc w:val="left"/>
      </w:pPr>
      <w:r>
        <w:rPr/>
        <w:t>金融负债的后续计量：</w:t>
      </w:r>
    </w:p>
    <w:p>
      <w:pPr>
        <w:spacing w:line="240" w:lineRule="auto" w:before="7"/>
        <w:rPr>
          <w:rFonts w:ascii="宋体" w:hAnsi="宋体" w:cs="宋体" w:eastAsia="宋体" w:hint="default"/>
          <w:sz w:val="13"/>
          <w:szCs w:val="13"/>
        </w:rPr>
      </w:pPr>
    </w:p>
    <w:p>
      <w:pPr>
        <w:pStyle w:val="BodyText"/>
        <w:spacing w:line="319" w:lineRule="auto"/>
        <w:ind w:right="151" w:firstLine="359"/>
        <w:jc w:val="both"/>
      </w:pPr>
      <w:r>
        <w:rPr>
          <w:spacing w:val="-3"/>
        </w:rPr>
        <w:t>以公允价值计量且其变动计入当期损益的金融负债，按照公允价值计量，且不扣除将来结清金融负债时可能发生的交易</w:t>
      </w:r>
      <w:r>
        <w:rPr>
          <w:w w:val="100"/>
        </w:rPr>
        <w:t> </w:t>
      </w:r>
      <w:r>
        <w:rPr/>
        <w:t>费用。</w:t>
      </w:r>
    </w:p>
    <w:p>
      <w:pPr>
        <w:pStyle w:val="BodyText"/>
        <w:spacing w:line="316" w:lineRule="auto" w:before="117"/>
        <w:ind w:right="152" w:firstLine="359"/>
        <w:jc w:val="both"/>
      </w:pPr>
      <w:r>
        <w:rPr>
          <w:spacing w:val="-3"/>
        </w:rPr>
        <w:t>与在活跃市场中没有报价、公允价值不能可靠计量的权益工具挂钩并须通过交付该权益工具结算的衍生金融负债，按照</w:t>
      </w:r>
      <w:r>
        <w:rPr>
          <w:w w:val="100"/>
        </w:rPr>
        <w:t> </w:t>
      </w:r>
      <w:r>
        <w:rPr/>
        <w:t>成本计量。</w:t>
      </w:r>
    </w:p>
    <w:p>
      <w:pPr>
        <w:spacing w:after="0" w:line="316" w:lineRule="auto"/>
        <w:jc w:val="both"/>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2" w:lineRule="auto" w:before="44"/>
        <w:ind w:right="186" w:firstLine="359"/>
        <w:jc w:val="both"/>
      </w:pPr>
      <w:r>
        <w:rPr/>
        <w:t>不属于指定为以公允价值计量且其变动计入当期损益的金融负债的财务担保合同或没有指定为以公允价值计量且其变</w:t>
      </w:r>
      <w:r>
        <w:rPr>
          <w:w w:val="100"/>
        </w:rPr>
        <w:t> </w:t>
      </w:r>
      <w:r>
        <w:rPr>
          <w:spacing w:val="-3"/>
          <w:w w:val="100"/>
        </w:rPr>
        <w:t>动计入当期损益的金融负债并将以低于市场利率贷款的贷款承诺，在初始确认后按照下列两项金额之中的较高者进行后续计</w:t>
      </w:r>
      <w:r>
        <w:rPr>
          <w:spacing w:val="-64"/>
          <w:w w:val="100"/>
        </w:rPr>
        <w:t> </w:t>
      </w:r>
      <w:r>
        <w:rPr>
          <w:spacing w:val="-64"/>
          <w:w w:val="100"/>
        </w:rPr>
      </w:r>
      <w:r>
        <w:rPr>
          <w:spacing w:val="-2"/>
        </w:rPr>
        <w:t>量：①按照《企业会计准则第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或有事项》确定的金额②初始确认金额扣除按照《企业会计准则第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36"/>
        </w:rPr>
        <w:t> </w:t>
      </w:r>
      <w:r>
        <w:rPr>
          <w:spacing w:val="-36"/>
        </w:rPr>
      </w:r>
      <w:r>
        <w:rPr/>
        <w:t>定的累计摊销后的余额。</w:t>
      </w:r>
    </w:p>
    <w:p>
      <w:pPr>
        <w:pStyle w:val="BodyText"/>
        <w:spacing w:line="240" w:lineRule="auto" w:before="123"/>
        <w:ind w:left="512" w:right="93"/>
        <w:jc w:val="left"/>
      </w:pPr>
      <w:r>
        <w:rPr/>
        <w:t>上述金融负债以外的金融负债，采用实际利率法按照摊余成本进行后续计量。</w:t>
      </w:r>
    </w:p>
    <w:p>
      <w:pPr>
        <w:spacing w:line="240" w:lineRule="auto" w:before="5"/>
        <w:rPr>
          <w:rFonts w:ascii="宋体" w:hAnsi="宋体" w:cs="宋体" w:eastAsia="宋体" w:hint="default"/>
          <w:sz w:val="13"/>
          <w:szCs w:val="13"/>
        </w:rPr>
      </w:pPr>
    </w:p>
    <w:p>
      <w:pPr>
        <w:pStyle w:val="BodyText"/>
        <w:spacing w:line="240" w:lineRule="auto"/>
        <w:ind w:right="93"/>
        <w:jc w:val="left"/>
      </w:pPr>
      <w:r>
        <w:rPr/>
        <w:t>（</w:t>
      </w:r>
      <w:r>
        <w:rPr>
          <w:rFonts w:ascii="Times New Roman" w:hAnsi="Times New Roman" w:cs="Times New Roman" w:eastAsia="Times New Roman" w:hint="default"/>
        </w:rPr>
        <w:t>3</w:t>
      </w:r>
      <w:r>
        <w:rPr/>
        <w:t>）金融资产转移的确认依据和计量方法：</w:t>
      </w:r>
    </w:p>
    <w:p>
      <w:pPr>
        <w:spacing w:line="240" w:lineRule="auto" w:before="7"/>
        <w:rPr>
          <w:rFonts w:ascii="宋体" w:hAnsi="宋体" w:cs="宋体" w:eastAsia="宋体" w:hint="default"/>
          <w:sz w:val="12"/>
          <w:szCs w:val="12"/>
        </w:rPr>
      </w:pPr>
    </w:p>
    <w:p>
      <w:pPr>
        <w:pStyle w:val="BodyText"/>
        <w:spacing w:line="316" w:lineRule="auto"/>
        <w:ind w:right="146" w:firstLine="359"/>
        <w:jc w:val="both"/>
      </w:pPr>
      <w:r>
        <w:rPr/>
        <w:t>满足下列条件之一的金融资产，予以终止确认：① 收取该金融资产现金流量的合同权利终止；②</w:t>
      </w:r>
      <w:r>
        <w:rPr>
          <w:spacing w:val="-66"/>
        </w:rPr>
        <w:t> </w:t>
      </w:r>
      <w:r>
        <w:rPr/>
        <w:t>该金融资产已转移，</w:t>
      </w:r>
      <w:r>
        <w:rPr>
          <w:w w:val="100"/>
        </w:rPr>
        <w:t> </w:t>
      </w:r>
      <w:r>
        <w:rPr>
          <w:spacing w:val="-3"/>
        </w:rPr>
        <w:t>且将金融资产所有权上几乎所有的风险和报酬转移给转入方；③该金融资产已转移，虽然公司既没有转移也没有保留金融资</w:t>
      </w:r>
      <w:r>
        <w:rPr>
          <w:spacing w:val="-51"/>
        </w:rPr>
        <w:t> </w:t>
      </w:r>
      <w:r>
        <w:rPr>
          <w:spacing w:val="-51"/>
        </w:rPr>
      </w:r>
      <w:r>
        <w:rPr/>
        <w:t>产所有权上几乎所有的风险和报酬，但是放弃了对该金融资产控制的。</w:t>
      </w:r>
    </w:p>
    <w:p>
      <w:pPr>
        <w:pStyle w:val="BodyText"/>
        <w:spacing w:line="316" w:lineRule="auto" w:before="119"/>
        <w:ind w:right="189" w:firstLine="359"/>
        <w:jc w:val="both"/>
      </w:pPr>
      <w:r>
        <w:rPr>
          <w:spacing w:val="-3"/>
        </w:rPr>
        <w:t>若公司既没有转移也没有保留金融资产所有权上几乎所有的风险和报酬，且未放弃对该金融资产的控制的，则按照继续</w:t>
      </w:r>
      <w:r>
        <w:rPr>
          <w:w w:val="100"/>
        </w:rPr>
        <w:t> </w:t>
      </w:r>
      <w:r>
        <w:rPr>
          <w:spacing w:val="-3"/>
        </w:rPr>
        <w:t>涉入所转移金融资产的程度确认有关金融资产，并相应确认有关负债。继续涉入所转移金融资产的程度，是指该金融资产价</w:t>
      </w:r>
      <w:r>
        <w:rPr>
          <w:spacing w:val="-48"/>
        </w:rPr>
        <w:t> </w:t>
      </w:r>
      <w:r>
        <w:rPr>
          <w:spacing w:val="-48"/>
        </w:rPr>
      </w:r>
      <w:r>
        <w:rPr/>
        <w:t>值变动使公司面临的风险水平。</w:t>
      </w:r>
    </w:p>
    <w:p>
      <w:pPr>
        <w:pStyle w:val="BodyText"/>
        <w:spacing w:line="319" w:lineRule="auto" w:before="117"/>
        <w:ind w:right="190" w:firstLine="359"/>
        <w:jc w:val="both"/>
      </w:pPr>
      <w:r>
        <w:rPr>
          <w:spacing w:val="-3"/>
          <w:w w:val="100"/>
        </w:rPr>
        <w:t>金融资产整体转移满足终止确认条件的，将所转移金融资产的账面价值及因转移而收到的对价与原计入其他综合收益的</w:t>
      </w:r>
      <w:r>
        <w:rPr>
          <w:w w:val="100"/>
        </w:rPr>
        <w:t> </w:t>
      </w:r>
      <w:r>
        <w:rPr/>
        <w:t>公允价值变动累计额之和的差额计入当期损益。</w:t>
      </w:r>
    </w:p>
    <w:p>
      <w:pPr>
        <w:pStyle w:val="BodyText"/>
        <w:spacing w:line="316" w:lineRule="auto" w:before="117"/>
        <w:ind w:right="189" w:firstLine="359"/>
        <w:jc w:val="both"/>
      </w:pPr>
      <w:r>
        <w:rPr>
          <w:spacing w:val="-3"/>
          <w:w w:val="100"/>
        </w:rPr>
        <w:t>金融资产部分转移满足终止确认条件的，将所转移金融资产整体的账面价值在终止确认及未终止确认部分之间按各自的</w:t>
      </w:r>
      <w:r>
        <w:rPr>
          <w:w w:val="100"/>
        </w:rPr>
        <w:t> </w:t>
      </w:r>
      <w:r>
        <w:rPr>
          <w:spacing w:val="-3"/>
          <w:w w:val="100"/>
        </w:rPr>
        <w:t>相对公允价值进行分摊，并将因转移而收到的对价与应分摊至终止确认部分的原计入其他综合收益的公允价值变动累计额之</w:t>
      </w:r>
      <w:r>
        <w:rPr>
          <w:spacing w:val="-62"/>
          <w:w w:val="100"/>
        </w:rPr>
        <w:t> </w:t>
      </w:r>
      <w:r>
        <w:rPr>
          <w:spacing w:val="-62"/>
          <w:w w:val="100"/>
        </w:rPr>
      </w:r>
      <w:r>
        <w:rPr/>
        <w:t>和与分摊的前述账面金额之差额计入当期损益。</w:t>
      </w:r>
    </w:p>
    <w:p>
      <w:pPr>
        <w:pStyle w:val="BodyText"/>
        <w:spacing w:line="316" w:lineRule="auto" w:before="119"/>
        <w:ind w:right="190" w:firstLine="359"/>
        <w:jc w:val="both"/>
      </w:pPr>
      <w:r>
        <w:rPr>
          <w:spacing w:val="-3"/>
        </w:rPr>
        <w:t>本公司对采用附追索权方式出售的金融资产，或将持有的金融资产背书转让，需确定该金融资产所有权上几乎所有的风</w:t>
      </w:r>
      <w:r>
        <w:rPr>
          <w:w w:val="100"/>
        </w:rPr>
        <w:t> </w:t>
      </w:r>
      <w:r>
        <w:rPr>
          <w:spacing w:val="-3"/>
        </w:rPr>
        <w:t>险和报酬是否已经转移。已将该金融资产所有权上几乎所有的风险和报酬转移给转入方的，终止确认该金融资产；保留了金</w:t>
      </w:r>
      <w:r>
        <w:rPr>
          <w:spacing w:val="-50"/>
        </w:rPr>
        <w:t> </w:t>
      </w:r>
      <w:r>
        <w:rPr>
          <w:spacing w:val="-50"/>
        </w:rPr>
      </w:r>
      <w:r>
        <w:rPr>
          <w:spacing w:val="-3"/>
        </w:rPr>
        <w:t>融资产所有权上几乎所有的风险和报酬的，不终止确认该金融资产；既没有转移也没有保留金融资产所有权上几乎所有的风</w:t>
      </w:r>
      <w:r>
        <w:rPr>
          <w:spacing w:val="-50"/>
        </w:rPr>
        <w:t> </w:t>
      </w:r>
      <w:r>
        <w:rPr>
          <w:spacing w:val="-50"/>
        </w:rPr>
      </w:r>
      <w:r>
        <w:rPr/>
        <w:t>险和报酬的，则继续判断企业是否对该资产保留了控制，并根据前面各段所述的原则进行会计处理。</w:t>
      </w:r>
    </w:p>
    <w:p>
      <w:pPr>
        <w:pStyle w:val="BodyText"/>
        <w:spacing w:line="398" w:lineRule="auto" w:before="117"/>
        <w:ind w:left="512" w:right="93" w:hanging="360"/>
        <w:jc w:val="left"/>
      </w:pPr>
      <w:r>
        <w:rPr/>
        <w:t>（</w:t>
      </w:r>
      <w:r>
        <w:rPr>
          <w:rFonts w:ascii="Times New Roman" w:hAnsi="Times New Roman" w:cs="Times New Roman" w:eastAsia="Times New Roman" w:hint="default"/>
        </w:rPr>
        <w:t>4</w:t>
      </w:r>
      <w:r>
        <w:rPr/>
        <w:t>）金融负债的终止确认：</w:t>
      </w:r>
      <w:r>
        <w:rPr>
          <w:w w:val="100"/>
        </w:rPr>
        <w:t> </w:t>
      </w:r>
      <w:r>
        <w:rPr>
          <w:spacing w:val="-3"/>
        </w:rPr>
        <w:t>金融负债的现时义务全部或部分已经解除的，才能终止确认该金融负债或其一部分。本公司（债务人）与债权人之间签</w:t>
      </w:r>
    </w:p>
    <w:p>
      <w:pPr>
        <w:pStyle w:val="BodyText"/>
        <w:spacing w:line="193" w:lineRule="exact"/>
        <w:ind w:right="93"/>
        <w:jc w:val="left"/>
      </w:pPr>
      <w:r>
        <w:rPr>
          <w:spacing w:val="-3"/>
        </w:rPr>
        <w:t>订协议，以承担新金融负债方式替换现存金融负债，且新金融负债与现存金融负债的合同条款实质上不同的，终止确认现存</w:t>
      </w:r>
    </w:p>
    <w:p>
      <w:pPr>
        <w:pStyle w:val="BodyText"/>
        <w:spacing w:line="240" w:lineRule="auto" w:before="76"/>
        <w:ind w:right="93"/>
        <w:jc w:val="left"/>
      </w:pPr>
      <w:r>
        <w:rPr/>
        <w:t>金融负债，并同时确认新金融负债。</w:t>
      </w:r>
    </w:p>
    <w:p>
      <w:pPr>
        <w:spacing w:line="240" w:lineRule="auto" w:before="7"/>
        <w:rPr>
          <w:rFonts w:ascii="宋体" w:hAnsi="宋体" w:cs="宋体" w:eastAsia="宋体" w:hint="default"/>
          <w:sz w:val="13"/>
          <w:szCs w:val="13"/>
        </w:rPr>
      </w:pPr>
    </w:p>
    <w:p>
      <w:pPr>
        <w:pStyle w:val="BodyText"/>
        <w:spacing w:line="319" w:lineRule="auto"/>
        <w:ind w:right="191" w:firstLine="359"/>
        <w:jc w:val="both"/>
      </w:pPr>
      <w:r>
        <w:rPr>
          <w:spacing w:val="-3"/>
        </w:rPr>
        <w:t>金融负债全部或部分终止确认的，将终止确认部分的账面价值与支付的对价（包括转出的非现金资产或承担的新金融负</w:t>
      </w:r>
      <w:r>
        <w:rPr>
          <w:w w:val="100"/>
        </w:rPr>
        <w:t> </w:t>
      </w:r>
      <w:r>
        <w:rPr/>
        <w:t>债）之间的差额，计入当期损益。</w:t>
      </w:r>
    </w:p>
    <w:p>
      <w:pPr>
        <w:pStyle w:val="BodyText"/>
        <w:spacing w:line="398" w:lineRule="auto" w:before="115"/>
        <w:ind w:left="512" w:right="93" w:hanging="360"/>
        <w:jc w:val="left"/>
      </w:pPr>
      <w:r>
        <w:rPr/>
        <w:t>（</w:t>
      </w:r>
      <w:r>
        <w:rPr>
          <w:rFonts w:ascii="Times New Roman" w:hAnsi="Times New Roman" w:cs="Times New Roman" w:eastAsia="Times New Roman" w:hint="default"/>
        </w:rPr>
        <w:t>5</w:t>
      </w:r>
      <w:r>
        <w:rPr/>
        <w:t>）金融资产和金融负债的公允价值确定方法：</w:t>
      </w:r>
      <w:r>
        <w:rPr>
          <w:w w:val="100"/>
        </w:rPr>
        <w:t> </w:t>
      </w:r>
      <w:r>
        <w:rPr>
          <w:spacing w:val="-3"/>
        </w:rPr>
        <w:t>公允价值，是指市场参与者在计量日发生的有序交易中，出售一项资产所能收到或者转移一项负债所需支付的价格。金</w:t>
      </w:r>
    </w:p>
    <w:p>
      <w:pPr>
        <w:pStyle w:val="BodyText"/>
        <w:spacing w:line="193" w:lineRule="exact"/>
        <w:ind w:right="93"/>
        <w:jc w:val="left"/>
      </w:pPr>
      <w:r>
        <w:rPr>
          <w:spacing w:val="-5"/>
        </w:rPr>
        <w:t>融工具存在活跃市场的，本公司采用活跃市场中的报价确定其公允价值。活跃市场中的报价是指易于定期从交易所、经纪商、</w:t>
      </w:r>
    </w:p>
    <w:p>
      <w:pPr>
        <w:pStyle w:val="BodyText"/>
        <w:spacing w:line="316" w:lineRule="auto" w:before="76"/>
        <w:ind w:right="93"/>
        <w:jc w:val="left"/>
      </w:pPr>
      <w:r>
        <w:rPr>
          <w:spacing w:val="-1"/>
        </w:rPr>
        <w:t>行业协会、定价服务机构等获得的价格，且代表了在有序交易中实际发生的市场交易的价格。金融工具不存在活跃市场的，</w:t>
      </w:r>
      <w:r>
        <w:rPr>
          <w:spacing w:val="-78"/>
        </w:rPr>
        <w:t> </w:t>
      </w:r>
      <w:r>
        <w:rPr>
          <w:spacing w:val="-78"/>
        </w:rPr>
      </w:r>
      <w:r>
        <w:rPr>
          <w:spacing w:val="-3"/>
        </w:rPr>
        <w:t>本公司采用估值技术确定其公允价值。估值技术包括参考熟悉情况并自愿交易的各方最近进行的市场交易中使用的价格、参</w:t>
      </w:r>
      <w:r>
        <w:rPr>
          <w:spacing w:val="-53"/>
        </w:rPr>
        <w:t> </w:t>
      </w:r>
      <w:r>
        <w:rPr>
          <w:spacing w:val="-53"/>
        </w:rPr>
      </w:r>
      <w:r>
        <w:rPr/>
        <w:t>照实质上相同的其他金融工具当前的公允价值、现金流量折现法和期权定价模型等。</w:t>
      </w:r>
    </w:p>
    <w:p>
      <w:pPr>
        <w:pStyle w:val="BodyText"/>
        <w:spacing w:line="396" w:lineRule="auto" w:before="119"/>
        <w:ind w:left="512" w:right="93" w:hanging="360"/>
        <w:jc w:val="left"/>
      </w:pPr>
      <w:r>
        <w:rPr/>
        <w:t>（</w:t>
      </w:r>
      <w:r>
        <w:rPr>
          <w:rFonts w:ascii="Times New Roman" w:hAnsi="Times New Roman" w:cs="Times New Roman" w:eastAsia="Times New Roman" w:hint="default"/>
        </w:rPr>
        <w:t>6</w:t>
      </w:r>
      <w:r>
        <w:rPr/>
        <w:t>）金融资产减值</w:t>
      </w:r>
      <w:r>
        <w:rPr>
          <w:w w:val="100"/>
        </w:rPr>
        <w:t> </w:t>
      </w:r>
      <w:r>
        <w:rPr>
          <w:spacing w:val="-1"/>
        </w:rPr>
        <w:t>除以公允价值计量且其变动计入当期损益的金融资产外，本公司于资产负债表日对其他金融资产的账面价值进行检查，</w:t>
      </w:r>
    </w:p>
    <w:p>
      <w:pPr>
        <w:pStyle w:val="BodyText"/>
        <w:spacing w:line="195" w:lineRule="exact"/>
        <w:ind w:right="93"/>
        <w:jc w:val="left"/>
      </w:pPr>
      <w:r>
        <w:rPr>
          <w:spacing w:val="-3"/>
        </w:rPr>
        <w:t>有客观证据表明某项金融资产发生减值的，计提减值准备。表明金融资产发生减值的客观证据是指金融资产初始确认后实际</w:t>
      </w:r>
    </w:p>
    <w:p>
      <w:pPr>
        <w:pStyle w:val="BodyText"/>
        <w:spacing w:line="420" w:lineRule="auto" w:before="76"/>
        <w:ind w:left="512" w:right="1423" w:hanging="360"/>
        <w:jc w:val="left"/>
      </w:pPr>
      <w:r>
        <w:rPr>
          <w:spacing w:val="-1"/>
        </w:rPr>
        <w:t>发生的、对该金融资产的预计未来现金流量有影响，且本公司能够对该影响进行可靠计量的事项。</w:t>
      </w:r>
      <w:r>
        <w:rPr>
          <w:spacing w:val="-81"/>
        </w:rPr>
        <w:t> </w:t>
      </w:r>
      <w:r>
        <w:rPr>
          <w:spacing w:val="-81"/>
        </w:rPr>
      </w:r>
      <w:r>
        <w:rPr/>
        <w:t>金融资产发生减值的客观证据，包括下列可观察到的各项事项：</w:t>
      </w:r>
      <w:r>
        <w:rPr>
          <w:w w:val="100"/>
        </w:rPr>
        <w:t> </w:t>
      </w:r>
      <w:r>
        <w:rPr>
          <w:rFonts w:ascii="Times New Roman" w:hAnsi="Times New Roman" w:cs="Times New Roman" w:eastAsia="Times New Roman" w:hint="default"/>
        </w:rPr>
        <w:t>1)</w:t>
      </w:r>
      <w:r>
        <w:rPr/>
        <w:t>发行方或债务人发生严重财务困难；</w:t>
      </w:r>
    </w:p>
    <w:p>
      <w:pPr>
        <w:spacing w:after="0" w:line="420" w:lineRule="auto"/>
        <w:jc w:val="left"/>
        <w:sectPr>
          <w:footerReference w:type="default" r:id="rId26"/>
          <w:pgSz w:w="11910" w:h="16840"/>
          <w:pgMar w:footer="981" w:header="745" w:top="1060" w:bottom="1180" w:left="980" w:right="940"/>
          <w:pgNumType w:start="90"/>
        </w:sectPr>
      </w:pPr>
    </w:p>
    <w:p>
      <w:pPr>
        <w:spacing w:line="240" w:lineRule="auto" w:before="9"/>
        <w:rPr>
          <w:rFonts w:ascii="宋体" w:hAnsi="宋体" w:cs="宋体" w:eastAsia="宋体" w:hint="default"/>
          <w:sz w:val="25"/>
          <w:szCs w:val="25"/>
        </w:rPr>
      </w:pPr>
    </w:p>
    <w:p>
      <w:pPr>
        <w:pStyle w:val="BodyText"/>
        <w:spacing w:line="240" w:lineRule="auto" w:before="44"/>
        <w:ind w:left="512" w:right="93"/>
        <w:jc w:val="left"/>
      </w:pPr>
      <w:r>
        <w:rPr>
          <w:rFonts w:ascii="Times New Roman" w:hAnsi="Times New Roman" w:cs="Times New Roman" w:eastAsia="Times New Roman" w:hint="default"/>
        </w:rPr>
        <w:t>2)</w:t>
      </w:r>
      <w:r>
        <w:rPr/>
        <w:t>债务人违反了合同条款，如偿付利息或本金发生违约或逾期等；</w:t>
      </w:r>
    </w:p>
    <w:p>
      <w:pPr>
        <w:spacing w:line="240" w:lineRule="auto" w:before="7"/>
        <w:rPr>
          <w:rFonts w:ascii="宋体" w:hAnsi="宋体" w:cs="宋体" w:eastAsia="宋体" w:hint="default"/>
          <w:sz w:val="12"/>
          <w:szCs w:val="12"/>
        </w:rPr>
      </w:pPr>
    </w:p>
    <w:p>
      <w:pPr>
        <w:pStyle w:val="BodyText"/>
        <w:spacing w:line="240" w:lineRule="auto"/>
        <w:ind w:left="512" w:right="93"/>
        <w:jc w:val="left"/>
      </w:pPr>
      <w:r>
        <w:rPr>
          <w:rFonts w:ascii="Times New Roman" w:hAnsi="Times New Roman" w:cs="Times New Roman" w:eastAsia="Times New Roman" w:hint="default"/>
        </w:rPr>
        <w:t>3)</w:t>
      </w:r>
      <w:r>
        <w:rPr/>
        <w:t>本公司出于经济或法律等方面因素的考虑，对发生财务困难的债务人作出让步；</w:t>
      </w:r>
    </w:p>
    <w:p>
      <w:pPr>
        <w:pStyle w:val="BodyText"/>
        <w:spacing w:line="240" w:lineRule="auto" w:before="161"/>
        <w:ind w:left="512" w:right="93"/>
        <w:jc w:val="left"/>
      </w:pPr>
      <w:r>
        <w:rPr>
          <w:rFonts w:ascii="Times New Roman" w:hAnsi="Times New Roman" w:cs="Times New Roman" w:eastAsia="Times New Roman" w:hint="default"/>
        </w:rPr>
        <w:t>4)</w:t>
      </w:r>
      <w:r>
        <w:rPr/>
        <w:t>债务人很可能倒闭或者进行其他财务重组；</w:t>
      </w:r>
    </w:p>
    <w:p>
      <w:pPr>
        <w:spacing w:line="240" w:lineRule="auto" w:before="7"/>
        <w:rPr>
          <w:rFonts w:ascii="宋体" w:hAnsi="宋体" w:cs="宋体" w:eastAsia="宋体" w:hint="default"/>
          <w:sz w:val="12"/>
          <w:szCs w:val="12"/>
        </w:rPr>
      </w:pPr>
    </w:p>
    <w:p>
      <w:pPr>
        <w:pStyle w:val="BodyText"/>
        <w:spacing w:line="240" w:lineRule="auto"/>
        <w:ind w:left="512" w:right="93"/>
        <w:jc w:val="left"/>
      </w:pPr>
      <w:r>
        <w:rPr>
          <w:rFonts w:ascii="Times New Roman" w:hAnsi="Times New Roman" w:cs="Times New Roman" w:eastAsia="Times New Roman" w:hint="default"/>
        </w:rPr>
        <w:t>5)</w:t>
      </w:r>
      <w:r>
        <w:rPr/>
        <w:t>因发行方发生重大财务困难，导致金融资产无法在活跃市场继续交易；</w:t>
      </w:r>
    </w:p>
    <w:p>
      <w:pPr>
        <w:spacing w:line="240" w:lineRule="auto" w:before="7"/>
        <w:rPr>
          <w:rFonts w:ascii="宋体" w:hAnsi="宋体" w:cs="宋体" w:eastAsia="宋体" w:hint="default"/>
          <w:sz w:val="12"/>
          <w:szCs w:val="12"/>
        </w:rPr>
      </w:pPr>
    </w:p>
    <w:p>
      <w:pPr>
        <w:pStyle w:val="BodyText"/>
        <w:spacing w:line="309" w:lineRule="auto"/>
        <w:ind w:right="192" w:firstLine="359"/>
        <w:jc w:val="both"/>
      </w:pPr>
      <w:r>
        <w:rPr>
          <w:rFonts w:ascii="Times New Roman" w:hAnsi="Times New Roman" w:cs="Times New Roman" w:eastAsia="Times New Roman" w:hint="default"/>
          <w:spacing w:val="-2"/>
        </w:rPr>
        <w:t>6)</w:t>
      </w:r>
      <w:r>
        <w:rPr>
          <w:spacing w:val="-2"/>
        </w:rPr>
        <w:t>无法辨认一组金融资产中的某项资产的现金流量是否已经减少，但根据公开的数据对其进行总体评价后发现，该组金</w:t>
      </w:r>
      <w:r>
        <w:rPr>
          <w:w w:val="100"/>
        </w:rPr>
        <w:t> </w:t>
      </w:r>
      <w:r>
        <w:rPr>
          <w:spacing w:val="-3"/>
        </w:rPr>
        <w:t>融资产自初始确认以来的预计未来现金流量确已减少且可计量，如该组金融资产的债务人支付能力逐步恶化、或债务人所在</w:t>
      </w:r>
      <w:r>
        <w:rPr>
          <w:spacing w:val="-51"/>
        </w:rPr>
        <w:t> </w:t>
      </w:r>
      <w:r>
        <w:rPr>
          <w:spacing w:val="-51"/>
        </w:rPr>
      </w:r>
      <w:r>
        <w:rPr/>
        <w:t>国家或地区经济出现了可能导致该组金融资产无法支付的状况；</w:t>
      </w:r>
    </w:p>
    <w:p>
      <w:pPr>
        <w:pStyle w:val="BodyText"/>
        <w:spacing w:line="300" w:lineRule="auto" w:before="122"/>
        <w:ind w:right="189" w:firstLine="359"/>
        <w:jc w:val="both"/>
      </w:pPr>
      <w:r>
        <w:rPr>
          <w:rFonts w:ascii="Times New Roman" w:hAnsi="Times New Roman" w:cs="Times New Roman" w:eastAsia="Times New Roman" w:hint="default"/>
          <w:spacing w:val="-2"/>
        </w:rPr>
        <w:t>7)</w:t>
      </w:r>
      <w:r>
        <w:rPr>
          <w:spacing w:val="-2"/>
        </w:rPr>
        <w:t>权益工具发行方经营所处的技术、市场、经济或法律环境等发生重大不利变化，使权益工具投资人可能无法收回投资</w:t>
      </w:r>
      <w:r>
        <w:rPr>
          <w:w w:val="100"/>
        </w:rPr>
        <w:t> </w:t>
      </w:r>
      <w:r>
        <w:rPr/>
        <w:t>成本；</w:t>
      </w:r>
    </w:p>
    <w:p>
      <w:pPr>
        <w:pStyle w:val="BodyText"/>
        <w:spacing w:line="300" w:lineRule="auto" w:before="132"/>
        <w:ind w:right="191" w:firstLine="359"/>
        <w:jc w:val="both"/>
      </w:pPr>
      <w:r>
        <w:rPr>
          <w:rFonts w:ascii="Times New Roman" w:hAnsi="Times New Roman" w:cs="Times New Roman" w:eastAsia="Times New Roman" w:hint="default"/>
          <w:spacing w:val="-2"/>
        </w:rPr>
        <w:t>8)</w:t>
      </w:r>
      <w:r>
        <w:rPr>
          <w:spacing w:val="-2"/>
        </w:rPr>
        <w:t>权益工具投资的公允价值发生严重或非暂时性下跌，即于资产负债表日，若一项权益工具投资的公允价值低于其初始</w:t>
      </w:r>
      <w:r>
        <w:rPr>
          <w:w w:val="100"/>
        </w:rPr>
        <w:t> </w:t>
      </w:r>
      <w:r>
        <w:rPr/>
        <w:t>投资成本超过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w:t>
      </w:r>
    </w:p>
    <w:p>
      <w:pPr>
        <w:pStyle w:val="BodyText"/>
        <w:spacing w:line="396" w:lineRule="auto" w:before="113"/>
        <w:ind w:left="495" w:right="4226" w:firstLine="16"/>
        <w:jc w:val="left"/>
      </w:pPr>
      <w:r>
        <w:rPr>
          <w:rFonts w:ascii="Times New Roman" w:hAnsi="Times New Roman" w:cs="Times New Roman" w:eastAsia="Times New Roman" w:hint="default"/>
          <w:spacing w:val="-1"/>
        </w:rPr>
        <w:t>9)</w:t>
      </w:r>
      <w:r>
        <w:rPr>
          <w:spacing w:val="-1"/>
        </w:rPr>
        <w:t>其他表明金融资产发生减值的客观证据。</w:t>
      </w:r>
      <w:r>
        <w:rPr>
          <w:w w:val="100"/>
        </w:rPr>
        <w:t> </w:t>
      </w:r>
      <w:r>
        <w:rPr/>
        <w:t>持有至到期投资、贷款和应收款项减值</w:t>
      </w:r>
    </w:p>
    <w:p>
      <w:pPr>
        <w:pStyle w:val="BodyText"/>
        <w:spacing w:line="316" w:lineRule="auto" w:before="60"/>
        <w:ind w:right="188" w:firstLine="359"/>
        <w:jc w:val="both"/>
      </w:pPr>
      <w:r>
        <w:rPr>
          <w:spacing w:val="-3"/>
        </w:rPr>
        <w:t>持有至到期投资、贷款和应收款项以摊余成本后续计量，其发生减值时，将其账面价值减记至按照该金融资产的原实际</w:t>
      </w:r>
      <w:r>
        <w:rPr>
          <w:w w:val="100"/>
        </w:rPr>
        <w:t> </w:t>
      </w:r>
      <w:r>
        <w:rPr>
          <w:spacing w:val="-3"/>
        </w:rPr>
        <w:t>利率折现确定的预计未来现金流量现值，减记金额确认为减值损失，计入当期损益。金融资产确认减值损失后，如有客观证</w:t>
      </w:r>
      <w:r>
        <w:rPr>
          <w:spacing w:val="-44"/>
        </w:rPr>
        <w:t> </w:t>
      </w:r>
      <w:r>
        <w:rPr>
          <w:spacing w:val="-44"/>
        </w:rPr>
      </w:r>
      <w:r>
        <w:rPr>
          <w:spacing w:val="-3"/>
        </w:rPr>
        <w:t>据表明该金融资产价值已恢复，且客观上与确认该损失后发生的事项有关，原确认的减值损失予以转回，但金融资产转回减</w:t>
      </w:r>
      <w:r>
        <w:rPr>
          <w:spacing w:val="-48"/>
        </w:rPr>
        <w:t> </w:t>
      </w:r>
      <w:r>
        <w:rPr>
          <w:spacing w:val="-48"/>
        </w:rPr>
      </w:r>
      <w:r>
        <w:rPr/>
        <w:t>值损失后的账面价值不超过假定不计提减值准备情况下该金融资产在转回日的摊余成本。</w:t>
      </w:r>
    </w:p>
    <w:p>
      <w:pPr>
        <w:pStyle w:val="BodyText"/>
        <w:spacing w:line="307" w:lineRule="auto" w:before="119"/>
        <w:ind w:right="191" w:firstLine="359"/>
        <w:jc w:val="both"/>
      </w:pPr>
      <w:r>
        <w:rPr>
          <w:spacing w:val="-3"/>
        </w:rPr>
        <w:t>本公司对单项金额重大的金融资产单独进行减值测试；对单项金额不重大的金融资产，单独进行减值测试或包括在具有</w:t>
      </w:r>
      <w:r>
        <w:rPr>
          <w:w w:val="100"/>
        </w:rPr>
        <w:t> </w:t>
      </w:r>
      <w:r>
        <w:rPr/>
        <w:t>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w:t>
      </w:r>
      <w:r>
        <w:rPr>
          <w:w w:val="100"/>
        </w:rPr>
        <w:t> </w:t>
      </w:r>
      <w:r>
        <w:rPr/>
        <w:t>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w:t>
      </w:r>
      <w:r>
        <w:rPr>
          <w:w w:val="100"/>
        </w:rPr>
        <w:t> </w:t>
      </w:r>
      <w:r>
        <w:rPr/>
        <w:t>似信用风险特征的金融资产组合中进行减值测试。</w:t>
      </w:r>
    </w:p>
    <w:p>
      <w:pPr>
        <w:pStyle w:val="BodyText"/>
        <w:spacing w:line="412" w:lineRule="exact" w:before="5"/>
        <w:ind w:left="512" w:right="93" w:hanging="73"/>
        <w:jc w:val="left"/>
      </w:pPr>
      <w:r>
        <w:rPr/>
        <w:t>可供出售金融资产减值</w:t>
      </w:r>
      <w:r>
        <w:rPr>
          <w:w w:val="100"/>
        </w:rPr>
        <w:t> </w:t>
      </w:r>
      <w:r>
        <w:rPr>
          <w:spacing w:val="-3"/>
        </w:rPr>
        <w:t>可供出售金融资产发生减值时，将原计入其他综合收益的因公允价值下降形成的累计损失予以转出并计入当期损益，该</w:t>
      </w:r>
    </w:p>
    <w:p>
      <w:pPr>
        <w:pStyle w:val="BodyText"/>
        <w:spacing w:line="240" w:lineRule="auto" w:before="19"/>
        <w:ind w:right="0"/>
        <w:jc w:val="left"/>
      </w:pPr>
      <w:r>
        <w:rPr/>
        <w:t>转出的累计损失为该资产初始取得成本扣除已收回本金和已摊销金额、当前公允价值和原已计入损益的减值损失后的余额。</w:t>
      </w:r>
    </w:p>
    <w:p>
      <w:pPr>
        <w:spacing w:line="240" w:lineRule="auto" w:before="7"/>
        <w:rPr>
          <w:rFonts w:ascii="宋体" w:hAnsi="宋体" w:cs="宋体" w:eastAsia="宋体" w:hint="default"/>
          <w:sz w:val="13"/>
          <w:szCs w:val="13"/>
        </w:rPr>
      </w:pPr>
    </w:p>
    <w:p>
      <w:pPr>
        <w:pStyle w:val="BodyText"/>
        <w:spacing w:line="316" w:lineRule="auto"/>
        <w:ind w:right="190" w:firstLine="359"/>
        <w:jc w:val="both"/>
      </w:pPr>
      <w:r>
        <w:rPr>
          <w:spacing w:val="-3"/>
        </w:rPr>
        <w:t>在确认减值损失后，期后如有客观证据表明该金融资产价值已恢复，且客观上与确认该损失后发生的事项有关，原确认</w:t>
      </w:r>
      <w:r>
        <w:rPr>
          <w:w w:val="100"/>
        </w:rPr>
        <w:t> </w:t>
      </w:r>
      <w:r>
        <w:rPr>
          <w:spacing w:val="-3"/>
        </w:rPr>
        <w:t>的减值损失予以转回，可供出售权益工具投资的减值损失转回确认为其他综合收益，可供出售债务工具的减值损失转回计入</w:t>
      </w:r>
      <w:r>
        <w:rPr>
          <w:spacing w:val="-50"/>
        </w:rPr>
        <w:t> </w:t>
      </w:r>
      <w:r>
        <w:rPr>
          <w:spacing w:val="-50"/>
        </w:rPr>
      </w:r>
      <w:r>
        <w:rPr/>
        <w:t>当期损益。</w:t>
      </w:r>
    </w:p>
    <w:p>
      <w:pPr>
        <w:pStyle w:val="BodyText"/>
        <w:spacing w:line="316" w:lineRule="auto" w:before="117"/>
        <w:ind w:right="191" w:firstLine="359"/>
        <w:jc w:val="both"/>
      </w:pPr>
      <w:r>
        <w:rPr>
          <w:spacing w:val="-3"/>
          <w:w w:val="100"/>
        </w:rPr>
        <w:t>在活跃市场中没有报价且其公允价值不能可靠计量的权益工具投资，或与该权益工具挂钩并须通过交付该权益工具结算</w:t>
      </w:r>
      <w:r>
        <w:rPr>
          <w:w w:val="100"/>
        </w:rPr>
        <w:t> </w:t>
      </w:r>
      <w:r>
        <w:rPr>
          <w:spacing w:val="-3"/>
        </w:rPr>
        <w:t>的衍生金融资产发生减值时，将其账面价值减记至按照类似金融资产当时市场收益率对未来现金流量折现确定的现值，减记</w:t>
      </w:r>
      <w:r>
        <w:rPr>
          <w:spacing w:val="-53"/>
        </w:rPr>
        <w:t> </w:t>
      </w:r>
      <w:r>
        <w:rPr>
          <w:spacing w:val="-53"/>
        </w:rPr>
      </w:r>
      <w:r>
        <w:rPr/>
        <w:t>金额确认为减值损失，计入当期损益。该金融资产的减值损失一经确认不得转回。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Heading3"/>
        <w:spacing w:line="240" w:lineRule="auto"/>
        <w:ind w:right="93"/>
        <w:jc w:val="left"/>
        <w:rPr>
          <w:b w:val="0"/>
          <w:bCs w:val="0"/>
        </w:rPr>
      </w:pPr>
      <w:bookmarkStart w:name="11、应收款项 " w:id="164"/>
      <w:bookmarkEnd w:id="16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bookmarkStart w:name="（1）单项金额重大并单独计提坏账准备的应收款项 " w:id="165"/>
      <w:bookmarkEnd w:id="16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2"/>
        <w:rPr>
          <w:rFonts w:ascii="宋体" w:hAnsi="宋体" w:cs="宋体" w:eastAsia="宋体" w:hint="default"/>
          <w:b/>
          <w:bCs/>
          <w:sz w:val="25"/>
          <w:szCs w:val="25"/>
        </w:rPr>
      </w:pPr>
    </w:p>
    <w:p>
      <w:pPr>
        <w:spacing w:line="693"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8.95pt;height:34.7pt;mso-position-horizontal-relative:char;mso-position-vertical-relative:line" coordorigin="0,0" coordsize="9579,694">
            <v:group style="position:absolute;left:10;top:542;width:4774;height:138" coordorigin="10,542" coordsize="4774,138">
              <v:shape style="position:absolute;left:10;top:542;width:4774;height:138" coordorigin="10,542" coordsize="4774,138" path="m10,680l4783,680,4783,542,10,542,10,680xe" filled="true" fillcolor="#d3d3d3" stroked="false">
                <v:path arrowok="t"/>
                <v:fill type="solid"/>
              </v:shape>
            </v:group>
            <v:group style="position:absolute;left:22;top:152;width:2;height:390" coordorigin="22,152" coordsize="2,390">
              <v:shape style="position:absolute;left:22;top:152;width:2;height:390" coordorigin="22,152" coordsize="0,390" path="m22,152l22,542e" filled="false" stroked="true" strokeweight="1.2pt" strokecolor="#d3d3d3">
                <v:path arrowok="t"/>
              </v:shape>
            </v:group>
            <v:group style="position:absolute;left:10;top:14;width:4774;height:138" coordorigin="10,14" coordsize="4774,138">
              <v:shape style="position:absolute;left:10;top:14;width:4774;height:138" coordorigin="10,14" coordsize="4774,138" path="m10,152l4783,152,4783,14,10,14,10,152xe" filled="true" fillcolor="#d3d3d3" stroked="false">
                <v:path arrowok="t"/>
                <v:fill type="solid"/>
              </v:shape>
            </v:group>
            <v:group style="position:absolute;left:4772;top:151;width:2;height:392" coordorigin="4772,151" coordsize="2,392">
              <v:shape style="position:absolute;left:4772;top:151;width:2;height:392" coordorigin="4772,151" coordsize="0,392" path="m4772,151l4772,542e" filled="false" stroked="true" strokeweight="1.08pt" strokecolor="#d3d3d3">
                <v:path arrowok="t"/>
              </v:shape>
            </v:group>
            <v:group style="position:absolute;left:34;top:151;width:4728;height:392" coordorigin="34,151" coordsize="4728,392">
              <v:shape style="position:absolute;left:34;top:151;width:4728;height:392" coordorigin="34,151" coordsize="4728,392" path="m34,151l4762,151,4762,542,34,542,34,151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4774;height:2" coordorigin="10,684" coordsize="4774,2">
              <v:shape style="position:absolute;left:10;top:684;width:4774;height:2" coordorigin="10,684" coordsize="4774,0" path="m10,684l4783,684e" filled="false" stroked="true" strokeweight=".48pt" strokecolor="#000000">
                <v:path arrowok="t"/>
              </v:shape>
            </v:group>
            <v:group style="position:absolute;left:4788;top:5;width:2;height:684" coordorigin="4788,5" coordsize="2,684">
              <v:shape style="position:absolute;left:4788;top:5;width:2;height:684" coordorigin="4788,5" coordsize="0,684" path="m4788,5l4788,689e" filled="false" stroked="true" strokeweight=".48pt" strokecolor="#000000">
                <v:path arrowok="t"/>
              </v:shape>
            </v:group>
            <v:group style="position:absolute;left:4793;top:684;width:4776;height:2" coordorigin="4793,684" coordsize="4776,2">
              <v:shape style="position:absolute;left:4793;top:684;width:4776;height:2" coordorigin="4793,684" coordsize="4776,0" path="m4793,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5;top:10;width:4784;height:675" type="#_x0000_t202" filled="false" stroked="false">
                <v:textbox inset="0,0,0,0">
                  <w:txbxContent>
                    <w:p>
                      <w:pPr>
                        <w:spacing w:line="240" w:lineRule="auto" w:before="7"/>
                        <w:rPr>
                          <w:rFonts w:ascii="宋体" w:hAnsi="宋体" w:cs="宋体" w:eastAsia="宋体" w:hint="default"/>
                          <w:b/>
                          <w:bCs/>
                          <w:sz w:val="14"/>
                          <w:szCs w:val="14"/>
                        </w:rPr>
                      </w:pPr>
                    </w:p>
                    <w:p>
                      <w:pPr>
                        <w:spacing w:before="0"/>
                        <w:ind w:left="28"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xbxContent>
                </v:textbox>
                <w10:wrap type="none"/>
              </v:shape>
              <v:shape style="position:absolute;left:4788;top:10;width:4786;height:675" type="#_x0000_t202" filled="false" stroked="false">
                <v:textbox inset="0,0,0,0">
                  <w:txbxContent>
                    <w:p>
                      <w:pPr>
                        <w:spacing w:line="300" w:lineRule="auto" w:before="53"/>
                        <w:ind w:left="30" w:right="69" w:firstLine="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万元以上的应收账款确认为单</w:t>
                      </w:r>
                      <w:r>
                        <w:rPr>
                          <w:rFonts w:ascii="宋体" w:hAnsi="宋体" w:cs="宋体" w:eastAsia="宋体" w:hint="default"/>
                          <w:w w:val="100"/>
                          <w:sz w:val="18"/>
                          <w:szCs w:val="18"/>
                        </w:rPr>
                        <w:t> </w:t>
                      </w:r>
                      <w:r>
                        <w:rPr>
                          <w:rFonts w:ascii="宋体" w:hAnsi="宋体" w:cs="宋体" w:eastAsia="宋体" w:hint="default"/>
                          <w:sz w:val="18"/>
                          <w:szCs w:val="18"/>
                        </w:rPr>
                        <w:t>项金额重大的应收款项，将金额为人民币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万元以上的其</w:t>
                      </w:r>
                    </w:p>
                  </w:txbxContent>
                </v:textbox>
                <w10:wrap type="none"/>
              </v:shape>
            </v:group>
          </v:group>
        </w:pict>
      </w:r>
      <w:r>
        <w:rPr>
          <w:rFonts w:ascii="宋体" w:hAnsi="宋体" w:cs="宋体" w:eastAsia="宋体" w:hint="default"/>
          <w:position w:val="-13"/>
          <w:sz w:val="20"/>
          <w:szCs w:val="20"/>
        </w:rPr>
      </w:r>
    </w:p>
    <w:p>
      <w:pPr>
        <w:spacing w:after="0" w:line="693" w:lineRule="exact"/>
        <w:rPr>
          <w:rFonts w:ascii="宋体" w:hAnsi="宋体" w:cs="宋体" w:eastAsia="宋体" w:hint="default"/>
          <w:sz w:val="20"/>
          <w:szCs w:val="20"/>
        </w:rPr>
        <w:sectPr>
          <w:pgSz w:w="11910" w:h="16840"/>
          <w:pgMar w:header="745" w:footer="981" w:top="1060" w:bottom="118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6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他应收款确认为单项金额重大的应收款项。</w:t>
            </w:r>
          </w:p>
        </w:tc>
      </w:tr>
      <w:tr>
        <w:trPr>
          <w:trHeight w:val="354" w:hRule="exact"/>
        </w:trPr>
        <w:tc>
          <w:tcPr>
            <w:tcW w:w="4783"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在资产负债表日，除对母子公司之间、各子公司之间应收款</w:t>
            </w:r>
          </w:p>
        </w:tc>
      </w:tr>
      <w:tr>
        <w:trPr>
          <w:trHeight w:val="311" w:hRule="exact"/>
        </w:trPr>
        <w:tc>
          <w:tcPr>
            <w:tcW w:w="4783" w:type="dxa"/>
            <w:tcBorders>
              <w:top w:val="nil" w:sz="6" w:space="0" w:color="auto"/>
              <w:left w:val="single" w:sz="4" w:space="0" w:color="000000"/>
              <w:bottom w:val="nil" w:sz="6" w:space="0" w:color="auto"/>
              <w:right w:val="single" w:sz="4" w:space="0" w:color="000000"/>
            </w:tcBorders>
            <w:shd w:val="clear" w:color="auto" w:fill="D3D3D3"/>
          </w:tcPr>
          <w:p>
            <w:pP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项不计提坏账准备之外，本公司对单项金额重大的应收款项</w:t>
            </w:r>
          </w:p>
        </w:tc>
      </w:tr>
      <w:tr>
        <w:trPr>
          <w:trHeight w:val="624" w:hRule="exact"/>
        </w:trPr>
        <w:tc>
          <w:tcPr>
            <w:tcW w:w="47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67"/>
              <w:jc w:val="left"/>
              <w:rPr>
                <w:rFonts w:ascii="宋体" w:hAnsi="宋体" w:cs="宋体" w:eastAsia="宋体" w:hint="default"/>
                <w:sz w:val="18"/>
                <w:szCs w:val="18"/>
              </w:rPr>
            </w:pPr>
            <w:r>
              <w:rPr>
                <w:rFonts w:ascii="宋体" w:hAnsi="宋体" w:cs="宋体" w:eastAsia="宋体" w:hint="default"/>
                <w:spacing w:val="-1"/>
                <w:sz w:val="18"/>
                <w:szCs w:val="18"/>
              </w:rPr>
              <w:t>单独进行减值测试，单独测试未发生减值的金融资产，包括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在具有类似信用风险特征的金融资产组合中进行减值测试。</w:t>
            </w:r>
          </w:p>
        </w:tc>
      </w:tr>
      <w:tr>
        <w:trPr>
          <w:trHeight w:val="312" w:hRule="exact"/>
        </w:trPr>
        <w:tc>
          <w:tcPr>
            <w:tcW w:w="4783" w:type="dxa"/>
            <w:tcBorders>
              <w:top w:val="nil" w:sz="6" w:space="0" w:color="auto"/>
              <w:left w:val="single" w:sz="4" w:space="0" w:color="000000"/>
              <w:bottom w:val="nil" w:sz="6" w:space="0" w:color="auto"/>
              <w:right w:val="single" w:sz="4" w:space="0" w:color="000000"/>
            </w:tcBorders>
            <w:shd w:val="clear" w:color="auto" w:fill="D3D3D3"/>
          </w:tcPr>
          <w:p>
            <w:pPr/>
          </w:p>
        </w:tc>
        <w:tc>
          <w:tcPr>
            <w:tcW w:w="4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单项测试已确认减值损失的应收款项，不再包括在具有类似</w:t>
            </w:r>
          </w:p>
        </w:tc>
      </w:tr>
      <w:tr>
        <w:trPr>
          <w:trHeight w:val="360" w:hRule="exact"/>
        </w:trPr>
        <w:tc>
          <w:tcPr>
            <w:tcW w:w="4783"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bookmarkStart w:name="（2）按信用风险特征组合计提坏账准备的应收款项 " w:id="166"/>
            <w:bookmarkEnd w:id="166"/>
            <w:r>
              <w:rPr/>
            </w:r>
            <w:r>
              <w:rPr>
                <w:rFonts w:ascii="宋体" w:hAnsi="宋体" w:cs="宋体" w:eastAsia="宋体" w:hint="default"/>
                <w:sz w:val="18"/>
                <w:szCs w:val="18"/>
              </w:rPr>
              <w:t>信用风险特征的应收款项组合中进行减值测试。</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3" w:type="dxa"/>
            <w:tcBorders>
              <w:top w:val="single" w:sz="5" w:space="0" w:color="000000"/>
              <w:left w:val="single" w:sz="4" w:space="0" w:color="000000"/>
              <w:bottom w:val="single" w:sz="4" w:space="0" w:color="000000"/>
              <w:right w:val="single" w:sz="4" w:space="0" w:color="000000"/>
            </w:tcBorders>
          </w:tcPr>
          <w:p>
            <w:pPr/>
          </w:p>
        </w:tc>
        <w:tc>
          <w:tcPr>
            <w:tcW w:w="478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6"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12"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49"/>
        <w:ind w:right="0"/>
        <w:jc w:val="left"/>
      </w:pPr>
      <w:r>
        <w:rPr/>
        <w:t>组合中，采用余额百分比法计提坏账准备的：</w:t>
      </w:r>
    </w:p>
    <w:p>
      <w:pPr>
        <w:pStyle w:val="BodyText"/>
        <w:spacing w:line="338" w:lineRule="auto" w:before="117"/>
        <w:ind w:right="52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w w:val="100"/>
        </w:rPr>
        <w:t> </w:t>
      </w:r>
      <w:r>
        <w:rPr>
          <w:spacing w:val="-1"/>
        </w:rPr>
        <w:t>组合中，采用其他方法计提坏账准备的：</w:t>
      </w:r>
    </w:p>
    <w:p>
      <w:pPr>
        <w:pStyle w:val="BodyText"/>
        <w:spacing w:line="240" w:lineRule="auto" w:before="43"/>
        <w:ind w:right="0"/>
        <w:jc w:val="left"/>
      </w:pPr>
      <w:bookmarkStart w:name="（3）单项金额不重大但单独计提坏账准备的应收款项 " w:id="167"/>
      <w:bookmarkEnd w:id="167"/>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10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6"/>
              <w:jc w:val="both"/>
              <w:rPr>
                <w:rFonts w:ascii="宋体" w:hAnsi="宋体" w:cs="宋体" w:eastAsia="宋体" w:hint="default"/>
                <w:sz w:val="18"/>
                <w:szCs w:val="18"/>
              </w:rPr>
            </w:pPr>
            <w:r>
              <w:rPr>
                <w:rFonts w:ascii="宋体" w:hAnsi="宋体" w:cs="宋体" w:eastAsia="宋体" w:hint="default"/>
                <w:spacing w:val="-1"/>
                <w:sz w:val="18"/>
                <w:szCs w:val="18"/>
              </w:rPr>
              <w:t>合并报表范围内，除对母子公司之间、各子公司之间应收款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项不计提坏账准备外，本公司对单项金额虽不重大但存在发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生减值的客观证据的款项，单项计提坏账准备。</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将预计可收回金额与账面价值的差额确认为坏账准备。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12、存货 " w:id="168"/>
      <w:bookmarkEnd w:id="168"/>
      <w:r>
        <w:rPr>
          <w:b w:val="0"/>
          <w:bCs w:val="0"/>
        </w:rPr>
      </w: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0"/>
        <w:jc w:val="left"/>
      </w:pPr>
      <w:r>
        <w:rPr>
          <w:rFonts w:ascii="Times New Roman" w:hAnsi="Times New Roman" w:cs="Times New Roman" w:eastAsia="Times New Roman" w:hint="default"/>
        </w:rPr>
        <w:t>(1)</w:t>
      </w:r>
      <w:r>
        <w:rPr/>
        <w:t>存货的分类：库存商品、包装物、低值易耗品等。</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18" w:firstLine="359"/>
        <w:jc w:val="both"/>
      </w:pPr>
      <w:r>
        <w:rPr>
          <w:rFonts w:ascii="Times New Roman" w:hAnsi="Times New Roman" w:cs="Times New Roman" w:eastAsia="Times New Roman" w:hint="default"/>
          <w:spacing w:val="-1"/>
        </w:rPr>
        <w:t>(2)</w:t>
      </w:r>
      <w:r>
        <w:rPr>
          <w:spacing w:val="-1"/>
        </w:rPr>
        <w:t>存货取得和发出的计价方法：存货在取得时按实际成本计价；存货发出时，采用加权平均法确定发出存货的实际成</w:t>
      </w:r>
      <w:r>
        <w:rPr>
          <w:w w:val="100"/>
        </w:rPr>
        <w:t> </w:t>
      </w:r>
      <w:r>
        <w:rPr/>
        <w:t>本。</w:t>
      </w:r>
    </w:p>
    <w:p>
      <w:pPr>
        <w:pStyle w:val="BodyText"/>
        <w:spacing w:line="398" w:lineRule="auto" w:before="62"/>
        <w:ind w:left="512" w:right="0" w:hanging="17"/>
        <w:jc w:val="left"/>
      </w:pPr>
      <w:r>
        <w:rPr>
          <w:rFonts w:ascii="Times New Roman" w:hAnsi="Times New Roman" w:cs="Times New Roman" w:eastAsia="Times New Roman" w:hint="default"/>
        </w:rPr>
        <w:t>(3)</w:t>
      </w:r>
      <w:r>
        <w:rPr/>
        <w:t>存货可变现净值的确定依据及存货跌价准备的计提方法</w:t>
      </w:r>
      <w:r>
        <w:rPr>
          <w:w w:val="100"/>
        </w:rPr>
        <w:t> </w:t>
      </w:r>
      <w:r>
        <w:rPr>
          <w:spacing w:val="-3"/>
        </w:rPr>
        <w:t>资产负债表日，存货按照成本与可变现净值孰低计量。当其可变现净值低于成本时，提取存货跌价准备。可变现净值是</w:t>
      </w:r>
    </w:p>
    <w:p>
      <w:pPr>
        <w:pStyle w:val="BodyText"/>
        <w:spacing w:line="193" w:lineRule="exact"/>
        <w:ind w:right="0"/>
        <w:jc w:val="left"/>
      </w:pPr>
      <w:r>
        <w:rPr>
          <w:spacing w:val="-3"/>
        </w:rPr>
        <w:t>指在日常活动中，存货的估计售价减去至完工时估计将要发生的成本、估计的销售费用以及相关税费后的金额。在确定存货</w:t>
      </w:r>
    </w:p>
    <w:p>
      <w:pPr>
        <w:pStyle w:val="BodyText"/>
        <w:spacing w:line="240" w:lineRule="auto" w:before="76"/>
        <w:ind w:right="0"/>
        <w:jc w:val="left"/>
      </w:pPr>
      <w:r>
        <w:rPr/>
        <w:t>的可变现净值时，以取得的确凿证据为基础，同时考虑持有存货的目的以及资产负债表日后事项的影响。</w:t>
      </w:r>
    </w:p>
    <w:p>
      <w:pPr>
        <w:spacing w:line="240" w:lineRule="auto" w:before="5"/>
        <w:rPr>
          <w:rFonts w:ascii="宋体" w:hAnsi="宋体" w:cs="宋体" w:eastAsia="宋体" w:hint="default"/>
          <w:sz w:val="13"/>
          <w:szCs w:val="13"/>
        </w:rPr>
      </w:pPr>
    </w:p>
    <w:p>
      <w:pPr>
        <w:pStyle w:val="BodyText"/>
        <w:spacing w:line="316" w:lineRule="auto"/>
        <w:ind w:right="149" w:firstLine="359"/>
        <w:jc w:val="both"/>
      </w:pPr>
      <w:r>
        <w:rPr>
          <w:spacing w:val="-3"/>
        </w:rPr>
        <w:t>存货按单个存货项目的成本高于其可变现净值的差额提取存货跌价准备，对于数量繁多、单价较低的存货，按存货类别</w:t>
      </w:r>
      <w:r>
        <w:rPr>
          <w:w w:val="100"/>
        </w:rPr>
        <w:t> </w:t>
      </w:r>
      <w:r>
        <w:rPr>
          <w:spacing w:val="-3"/>
        </w:rPr>
        <w:t>计提存货跌价准备；对与在同一地区生产和销售的产品系列相关、具有相同或类似最终用途或目的，且难以与其他项目分开</w:t>
      </w:r>
      <w:r>
        <w:rPr>
          <w:spacing w:val="-48"/>
        </w:rPr>
        <w:t> </w:t>
      </w:r>
      <w:r>
        <w:rPr>
          <w:spacing w:val="-48"/>
        </w:rPr>
      </w:r>
      <w:r>
        <w:rPr/>
        <w:t>计量的存货，合并计提存货跌价准备。</w:t>
      </w:r>
    </w:p>
    <w:p>
      <w:pPr>
        <w:pStyle w:val="BodyText"/>
        <w:spacing w:line="316" w:lineRule="auto" w:before="119"/>
        <w:ind w:right="150" w:firstLine="359"/>
        <w:jc w:val="both"/>
      </w:pPr>
      <w:r>
        <w:rPr>
          <w:spacing w:val="-3"/>
        </w:rPr>
        <w:t>计提存货跌价准备后，如果以前减记存货价值的影响因素已经消失，导致存货的可变现净值高于其账面价值的，在原已</w:t>
      </w:r>
      <w:r>
        <w:rPr>
          <w:w w:val="100"/>
        </w:rPr>
        <w:t> </w:t>
      </w:r>
      <w:r>
        <w:rPr/>
        <w:t>计提的存货跌价准备金额内予以转回，转回的金额计入当期损益。</w:t>
      </w:r>
    </w:p>
    <w:p>
      <w:pPr>
        <w:pStyle w:val="BodyText"/>
        <w:spacing w:line="396" w:lineRule="auto" w:before="119"/>
        <w:ind w:left="426" w:right="2587"/>
        <w:jc w:val="left"/>
      </w:pPr>
      <w:r>
        <w:rPr>
          <w:rFonts w:ascii="Times New Roman" w:hAnsi="Times New Roman" w:cs="Times New Roman" w:eastAsia="Times New Roman" w:hint="default"/>
        </w:rPr>
        <w:t>(4)</w:t>
      </w:r>
      <w:r>
        <w:rPr/>
        <w:t>存货的盘存制度为永续盘存制。</w:t>
      </w:r>
      <w:r>
        <w:rPr>
          <w:w w:val="100"/>
        </w:rPr>
        <w:t> </w:t>
      </w:r>
      <w:r>
        <w:rPr>
          <w:rFonts w:ascii="Times New Roman" w:hAnsi="Times New Roman" w:cs="Times New Roman" w:eastAsia="Times New Roman" w:hint="default"/>
          <w:spacing w:val="-1"/>
        </w:rPr>
        <w:t>(5)</w:t>
      </w:r>
      <w:r>
        <w:rPr>
          <w:spacing w:val="-1"/>
        </w:rPr>
        <w:t>低值易耗品和包装物的摊销方法：低值易耗品采用一次转销法进行摊销。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pStyle w:val="Heading3"/>
        <w:spacing w:line="240" w:lineRule="auto"/>
        <w:ind w:right="0"/>
        <w:jc w:val="left"/>
        <w:rPr>
          <w:b w:val="0"/>
          <w:bCs w:val="0"/>
        </w:rPr>
      </w:pPr>
      <w:bookmarkStart w:name="13、划分为持有待售资产 " w:id="169"/>
      <w:bookmarkEnd w:id="16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9" w:firstLine="359"/>
        <w:jc w:val="both"/>
      </w:pPr>
      <w:r>
        <w:rPr>
          <w:spacing w:val="-3"/>
          <w:w w:val="100"/>
        </w:rPr>
        <w:t>本公司将同时满足下列条件的非流动资产确认为持有待售：该非流动资产必须在其当前状况下仅根据出售此类非流动资</w:t>
      </w:r>
      <w:r>
        <w:rPr>
          <w:w w:val="100"/>
        </w:rPr>
        <w:t> </w:t>
      </w:r>
      <w:r>
        <w:rPr>
          <w:spacing w:val="-3"/>
        </w:rPr>
        <w:t>产的惯常条款即可立即出售；本公司已经就处置该非流动资产作出决议，如按规定需得到股东批准的，已经取得股东大会或</w:t>
      </w:r>
      <w:r>
        <w:rPr>
          <w:spacing w:val="-49"/>
        </w:rPr>
        <w:t> </w:t>
      </w:r>
      <w:r>
        <w:rPr>
          <w:spacing w:val="-49"/>
        </w:rPr>
      </w:r>
      <w:r>
        <w:rPr/>
        <w:t>相应权力机构的批准；本公司已经与受让方签订了不可撤销的转让协议；该项转让将在一年内完成。</w:t>
      </w:r>
    </w:p>
    <w:p>
      <w:pPr>
        <w:pStyle w:val="BodyText"/>
        <w:spacing w:line="316" w:lineRule="auto" w:before="119"/>
        <w:ind w:right="150" w:firstLine="359"/>
        <w:jc w:val="both"/>
      </w:pPr>
      <w:r>
        <w:rPr>
          <w:spacing w:val="-3"/>
          <w:w w:val="100"/>
        </w:rPr>
        <w:t>持有待售的非流动资产既包括单项资产也包括处置组，处置组是指在一项交易中作为整体通过出售或其他方式一并处置</w:t>
      </w:r>
      <w:r>
        <w:rPr>
          <w:w w:val="100"/>
        </w:rPr>
        <w:t> </w:t>
      </w:r>
      <w:r>
        <w:rPr>
          <w:spacing w:val="-3"/>
        </w:rPr>
        <w:t>的一组资产以及在该交易中转让的与这些资产直接相关的负债。被划分为持有待售的非流动资产，在资产负债表中归类为流</w:t>
      </w:r>
      <w:r>
        <w:rPr>
          <w:spacing w:val="-51"/>
        </w:rPr>
        <w:t> </w:t>
      </w:r>
      <w:r>
        <w:rPr>
          <w:spacing w:val="-51"/>
        </w:rPr>
      </w:r>
      <w:r>
        <w:rPr/>
        <w:t>动资产。不计提折旧或进行摊销，按照账面价值与公允价值减去处置费用后的净额孰低进行计量。</w:t>
      </w:r>
    </w:p>
    <w:p>
      <w:pPr>
        <w:pStyle w:val="BodyText"/>
        <w:spacing w:line="309" w:lineRule="auto" w:before="119"/>
        <w:ind w:right="151" w:firstLine="359"/>
        <w:jc w:val="both"/>
      </w:pPr>
      <w:r>
        <w:rPr>
          <w:spacing w:val="-3"/>
        </w:rPr>
        <w:t>某项资产或处置组被划归为持有待售，但后来不再满足持有待售的非流动资产的确认条件，本公司停止将其划归为持有</w:t>
      </w:r>
      <w:r>
        <w:rPr>
          <w:w w:val="100"/>
        </w:rPr>
        <w:t> </w:t>
      </w:r>
      <w:r>
        <w:rPr>
          <w:spacing w:val="-1"/>
        </w:rPr>
        <w:t>待售，并按照下列两项金额中较低者进行计量：（</w:t>
      </w:r>
      <w:r>
        <w:rPr>
          <w:rFonts w:ascii="Times New Roman" w:hAnsi="Times New Roman" w:cs="Times New Roman" w:eastAsia="Times New Roman" w:hint="default"/>
          <w:spacing w:val="-1"/>
        </w:rPr>
        <w:t>1</w:t>
      </w:r>
      <w:r>
        <w:rPr>
          <w:spacing w:val="-1"/>
        </w:rPr>
        <w:t>）该资产或处置组被划归为持有待售之前的账面价值，按照其假定在没</w:t>
      </w:r>
      <w:r>
        <w:rPr>
          <w:spacing w:val="-76"/>
        </w:rPr>
        <w:t> </w:t>
      </w:r>
      <w:r>
        <w:rPr>
          <w:spacing w:val="-76"/>
        </w:rPr>
      </w:r>
      <w:r>
        <w:rPr/>
        <w:t>有被划归为持有待售的情况下原应确认的折旧、摊销或减值进行调整后的金额；（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0"/>
        <w:jc w:val="left"/>
        <w:rPr>
          <w:b w:val="0"/>
          <w:bCs w:val="0"/>
        </w:rPr>
      </w:pPr>
      <w:bookmarkStart w:name="14、长期股权投资 " w:id="170"/>
      <w:bookmarkEnd w:id="17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2" w:right="0"/>
        <w:jc w:val="left"/>
      </w:pPr>
      <w:r>
        <w:rPr/>
        <w:t>长期股权投资包括对子公司、联营企业和合营企业的权益性投资。</w:t>
      </w:r>
    </w:p>
    <w:p>
      <w:pPr>
        <w:spacing w:line="240" w:lineRule="auto" w:before="5"/>
        <w:rPr>
          <w:rFonts w:ascii="宋体" w:hAnsi="宋体" w:cs="宋体" w:eastAsia="宋体" w:hint="default"/>
          <w:sz w:val="13"/>
          <w:szCs w:val="13"/>
        </w:rPr>
      </w:pPr>
    </w:p>
    <w:p>
      <w:pPr>
        <w:pStyle w:val="BodyText"/>
        <w:spacing w:line="398" w:lineRule="auto"/>
        <w:ind w:left="512" w:right="2587" w:hanging="89"/>
        <w:jc w:val="left"/>
      </w:pPr>
      <w:r>
        <w:rPr/>
        <w:t>（</w:t>
      </w:r>
      <w:r>
        <w:rPr>
          <w:rFonts w:ascii="Times New Roman" w:hAnsi="Times New Roman" w:cs="Times New Roman" w:eastAsia="Times New Roman" w:hint="default"/>
        </w:rPr>
        <w:t>1</w:t>
      </w:r>
      <w:r>
        <w:rPr/>
        <w:t>）初始投资成本的确定</w:t>
      </w:r>
      <w:r>
        <w:rPr>
          <w:w w:val="100"/>
        </w:rPr>
        <w:t> </w:t>
      </w:r>
      <w:r>
        <w:rPr>
          <w:spacing w:val="-2"/>
        </w:rPr>
        <w:t>对于企业合并形成的长期股权投资，按照下列规定确定其初始投资成本：</w:t>
      </w:r>
    </w:p>
    <w:p>
      <w:pPr>
        <w:pStyle w:val="BodyText"/>
        <w:spacing w:line="316" w:lineRule="auto" w:before="58"/>
        <w:ind w:right="149" w:firstLine="359"/>
        <w:jc w:val="both"/>
      </w:pPr>
      <w:r>
        <w:rPr>
          <w:spacing w:val="-3"/>
        </w:rPr>
        <w:t>同一控制下的企业合并，本公司以支付现金、转让非现金资产或承担债务方式作为合并对价的，应当在合并日按照被合</w:t>
      </w:r>
      <w:r>
        <w:rPr>
          <w:w w:val="100"/>
        </w:rPr>
        <w:t> </w:t>
      </w:r>
      <w:r>
        <w:rPr>
          <w:spacing w:val="-3"/>
          <w:w w:val="100"/>
        </w:rPr>
        <w:t>并方所有者权益在最终控制方合并财务报表中的账面价值的份额作为长期股权投资的初始投资成本。长期股权投资初始投资</w:t>
      </w:r>
      <w:r>
        <w:rPr>
          <w:spacing w:val="-65"/>
          <w:w w:val="100"/>
        </w:rPr>
        <w:t> </w:t>
      </w:r>
      <w:r>
        <w:rPr>
          <w:spacing w:val="-65"/>
          <w:w w:val="100"/>
        </w:rPr>
      </w:r>
      <w:r>
        <w:rPr>
          <w:spacing w:val="-3"/>
        </w:rPr>
        <w:t>成本与支付的现金、转让的非现金资产以及所承担债务账面价值之间的差额，应当调整资本公积；资本公积不足冲减的，调</w:t>
      </w:r>
      <w:r>
        <w:rPr>
          <w:spacing w:val="-45"/>
        </w:rPr>
        <w:t> </w:t>
      </w:r>
      <w:r>
        <w:rPr>
          <w:spacing w:val="-45"/>
        </w:rPr>
      </w:r>
      <w:r>
        <w:rPr/>
        <w:t>整留存收益。</w:t>
      </w:r>
    </w:p>
    <w:p>
      <w:pPr>
        <w:pStyle w:val="BodyText"/>
        <w:spacing w:line="240" w:lineRule="auto" w:before="19"/>
        <w:ind w:left="512" w:right="0"/>
        <w:jc w:val="left"/>
      </w:pPr>
      <w:r>
        <w:rPr>
          <w:spacing w:val="-1"/>
          <w:w w:val="100"/>
        </w:rPr>
        <w:t>本公司以发行权益性证券作为合并对价</w:t>
      </w:r>
      <w:r>
        <w:rPr>
          <w:spacing w:val="-2"/>
          <w:w w:val="100"/>
        </w:rPr>
        <w:t>的</w:t>
      </w:r>
      <w:r>
        <w:rPr>
          <w:spacing w:val="-82"/>
          <w:w w:val="100"/>
        </w:rPr>
        <w:t>，</w:t>
      </w:r>
      <w:r>
        <w:rPr>
          <w:spacing w:val="-1"/>
          <w:w w:val="100"/>
        </w:rPr>
        <w:t>应当在合并日按照被合并方所有者权益在最终控制方合并</w:t>
      </w:r>
      <w:r>
        <w:rPr>
          <w:spacing w:val="-2"/>
          <w:w w:val="100"/>
        </w:rPr>
        <w:t>财</w:t>
      </w:r>
      <w:r>
        <w:rPr>
          <w:spacing w:val="-1"/>
          <w:w w:val="100"/>
        </w:rPr>
        <w:t>务报表中的账</w:t>
      </w:r>
      <w:r>
        <w:rPr>
          <w:w w:val="100"/>
        </w:rPr>
        <w:t>面</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0"/>
        <w:jc w:val="left"/>
      </w:pPr>
      <w:r>
        <w:rPr>
          <w:spacing w:val="-3"/>
        </w:rPr>
        <w:t>价值的份额作为长期股权投资的初始投资成本。按照发行股份的面值总额作为股本，长期股权投资初始投资成本与所发行股</w:t>
      </w:r>
      <w:r>
        <w:rPr>
          <w:spacing w:val="-52"/>
        </w:rPr>
        <w:t> </w:t>
      </w:r>
      <w:r>
        <w:rPr>
          <w:spacing w:val="-52"/>
        </w:rPr>
      </w:r>
      <w:r>
        <w:rPr/>
        <w:t>份面值总额之间的差额，应当调整资本公积；资本公积不足冲减的，调整留存收益。</w:t>
      </w:r>
    </w:p>
    <w:p>
      <w:pPr>
        <w:pStyle w:val="BodyText"/>
        <w:spacing w:line="307" w:lineRule="auto" w:before="119"/>
        <w:ind w:right="0" w:firstLine="359"/>
        <w:jc w:val="left"/>
      </w:pPr>
      <w:r>
        <w:rPr/>
        <w:t>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w:t>
      </w:r>
      <w:r>
        <w:rPr>
          <w:spacing w:val="-57"/>
        </w:rPr>
        <w:t> </w:t>
      </w:r>
      <w:r>
        <w:rPr>
          <w:spacing w:val="-57"/>
        </w:rPr>
      </w:r>
      <w:r>
        <w:rPr/>
        <w:t>按照应享有被合并方股东权益</w:t>
      </w:r>
      <w:r>
        <w:rPr>
          <w:rFonts w:ascii="Times New Roman" w:hAnsi="Times New Roman" w:cs="Times New Roman" w:eastAsia="Times New Roman" w:hint="default"/>
        </w:rPr>
        <w:t>/</w:t>
      </w:r>
      <w:r>
        <w:rPr/>
        <w:t>所有者权益在最终控制方合并财务报表中的账面价值的份额作为长期股权投资的初始投资成</w:t>
      </w:r>
      <w:r>
        <w:rPr>
          <w:w w:val="100"/>
        </w:rPr>
        <w:t> </w:t>
      </w:r>
      <w:r>
        <w:rPr>
          <w:spacing w:val="-3"/>
          <w:w w:val="100"/>
        </w:rPr>
        <w:t>本，长期股权投资初始投资成本与达到合并前的长期股权投资账面价值加上合并日进一步取得股份新支付对价的账面价值之</w:t>
      </w:r>
      <w:r>
        <w:rPr>
          <w:spacing w:val="-62"/>
          <w:w w:val="100"/>
        </w:rPr>
        <w:t> </w:t>
      </w:r>
      <w:r>
        <w:rPr>
          <w:spacing w:val="-62"/>
          <w:w w:val="100"/>
        </w:rPr>
      </w:r>
      <w:r>
        <w:rPr>
          <w:spacing w:val="-3"/>
        </w:rPr>
        <w:t>和的差额，调整资本公积；资本公积不足冲减的，调整留存收益。合并日之前持有的股权投资因采用权益法核算或为可供出</w:t>
      </w:r>
      <w:r>
        <w:rPr>
          <w:spacing w:val="-43"/>
        </w:rPr>
        <w:t> </w:t>
      </w:r>
      <w:r>
        <w:rPr>
          <w:spacing w:val="-43"/>
        </w:rPr>
      </w:r>
      <w:r>
        <w:rPr/>
        <w:t>售金融资产而确认的其他综合收益，暂不进行会计处理。</w:t>
      </w:r>
    </w:p>
    <w:p>
      <w:pPr>
        <w:pStyle w:val="BodyText"/>
        <w:spacing w:line="312" w:lineRule="auto" w:before="26"/>
        <w:ind w:right="149" w:firstLine="287"/>
        <w:jc w:val="both"/>
      </w:pPr>
      <w:r>
        <w:rPr>
          <w:spacing w:val="-2"/>
        </w:rPr>
        <w:t>通过非同一控制下的企业合并取得的长期股权投资，按照合并成本作为长期股权投资的初始投资成本。通过多次交易分</w:t>
      </w:r>
      <w:r>
        <w:rPr>
          <w:w w:val="100"/>
        </w:rPr>
        <w:t> </w:t>
      </w:r>
      <w:r>
        <w:rPr>
          <w:spacing w:val="-2"/>
        </w:rPr>
        <w:t>步取得被购买方的股权，最终形成非同一控制下的企业合并的，应分别是否属于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2"/>
        </w:rPr>
        <w:t> </w:t>
      </w:r>
      <w:r>
        <w:rPr>
          <w:spacing w:val="-3"/>
        </w:rPr>
        <w:t>的，将各项交易作为一项取得控制权的交易进行会计处理。不属于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的，按照原持有被购买方的股权投资账面价</w:t>
      </w:r>
      <w:r>
        <w:rPr>
          <w:spacing w:val="-27"/>
        </w:rPr>
        <w:t> </w:t>
      </w:r>
      <w:r>
        <w:rPr>
          <w:spacing w:val="-27"/>
        </w:rPr>
      </w:r>
      <w:r>
        <w:rPr>
          <w:spacing w:val="-3"/>
        </w:rPr>
        <w:t>值加上新增投资成本之和，作为改按成本法核算的长期股权投资的初始投资成本。原持有的股权采用权益法核算的，相关其</w:t>
      </w:r>
      <w:r>
        <w:rPr>
          <w:spacing w:val="-49"/>
        </w:rPr>
        <w:t> </w:t>
      </w:r>
      <w:r>
        <w:rPr>
          <w:spacing w:val="-49"/>
        </w:rPr>
      </w:r>
      <w:r>
        <w:rPr>
          <w:spacing w:val="-3"/>
        </w:rPr>
        <w:t>他综合收益暂不进行会计处理。原持有股权投资为可供出售金融资产的，其公允价值与账面价值之间的差额，以及原计入其</w:t>
      </w:r>
      <w:r>
        <w:rPr>
          <w:spacing w:val="-49"/>
        </w:rPr>
        <w:t> </w:t>
      </w:r>
      <w:r>
        <w:rPr>
          <w:spacing w:val="-49"/>
        </w:rPr>
      </w:r>
      <w:r>
        <w:rPr/>
        <w:t>他综合收益的累计公允价值变动转入当期损益。</w:t>
      </w:r>
    </w:p>
    <w:p>
      <w:pPr>
        <w:pStyle w:val="BodyText"/>
        <w:spacing w:line="240" w:lineRule="auto" w:before="22"/>
        <w:ind w:left="512" w:right="0"/>
        <w:jc w:val="left"/>
      </w:pPr>
      <w:r>
        <w:rPr/>
        <w:t>除企业合并形成的长期股权投资以外，其他方式取得的长期股权投资，按成本进行初始计量。</w:t>
      </w:r>
    </w:p>
    <w:p>
      <w:pPr>
        <w:spacing w:line="240" w:lineRule="auto" w:before="7"/>
        <w:rPr>
          <w:rFonts w:ascii="宋体" w:hAnsi="宋体" w:cs="宋体" w:eastAsia="宋体" w:hint="default"/>
          <w:sz w:val="13"/>
          <w:szCs w:val="13"/>
        </w:rPr>
      </w:pPr>
    </w:p>
    <w:p>
      <w:pPr>
        <w:pStyle w:val="BodyText"/>
        <w:spacing w:line="396" w:lineRule="auto"/>
        <w:ind w:left="632" w:right="6966" w:hanging="29"/>
        <w:jc w:val="left"/>
      </w:pPr>
      <w:r>
        <w:rPr>
          <w:rFonts w:ascii="Times New Roman" w:hAnsi="Times New Roman" w:cs="Times New Roman" w:eastAsia="Times New Roman" w:hint="default"/>
        </w:rPr>
        <w:t>(2)</w:t>
      </w:r>
      <w:r>
        <w:rPr/>
        <w:t>后续计量及损益确认方法</w:t>
      </w:r>
      <w:r>
        <w:rPr>
          <w:w w:val="100"/>
        </w:rPr>
        <w:t> </w:t>
      </w:r>
      <w:r>
        <w:rPr>
          <w:spacing w:val="-1"/>
        </w:rPr>
        <w:t>成本法核算的长期股权投资：</w:t>
      </w:r>
    </w:p>
    <w:p>
      <w:pPr>
        <w:pStyle w:val="BodyText"/>
        <w:spacing w:line="240" w:lineRule="auto" w:before="60"/>
        <w:ind w:left="632" w:right="0"/>
        <w:jc w:val="left"/>
      </w:pPr>
      <w:r>
        <w:rPr/>
        <w:t>本公司对子公司的长期股权投资，采用成本法进行核算；子公司是指本公司能够对其实施控制的被投资单位。</w:t>
      </w:r>
    </w:p>
    <w:p>
      <w:pPr>
        <w:spacing w:line="240" w:lineRule="auto" w:before="5"/>
        <w:rPr>
          <w:rFonts w:ascii="宋体" w:hAnsi="宋体" w:cs="宋体" w:eastAsia="宋体" w:hint="default"/>
          <w:sz w:val="13"/>
          <w:szCs w:val="13"/>
        </w:rPr>
      </w:pPr>
    </w:p>
    <w:p>
      <w:pPr>
        <w:pStyle w:val="BodyText"/>
        <w:spacing w:line="316" w:lineRule="auto"/>
        <w:ind w:right="150" w:firstLine="359"/>
        <w:jc w:val="both"/>
      </w:pPr>
      <w:r>
        <w:rPr>
          <w:spacing w:val="-3"/>
        </w:rPr>
        <w:t>采用成本法核算时，长期股权投资按初始投资成本计价，除取得投资时实际支付的价款或者对价中包含的已宣告但尚未</w:t>
      </w:r>
      <w:r>
        <w:rPr>
          <w:w w:val="100"/>
        </w:rPr>
        <w:t> </w:t>
      </w:r>
      <w:r>
        <w:rPr>
          <w:spacing w:val="-3"/>
        </w:rPr>
        <w:t>发放的现金股利或者利润外，当期投资收益按照享有被投资单位宣告发放的现金股利或利润确认。追加或收回投资时调整长</w:t>
      </w:r>
      <w:r>
        <w:rPr>
          <w:spacing w:val="-52"/>
        </w:rPr>
        <w:t> </w:t>
      </w:r>
      <w:r>
        <w:rPr>
          <w:spacing w:val="-52"/>
        </w:rPr>
      </w:r>
      <w:r>
        <w:rPr/>
        <w:t>期股权投资的成本。</w:t>
      </w:r>
    </w:p>
    <w:p>
      <w:pPr>
        <w:pStyle w:val="BodyText"/>
        <w:spacing w:line="240" w:lineRule="auto" w:before="119"/>
        <w:ind w:left="632" w:right="0"/>
        <w:jc w:val="left"/>
      </w:pPr>
      <w:r>
        <w:rPr/>
        <w:t>权益法核算的长期股权投资：</w:t>
      </w:r>
    </w:p>
    <w:p>
      <w:pPr>
        <w:spacing w:line="240" w:lineRule="auto" w:before="7"/>
        <w:rPr>
          <w:rFonts w:ascii="宋体" w:hAnsi="宋体" w:cs="宋体" w:eastAsia="宋体" w:hint="default"/>
          <w:sz w:val="13"/>
          <w:szCs w:val="13"/>
        </w:rPr>
      </w:pPr>
    </w:p>
    <w:p>
      <w:pPr>
        <w:pStyle w:val="BodyText"/>
        <w:spacing w:line="316" w:lineRule="auto"/>
        <w:ind w:right="152" w:firstLine="359"/>
        <w:jc w:val="both"/>
      </w:pPr>
      <w:r>
        <w:rPr>
          <w:spacing w:val="-3"/>
        </w:rPr>
        <w:t>本公司对联营企业和合营企业的投资采用权益法核算。联营企业是指本公司能够对其施加重大影响的被投资单位，合营</w:t>
      </w:r>
      <w:r>
        <w:rPr>
          <w:w w:val="100"/>
        </w:rPr>
        <w:t> </w:t>
      </w:r>
      <w:r>
        <w:rPr/>
        <w:t>企业是指本公司与其他投资方对其实施共同控制的被投资单位。</w:t>
      </w:r>
    </w:p>
    <w:p>
      <w:pPr>
        <w:pStyle w:val="BodyText"/>
        <w:spacing w:line="316" w:lineRule="auto" w:before="117"/>
        <w:ind w:right="152" w:firstLine="359"/>
        <w:jc w:val="both"/>
      </w:pPr>
      <w:r>
        <w:rPr>
          <w:spacing w:val="-3"/>
        </w:rPr>
        <w:t>采用权益法核算时，长期股权投资的初始投资成本大于投资时应享有被投资单位可辨认净资产公允价值份额的，不调整</w:t>
      </w:r>
      <w:r>
        <w:rPr>
          <w:w w:val="100"/>
        </w:rPr>
        <w:t> </w:t>
      </w:r>
      <w:r>
        <w:rPr>
          <w:spacing w:val="-3"/>
        </w:rPr>
        <w:t>长期股权投资的初始投资成本；初始投资成本小于投资时应享有被投资单位可辨认净资产公允价值份额的，其差额计入当期</w:t>
      </w:r>
      <w:r>
        <w:rPr>
          <w:spacing w:val="-53"/>
        </w:rPr>
        <w:t> </w:t>
      </w:r>
      <w:r>
        <w:rPr>
          <w:spacing w:val="-53"/>
        </w:rPr>
      </w:r>
      <w:r>
        <w:rPr/>
        <w:t>损益，同时调整长期股权投资的成本。</w:t>
      </w:r>
    </w:p>
    <w:p>
      <w:pPr>
        <w:pStyle w:val="BodyText"/>
        <w:spacing w:line="316" w:lineRule="auto" w:before="119"/>
        <w:ind w:right="149" w:firstLine="359"/>
        <w:jc w:val="both"/>
      </w:pPr>
      <w:r>
        <w:rPr>
          <w:spacing w:val="-3"/>
        </w:rPr>
        <w:t>采用权益法核算时，当期投资损益为应享有或应分担的被投资单位当年实现的净损益的份额。在确认应享有被投资单位</w:t>
      </w:r>
      <w:r>
        <w:rPr>
          <w:w w:val="100"/>
        </w:rPr>
        <w:t> </w:t>
      </w:r>
      <w:r>
        <w:rPr>
          <w:spacing w:val="-3"/>
        </w:rPr>
        <w:t>净损益的份额时，以取得投资时被投资单位各项可辨认资产等的公允价值为基础，并按照本公司的会计政策及会计期间，对</w:t>
      </w:r>
      <w:r>
        <w:rPr>
          <w:spacing w:val="-48"/>
        </w:rPr>
        <w:t> </w:t>
      </w:r>
      <w:r>
        <w:rPr>
          <w:spacing w:val="-48"/>
        </w:rPr>
      </w:r>
      <w:r>
        <w:rPr>
          <w:spacing w:val="-3"/>
          <w:w w:val="100"/>
        </w:rPr>
        <w:t>被投资单位的净利润进行调整后确认。对于本公司与联营企业及合营企业之间发生的未实现内部交易损益按照持股比例计算</w:t>
      </w:r>
      <w:r>
        <w:rPr>
          <w:spacing w:val="-63"/>
          <w:w w:val="100"/>
        </w:rPr>
        <w:t> </w:t>
      </w:r>
      <w:r>
        <w:rPr>
          <w:spacing w:val="-63"/>
          <w:w w:val="100"/>
        </w:rPr>
      </w:r>
      <w:r>
        <w:rPr>
          <w:spacing w:val="-3"/>
        </w:rPr>
        <w:t>属于本公司的部分予以抵销，在此基础上确认投资损益。但本公司与被投资单位发生的未实现内部交易损失，属于所转让资</w:t>
      </w:r>
      <w:r>
        <w:rPr>
          <w:spacing w:val="-48"/>
        </w:rPr>
        <w:t> </w:t>
      </w:r>
      <w:r>
        <w:rPr>
          <w:spacing w:val="-48"/>
        </w:rPr>
      </w:r>
      <w:r>
        <w:rPr/>
        <w:t>产减值损失的，不予以抵销。</w:t>
      </w:r>
    </w:p>
    <w:p>
      <w:pPr>
        <w:pStyle w:val="BodyText"/>
        <w:spacing w:line="316" w:lineRule="auto" w:before="119"/>
        <w:ind w:right="150" w:firstLine="359"/>
        <w:jc w:val="both"/>
      </w:pPr>
      <w:r>
        <w:rPr>
          <w:spacing w:val="-3"/>
        </w:rPr>
        <w:t>本公司对取得长期股权投资后应享有的被投资单位其他综合收益的份额，确认为其他综合收益，同时调整长期股权投资</w:t>
      </w:r>
      <w:r>
        <w:rPr>
          <w:w w:val="100"/>
        </w:rPr>
        <w:t> </w:t>
      </w:r>
      <w:r>
        <w:rPr>
          <w:spacing w:val="-3"/>
        </w:rPr>
        <w:t>的账面价值；本公司按照被投资单位宣告分派的利润或现金股利计算应享有的部分，相应减少长期股权投资的账面价值；本</w:t>
      </w:r>
      <w:r>
        <w:rPr>
          <w:spacing w:val="-49"/>
        </w:rPr>
        <w:t> </w:t>
      </w:r>
      <w:r>
        <w:rPr>
          <w:spacing w:val="-49"/>
        </w:rPr>
      </w:r>
      <w:r>
        <w:rPr>
          <w:spacing w:val="-3"/>
        </w:rPr>
        <w:t>公司对被投资单位除净损益、其他综合收益和利润分配以外所有者权益的其他变动，相应调整长期股权投资的账面价值并计</w:t>
      </w:r>
      <w:r>
        <w:rPr>
          <w:spacing w:val="-52"/>
        </w:rPr>
        <w:t> </w:t>
      </w:r>
      <w:r>
        <w:rPr>
          <w:spacing w:val="-52"/>
        </w:rPr>
      </w:r>
      <w:r>
        <w:rPr/>
        <w:t>入所有者权益。</w:t>
      </w:r>
    </w:p>
    <w:p>
      <w:pPr>
        <w:pStyle w:val="BodyText"/>
        <w:spacing w:line="316" w:lineRule="auto" w:before="117"/>
        <w:ind w:right="150" w:firstLine="359"/>
        <w:jc w:val="both"/>
      </w:pPr>
      <w:r>
        <w:rPr>
          <w:spacing w:val="-3"/>
          <w:w w:val="100"/>
        </w:rPr>
        <w:t>在确认应分担被投资单位发生的净亏损时，以长期股权投资的账面价值和其他实质上构成对被投资单位净投资的长期权</w:t>
      </w:r>
      <w:r>
        <w:rPr>
          <w:w w:val="100"/>
        </w:rPr>
        <w:t> </w:t>
      </w:r>
      <w:r>
        <w:rPr>
          <w:spacing w:val="-3"/>
        </w:rPr>
        <w:t>益减记至零为限。此外，如本公司对被投资单位负有承担额外损失的义务，则按预计承担的义务确认预计负债，计入当期投</w:t>
      </w:r>
      <w:r>
        <w:rPr>
          <w:spacing w:val="-45"/>
        </w:rPr>
        <w:t> </w:t>
      </w:r>
      <w:r>
        <w:rPr>
          <w:spacing w:val="-45"/>
        </w:rPr>
      </w:r>
      <w:r>
        <w:rPr/>
        <w:t>资损失。被投资单位以后期间实现净利润的，本公司在收益分享额弥补未确认的亏损分担额后，恢复确认收益分享额。</w:t>
      </w:r>
    </w:p>
    <w:p>
      <w:pPr>
        <w:pStyle w:val="BodyText"/>
        <w:spacing w:line="240" w:lineRule="auto" w:before="119"/>
        <w:ind w:left="512" w:right="0"/>
        <w:jc w:val="left"/>
      </w:pPr>
      <w:r>
        <w:rPr/>
        <w:t>（</w:t>
      </w:r>
      <w:r>
        <w:rPr>
          <w:rFonts w:ascii="Times New Roman" w:hAnsi="Times New Roman" w:cs="Times New Roman" w:eastAsia="Times New Roman" w:hint="default"/>
        </w:rPr>
        <w:t>3</w:t>
      </w:r>
      <w:r>
        <w:rPr/>
        <w:t>）确定对被投资单位具有控制、共同控制、重大影响的判断标准</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16" w:lineRule="auto" w:before="44"/>
        <w:ind w:right="188" w:firstLine="359"/>
        <w:jc w:val="both"/>
      </w:pPr>
      <w:r>
        <w:rPr>
          <w:spacing w:val="-3"/>
        </w:rPr>
        <w:t>控制是指本公司拥有对被投资方的权力，通过参与被投资方的相关活动而享有可变回报，并且有能力运用对被投资方的</w:t>
      </w:r>
      <w:r>
        <w:rPr>
          <w:w w:val="100"/>
        </w:rPr>
        <w:t> </w:t>
      </w:r>
      <w:r>
        <w:rPr>
          <w:spacing w:val="-3"/>
        </w:rPr>
        <w:t>权力影响其回报金额。共同控制，是指按照相关约定对某项安排所共有的控制，并且该安排的相关活动必须经过分享控制权</w:t>
      </w:r>
      <w:r>
        <w:rPr>
          <w:spacing w:val="-47"/>
        </w:rPr>
        <w:t> </w:t>
      </w:r>
      <w:r>
        <w:rPr>
          <w:spacing w:val="-47"/>
        </w:rPr>
      </w:r>
      <w:r>
        <w:rPr>
          <w:spacing w:val="-3"/>
        </w:rPr>
        <w:t>的参与方一致同意后才能决策。重大影响是指本公司对被投资单位的财务和经营政策有参与决策的权力，但并不能够控制或</w:t>
      </w:r>
      <w:r>
        <w:rPr>
          <w:spacing w:val="-52"/>
        </w:rPr>
        <w:t> </w:t>
      </w:r>
      <w:r>
        <w:rPr>
          <w:spacing w:val="-52"/>
        </w:rPr>
      </w:r>
      <w:r>
        <w:rPr>
          <w:spacing w:val="-3"/>
        </w:rPr>
        <w:t>者与其他方一起共同控制这些政策的制定。在确定能否对被投资单位实施控制或施加重大影响时，已考虑本公司和其他方持</w:t>
      </w:r>
      <w:r>
        <w:rPr>
          <w:spacing w:val="-51"/>
        </w:rPr>
        <w:t> </w:t>
      </w:r>
      <w:r>
        <w:rPr>
          <w:spacing w:val="-51"/>
        </w:rPr>
      </w:r>
      <w:r>
        <w:rPr/>
        <w:t>有的被投资单位当期可转换公司债券、当期可执行认股权证等潜在表决权因素。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pStyle w:val="Heading3"/>
        <w:spacing w:line="240" w:lineRule="auto"/>
        <w:ind w:right="93"/>
        <w:jc w:val="left"/>
        <w:rPr>
          <w:b w:val="0"/>
          <w:bCs w:val="0"/>
        </w:rPr>
      </w:pPr>
      <w:bookmarkStart w:name="15、投资性房地产 " w:id="171"/>
      <w:bookmarkEnd w:id="17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3"/>
        <w:jc w:val="left"/>
      </w:pPr>
      <w:r>
        <w:rPr/>
        <w:t>投资性房地产计量模式</w:t>
      </w:r>
      <w:r>
        <w:rPr>
          <w:w w:val="100"/>
        </w:rPr>
        <w:t> </w:t>
      </w:r>
      <w:bookmarkStart w:name="16、固定资产 " w:id="172"/>
      <w:bookmarkEnd w:id="172"/>
      <w:r>
        <w:rPr/>
        <w:t>不</w:t>
      </w:r>
      <w:r>
        <w:rPr/>
        <w:t>适用</w:t>
      </w:r>
    </w:p>
    <w:p>
      <w:pPr>
        <w:spacing w:line="240" w:lineRule="auto" w:before="6"/>
        <w:rPr>
          <w:rFonts w:ascii="宋体" w:hAnsi="宋体" w:cs="宋体" w:eastAsia="宋体" w:hint="default"/>
          <w:sz w:val="20"/>
          <w:szCs w:val="20"/>
        </w:rPr>
      </w:pPr>
    </w:p>
    <w:p>
      <w:pPr>
        <w:pStyle w:val="Heading3"/>
        <w:spacing w:line="240" w:lineRule="auto"/>
        <w:ind w:right="9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bookmarkStart w:name="（1）确认条件 " w:id="173"/>
      <w:bookmarkEnd w:id="17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tabs>
          <w:tab w:pos="2974" w:val="left" w:leader="none"/>
        </w:tabs>
        <w:spacing w:line="316" w:lineRule="auto"/>
        <w:ind w:right="103" w:firstLine="633"/>
        <w:jc w:val="both"/>
      </w:pPr>
      <w:r>
        <w:rPr/>
        <w:t>固定资产是指为生产商品、提供劳务、出租或经营管理持有的，使用寿命超过一个会计年度的有形资产。固定资产</w:t>
      </w:r>
      <w:r>
        <w:rPr>
          <w:w w:val="100"/>
        </w:rPr>
        <w:t> </w:t>
      </w:r>
      <w:r>
        <w:rPr>
          <w:spacing w:val="-3"/>
        </w:rPr>
        <w:t>仅在与其有关的经济利益很可能流入本公司，且其成本能够可靠地计量时才予以确认。固定资产按成本并考虑预计弃置费用</w:t>
      </w:r>
      <w:r>
        <w:rPr>
          <w:spacing w:val="-50"/>
        </w:rPr>
        <w:t> </w:t>
      </w:r>
      <w:r>
        <w:rPr>
          <w:spacing w:val="-50"/>
        </w:rPr>
      </w:r>
      <w:r>
        <w:rPr>
          <w:spacing w:val="-3"/>
        </w:rPr>
        <w:t>因素的影响进行初始计量。</w:t>
      </w:r>
      <w:r>
        <w:rPr>
          <w:rFonts w:ascii="Microsoft Sans Serif" w:hAnsi="Microsoft Sans Serif" w:cs="Microsoft Sans Serif" w:eastAsia="Microsoft Sans Serif" w:hint="default"/>
          <w:spacing w:val="-3"/>
        </w:rPr>
        <w:tab/>
      </w:r>
      <w:r>
        <w:rPr/>
        <w:t>与固定资产有关的后续支出，如果与该固定资产有关的经济利益很可能流入且其成本能</w:t>
      </w:r>
      <w:r>
        <w:rPr>
          <w:w w:val="100"/>
        </w:rPr>
        <w:t> </w:t>
      </w:r>
      <w:r>
        <w:rPr>
          <w:spacing w:val="-5"/>
        </w:rPr>
        <w:t>可靠地计量，则计入固定资产成本，并终止确认被替换部分的账面价值。除此以外的其他后续支出，在发生时计入当期损益。</w:t>
      </w:r>
    </w:p>
    <w:p>
      <w:pPr>
        <w:pStyle w:val="BodyText"/>
        <w:spacing w:line="240" w:lineRule="auto" w:before="60"/>
        <w:ind w:right="0"/>
        <w:jc w:val="left"/>
        <w:rPr>
          <w:rFonts w:ascii="Microsoft Sans Serif" w:hAnsi="Microsoft Sans Serif" w:cs="Microsoft Sans Serif" w:eastAsia="Microsoft Sans Serif" w:hint="default"/>
        </w:rPr>
      </w:pPr>
      <w:bookmarkStart w:name="（2）折旧方法 " w:id="174"/>
      <w:bookmarkEnd w:id="174"/>
      <w:r>
        <w:rPr/>
      </w:r>
      <w:r>
        <w:rPr>
          <w:rFonts w:ascii="Microsoft Sans Serif"/>
          <w:w w:val="100"/>
        </w:rPr>
        <w:t> </w:t>
      </w:r>
    </w:p>
    <w:p>
      <w:pPr>
        <w:spacing w:line="240" w:lineRule="auto" w:before="0"/>
        <w:rPr>
          <w:rFonts w:ascii="Microsoft Sans Serif" w:hAnsi="Microsoft Sans Serif" w:cs="Microsoft Sans Serif" w:eastAsia="Microsoft Sans Serif" w:hint="default"/>
          <w:sz w:val="18"/>
          <w:szCs w:val="18"/>
        </w:rPr>
      </w:pPr>
    </w:p>
    <w:p>
      <w:pPr>
        <w:pStyle w:val="Heading3"/>
        <w:spacing w:line="240" w:lineRule="auto" w:before="142"/>
        <w:ind w:right="9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4.75-2.37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19.00-9.50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23.75-9.50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bookmarkStart w:name="（3）融资租入固定资产的认定依据、计价和折旧方法 " w:id="175"/>
            <w:bookmarkEnd w:id="175"/>
            <w:r>
              <w:rPr/>
            </w:r>
            <w:r>
              <w:rPr>
                <w:rFonts w:ascii="宋体" w:hAnsi="宋体" w:cs="宋体" w:eastAsia="宋体" w:hint="default"/>
                <w:sz w:val="18"/>
                <w:szCs w:val="18"/>
              </w:rPr>
              <w:t>电子设备及其他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31.67-19.00</w:t>
            </w:r>
          </w:p>
        </w:tc>
      </w:tr>
    </w:tbl>
    <w:p>
      <w:pPr>
        <w:spacing w:line="240" w:lineRule="auto" w:before="3"/>
        <w:rPr>
          <w:rFonts w:ascii="宋体" w:hAnsi="宋体" w:cs="宋体" w:eastAsia="宋体" w:hint="default"/>
          <w:b/>
          <w:bCs/>
          <w:sz w:val="19"/>
          <w:szCs w:val="19"/>
        </w:rPr>
      </w:pPr>
    </w:p>
    <w:p>
      <w:pPr>
        <w:pStyle w:val="Heading3"/>
        <w:spacing w:line="240" w:lineRule="auto" w:before="36"/>
        <w:ind w:right="9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1" w:firstLine="633"/>
        <w:jc w:val="both"/>
      </w:pPr>
      <w:r>
        <w:rPr>
          <w:spacing w:val="-2"/>
        </w:rPr>
        <w:t>融资租赁为实质上转移了与资产所有权有关的全部风险和报酬的租赁，其所有权最终可能转移，也可能不转移。在</w:t>
      </w:r>
      <w:r>
        <w:rPr>
          <w:w w:val="100"/>
        </w:rPr>
        <w:t> </w:t>
      </w:r>
      <w:r>
        <w:rPr>
          <w:spacing w:val="-3"/>
        </w:rPr>
        <w:t>租赁期开始日，本公司将租赁开始日租赁资产公允价值与最低租赁付款额现值两者中较低者作为租入资产的入账价值。以融</w:t>
      </w:r>
      <w:r>
        <w:rPr>
          <w:spacing w:val="-52"/>
        </w:rPr>
        <w:t> </w:t>
      </w:r>
      <w:r>
        <w:rPr>
          <w:spacing w:val="-52"/>
        </w:rPr>
      </w:r>
      <w:r>
        <w:rPr>
          <w:spacing w:val="-3"/>
          <w:w w:val="100"/>
        </w:rPr>
        <w:t>资租赁方式租入的固定资产采用与自有固定资产一致的政策计提租赁资产折旧。能够合理确定租赁期届满时取得租赁资产所</w:t>
      </w:r>
      <w:r>
        <w:rPr>
          <w:spacing w:val="-64"/>
          <w:w w:val="100"/>
        </w:rPr>
        <w:t> </w:t>
      </w:r>
      <w:r>
        <w:rPr>
          <w:spacing w:val="-64"/>
          <w:w w:val="100"/>
        </w:rPr>
      </w:r>
      <w:r>
        <w:rPr>
          <w:spacing w:val="-3"/>
        </w:rPr>
        <w:t>有权的在租赁资产使用寿命内计提折旧，无法合理确定租赁期届满能够取得租赁资产所有权的，在租赁期与租赁资产使用寿</w:t>
      </w:r>
      <w:r>
        <w:rPr>
          <w:spacing w:val="-52"/>
        </w:rPr>
        <w:t> </w:t>
      </w:r>
      <w:r>
        <w:rPr>
          <w:spacing w:val="-52"/>
        </w:rPr>
      </w:r>
      <w:r>
        <w:rPr/>
        <w:t>命两者中较短的期间内计提折旧。</w:t>
      </w: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bookmarkStart w:name="17、在建工程 " w:id="176"/>
      <w:bookmarkEnd w:id="17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59"/>
        <w:jc w:val="left"/>
      </w:pPr>
      <w:r>
        <w:rPr>
          <w:spacing w:val="-3"/>
          <w:w w:val="100"/>
        </w:rPr>
        <w:t>在建工程按实际成本计量﹐实际成本包括在建期间发生的各项工程支出、工程达到预定可使用状态前的资本化的借款费</w:t>
      </w:r>
      <w:r>
        <w:rPr>
          <w:w w:val="100"/>
        </w:rPr>
        <w:t> </w:t>
      </w:r>
      <w:r>
        <w:rPr/>
        <w:t>用以及其他相关费用等。在建工程在达到预定可使用状态时结转为固定资产。</w:t>
      </w:r>
    </w:p>
    <w:p>
      <w:pPr>
        <w:spacing w:after="0" w:line="316" w:lineRule="auto"/>
        <w:jc w:val="left"/>
        <w:sectPr>
          <w:pgSz w:w="11910" w:h="16840"/>
          <w:pgMar w:header="745" w:footer="981"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93"/>
        <w:jc w:val="left"/>
        <w:rPr>
          <w:b w:val="0"/>
          <w:bCs w:val="0"/>
        </w:rPr>
      </w:pPr>
      <w:bookmarkStart w:name="18、借款费用 " w:id="177"/>
      <w:bookmarkEnd w:id="177"/>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91" w:firstLine="359"/>
        <w:jc w:val="both"/>
      </w:pPr>
      <w:r>
        <w:rPr>
          <w:spacing w:val="-3"/>
        </w:rPr>
        <w:t>可直接归属于符合资本化条件的资产的购建或者生产的借款费用，在资产支出已经发生、借款费用已经发生、为使资产</w:t>
      </w:r>
      <w:r>
        <w:rPr>
          <w:w w:val="100"/>
        </w:rPr>
        <w:t> </w:t>
      </w:r>
      <w:r>
        <w:rPr>
          <w:spacing w:val="-3"/>
        </w:rPr>
        <w:t>达到预定可使用或可销售状态所必要的购建或生产活动已经开始时，开始资本化；当构建或者生产的符合资本化条件的资产</w:t>
      </w:r>
      <w:r>
        <w:rPr>
          <w:spacing w:val="-52"/>
        </w:rPr>
        <w:t> </w:t>
      </w:r>
      <w:r>
        <w:rPr>
          <w:spacing w:val="-52"/>
        </w:rPr>
      </w:r>
      <w:r>
        <w:rPr>
          <w:spacing w:val="-3"/>
        </w:rPr>
        <w:t>达到预定可使用状态或者可销售状态时，停止资本化。如果符合资本化条件的资产在购建或生产过程中发生非正常中断、并</w:t>
      </w:r>
      <w:r>
        <w:rPr>
          <w:spacing w:val="-50"/>
        </w:rPr>
        <w:t> </w:t>
      </w:r>
      <w:r>
        <w:rPr>
          <w:spacing w:val="-50"/>
        </w:rPr>
      </w:r>
      <w:r>
        <w:rPr>
          <w:spacing w:val="-1"/>
        </w:rPr>
        <w:t>且中断时间连续超过</w:t>
      </w:r>
      <w:r>
        <w:rPr>
          <w:rFonts w:ascii="Times New Roman" w:hAnsi="Times New Roman" w:cs="Times New Roman" w:eastAsia="Times New Roman" w:hint="default"/>
          <w:spacing w:val="-1"/>
        </w:rPr>
        <w:t>3</w:t>
      </w:r>
      <w:r>
        <w:rPr>
          <w:spacing w:val="-1"/>
        </w:rPr>
        <w:t>个月的，暂停借款费用的资本化，直至资产的购建或生产活动重新开始。其余借款费用在发生当期确</w:t>
      </w:r>
      <w:r>
        <w:rPr>
          <w:spacing w:val="-75"/>
        </w:rPr>
        <w:t> </w:t>
      </w:r>
      <w:r>
        <w:rPr>
          <w:spacing w:val="-75"/>
        </w:rPr>
      </w:r>
      <w:r>
        <w:rPr/>
        <w:t>认为费用。</w:t>
      </w:r>
    </w:p>
    <w:p>
      <w:pPr>
        <w:pStyle w:val="BodyText"/>
        <w:spacing w:line="316" w:lineRule="auto" w:before="119"/>
        <w:ind w:right="189" w:firstLine="359"/>
        <w:jc w:val="both"/>
      </w:pPr>
      <w:r>
        <w:rPr>
          <w:spacing w:val="-3"/>
          <w:w w:val="100"/>
        </w:rPr>
        <w:t>专门借款当期实际发生的利息费用，减去尚未动用的借款资金存入银行取得的利息收入或进行暂时性投资取得的投资收</w:t>
      </w:r>
      <w:r>
        <w:rPr>
          <w:w w:val="100"/>
        </w:rPr>
        <w:t> </w:t>
      </w:r>
      <w:r>
        <w:rPr>
          <w:spacing w:val="-3"/>
          <w:w w:val="100"/>
        </w:rPr>
        <w:t>益后的金额予以资本化；一般借款根据累计资产支出超过专门借款部分的资产支出加权平均数乘以所占用一般借款的资本化</w:t>
      </w:r>
      <w:r>
        <w:rPr>
          <w:spacing w:val="-62"/>
          <w:w w:val="100"/>
        </w:rPr>
        <w:t> </w:t>
      </w:r>
      <w:r>
        <w:rPr>
          <w:spacing w:val="-62"/>
          <w:w w:val="100"/>
        </w:rPr>
      </w:r>
      <w:r>
        <w:rPr/>
        <w:t>率，确定资本化金额。资本化率根据一般借款的加权平均利率计算确定。</w:t>
      </w:r>
    </w:p>
    <w:p>
      <w:pPr>
        <w:pStyle w:val="BodyText"/>
        <w:spacing w:line="240" w:lineRule="auto" w:before="119"/>
        <w:ind w:left="512" w:right="93"/>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8"/>
        <w:ind w:right="93"/>
        <w:jc w:val="left"/>
        <w:rPr>
          <w:b w:val="0"/>
          <w:bCs w:val="0"/>
        </w:rPr>
      </w:pPr>
      <w:bookmarkStart w:name="19、无形资产 " w:id="178"/>
      <w:bookmarkEnd w:id="178"/>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3"/>
        <w:jc w:val="left"/>
        <w:rPr>
          <w:b w:val="0"/>
          <w:bCs w:val="0"/>
        </w:rPr>
      </w:pPr>
      <w:bookmarkStart w:name="（1）计价方法、使用寿命、减值测试 " w:id="179"/>
      <w:bookmarkEnd w:id="17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59"/>
        <w:jc w:val="left"/>
      </w:pPr>
      <w:r>
        <w:rPr>
          <w:spacing w:val="-5"/>
        </w:rPr>
        <w:t>无形资产是指本公司拥有或者控制的没有实物形态的可辨认非货币性资产。包括专利权、非专利技术、商标权、著作权、</w:t>
      </w:r>
      <w:r>
        <w:rPr>
          <w:w w:val="100"/>
        </w:rPr>
        <w:t> </w:t>
      </w:r>
      <w:r>
        <w:rPr/>
        <w:t>土地使用权、特许权、计算机软件等。</w:t>
      </w:r>
    </w:p>
    <w:p>
      <w:pPr>
        <w:pStyle w:val="BodyText"/>
        <w:spacing w:line="316" w:lineRule="auto" w:before="117"/>
        <w:ind w:right="93" w:firstLine="359"/>
        <w:jc w:val="left"/>
      </w:pPr>
      <w:r>
        <w:rPr>
          <w:spacing w:val="-5"/>
          <w:w w:val="100"/>
        </w:rPr>
        <w:t>无形资产按成本进行初始计量。公司确定无形资产的使用寿命时，对于源自合同性权利或其他法定权利取得的无形资产，</w:t>
      </w:r>
      <w:r>
        <w:rPr>
          <w:w w:val="100"/>
        </w:rPr>
        <w:t> </w:t>
      </w:r>
      <w:r>
        <w:rPr>
          <w:spacing w:val="-1"/>
        </w:rPr>
        <w:t>其使用寿命不超过合同性权利或其他法定权利的期限；对于没有明确的合同或法律规定的无形资产，公司综合各方面情况，</w:t>
      </w:r>
      <w:r>
        <w:rPr>
          <w:spacing w:val="-78"/>
        </w:rPr>
        <w:t> </w:t>
      </w:r>
      <w:r>
        <w:rPr>
          <w:spacing w:val="-78"/>
        </w:rPr>
      </w:r>
      <w:r>
        <w:rPr>
          <w:spacing w:val="-3"/>
          <w:w w:val="100"/>
        </w:rPr>
        <w:t>如聘请相关专家进行论证或与同行业的情况进行比较以及公司的历史经验等，来确定无形资产为公司带来未来经济利益的期</w:t>
      </w:r>
      <w:r>
        <w:rPr>
          <w:spacing w:val="-64"/>
          <w:w w:val="100"/>
        </w:rPr>
        <w:t> </w:t>
      </w:r>
      <w:r>
        <w:rPr>
          <w:spacing w:val="-64"/>
          <w:w w:val="100"/>
        </w:rPr>
      </w:r>
      <w:r>
        <w:rPr>
          <w:spacing w:val="-3"/>
        </w:rPr>
        <w:t>限，如果经过这些努力确实无法合理确定无形资产为公司带来经济利益期限，再将其作为使用寿命不确定的无形资产。使用</w:t>
      </w:r>
      <w:r>
        <w:rPr>
          <w:spacing w:val="-49"/>
        </w:rPr>
        <w:t> </w:t>
      </w:r>
      <w:r>
        <w:rPr>
          <w:spacing w:val="-49"/>
        </w:rPr>
      </w:r>
      <w:r>
        <w:rPr>
          <w:spacing w:val="-3"/>
          <w:w w:val="100"/>
        </w:rPr>
        <w:t>寿命有限的无形资产自可供使用时起，对其原值减去预计净残值和已计提的减值准备累计金额在其预计使用寿命内采用直线</w:t>
      </w:r>
      <w:r>
        <w:rPr>
          <w:spacing w:val="-63"/>
          <w:w w:val="100"/>
        </w:rPr>
        <w:t> </w:t>
      </w:r>
      <w:r>
        <w:rPr>
          <w:spacing w:val="-63"/>
          <w:w w:val="100"/>
        </w:rPr>
      </w:r>
      <w:r>
        <w:rPr/>
        <w:t>法分期平均摊销。使用寿命不确定的无形资产不予摊销。</w:t>
      </w:r>
    </w:p>
    <w:p>
      <w:pPr>
        <w:pStyle w:val="BodyText"/>
        <w:spacing w:line="316" w:lineRule="auto" w:before="119"/>
        <w:ind w:right="93" w:firstLine="359"/>
        <w:jc w:val="left"/>
      </w:pPr>
      <w:r>
        <w:rPr>
          <w:spacing w:val="-1"/>
        </w:rPr>
        <w:t>期末，对使用寿命有限的无形资产的使用寿命和摊销方法进行复核，必要时进行调整。本公司根据可获得的情况判断，</w:t>
      </w:r>
      <w:r>
        <w:rPr>
          <w:w w:val="100"/>
        </w:rPr>
        <w:t> </w:t>
      </w:r>
      <w:r>
        <w:rPr>
          <w:spacing w:val="-3"/>
        </w:rPr>
        <w:t>有确凿证据表明无法合理估计其使用寿命的无形资产，才作为使用寿命不确定的无形资产。期末对使用寿命不确定的无形资</w:t>
      </w:r>
      <w:r>
        <w:rPr>
          <w:spacing w:val="-52"/>
        </w:rPr>
        <w:t> </w:t>
      </w:r>
      <w:r>
        <w:rPr>
          <w:spacing w:val="-52"/>
        </w:rPr>
      </w:r>
      <w:r>
        <w:rPr>
          <w:spacing w:val="-3"/>
        </w:rPr>
        <w:t>产的使用寿命进行重新复核，如果有证据表明该无形资产为企业带来经济利益的期限是可预见的，则估计其使用寿命并按照</w:t>
      </w:r>
      <w:r>
        <w:rPr>
          <w:spacing w:val="-52"/>
        </w:rPr>
        <w:t> </w:t>
      </w:r>
      <w:r>
        <w:rPr>
          <w:spacing w:val="-52"/>
        </w:rPr>
      </w:r>
      <w:r>
        <w:rPr/>
        <w:t>使用寿命有限的无形资产的摊销政策进行摊销。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1"/>
        <w:ind w:right="93"/>
        <w:jc w:val="left"/>
        <w:rPr>
          <w:b w:val="0"/>
          <w:bCs w:val="0"/>
        </w:rPr>
      </w:pPr>
      <w:bookmarkStart w:name="（2）内部研究开发支出会计政策 " w:id="180"/>
      <w:bookmarkEnd w:id="18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pStyle w:val="BodyText"/>
        <w:spacing w:line="420" w:lineRule="auto"/>
        <w:ind w:left="512" w:right="93"/>
        <w:jc w:val="left"/>
      </w:pPr>
      <w:r>
        <w:rPr/>
        <w:t>本公司内部研究开发项目的支出分为研究阶段支出与开发阶段支出。</w:t>
      </w:r>
      <w:r>
        <w:rPr>
          <w:w w:val="100"/>
        </w:rPr>
        <w:t> </w:t>
      </w:r>
      <w:r>
        <w:rPr/>
        <w:t>本公司研究阶段的支出全部费用化，于发生时计入当期损益。</w:t>
      </w:r>
      <w:r>
        <w:rPr>
          <w:w w:val="100"/>
        </w:rPr>
        <w:t> </w:t>
      </w:r>
      <w:r>
        <w:rPr>
          <w:spacing w:val="-1"/>
        </w:rPr>
        <w:t>开发阶段的支出同时满足下列条件的，确认为无形资产，不能满足下述条件的开发阶段的支出计入当期损益：</w:t>
      </w:r>
    </w:p>
    <w:p>
      <w:pPr>
        <w:spacing w:after="0" w:line="420" w:lineRule="auto"/>
        <w:jc w:val="left"/>
        <w:sectPr>
          <w:pgSz w:w="11910" w:h="16840"/>
          <w:pgMar w:header="745" w:footer="981" w:top="1060" w:bottom="118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728" w:right="93"/>
        <w:jc w:val="left"/>
      </w:pPr>
      <w:r>
        <w:rPr>
          <w:rFonts w:ascii="Times New Roman" w:hAnsi="Times New Roman" w:cs="Times New Roman" w:eastAsia="Times New Roman" w:hint="default"/>
        </w:rPr>
        <w:t>1</w:t>
      </w:r>
      <w:r>
        <w:rPr/>
        <w:t>）完成该无形资产以使其能够使用或出售在技术上具有可行性；</w:t>
      </w:r>
    </w:p>
    <w:p>
      <w:pPr>
        <w:spacing w:line="240" w:lineRule="auto" w:before="7"/>
        <w:rPr>
          <w:rFonts w:ascii="宋体" w:hAnsi="宋体" w:cs="宋体" w:eastAsia="宋体" w:hint="default"/>
          <w:sz w:val="12"/>
          <w:szCs w:val="12"/>
        </w:rPr>
      </w:pPr>
    </w:p>
    <w:p>
      <w:pPr>
        <w:pStyle w:val="BodyText"/>
        <w:spacing w:line="240" w:lineRule="auto"/>
        <w:ind w:left="728" w:right="93"/>
        <w:jc w:val="left"/>
      </w:pPr>
      <w:r>
        <w:rPr>
          <w:rFonts w:ascii="Times New Roman" w:hAnsi="Times New Roman" w:cs="Times New Roman" w:eastAsia="Times New Roman" w:hint="default"/>
        </w:rPr>
        <w:t>2</w:t>
      </w:r>
      <w:r>
        <w:rPr/>
        <w:t>）具有完成该无形资产并使用或出售的意图；</w:t>
      </w:r>
    </w:p>
    <w:p>
      <w:pPr>
        <w:pStyle w:val="BodyText"/>
        <w:spacing w:line="240" w:lineRule="auto" w:before="161"/>
        <w:ind w:left="728" w:right="93"/>
        <w:jc w:val="left"/>
      </w:pP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7"/>
        <w:rPr>
          <w:rFonts w:ascii="宋体" w:hAnsi="宋体" w:cs="宋体" w:eastAsia="宋体" w:hint="default"/>
          <w:sz w:val="12"/>
          <w:szCs w:val="12"/>
        </w:rPr>
      </w:pPr>
    </w:p>
    <w:p>
      <w:pPr>
        <w:pStyle w:val="BodyText"/>
        <w:spacing w:line="240" w:lineRule="auto"/>
        <w:ind w:left="728" w:right="93"/>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7"/>
        <w:rPr>
          <w:rFonts w:ascii="宋体" w:hAnsi="宋体" w:cs="宋体" w:eastAsia="宋体" w:hint="default"/>
          <w:sz w:val="12"/>
          <w:szCs w:val="12"/>
        </w:rPr>
      </w:pPr>
    </w:p>
    <w:p>
      <w:pPr>
        <w:pStyle w:val="BodyText"/>
        <w:spacing w:line="396" w:lineRule="auto"/>
        <w:ind w:left="512" w:right="93" w:firstLine="215"/>
        <w:jc w:val="left"/>
      </w:pPr>
      <w:r>
        <w:rPr>
          <w:rFonts w:ascii="Times New Roman" w:hAnsi="Times New Roman" w:cs="Times New Roman" w:eastAsia="Times New Roman" w:hint="default"/>
        </w:rPr>
        <w:t>5</w:t>
      </w:r>
      <w:r>
        <w:rPr/>
        <w:t>）归属于该无形资产开发阶段的支出能够可靠地计量。</w:t>
      </w:r>
      <w:r>
        <w:rPr>
          <w:w w:val="100"/>
        </w:rPr>
        <w:t> </w:t>
      </w:r>
      <w:r>
        <w:rPr>
          <w:spacing w:val="-1"/>
        </w:rPr>
        <w:t>无法区分研究阶段支出和开发阶段支出的，将发生的研发支出全部费用化，计入当期损益。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3"/>
        <w:spacing w:line="240" w:lineRule="auto"/>
        <w:ind w:right="93"/>
        <w:jc w:val="left"/>
        <w:rPr>
          <w:b w:val="0"/>
          <w:bCs w:val="0"/>
        </w:rPr>
      </w:pPr>
      <w:bookmarkStart w:name="20、长期资产减值 " w:id="181"/>
      <w:bookmarkEnd w:id="181"/>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firstLine="359"/>
        <w:jc w:val="left"/>
      </w:pPr>
      <w:r>
        <w:rPr>
          <w:spacing w:val="-3"/>
        </w:rPr>
        <w:t>对于固定资产、在建工程、使用寿命有限的无形资产、采用成本模式计量的投资性房地产及对子公司、合营企业、联营</w:t>
      </w:r>
      <w:r>
        <w:rPr>
          <w:w w:val="100"/>
        </w:rPr>
        <w:t> </w:t>
      </w:r>
      <w:r>
        <w:rPr>
          <w:spacing w:val="-3"/>
        </w:rPr>
        <w:t>企业的长期股权投资等非流动非金融资产，本公司于资产负债表日判断是否存在减值迹象。如存在减值迹象的，则估计其可</w:t>
      </w:r>
      <w:r>
        <w:rPr>
          <w:spacing w:val="-50"/>
        </w:rPr>
        <w:t> </w:t>
      </w:r>
      <w:r>
        <w:rPr>
          <w:spacing w:val="-50"/>
        </w:rPr>
      </w:r>
      <w:r>
        <w:rPr>
          <w:spacing w:val="-1"/>
        </w:rPr>
        <w:t>收回金额，进行减值测试。商誉、使用寿命不确定的无形资产和尚未达到可使用状态的无形资产，无论是否存在减值迹象，</w:t>
      </w:r>
      <w:r>
        <w:rPr>
          <w:spacing w:val="-77"/>
        </w:rPr>
        <w:t> </w:t>
      </w:r>
      <w:r>
        <w:rPr>
          <w:spacing w:val="-77"/>
        </w:rPr>
      </w:r>
      <w:r>
        <w:rPr/>
        <w:t>每年均进行减值测试。</w:t>
      </w:r>
    </w:p>
    <w:p>
      <w:pPr>
        <w:pStyle w:val="BodyText"/>
        <w:spacing w:line="316" w:lineRule="auto" w:before="117"/>
        <w:ind w:right="93" w:firstLine="359"/>
        <w:jc w:val="left"/>
      </w:pPr>
      <w:r>
        <w:rPr>
          <w:spacing w:val="-3"/>
        </w:rPr>
        <w:t>减值测试结果表明资产的可收回金额低于其账面价值的，按其差额计提减值准备并计入减值损失。可收回金额为资产的</w:t>
      </w:r>
      <w:r>
        <w:rPr>
          <w:w w:val="100"/>
        </w:rPr>
        <w:t> </w:t>
      </w:r>
      <w:r>
        <w:rPr>
          <w:spacing w:val="-3"/>
          <w:w w:val="100"/>
        </w:rPr>
        <w:t>公允价值减去处置费用后的净额与资产预计未来现金流量的现值两者之间的较高者。资产的公允价值根据公平交易中销售协</w:t>
      </w:r>
      <w:r>
        <w:rPr>
          <w:spacing w:val="-64"/>
          <w:w w:val="100"/>
        </w:rPr>
        <w:t> </w:t>
      </w:r>
      <w:r>
        <w:rPr>
          <w:spacing w:val="-64"/>
          <w:w w:val="100"/>
        </w:rPr>
      </w:r>
      <w:r>
        <w:rPr>
          <w:spacing w:val="-3"/>
        </w:rPr>
        <w:t>议价格确定；不存在销售协议但存在资产活跃市场的，公允价值按照该资产的买方出价确定；不存在销售协议和资产活跃市</w:t>
      </w:r>
      <w:r>
        <w:rPr>
          <w:spacing w:val="-48"/>
        </w:rPr>
        <w:t> </w:t>
      </w:r>
      <w:r>
        <w:rPr>
          <w:spacing w:val="-48"/>
        </w:rPr>
      </w:r>
      <w:r>
        <w:rPr>
          <w:spacing w:val="-3"/>
        </w:rPr>
        <w:t>场的，则以可获取的最佳信息为基础估计资产的公允价值。处置费用包括与资产处置有关的法律费用、相关税费、搬运费以</w:t>
      </w:r>
      <w:r>
        <w:rPr>
          <w:spacing w:val="-46"/>
        </w:rPr>
        <w:t> </w:t>
      </w:r>
      <w:r>
        <w:rPr>
          <w:spacing w:val="-46"/>
        </w:rPr>
      </w:r>
      <w:r>
        <w:rPr>
          <w:spacing w:val="-3"/>
        </w:rPr>
        <w:t>及为使资产达到可销售状态所发生的直接费用。资产预计未来现金流量的现值，按照资产在持续使用过程中和最终处置时所</w:t>
      </w:r>
      <w:r>
        <w:rPr>
          <w:spacing w:val="-51"/>
        </w:rPr>
        <w:t> </w:t>
      </w:r>
      <w:r>
        <w:rPr>
          <w:spacing w:val="-51"/>
        </w:rPr>
      </w:r>
      <w:r>
        <w:rPr>
          <w:spacing w:val="-5"/>
          <w:w w:val="100"/>
        </w:rPr>
        <w:t>产生的预计未来现金流量，选择恰当的折现率对其进行折现后的金额加以确定。资产减值准备按单项资产为基础计算并确认，</w:t>
      </w:r>
      <w:r>
        <w:rPr>
          <w:spacing w:val="-44"/>
          <w:w w:val="100"/>
        </w:rPr>
        <w:t> </w:t>
      </w:r>
      <w:r>
        <w:rPr>
          <w:spacing w:val="-44"/>
          <w:w w:val="100"/>
        </w:rPr>
      </w:r>
      <w:r>
        <w:rPr>
          <w:spacing w:val="-3"/>
        </w:rPr>
        <w:t>如果难以对单项资产的可收回金额进行估计的，以该资产所属的资产组确定资产组的可收回金额。资产组是能够独立产生现</w:t>
      </w:r>
      <w:r>
        <w:rPr>
          <w:spacing w:val="-51"/>
        </w:rPr>
        <w:t> </w:t>
      </w:r>
      <w:r>
        <w:rPr>
          <w:spacing w:val="-51"/>
        </w:rPr>
      </w:r>
      <w:r>
        <w:rPr/>
        <w:t>金流入的最小资产组合。</w:t>
      </w:r>
    </w:p>
    <w:p>
      <w:pPr>
        <w:pStyle w:val="BodyText"/>
        <w:spacing w:line="316" w:lineRule="auto" w:before="119"/>
        <w:ind w:right="190" w:firstLine="359"/>
        <w:jc w:val="both"/>
      </w:pPr>
      <w:r>
        <w:rPr>
          <w:spacing w:val="-3"/>
        </w:rPr>
        <w:t>在财务报表中单独列示的商誉，在进行减值测试时，将商誉的账面价值分摊至预期从企业合并的协同效应中受益的资产</w:t>
      </w:r>
      <w:r>
        <w:rPr>
          <w:w w:val="100"/>
        </w:rPr>
        <w:t> </w:t>
      </w:r>
      <w:r>
        <w:rPr>
          <w:spacing w:val="-3"/>
        </w:rPr>
        <w:t>组或资产组组合。测试结果表明包含分摊的商誉的资产组或资产组组合的可收回金额低于其账面价值的，确认相应的减值损</w:t>
      </w:r>
      <w:r>
        <w:rPr>
          <w:spacing w:val="-51"/>
        </w:rPr>
        <w:t> </w:t>
      </w:r>
      <w:r>
        <w:rPr>
          <w:spacing w:val="-51"/>
        </w:rPr>
      </w:r>
      <w:r>
        <w:rPr>
          <w:spacing w:val="-3"/>
        </w:rPr>
        <w:t>失。减值损失金额先抵减分摊至该资产组或资产组组合的商誉的账面价值，再根据资产组或资产组组合中除商誉以外的其他</w:t>
      </w:r>
      <w:r>
        <w:rPr>
          <w:spacing w:val="-52"/>
        </w:rPr>
        <w:t> </w:t>
      </w:r>
      <w:r>
        <w:rPr>
          <w:spacing w:val="-52"/>
        </w:rPr>
      </w:r>
      <w:r>
        <w:rPr/>
        <w:t>各项资产的账面价值所占比重，按比例抵减其他各项资产的账面价值。</w:t>
      </w:r>
    </w:p>
    <w:p>
      <w:pPr>
        <w:pStyle w:val="BodyText"/>
        <w:spacing w:line="240" w:lineRule="auto" w:before="119"/>
        <w:ind w:left="512" w:right="93"/>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3"/>
        <w:jc w:val="left"/>
        <w:rPr>
          <w:b w:val="0"/>
          <w:bCs w:val="0"/>
        </w:rPr>
      </w:pPr>
      <w:bookmarkStart w:name="21、长期待摊费用 " w:id="182"/>
      <w:bookmarkEnd w:id="182"/>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3" w:firstLine="359"/>
        <w:jc w:val="left"/>
      </w:pPr>
      <w:r>
        <w:rPr>
          <w:spacing w:val="-3"/>
        </w:rPr>
        <w:t>长期待摊费用是指公司已经支出，但应由本期和以后各期分别负担的分摊期限在</w:t>
      </w:r>
      <w:r>
        <w:rPr>
          <w:rFonts w:ascii="Times New Roman" w:hAnsi="Times New Roman" w:cs="Times New Roman" w:eastAsia="Times New Roman" w:hint="default"/>
          <w:spacing w:val="-3"/>
        </w:rPr>
        <w:t>1</w:t>
      </w:r>
      <w:r>
        <w:rPr>
          <w:spacing w:val="-3"/>
        </w:rPr>
        <w:t>年以上的各项费用。按实际支出入账，</w:t>
      </w:r>
      <w:r>
        <w:rPr>
          <w:w w:val="100"/>
        </w:rPr>
        <w:t> </w:t>
      </w:r>
      <w:r>
        <w:rPr/>
        <w:t>在项目受益期内平均摊销。</w:t>
      </w:r>
    </w:p>
    <w:p>
      <w:pPr>
        <w:pStyle w:val="BodyText"/>
        <w:spacing w:line="240" w:lineRule="auto" w:before="130"/>
        <w:ind w:left="512" w:right="93"/>
        <w:jc w:val="left"/>
      </w:pPr>
      <w:r>
        <w:rPr/>
        <w:t>如果长期待摊费用项目不能使公司在以后会计期间受益的，将尚未摊销的该项目的摊余价值全部转入当期损益。</w:t>
      </w:r>
    </w:p>
    <w:p>
      <w:pPr>
        <w:spacing w:after="0" w:line="240"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bookmarkStart w:name="22、职工薪酬 " w:id="183"/>
      <w:bookmarkEnd w:id="183"/>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bookmarkStart w:name="（1）短期薪酬的会计处理方法 " w:id="184"/>
      <w:bookmarkEnd w:id="18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359"/>
        <w:jc w:val="both"/>
      </w:pPr>
      <w:r>
        <w:rPr>
          <w:spacing w:val="-3"/>
        </w:rPr>
        <w:t>短期薪酬，是指本公司在职工提供相关服务的年度报告期间结束后十二个月内需要全部予以支付的职工薪酬，因解除与</w:t>
      </w:r>
      <w:r>
        <w:rPr>
          <w:w w:val="100"/>
        </w:rPr>
        <w:t> </w:t>
      </w:r>
      <w:r>
        <w:rPr>
          <w:spacing w:val="-3"/>
        </w:rPr>
        <w:t>职工的劳动关系给予的补偿除外。短期薪酬具体包括：职工工资、奖金、津贴和补贴，职工福利费，医疗保险费、工伤保险</w:t>
      </w:r>
      <w:r>
        <w:rPr>
          <w:spacing w:val="-53"/>
        </w:rPr>
        <w:t> </w:t>
      </w:r>
      <w:r>
        <w:rPr>
          <w:spacing w:val="-53"/>
        </w:rPr>
      </w:r>
      <w:r>
        <w:rPr>
          <w:spacing w:val="-3"/>
        </w:rPr>
        <w:t>费和生育保险费等社会保险费，住房公积金，工会经费和职工教育经费，短期带薪缺勤，短期利润分享计划，非货币性福利</w:t>
      </w:r>
      <w:r>
        <w:rPr>
          <w:spacing w:val="-53"/>
        </w:rPr>
        <w:t> </w:t>
      </w:r>
      <w:r>
        <w:rPr>
          <w:spacing w:val="-53"/>
        </w:rPr>
      </w:r>
      <w:r>
        <w:rPr/>
        <w:t>以及其他短期薪酬。</w:t>
      </w:r>
    </w:p>
    <w:p>
      <w:pPr>
        <w:pStyle w:val="BodyText"/>
        <w:spacing w:line="240" w:lineRule="auto" w:before="119"/>
        <w:ind w:left="512" w:right="93"/>
        <w:jc w:val="left"/>
      </w:pPr>
      <w:r>
        <w:rPr/>
        <w:t>本公司在职工为其提供服务的会计期间，将实际发生的短期薪酬确认为负债，并计入当期损益或相关资产成本。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93"/>
        <w:jc w:val="left"/>
        <w:rPr>
          <w:b w:val="0"/>
          <w:bCs w:val="0"/>
        </w:rPr>
      </w:pPr>
      <w:bookmarkStart w:name="（2）离职后福利的会计处理方法 " w:id="185"/>
      <w:bookmarkEnd w:id="18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pStyle w:val="BodyText"/>
        <w:spacing w:line="410" w:lineRule="atLeast" w:before="170"/>
        <w:ind w:left="512" w:right="93"/>
        <w:jc w:val="left"/>
      </w:pPr>
      <w:r>
        <w:rPr/>
        <w:t>本公司离职后福利主要包括设定提存计划。</w:t>
      </w:r>
      <w:r>
        <w:rPr>
          <w:w w:val="100"/>
        </w:rPr>
        <w:t> </w:t>
      </w:r>
      <w:r>
        <w:rPr>
          <w:spacing w:val="-3"/>
        </w:rPr>
        <w:t>离职后福利计划，是指本公司与职工就离职后福利达成的协议，或者本公司为向职工提供离职后福利制定的规章或办法</w:t>
      </w:r>
    </w:p>
    <w:p>
      <w:pPr>
        <w:pStyle w:val="BodyText"/>
        <w:spacing w:line="319" w:lineRule="auto" w:before="76"/>
        <w:ind w:left="512" w:right="93" w:hanging="360"/>
        <w:jc w:val="left"/>
      </w:pPr>
      <w:r>
        <w:rPr/>
        <w:t>等。其中，设定提存计划，是指向独立的基金缴存固定费用后，本公司不再承担进一步支付义务的离职后福利计划。</w:t>
      </w:r>
      <w:r>
        <w:rPr>
          <w:w w:val="100"/>
        </w:rPr>
        <w:t> </w:t>
      </w:r>
      <w:r>
        <w:rPr>
          <w:spacing w:val="-3"/>
        </w:rPr>
        <w:t>本公司的职工参加由政府机构设立的养老保险，本公司在职工为其提供服务的会计期间，将根据设定提存计划计算的应</w:t>
      </w:r>
    </w:p>
    <w:p>
      <w:pPr>
        <w:pStyle w:val="BodyText"/>
        <w:spacing w:line="240" w:lineRule="auto" w:before="17"/>
        <w:ind w:right="93"/>
        <w:jc w:val="left"/>
      </w:pPr>
      <w:r>
        <w:rPr/>
        <w:t>缴存金额确认为负债，并计入当期损益或相关资产成本。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3"/>
        <w:spacing w:line="240" w:lineRule="auto"/>
        <w:ind w:right="93"/>
        <w:jc w:val="left"/>
        <w:rPr>
          <w:b w:val="0"/>
          <w:bCs w:val="0"/>
        </w:rPr>
      </w:pPr>
      <w:bookmarkStart w:name="（3）辞退福利的会计处理方法 " w:id="186"/>
      <w:bookmarkEnd w:id="18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1" w:firstLine="359"/>
        <w:jc w:val="both"/>
      </w:pPr>
      <w:r>
        <w:rPr>
          <w:spacing w:val="-3"/>
        </w:rPr>
        <w:t>辞退福利，是指本公司在职工劳动合同到期之前解除与职工的劳动关系，或者为鼓励职工自愿接受裁减而给予职工的补</w:t>
      </w:r>
      <w:r>
        <w:rPr>
          <w:w w:val="100"/>
        </w:rPr>
        <w:t> </w:t>
      </w:r>
      <w:r>
        <w:rPr/>
        <w:t>偿。</w:t>
      </w:r>
    </w:p>
    <w:p>
      <w:pPr>
        <w:pStyle w:val="BodyText"/>
        <w:spacing w:line="300" w:lineRule="auto" w:before="119"/>
        <w:ind w:right="198" w:firstLine="359"/>
        <w:jc w:val="both"/>
      </w:pPr>
      <w:r>
        <w:rPr>
          <w:spacing w:val="-1"/>
        </w:rPr>
        <w:t>本公司向职工提供辞退福利的，在下列两者孰早日确认辞退福利产生的职工薪酬负债，并计入当期损益：</w:t>
      </w:r>
      <w:r>
        <w:rPr>
          <w:rFonts w:ascii="Times New Roman" w:hAnsi="Times New Roman" w:cs="Times New Roman" w:eastAsia="Times New Roman" w:hint="default"/>
          <w:spacing w:val="-1"/>
        </w:rPr>
        <w:t>1</w:t>
      </w:r>
      <w:r>
        <w:rPr>
          <w:spacing w:val="-1"/>
        </w:rPr>
        <w:t>）本公司不</w:t>
      </w:r>
      <w:r>
        <w:rPr>
          <w:w w:val="100"/>
        </w:rPr>
        <w:t> </w:t>
      </w:r>
      <w:r>
        <w:rPr>
          <w:spacing w:val="-1"/>
        </w:rPr>
        <w:t>能单方面撤回因解除劳动关系计划或裁减建议所提供的辞退福利时；</w:t>
      </w:r>
      <w:r>
        <w:rPr>
          <w:rFonts w:ascii="Times New Roman" w:hAnsi="Times New Roman" w:cs="Times New Roman" w:eastAsia="Times New Roman" w:hint="default"/>
          <w:spacing w:val="-1"/>
        </w:rPr>
        <w:t>2</w:t>
      </w:r>
      <w:r>
        <w:rPr>
          <w:spacing w:val="-1"/>
        </w:rPr>
        <w:t>）本公司确认与涉及支付辞退福利的重组相关的成本</w:t>
      </w:r>
      <w:r>
        <w:rPr>
          <w:spacing w:val="-76"/>
        </w:rPr>
        <w:t> </w:t>
      </w:r>
      <w:r>
        <w:rPr>
          <w:spacing w:val="-76"/>
        </w:rPr>
      </w:r>
      <w:r>
        <w:rPr/>
        <w:t>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9"/>
          <w:szCs w:val="19"/>
        </w:rPr>
      </w:pPr>
    </w:p>
    <w:p>
      <w:pPr>
        <w:pStyle w:val="Heading3"/>
        <w:spacing w:line="240" w:lineRule="auto"/>
        <w:ind w:right="93"/>
        <w:jc w:val="left"/>
        <w:rPr>
          <w:b w:val="0"/>
          <w:bCs w:val="0"/>
        </w:rPr>
      </w:pPr>
      <w:bookmarkStart w:name="（4）其他长期职工福利的会计处理方法 " w:id="187"/>
      <w:bookmarkEnd w:id="18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1" w:firstLine="359"/>
        <w:jc w:val="both"/>
      </w:pPr>
      <w:r>
        <w:rPr>
          <w:spacing w:val="-5"/>
        </w:rPr>
        <w:t>其他长期职工福利，是指除短期薪酬、离职后福利、辞退福利之外所有的职工薪酬，包括长期带薪缺勤、长期残疾福利、</w:t>
      </w:r>
      <w:r>
        <w:rPr>
          <w:w w:val="100"/>
        </w:rPr>
        <w:t> </w:t>
      </w:r>
      <w:r>
        <w:rPr/>
        <w:t>长期利润分享计划等。</w:t>
      </w:r>
    </w:p>
    <w:p>
      <w:pPr>
        <w:pStyle w:val="BodyText"/>
        <w:spacing w:line="316" w:lineRule="auto" w:before="117"/>
        <w:ind w:right="93" w:firstLine="359"/>
        <w:jc w:val="left"/>
      </w:pPr>
      <w:r>
        <w:rPr>
          <w:spacing w:val="-1"/>
        </w:rPr>
        <w:t>本公司向职工提供的其他长期职工福利，符合设定提存计划条件的，按照上述关于设定提存计划的有关规定进行处理。</w:t>
      </w:r>
      <w:r>
        <w:rPr>
          <w:w w:val="100"/>
        </w:rPr>
        <w:t> </w:t>
      </w:r>
      <w:r>
        <w:rPr>
          <w:spacing w:val="-3"/>
        </w:rPr>
        <w:t>除此之外，本公司按照关于设定受益计划的有关规定，确认和计量其他长期职工福利净负债或净资产。在报告期末，本公司</w:t>
      </w:r>
      <w:r>
        <w:rPr>
          <w:spacing w:val="-45"/>
        </w:rPr>
        <w:t> </w:t>
      </w:r>
      <w:r>
        <w:rPr>
          <w:spacing w:val="-45"/>
        </w:rPr>
      </w:r>
      <w:r>
        <w:rPr/>
        <w:t>将其他长期职工福利产生的职工薪酬成本确认为下列组成部分：</w:t>
      </w:r>
    </w:p>
    <w:p>
      <w:pPr>
        <w:pStyle w:val="BodyText"/>
        <w:spacing w:line="240" w:lineRule="auto" w:before="18"/>
        <w:ind w:left="512" w:right="93"/>
        <w:jc w:val="left"/>
      </w:pPr>
      <w:r>
        <w:rPr>
          <w:rFonts w:ascii="Times New Roman" w:hAnsi="Times New Roman" w:cs="Times New Roman" w:eastAsia="Times New Roman" w:hint="default"/>
        </w:rPr>
        <w:t>1</w:t>
      </w:r>
      <w:r>
        <w:rPr/>
        <w:t>）服务成本。</w:t>
      </w:r>
    </w:p>
    <w:p>
      <w:pPr>
        <w:pStyle w:val="BodyText"/>
        <w:spacing w:line="240" w:lineRule="auto" w:before="62"/>
        <w:ind w:left="512" w:right="93"/>
        <w:jc w:val="left"/>
      </w:pPr>
      <w:r>
        <w:rPr>
          <w:rFonts w:ascii="Times New Roman" w:hAnsi="Times New Roman" w:cs="Times New Roman" w:eastAsia="Times New Roman" w:hint="default"/>
        </w:rPr>
        <w:t>2</w:t>
      </w:r>
      <w:r>
        <w:rPr/>
        <w:t>）其他长期职工福利净负债或净资产的利息净额。</w:t>
      </w:r>
    </w:p>
    <w:p>
      <w:pPr>
        <w:pStyle w:val="BodyText"/>
        <w:spacing w:line="300" w:lineRule="auto" w:before="63"/>
        <w:ind w:left="512" w:right="4226"/>
        <w:jc w:val="left"/>
      </w:pPr>
      <w:r>
        <w:rPr>
          <w:rFonts w:ascii="Times New Roman" w:hAnsi="Times New Roman" w:cs="Times New Roman" w:eastAsia="Times New Roman" w:hint="default"/>
          <w:spacing w:val="-1"/>
        </w:rPr>
        <w:t>3</w:t>
      </w:r>
      <w:r>
        <w:rPr>
          <w:spacing w:val="-1"/>
        </w:rPr>
        <w:t>）重新计量其他长期职工福利净负债或净资产所产生的变动。</w:t>
      </w:r>
      <w:r>
        <w:rPr>
          <w:spacing w:val="-82"/>
        </w:rPr>
        <w:t> </w:t>
      </w:r>
      <w:r>
        <w:rPr>
          <w:spacing w:val="-82"/>
        </w:rPr>
      </w:r>
      <w:r>
        <w:rPr/>
        <w:t>上述项目的总净额计入当期损益或相关资产成本。</w:t>
      </w:r>
    </w:p>
    <w:p>
      <w:pPr>
        <w:spacing w:after="0" w:line="300" w:lineRule="auto"/>
        <w:jc w:val="left"/>
        <w:sectPr>
          <w:pgSz w:w="11910" w:h="16840"/>
          <w:pgMar w:header="745" w:footer="981"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before="36"/>
        <w:ind w:right="0"/>
        <w:jc w:val="left"/>
        <w:rPr>
          <w:b w:val="0"/>
          <w:bCs w:val="0"/>
        </w:rPr>
      </w:pPr>
      <w:bookmarkStart w:name="23、预计负债 " w:id="188"/>
      <w:bookmarkEnd w:id="188"/>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359"/>
        <w:jc w:val="left"/>
      </w:pPr>
      <w:r>
        <w:rPr>
          <w:spacing w:val="-1"/>
        </w:rPr>
        <w:t>当与产品质量保证</w:t>
      </w:r>
      <w:r>
        <w:rPr>
          <w:rFonts w:ascii="Times New Roman" w:hAnsi="Times New Roman" w:cs="Times New Roman" w:eastAsia="Times New Roman" w:hint="default"/>
          <w:spacing w:val="-1"/>
        </w:rPr>
        <w:t>/</w:t>
      </w:r>
      <w:r>
        <w:rPr>
          <w:spacing w:val="-1"/>
        </w:rPr>
        <w:t>亏损合同</w:t>
      </w:r>
      <w:r>
        <w:rPr>
          <w:rFonts w:ascii="Times New Roman" w:hAnsi="Times New Roman" w:cs="Times New Roman" w:eastAsia="Times New Roman" w:hint="default"/>
          <w:spacing w:val="-1"/>
        </w:rPr>
        <w:t>/</w:t>
      </w:r>
      <w:r>
        <w:rPr>
          <w:spacing w:val="-1"/>
        </w:rPr>
        <w:t>重组义务等或有事项相关的义务是本公司承担的现时义务，且履行该义务很可能导致经济</w:t>
      </w:r>
      <w:r>
        <w:rPr>
          <w:w w:val="100"/>
        </w:rPr>
        <w:t> </w:t>
      </w:r>
      <w:r>
        <w:rPr/>
        <w:t>利益流出，以及该义务的金额能够可靠地计量，则确认为预计负债。</w:t>
      </w:r>
    </w:p>
    <w:p>
      <w:pPr>
        <w:pStyle w:val="BodyText"/>
        <w:spacing w:line="316" w:lineRule="auto" w:before="130"/>
        <w:ind w:right="0" w:firstLine="359"/>
        <w:jc w:val="left"/>
      </w:pPr>
      <w:r>
        <w:rPr>
          <w:spacing w:val="-3"/>
        </w:rPr>
        <w:t>在资产负债表日，考虑与或有事项有关的风险、不确定性和货币时间价值等因素，按照履行相关现时义务所需支出的最</w:t>
      </w:r>
      <w:r>
        <w:rPr>
          <w:w w:val="100"/>
        </w:rPr>
        <w:t> </w:t>
      </w:r>
      <w:r>
        <w:rPr/>
        <w:t>佳估计数对预计负债进行计量。如果货币时间价值影响重大，则以预计未来现金流出折现后的金额确定最佳估计数。</w:t>
      </w:r>
    </w:p>
    <w:p>
      <w:pPr>
        <w:pStyle w:val="BodyText"/>
        <w:spacing w:line="316" w:lineRule="auto" w:before="119"/>
        <w:ind w:right="0" w:firstLine="359"/>
        <w:jc w:val="left"/>
      </w:pPr>
      <w:r>
        <w:rPr>
          <w:spacing w:val="-3"/>
        </w:rPr>
        <w:t>如果清偿预计负债所需支出全部或部分预期由第三方补偿的，补偿金额在基本确定能够收到时，作为资产单独确认，且</w:t>
      </w:r>
      <w:r>
        <w:rPr>
          <w:w w:val="100"/>
        </w:rPr>
        <w:t> </w:t>
      </w:r>
      <w:r>
        <w:rPr/>
        <w:t>确认的补偿金额不超过预计负债的账面价值。</w:t>
      </w:r>
    </w:p>
    <w:p>
      <w:pPr>
        <w:pStyle w:val="BodyText"/>
        <w:spacing w:line="300" w:lineRule="auto" w:before="119"/>
        <w:ind w:left="512" w:right="0"/>
        <w:jc w:val="left"/>
      </w:pPr>
      <w:r>
        <w:rPr/>
        <w:t>（</w:t>
      </w:r>
      <w:r>
        <w:rPr>
          <w:rFonts w:ascii="Times New Roman" w:hAnsi="Times New Roman" w:cs="Times New Roman" w:eastAsia="Times New Roman" w:hint="default"/>
        </w:rPr>
        <w:t>1</w:t>
      </w:r>
      <w:r>
        <w:rPr/>
        <w:t>）亏损合同</w:t>
      </w:r>
      <w:r>
        <w:rPr>
          <w:w w:val="100"/>
        </w:rPr>
        <w:t> </w:t>
      </w:r>
      <w:r>
        <w:rPr>
          <w:spacing w:val="-3"/>
        </w:rPr>
        <w:t>亏损合同是履行合同义务不可避免会发生的成本超过预期经济利益的合同。待执行合同变成亏损合同，且该亏损合同产</w:t>
      </w:r>
    </w:p>
    <w:p>
      <w:pPr>
        <w:pStyle w:val="BodyText"/>
        <w:spacing w:line="316" w:lineRule="auto" w:before="31"/>
        <w:ind w:right="0"/>
        <w:jc w:val="left"/>
      </w:pPr>
      <w:r>
        <w:rPr>
          <w:spacing w:val="-3"/>
        </w:rPr>
        <w:t>生的义务满足上述预计负债的确认条件的，将合同预计损失超过合同标的资产已确认的减值损失（如有）的部分，确认为预</w:t>
      </w:r>
      <w:r>
        <w:rPr>
          <w:spacing w:val="-49"/>
        </w:rPr>
        <w:t> </w:t>
      </w:r>
      <w:r>
        <w:rPr>
          <w:spacing w:val="-49"/>
        </w:rPr>
      </w:r>
      <w:r>
        <w:rPr/>
        <w:t>计负债。</w:t>
      </w:r>
    </w:p>
    <w:p>
      <w:pPr>
        <w:pStyle w:val="BodyText"/>
        <w:spacing w:line="300" w:lineRule="auto" w:before="19"/>
        <w:ind w:left="512" w:right="0"/>
        <w:jc w:val="left"/>
      </w:pPr>
      <w:r>
        <w:rPr/>
        <w:t>（</w:t>
      </w:r>
      <w:r>
        <w:rPr>
          <w:rFonts w:ascii="Times New Roman" w:hAnsi="Times New Roman" w:cs="Times New Roman" w:eastAsia="Times New Roman" w:hint="default"/>
        </w:rPr>
        <w:t>2</w:t>
      </w:r>
      <w:r>
        <w:rPr/>
        <w:t>）重组义务</w:t>
      </w:r>
      <w:r>
        <w:rPr>
          <w:w w:val="100"/>
        </w:rPr>
        <w:t> </w:t>
      </w:r>
      <w:r>
        <w:rPr>
          <w:spacing w:val="-3"/>
        </w:rPr>
        <w:t>对于有详细、正式并且已经对外公告的重组计划，在满足前述预计负债的确认条件的情况下，按照与重组有关的直接支</w:t>
      </w:r>
    </w:p>
    <w:p>
      <w:pPr>
        <w:pStyle w:val="BodyText"/>
        <w:spacing w:line="319" w:lineRule="auto" w:before="31"/>
        <w:ind w:right="0"/>
        <w:jc w:val="left"/>
      </w:pPr>
      <w:r>
        <w:rPr>
          <w:spacing w:val="-3"/>
        </w:rPr>
        <w:t>出确定预计负债金额。对于出售部分业务的重组义务，只有在本公司承诺出售部分业务（即签订了约束性出售协议时），才</w:t>
      </w:r>
      <w:r>
        <w:rPr>
          <w:spacing w:val="-52"/>
        </w:rPr>
        <w:t> </w:t>
      </w:r>
      <w:r>
        <w:rPr>
          <w:spacing w:val="-52"/>
        </w:rPr>
      </w:r>
      <w:r>
        <w:rPr/>
        <w:t>确认与重组相关的义务。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bookmarkStart w:name="24、收入 " w:id="189"/>
      <w:bookmarkEnd w:id="189"/>
      <w:r>
        <w:rPr>
          <w:b w:val="0"/>
          <w:bCs w:val="0"/>
        </w:rPr>
      </w:r>
      <w:r>
        <w:rPr>
          <w:rFonts w:ascii="Times New Roman" w:hAnsi="Times New Roman" w:cs="Times New Roman" w:eastAsia="Times New Roman" w:hint="default"/>
        </w:rPr>
        <w:t>24</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91" w:lineRule="auto"/>
        <w:ind w:left="440" w:right="4593" w:firstLine="72"/>
        <w:jc w:val="left"/>
      </w:pPr>
      <w:r>
        <w:rPr>
          <w:rFonts w:ascii="Times New Roman" w:hAnsi="Times New Roman" w:cs="Times New Roman" w:eastAsia="Times New Roman" w:hint="default"/>
        </w:rPr>
        <w:t>(1)</w:t>
      </w:r>
      <w:r>
        <w:rPr/>
        <w:t>销售商品的收入</w:t>
      </w:r>
      <w:r>
        <w:rPr>
          <w:w w:val="100"/>
        </w:rPr>
        <w:t> </w:t>
      </w:r>
      <w:r>
        <w:rPr>
          <w:rFonts w:ascii="Times New Roman" w:hAnsi="Times New Roman" w:cs="Times New Roman" w:eastAsia="Times New Roman" w:hint="default"/>
        </w:rPr>
        <w:t>1)</w:t>
      </w:r>
      <w:r>
        <w:rPr/>
        <w:t>销售商品的收入，确认和计量的总体原则</w:t>
      </w:r>
      <w:r>
        <w:rPr>
          <w:w w:val="100"/>
        </w:rPr>
        <w:t> </w:t>
      </w:r>
      <w:r>
        <w:rPr>
          <w:rFonts w:ascii="Times New Roman" w:hAnsi="Times New Roman" w:cs="Times New Roman" w:eastAsia="Times New Roman" w:hint="default"/>
          <w:spacing w:val="-1"/>
        </w:rPr>
        <w:t>a</w:t>
      </w:r>
      <w:r>
        <w:rPr>
          <w:spacing w:val="-1"/>
        </w:rPr>
        <w:t>企业已将商品所有权上的主要风险和报酬转移给购货方；</w:t>
      </w:r>
    </w:p>
    <w:p>
      <w:pPr>
        <w:pStyle w:val="BodyText"/>
        <w:spacing w:line="391" w:lineRule="auto" w:before="28"/>
        <w:ind w:left="440" w:right="36"/>
        <w:jc w:val="left"/>
      </w:pPr>
      <w:r>
        <w:rPr>
          <w:rFonts w:ascii="Times New Roman" w:hAnsi="Times New Roman" w:cs="Times New Roman" w:eastAsia="Times New Roman" w:hint="default"/>
          <w:spacing w:val="-1"/>
        </w:rPr>
        <w:t>b</w:t>
      </w:r>
      <w:r>
        <w:rPr>
          <w:spacing w:val="-1"/>
        </w:rPr>
        <w:t>企业既没有保留通常与所有权相联系的继续管理权，也没有对已售出的商品实施有效控制；</w:t>
      </w:r>
      <w:r>
        <w:rPr>
          <w:spacing w:val="-80"/>
        </w:rPr>
        <w:t> </w:t>
      </w:r>
      <w:r>
        <w:rPr>
          <w:spacing w:val="-80"/>
        </w:rPr>
      </w:r>
      <w:r>
        <w:rPr>
          <w:rFonts w:ascii="Times New Roman" w:hAnsi="Times New Roman" w:cs="Times New Roman" w:eastAsia="Times New Roman" w:hint="default"/>
        </w:rPr>
        <w:t>c</w:t>
      </w:r>
      <w:r>
        <w:rPr/>
        <w:t>收入的金额能够可靠计量；</w:t>
      </w:r>
    </w:p>
    <w:p>
      <w:pPr>
        <w:pStyle w:val="BodyText"/>
        <w:spacing w:line="388" w:lineRule="auto" w:before="31"/>
        <w:ind w:left="440" w:right="3185"/>
        <w:jc w:val="left"/>
      </w:pPr>
      <w:r>
        <w:rPr>
          <w:rFonts w:ascii="Times New Roman" w:hAnsi="Times New Roman" w:cs="Times New Roman" w:eastAsia="Times New Roman" w:hint="default"/>
        </w:rPr>
        <w:t>d</w:t>
      </w:r>
      <w:r>
        <w:rPr/>
        <w:t>相关经济利益很可能流入企业；</w:t>
      </w:r>
      <w:r>
        <w:rPr>
          <w:w w:val="100"/>
        </w:rPr>
        <w:t> </w:t>
      </w:r>
      <w:r>
        <w:rPr>
          <w:rFonts w:ascii="Times New Roman" w:hAnsi="Times New Roman" w:cs="Times New Roman" w:eastAsia="Times New Roman" w:hint="default"/>
        </w:rPr>
        <w:t>e</w:t>
      </w:r>
      <w:r>
        <w:rPr/>
        <w:t>相关的、已发生的或将发生的成本能够可靠计量。</w:t>
      </w:r>
      <w:r>
        <w:rPr>
          <w:w w:val="100"/>
        </w:rPr>
        <w:t> </w:t>
      </w:r>
      <w:r>
        <w:rPr>
          <w:rFonts w:ascii="Times New Roman" w:hAnsi="Times New Roman" w:cs="Times New Roman" w:eastAsia="Times New Roman" w:hint="default"/>
          <w:spacing w:val="-1"/>
        </w:rPr>
        <w:t>2</w:t>
      </w:r>
      <w:r>
        <w:rPr>
          <w:spacing w:val="-1"/>
        </w:rPr>
        <w:t>）本公司销售商品收入确认标准及收入确认时间的具体判断标准</w:t>
      </w:r>
    </w:p>
    <w:p>
      <w:pPr>
        <w:pStyle w:val="BodyText"/>
        <w:spacing w:line="319" w:lineRule="auto" w:before="32"/>
        <w:ind w:right="0" w:firstLine="287"/>
        <w:jc w:val="left"/>
      </w:pPr>
      <w:r>
        <w:rPr>
          <w:spacing w:val="-2"/>
        </w:rPr>
        <w:t>本公司销售的商品包括药品、医疗器械等，销售服务部根据客户订单开具销售单据，物流部确认出库后，财务部确认收</w:t>
      </w:r>
      <w:r>
        <w:rPr>
          <w:w w:val="100"/>
        </w:rPr>
        <w:t> </w:t>
      </w:r>
      <w:r>
        <w:rPr/>
        <w:t>入。</w:t>
      </w:r>
    </w:p>
    <w:p>
      <w:pPr>
        <w:pStyle w:val="BodyText"/>
        <w:spacing w:line="391" w:lineRule="auto" w:before="110"/>
        <w:ind w:left="440" w:right="5260"/>
        <w:jc w:val="left"/>
      </w:pPr>
      <w:r>
        <w:rPr>
          <w:rFonts w:ascii="Times New Roman" w:hAnsi="Times New Roman" w:cs="Times New Roman" w:eastAsia="Times New Roman" w:hint="default"/>
        </w:rPr>
        <w:t>(2)</w:t>
      </w:r>
      <w:r>
        <w:rPr/>
        <w:t>提供劳务收入：</w:t>
      </w:r>
      <w:r>
        <w:rPr>
          <w:w w:val="100"/>
        </w:rPr>
        <w:t> </w:t>
      </w:r>
      <w:r>
        <w:rPr>
          <w:rFonts w:ascii="Times New Roman" w:hAnsi="Times New Roman" w:cs="Times New Roman" w:eastAsia="Times New Roman" w:hint="default"/>
          <w:spacing w:val="-1"/>
        </w:rPr>
        <w:t>1)</w:t>
      </w:r>
      <w:r>
        <w:rPr>
          <w:spacing w:val="-1"/>
        </w:rPr>
        <w:t>提供劳务收入，确认和计量的总体原则</w:t>
      </w:r>
    </w:p>
    <w:p>
      <w:pPr>
        <w:pStyle w:val="BodyText"/>
        <w:spacing w:line="319" w:lineRule="auto" w:before="28"/>
        <w:ind w:right="0" w:firstLine="359"/>
        <w:jc w:val="left"/>
      </w:pPr>
      <w:r>
        <w:rPr/>
        <w:t>在资产负债表日提供劳务交易的结果能够可靠估计的，</w:t>
      </w:r>
      <w:r>
        <w:rPr>
          <w:spacing w:val="-42"/>
        </w:rPr>
        <w:t> </w:t>
      </w:r>
      <w:r>
        <w:rPr/>
        <w:t>按照完工百分比法确认提供劳务收入。提供劳务交易的结果能</w:t>
      </w:r>
      <w:r>
        <w:rPr>
          <w:w w:val="100"/>
        </w:rPr>
        <w:t> </w:t>
      </w:r>
      <w:r>
        <w:rPr/>
        <w:t>够可靠估计，是指同时具备以下条件：</w:t>
      </w:r>
    </w:p>
    <w:p>
      <w:pPr>
        <w:pStyle w:val="BodyText"/>
        <w:spacing w:line="240" w:lineRule="auto" w:before="110"/>
        <w:ind w:left="440"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0"/>
        </w:rPr>
        <w:t> </w:t>
      </w:r>
      <w:r>
        <w:rPr/>
        <w:t>收入的金额能够可靠计量；</w:t>
      </w:r>
    </w:p>
    <w:p>
      <w:pPr>
        <w:pStyle w:val="BodyText"/>
        <w:spacing w:line="240" w:lineRule="auto" w:before="156"/>
        <w:ind w:left="440" w:right="0"/>
        <w:jc w:val="left"/>
      </w:pPr>
      <w:r>
        <w:rPr>
          <w:rFonts w:ascii="Times New Roman" w:hAnsi="Times New Roman" w:cs="Times New Roman" w:eastAsia="Times New Roman" w:hint="default"/>
        </w:rPr>
        <w:t>b</w:t>
      </w:r>
      <w:r>
        <w:rPr/>
        <w:t>相关的经济利益很可能流入企业；</w:t>
      </w:r>
    </w:p>
    <w:p>
      <w:pPr>
        <w:spacing w:after="0" w:line="240" w:lineRule="auto"/>
        <w:jc w:val="left"/>
        <w:sectPr>
          <w:footerReference w:type="default" r:id="rId27"/>
          <w:pgSz w:w="11910" w:h="16840"/>
          <w:pgMar w:footer="981" w:header="745" w:top="1060" w:bottom="1180" w:left="980" w:right="980"/>
          <w:pgNumType w:start="99"/>
        </w:sectPr>
      </w:pPr>
    </w:p>
    <w:p>
      <w:pPr>
        <w:spacing w:line="240" w:lineRule="auto" w:before="9"/>
        <w:rPr>
          <w:rFonts w:ascii="宋体" w:hAnsi="宋体" w:cs="宋体" w:eastAsia="宋体" w:hint="default"/>
          <w:sz w:val="25"/>
          <w:szCs w:val="25"/>
        </w:rPr>
      </w:pPr>
    </w:p>
    <w:p>
      <w:pPr>
        <w:pStyle w:val="BodyText"/>
        <w:spacing w:line="388" w:lineRule="auto" w:before="44"/>
        <w:ind w:left="440" w:right="3185"/>
        <w:jc w:val="left"/>
      </w:pPr>
      <w:r>
        <w:rPr>
          <w:rFonts w:ascii="Times New Roman" w:hAnsi="Times New Roman" w:cs="Times New Roman" w:eastAsia="Times New Roman" w:hint="default"/>
        </w:rPr>
        <w:t>c</w:t>
      </w:r>
      <w:r>
        <w:rPr/>
        <w:t>交易的完工进度能够可靠确定；</w:t>
      </w:r>
      <w:r>
        <w:rPr>
          <w:w w:val="100"/>
        </w:rPr>
        <w:t> </w:t>
      </w:r>
      <w:r>
        <w:rPr>
          <w:rFonts w:ascii="Times New Roman" w:hAnsi="Times New Roman" w:cs="Times New Roman" w:eastAsia="Times New Roman" w:hint="default"/>
        </w:rPr>
        <w:t>d</w:t>
      </w:r>
      <w:r>
        <w:rPr/>
        <w:t>交易中已发生的和将发生的成本能够可靠计量。</w:t>
      </w:r>
      <w:r>
        <w:rPr>
          <w:w w:val="100"/>
        </w:rPr>
        <w:t> </w:t>
      </w:r>
      <w:r>
        <w:rPr/>
        <w:t>在资产负债表日提供劳务交易结果不能够可靠估计的，分别下列情况处理：</w:t>
      </w:r>
    </w:p>
    <w:p>
      <w:pPr>
        <w:pStyle w:val="BodyText"/>
        <w:spacing w:line="388" w:lineRule="auto" w:before="58"/>
        <w:ind w:left="368" w:right="0" w:firstLine="71"/>
        <w:jc w:val="left"/>
      </w:pPr>
      <w:r>
        <w:rPr>
          <w:rFonts w:ascii="Times New Roman" w:hAnsi="Times New Roman" w:cs="Times New Roman" w:eastAsia="Times New Roman" w:hint="default"/>
        </w:rPr>
        <w:t>a</w:t>
      </w:r>
      <w:r>
        <w:rPr/>
        <w:t>已发生的劳务成本预计能够得到补偿，应按已经发生的劳务成本金额确认收入；并按相同金额结转成本；</w:t>
      </w:r>
      <w:r>
        <w:rPr>
          <w:w w:val="100"/>
        </w:rPr>
        <w:t> </w:t>
      </w:r>
      <w:r>
        <w:rPr>
          <w:rFonts w:ascii="Times New Roman" w:hAnsi="Times New Roman" w:cs="Times New Roman" w:eastAsia="Times New Roman" w:hint="default"/>
        </w:rPr>
        <w:t>b</w:t>
      </w:r>
      <w:r>
        <w:rPr/>
        <w:t>已发生的劳务成本预计不能够得到补偿的，</w:t>
      </w:r>
      <w:r>
        <w:rPr>
          <w:spacing w:val="-22"/>
        </w:rPr>
        <w:t> </w:t>
      </w:r>
      <w:r>
        <w:rPr/>
        <w:t>将已经发生的劳务成本计入当期损益，不确认提供劳务收入。</w:t>
      </w:r>
      <w:r>
        <w:rPr>
          <w:w w:val="100"/>
        </w:rPr>
        <w:t> </w:t>
      </w:r>
      <w:r>
        <w:rPr>
          <w:rFonts w:ascii="Times New Roman" w:hAnsi="Times New Roman" w:cs="Times New Roman" w:eastAsia="Times New Roman" w:hint="default"/>
        </w:rPr>
        <w:t>2)</w:t>
      </w:r>
      <w:r>
        <w:rPr/>
        <w:t>本公司提供劳务收入确认标准及收入确认时间的具体判断标准</w:t>
      </w:r>
      <w:r>
        <w:rPr>
          <w:w w:val="100"/>
        </w:rPr>
        <w:t> </w:t>
      </w:r>
      <w:r>
        <w:rPr/>
        <w:t>本公司提供劳务主要是为供应商提供销售流向信息等，财务部根据双方签订的服务合同与供应商核对无误后开具发票确</w:t>
      </w:r>
    </w:p>
    <w:p>
      <w:pPr>
        <w:pStyle w:val="BodyText"/>
        <w:spacing w:line="201" w:lineRule="exact"/>
        <w:ind w:right="0"/>
        <w:jc w:val="left"/>
      </w:pPr>
      <w:r>
        <w:rPr/>
        <w:t>认收入。</w:t>
      </w:r>
    </w:p>
    <w:p>
      <w:pPr>
        <w:spacing w:line="240" w:lineRule="auto" w:before="13"/>
        <w:rPr>
          <w:rFonts w:ascii="宋体" w:hAnsi="宋体" w:cs="宋体" w:eastAsia="宋体" w:hint="default"/>
          <w:sz w:val="12"/>
          <w:szCs w:val="12"/>
        </w:rPr>
      </w:pPr>
    </w:p>
    <w:p>
      <w:pPr>
        <w:pStyle w:val="BodyText"/>
        <w:spacing w:line="391" w:lineRule="auto"/>
        <w:ind w:left="440" w:right="0" w:hanging="1"/>
        <w:jc w:val="left"/>
      </w:pPr>
      <w:r>
        <w:rPr>
          <w:rFonts w:ascii="Times New Roman" w:hAnsi="Times New Roman" w:cs="Times New Roman" w:eastAsia="Times New Roman" w:hint="default"/>
        </w:rPr>
        <w:t>(3)</w:t>
      </w:r>
      <w:r>
        <w:rPr/>
        <w:t>既销售商品又提供劳务的收入：</w:t>
      </w:r>
      <w:r>
        <w:rPr>
          <w:w w:val="100"/>
        </w:rPr>
        <w:t> </w:t>
      </w:r>
      <w:r>
        <w:rPr>
          <w:spacing w:val="-2"/>
        </w:rPr>
        <w:t>公司与其他企业签订的合同或协议包括销售商品和提供劳务时，销售商品部分和提供劳务部分能够区分且能够单独计量</w:t>
      </w:r>
    </w:p>
    <w:p>
      <w:pPr>
        <w:pStyle w:val="BodyText"/>
        <w:spacing w:line="199" w:lineRule="exact"/>
        <w:ind w:right="0"/>
        <w:jc w:val="left"/>
      </w:pPr>
      <w:r>
        <w:rPr>
          <w:spacing w:val="-3"/>
        </w:rPr>
        <w:t>的，将提供劳务的部分作为提供劳务处理。销售商品部分和提供劳务不能够区分的，或虽能区分但不能够单独计量的，应当</w:t>
      </w:r>
    </w:p>
    <w:p>
      <w:pPr>
        <w:pStyle w:val="BodyText"/>
        <w:spacing w:line="240" w:lineRule="auto" w:before="76"/>
        <w:ind w:right="0"/>
        <w:jc w:val="left"/>
      </w:pPr>
      <w:r>
        <w:rPr/>
        <w:t>将销售商品部分和提供劳务部分全部作为销售商品处理。</w:t>
      </w:r>
    </w:p>
    <w:p>
      <w:pPr>
        <w:spacing w:line="240" w:lineRule="auto" w:before="13"/>
        <w:rPr>
          <w:rFonts w:ascii="宋体" w:hAnsi="宋体" w:cs="宋体" w:eastAsia="宋体" w:hint="default"/>
          <w:sz w:val="12"/>
          <w:szCs w:val="12"/>
        </w:rPr>
      </w:pPr>
    </w:p>
    <w:p>
      <w:pPr>
        <w:pStyle w:val="BodyText"/>
        <w:spacing w:line="388" w:lineRule="auto"/>
        <w:ind w:left="368" w:right="0" w:firstLine="144"/>
        <w:jc w:val="left"/>
      </w:pPr>
      <w:r>
        <w:rPr>
          <w:rFonts w:ascii="Times New Roman" w:hAnsi="Times New Roman" w:cs="Times New Roman" w:eastAsia="Times New Roman" w:hint="default"/>
        </w:rPr>
        <w:t>(4</w:t>
      </w:r>
      <w:r>
        <w:rPr/>
        <w:t>）让渡资产使用权收入：</w:t>
      </w:r>
      <w:r>
        <w:rPr>
          <w:w w:val="100"/>
        </w:rPr>
        <w:t> </w:t>
      </w:r>
      <w:r>
        <w:rPr>
          <w:spacing w:val="-1"/>
        </w:rPr>
        <w:t>让渡资产使用权收入包括利息收入、使用费收入等。同时满足下列条件的，才能予以确认：相关的经济利益很可能流入</w:t>
      </w:r>
    </w:p>
    <w:p>
      <w:pPr>
        <w:pStyle w:val="BodyText"/>
        <w:spacing w:line="201" w:lineRule="exact"/>
        <w:ind w:right="0"/>
        <w:jc w:val="left"/>
      </w:pPr>
      <w:r>
        <w:rPr/>
        <w:t>企业；收入的金额能够可靠计量。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1"/>
        <w:ind w:right="0"/>
        <w:jc w:val="left"/>
        <w:rPr>
          <w:b w:val="0"/>
          <w:bCs w:val="0"/>
        </w:rPr>
      </w:pPr>
      <w:bookmarkStart w:name="25、政府补助 " w:id="190"/>
      <w:bookmarkEnd w:id="190"/>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与资产相关的政府补助判断依据及会计处理方法 " w:id="191"/>
      <w:bookmarkEnd w:id="19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50" w:firstLine="359"/>
        <w:jc w:val="both"/>
      </w:pPr>
      <w:r>
        <w:rPr>
          <w:spacing w:val="-3"/>
          <w:w w:val="100"/>
        </w:rPr>
        <w:t>本公司将所取得的用于购建或以其他方式形成长期资产的政府补助界定为与资产相关的政府补助；其余政府补助界定为</w:t>
      </w:r>
      <w:r>
        <w:rPr>
          <w:w w:val="100"/>
        </w:rPr>
        <w:t> </w:t>
      </w:r>
      <w:r>
        <w:rPr>
          <w:spacing w:val="-3"/>
        </w:rPr>
        <w:t>与收益相关的政府补助。若政府文件未明确规定补助对象，则采用以下方式将补助款划分为与收益相关的政府补助和与资产</w:t>
      </w:r>
      <w:r>
        <w:rPr>
          <w:spacing w:val="-51"/>
        </w:rPr>
        <w:t> </w:t>
      </w:r>
      <w:r>
        <w:rPr>
          <w:spacing w:val="-51"/>
        </w:rPr>
      </w:r>
      <w:r>
        <w:rPr>
          <w:spacing w:val="-1"/>
        </w:rPr>
        <w:t>相关的政府补助：</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w:t>
      </w:r>
      <w:r>
        <w:rPr>
          <w:spacing w:val="-76"/>
        </w:rPr>
        <w:t> </w:t>
      </w:r>
      <w:r>
        <w:rPr>
          <w:spacing w:val="-76"/>
        </w:rPr>
      </w:r>
      <w:r>
        <w:rPr>
          <w:spacing w:val="-1"/>
        </w:rPr>
        <w:t>用的支出金额的相对比例进行划分，对该划分比例需在每个资产负债表日进行复核，必要时进行变更；</w:t>
      </w:r>
      <w:r>
        <w:rPr>
          <w:rFonts w:ascii="Times New Roman" w:hAnsi="Times New Roman" w:cs="Times New Roman" w:eastAsia="Times New Roman" w:hint="default"/>
          <w:spacing w:val="-1"/>
        </w:rPr>
        <w:t>2</w:t>
      </w:r>
      <w:r>
        <w:rPr>
          <w:spacing w:val="-1"/>
        </w:rPr>
        <w:t>）政府文件中对用</w:t>
      </w:r>
      <w:r>
        <w:rPr>
          <w:spacing w:val="-76"/>
        </w:rPr>
        <w:t> </w:t>
      </w:r>
      <w:r>
        <w:rPr>
          <w:spacing w:val="-76"/>
        </w:rPr>
      </w:r>
      <w:r>
        <w:rPr/>
        <w:t>途仅作一般性表述，没有指明特定项目的，作为与收益相关的政府补助。</w:t>
      </w:r>
    </w:p>
    <w:p>
      <w:pPr>
        <w:pStyle w:val="BodyText"/>
        <w:spacing w:line="412" w:lineRule="exact" w:before="5"/>
        <w:ind w:left="512" w:right="0"/>
        <w:jc w:val="left"/>
      </w:pPr>
      <w:r>
        <w:rPr/>
        <w:t>本公司将与资产相关的政府补助，确认为递延收益，并在相关资产的使用寿命内平均分配计入当期损益。</w:t>
      </w:r>
      <w:r>
        <w:rPr>
          <w:w w:val="100"/>
        </w:rPr>
        <w:t> </w:t>
      </w:r>
      <w:r>
        <w:rPr>
          <w:spacing w:val="-3"/>
        </w:rPr>
        <w:t>已确认的政府补助需要返还时，存在相关递延收益余额的，冲减相关递延收益账面余额，超出部分计入当期损益；不存</w:t>
      </w:r>
    </w:p>
    <w:p>
      <w:pPr>
        <w:pStyle w:val="BodyText"/>
        <w:spacing w:line="240" w:lineRule="auto" w:before="19"/>
        <w:ind w:right="0"/>
        <w:jc w:val="left"/>
      </w:pPr>
      <w:r>
        <w:rPr/>
        <w:t>在相关递延收益的，直接计入当期损益。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与收益相关的政府补助判断依据及会计处理方法 " w:id="192"/>
      <w:bookmarkEnd w:id="19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50" w:firstLine="359"/>
        <w:jc w:val="both"/>
      </w:pPr>
      <w:r>
        <w:rPr>
          <w:spacing w:val="-3"/>
          <w:w w:val="100"/>
        </w:rPr>
        <w:t>本公司将所取得的用于购建或以其他方式形成长期资产的政府补助界定为与资产相关的政府补助；其余政府补助界定为</w:t>
      </w:r>
      <w:r>
        <w:rPr>
          <w:w w:val="100"/>
        </w:rPr>
        <w:t> </w:t>
      </w:r>
      <w:r>
        <w:rPr>
          <w:spacing w:val="-3"/>
        </w:rPr>
        <w:t>与收益相关的政府补助。若政府文件未明确规定补助对象，则采用以下方式将补助款划分为与收益相关的政府补助和与资产</w:t>
      </w:r>
      <w:r>
        <w:rPr>
          <w:spacing w:val="-51"/>
        </w:rPr>
        <w:t> </w:t>
      </w:r>
      <w:r>
        <w:rPr>
          <w:spacing w:val="-51"/>
        </w:rPr>
      </w:r>
      <w:r>
        <w:rPr>
          <w:spacing w:val="-1"/>
        </w:rPr>
        <w:t>相关的政府补助：</w:t>
      </w:r>
      <w:r>
        <w:rPr>
          <w:rFonts w:ascii="Times New Roman" w:hAnsi="Times New Roman" w:cs="Times New Roman" w:eastAsia="Times New Roman" w:hint="default"/>
          <w:spacing w:val="-1"/>
        </w:rPr>
        <w:t>1</w:t>
      </w:r>
      <w:r>
        <w:rPr>
          <w:spacing w:val="-1"/>
        </w:rPr>
        <w:t>）政府文件明确了补助所针对的特定项目的，根据该特定项目的预算中将形成资产的支出金额和计入费</w:t>
      </w:r>
      <w:r>
        <w:rPr>
          <w:spacing w:val="-75"/>
        </w:rPr>
        <w:t> </w:t>
      </w:r>
      <w:r>
        <w:rPr>
          <w:spacing w:val="-75"/>
        </w:rPr>
      </w:r>
      <w:r>
        <w:rPr>
          <w:spacing w:val="-1"/>
        </w:rPr>
        <w:t>用的支出金额的相对比例进行划分，对该划分比例需在每个资产负债表日进行复核，必要时进行变更；</w:t>
      </w:r>
      <w:r>
        <w:rPr>
          <w:rFonts w:ascii="Times New Roman" w:hAnsi="Times New Roman" w:cs="Times New Roman" w:eastAsia="Times New Roman" w:hint="default"/>
          <w:spacing w:val="-1"/>
        </w:rPr>
        <w:t>2</w:t>
      </w:r>
      <w:r>
        <w:rPr>
          <w:spacing w:val="-1"/>
        </w:rPr>
        <w:t>）政府文件中对用</w:t>
      </w:r>
      <w:r>
        <w:rPr>
          <w:spacing w:val="-76"/>
        </w:rPr>
        <w:t> </w:t>
      </w:r>
      <w:r>
        <w:rPr>
          <w:spacing w:val="-76"/>
        </w:rPr>
      </w:r>
      <w:r>
        <w:rPr/>
        <w:t>途仅作一般性表述，没有指明特定项目的，作为与收益相关的政府补助。</w:t>
      </w:r>
    </w:p>
    <w:p>
      <w:pPr>
        <w:pStyle w:val="BodyText"/>
        <w:spacing w:line="240" w:lineRule="auto" w:before="122"/>
        <w:ind w:left="512" w:right="0"/>
        <w:jc w:val="left"/>
      </w:pPr>
      <w:r>
        <w:rPr>
          <w:spacing w:val="-3"/>
        </w:rPr>
        <w:t>与收益相关的政府补助，用于补偿以后期间的相关费用和损失的，确认为递延收益，并在确认相关费用的期间计入当期</w:t>
      </w:r>
    </w:p>
    <w:p>
      <w:pPr>
        <w:spacing w:after="0" w:line="240" w:lineRule="auto"/>
        <w:jc w:val="left"/>
        <w:sectPr>
          <w:footerReference w:type="default" r:id="rId28"/>
          <w:pgSz w:w="11910" w:h="16840"/>
          <w:pgMar w:footer="981" w:header="745" w:top="1060" w:bottom="1180" w:left="980" w:right="980"/>
          <w:pgNumType w:start="100"/>
        </w:sectPr>
      </w:pPr>
    </w:p>
    <w:p>
      <w:pPr>
        <w:spacing w:line="240" w:lineRule="auto" w:before="9"/>
        <w:rPr>
          <w:rFonts w:ascii="宋体" w:hAnsi="宋体" w:cs="宋体" w:eastAsia="宋体" w:hint="default"/>
          <w:sz w:val="25"/>
          <w:szCs w:val="25"/>
        </w:rPr>
      </w:pPr>
    </w:p>
    <w:p>
      <w:pPr>
        <w:pStyle w:val="BodyText"/>
        <w:spacing w:line="240" w:lineRule="auto" w:before="44"/>
        <w:ind w:right="93"/>
        <w:jc w:val="left"/>
      </w:pPr>
      <w:r>
        <w:rPr/>
        <w:t>损益；用于补偿已经发生的相关费用和损失的，直接计入当期损益。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bookmarkStart w:name="26、递延所得税资产/递延所得税负债 " w:id="193"/>
      <w:bookmarkEnd w:id="193"/>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2" w:right="93"/>
        <w:jc w:val="left"/>
      </w:pPr>
      <w:r>
        <w:rPr/>
        <w:t>所得税费用包括当期所得税和递延所得税。</w:t>
      </w:r>
    </w:p>
    <w:p>
      <w:pPr>
        <w:pStyle w:val="BodyText"/>
        <w:spacing w:line="410" w:lineRule="atLeast" w:before="16"/>
        <w:ind w:left="512" w:right="93" w:hanging="73"/>
        <w:jc w:val="left"/>
      </w:pPr>
      <w:r>
        <w:rPr/>
        <w:t>（</w:t>
      </w:r>
      <w:r>
        <w:rPr>
          <w:rFonts w:ascii="Times New Roman" w:hAnsi="Times New Roman" w:cs="Times New Roman" w:eastAsia="Times New Roman" w:hint="default"/>
        </w:rPr>
        <w:t>1</w:t>
      </w:r>
      <w:r>
        <w:rPr/>
        <w:t>）当期所得税</w:t>
      </w:r>
      <w:r>
        <w:rPr>
          <w:w w:val="100"/>
        </w:rPr>
        <w:t> </w:t>
      </w:r>
      <w:r>
        <w:rPr>
          <w:spacing w:val="-1"/>
        </w:rPr>
        <w:t>资产负债表日，对于当期和以前期间形成的当期所得税负债</w:t>
      </w:r>
      <w:r>
        <w:rPr>
          <w:rFonts w:ascii="Times New Roman" w:hAnsi="Times New Roman" w:cs="Times New Roman" w:eastAsia="Times New Roman" w:hint="default"/>
          <w:spacing w:val="-1"/>
        </w:rPr>
        <w:t>(</w:t>
      </w:r>
      <w:r>
        <w:rPr>
          <w:spacing w:val="-1"/>
        </w:rPr>
        <w:t>或资产</w:t>
      </w:r>
      <w:r>
        <w:rPr>
          <w:rFonts w:ascii="Times New Roman" w:hAnsi="Times New Roman" w:cs="Times New Roman" w:eastAsia="Times New Roman" w:hint="default"/>
          <w:spacing w:val="-1"/>
        </w:rPr>
        <w:t>)</w:t>
      </w:r>
      <w:r>
        <w:rPr>
          <w:spacing w:val="-1"/>
        </w:rPr>
        <w:t>，以按照税法规定计算的预期应交纳</w:t>
      </w:r>
      <w:r>
        <w:rPr>
          <w:rFonts w:ascii="Times New Roman" w:hAnsi="Times New Roman" w:cs="Times New Roman" w:eastAsia="Times New Roman" w:hint="default"/>
          <w:spacing w:val="-1"/>
        </w:rPr>
        <w:t>(</w:t>
      </w:r>
      <w:r>
        <w:rPr>
          <w:spacing w:val="-1"/>
        </w:rPr>
        <w:t>或返还</w:t>
      </w:r>
      <w:r>
        <w:rPr>
          <w:rFonts w:ascii="Times New Roman" w:hAnsi="Times New Roman" w:cs="Times New Roman" w:eastAsia="Times New Roman" w:hint="default"/>
          <w:spacing w:val="-1"/>
        </w:rPr>
        <w:t>)</w:t>
      </w:r>
      <w:r>
        <w:rPr>
          <w:spacing w:val="-1"/>
        </w:rPr>
        <w:t>的所</w:t>
      </w:r>
    </w:p>
    <w:p>
      <w:pPr>
        <w:pStyle w:val="BodyText"/>
        <w:spacing w:line="240" w:lineRule="auto" w:before="62"/>
        <w:ind w:right="93"/>
        <w:jc w:val="left"/>
      </w:pPr>
      <w:r>
        <w:rPr/>
        <w:t>得税金额计量。</w:t>
      </w:r>
    </w:p>
    <w:p>
      <w:pPr>
        <w:spacing w:line="240" w:lineRule="auto" w:before="5"/>
        <w:rPr>
          <w:rFonts w:ascii="宋体" w:hAnsi="宋体" w:cs="宋体" w:eastAsia="宋体" w:hint="default"/>
          <w:sz w:val="13"/>
          <w:szCs w:val="13"/>
        </w:rPr>
      </w:pPr>
    </w:p>
    <w:p>
      <w:pPr>
        <w:pStyle w:val="BodyText"/>
        <w:spacing w:line="398" w:lineRule="auto"/>
        <w:ind w:left="512" w:right="93" w:hanging="73"/>
        <w:jc w:val="left"/>
      </w:pPr>
      <w:r>
        <w:rPr/>
        <w:t>（</w:t>
      </w:r>
      <w:r>
        <w:rPr>
          <w:rFonts w:ascii="Times New Roman" w:hAnsi="Times New Roman" w:cs="Times New Roman" w:eastAsia="Times New Roman" w:hint="default"/>
        </w:rPr>
        <w:t>2</w:t>
      </w:r>
      <w:r>
        <w:rPr/>
        <w:t>）递延所得税资产及递延所得税负债</w:t>
      </w:r>
      <w:r>
        <w:rPr>
          <w:w w:val="100"/>
        </w:rPr>
        <w:t> </w:t>
      </w:r>
      <w:r>
        <w:rPr>
          <w:spacing w:val="-3"/>
        </w:rPr>
        <w:t>对于某些资产、负债项目的账面价值与其计税基础之间的差额，以及未作为资产和负债确认但按照税法规定可以确定其</w:t>
      </w:r>
    </w:p>
    <w:p>
      <w:pPr>
        <w:pStyle w:val="BodyText"/>
        <w:spacing w:line="193" w:lineRule="exact"/>
        <w:ind w:right="93"/>
        <w:jc w:val="left"/>
      </w:pPr>
      <w:r>
        <w:rPr>
          <w:spacing w:val="-1"/>
          <w:w w:val="100"/>
        </w:rPr>
        <w:t>计税基础的项目的账面价值与计税</w:t>
      </w:r>
      <w:r>
        <w:rPr>
          <w:spacing w:val="-2"/>
          <w:w w:val="100"/>
        </w:rPr>
        <w:t>基</w:t>
      </w:r>
      <w:r>
        <w:rPr>
          <w:spacing w:val="-1"/>
          <w:w w:val="100"/>
        </w:rPr>
        <w:t>础之间的差额产生的暂时性差</w:t>
      </w:r>
      <w:r>
        <w:rPr>
          <w:spacing w:val="-2"/>
          <w:w w:val="100"/>
        </w:rPr>
        <w:t>异</w:t>
      </w:r>
      <w:r>
        <w:rPr>
          <w:spacing w:val="-82"/>
          <w:w w:val="100"/>
        </w:rPr>
        <w:t>，</w:t>
      </w:r>
      <w:r>
        <w:rPr>
          <w:spacing w:val="-1"/>
          <w:w w:val="100"/>
        </w:rPr>
        <w:t>采用资产负债表债务法确认递延所得税资产及递延</w:t>
      </w:r>
      <w:r>
        <w:rPr>
          <w:w w:val="100"/>
        </w:rPr>
        <w:t>所</w:t>
      </w:r>
    </w:p>
    <w:p>
      <w:pPr>
        <w:pStyle w:val="BodyText"/>
        <w:spacing w:line="240" w:lineRule="auto" w:before="76"/>
        <w:ind w:right="93"/>
        <w:jc w:val="left"/>
      </w:pPr>
      <w:r>
        <w:rPr/>
        <w:t>得税负债。</w:t>
      </w:r>
    </w:p>
    <w:p>
      <w:pPr>
        <w:spacing w:line="240" w:lineRule="auto" w:before="7"/>
        <w:rPr>
          <w:rFonts w:ascii="宋体" w:hAnsi="宋体" w:cs="宋体" w:eastAsia="宋体" w:hint="default"/>
          <w:sz w:val="13"/>
          <w:szCs w:val="13"/>
        </w:rPr>
      </w:pPr>
    </w:p>
    <w:p>
      <w:pPr>
        <w:pStyle w:val="BodyText"/>
        <w:spacing w:line="312" w:lineRule="auto"/>
        <w:ind w:right="93" w:firstLine="359"/>
        <w:jc w:val="left"/>
      </w:pPr>
      <w:r>
        <w:rPr>
          <w:spacing w:val="-3"/>
        </w:rPr>
        <w:t>一般情况下所有暂时性差异均确认相关的递延所得税。但对于可抵扣暂时性差异，本公司以很可能取得用来抵扣可抵扣</w:t>
      </w:r>
      <w:r>
        <w:rPr>
          <w:w w:val="100"/>
        </w:rPr>
        <w:t> </w:t>
      </w:r>
      <w:r>
        <w:rPr>
          <w:spacing w:val="-1"/>
        </w:rPr>
        <w:t>暂时性差异的应纳税所得额为限，确认相关的递延所得税资产。此外，与商誉的初始确认相关的，以及与既不是企业合并、</w:t>
      </w:r>
      <w:r>
        <w:rPr>
          <w:spacing w:val="-78"/>
        </w:rPr>
        <w:t> </w:t>
      </w:r>
      <w:r>
        <w:rPr>
          <w:spacing w:val="-78"/>
        </w:rPr>
      </w:r>
      <w:r>
        <w:rPr/>
        <w:t>发生时也不影响会计利润和应纳税所得额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的交易中产生的资产或负债的初始确认有关的暂时性差异，不予确</w:t>
      </w:r>
      <w:r>
        <w:rPr>
          <w:w w:val="100"/>
        </w:rPr>
        <w:t> </w:t>
      </w:r>
      <w:r>
        <w:rPr/>
        <w:t>认有关的递延所得税资产或负债。</w:t>
      </w:r>
    </w:p>
    <w:p>
      <w:pPr>
        <w:pStyle w:val="BodyText"/>
        <w:spacing w:line="316" w:lineRule="auto" w:before="121"/>
        <w:ind w:right="191" w:firstLine="359"/>
        <w:jc w:val="both"/>
      </w:pPr>
      <w:r>
        <w:rPr>
          <w:spacing w:val="-3"/>
          <w:w w:val="100"/>
        </w:rPr>
        <w:t>对于能够结转以后年度的可抵扣亏损及税款抵减，以很可能获得用来抵扣可抵扣亏损和税款抵减的未来应纳税所得额为</w:t>
      </w:r>
      <w:r>
        <w:rPr>
          <w:w w:val="100"/>
        </w:rPr>
        <w:t> </w:t>
      </w:r>
      <w:r>
        <w:rPr/>
        <w:t>限，确认相应的递延所得税资产。</w:t>
      </w:r>
    </w:p>
    <w:p>
      <w:pPr>
        <w:pStyle w:val="BodyText"/>
        <w:spacing w:line="316" w:lineRule="auto" w:before="119"/>
        <w:ind w:right="189" w:firstLine="359"/>
        <w:jc w:val="both"/>
      </w:pPr>
      <w:r>
        <w:rPr>
          <w:spacing w:val="-3"/>
        </w:rPr>
        <w:t>本公司确认与子公司、联营企业及合营企业投资相关的应纳税暂时性差异产生的递延所得税负债，除非本公司能够控制</w:t>
      </w:r>
      <w:r>
        <w:rPr>
          <w:w w:val="100"/>
        </w:rPr>
        <w:t> </w:t>
      </w:r>
      <w:r>
        <w:rPr>
          <w:spacing w:val="-3"/>
        </w:rPr>
        <w:t>暂时性差异转回的时间，而且该暂时性差异在可预见的未来很可能不会转回。对于与子公司、联营企业及合营企业投资相关</w:t>
      </w:r>
      <w:r>
        <w:rPr>
          <w:spacing w:val="-47"/>
        </w:rPr>
        <w:t> </w:t>
      </w:r>
      <w:r>
        <w:rPr>
          <w:spacing w:val="-47"/>
        </w:rPr>
      </w:r>
      <w:r>
        <w:rPr>
          <w:spacing w:val="-3"/>
        </w:rPr>
        <w:t>的可抵扣暂时性差异，只有当暂时性差异在可预见的未来很可能转回，且未来很可能获得用来抵扣可抵扣暂时性差异的应纳</w:t>
      </w:r>
      <w:r>
        <w:rPr>
          <w:spacing w:val="-50"/>
        </w:rPr>
        <w:t> </w:t>
      </w:r>
      <w:r>
        <w:rPr>
          <w:spacing w:val="-50"/>
        </w:rPr>
      </w:r>
      <w:r>
        <w:rPr/>
        <w:t>税所得额时，本公司才确认递延所得税资产。</w:t>
      </w:r>
    </w:p>
    <w:p>
      <w:pPr>
        <w:pStyle w:val="BodyText"/>
        <w:spacing w:line="316" w:lineRule="auto" w:before="119"/>
        <w:ind w:right="189" w:firstLine="359"/>
        <w:jc w:val="both"/>
      </w:pPr>
      <w:r>
        <w:rPr>
          <w:spacing w:val="-3"/>
        </w:rPr>
        <w:t>资产负债表日，对于递延所得税资产和递延所得税负债，根据税法规定，按照预期收回相关资产或清偿相关负债期间的</w:t>
      </w:r>
      <w:r>
        <w:rPr>
          <w:w w:val="100"/>
        </w:rPr>
        <w:t> </w:t>
      </w:r>
      <w:r>
        <w:rPr/>
        <w:t>适用税率计量。</w:t>
      </w:r>
    </w:p>
    <w:p>
      <w:pPr>
        <w:pStyle w:val="BodyText"/>
        <w:spacing w:line="300" w:lineRule="auto" w:before="117"/>
        <w:ind w:right="238" w:firstLine="359"/>
        <w:jc w:val="both"/>
      </w:pPr>
      <w:r>
        <w:rPr>
          <w:spacing w:val="-1"/>
        </w:rPr>
        <w:t>除与直接计入其他综合收益或股东权益</w:t>
      </w:r>
      <w:r>
        <w:rPr>
          <w:rFonts w:ascii="Times New Roman" w:hAnsi="Times New Roman" w:cs="Times New Roman" w:eastAsia="Times New Roman" w:hint="default"/>
          <w:spacing w:val="-1"/>
        </w:rPr>
        <w:t>/</w:t>
      </w:r>
      <w:r>
        <w:rPr>
          <w:spacing w:val="-1"/>
        </w:rPr>
        <w:t>所有者权益的交易和事项相关的当期所得税和递延所得税计入其他综合收益或</w:t>
      </w:r>
      <w:r>
        <w:rPr>
          <w:w w:val="100"/>
        </w:rPr>
        <w:t> </w:t>
      </w:r>
      <w:r>
        <w:rPr>
          <w:spacing w:val="-1"/>
        </w:rPr>
        <w:t>股东权益</w:t>
      </w:r>
      <w:r>
        <w:rPr>
          <w:rFonts w:ascii="Times New Roman" w:hAnsi="Times New Roman" w:cs="Times New Roman" w:eastAsia="Times New Roman" w:hint="default"/>
          <w:spacing w:val="-1"/>
        </w:rPr>
        <w:t>/</w:t>
      </w:r>
      <w:r>
        <w:rPr>
          <w:spacing w:val="-1"/>
        </w:rPr>
        <w:t>所有者权益，以及企业合并产生的递延所得税调整商誉的账面价值外，其余当期所得税和递延所得税费用或收益</w:t>
      </w:r>
      <w:r>
        <w:rPr>
          <w:spacing w:val="-77"/>
        </w:rPr>
        <w:t> </w:t>
      </w:r>
      <w:r>
        <w:rPr>
          <w:spacing w:val="-77"/>
        </w:rPr>
      </w:r>
      <w:r>
        <w:rPr/>
        <w:t>计入当期损益。</w:t>
      </w:r>
    </w:p>
    <w:p>
      <w:pPr>
        <w:pStyle w:val="BodyText"/>
        <w:spacing w:line="316" w:lineRule="auto" w:before="132"/>
        <w:ind w:right="190" w:firstLine="359"/>
        <w:jc w:val="both"/>
      </w:pPr>
      <w:r>
        <w:rPr>
          <w:spacing w:val="-3"/>
        </w:rPr>
        <w:t>资产负债表日，对递延所得税资产的账面价值进行复核，如果未来很可能无法获得足够的应纳税所得额用以抵扣递延所</w:t>
      </w:r>
      <w:r>
        <w:rPr>
          <w:w w:val="100"/>
        </w:rPr>
        <w:t> </w:t>
      </w:r>
      <w:r>
        <w:rPr/>
        <w:t>得税资产的利益，则减记递延所得税资产的账面价值。在很可能获得足够的应纳税所得额时，减记的金额予以转回。</w:t>
      </w:r>
    </w:p>
    <w:p>
      <w:pPr>
        <w:pStyle w:val="BodyText"/>
        <w:spacing w:line="396" w:lineRule="auto" w:before="119"/>
        <w:ind w:left="512" w:right="93"/>
        <w:jc w:val="left"/>
      </w:pPr>
      <w:r>
        <w:rPr/>
        <w:t>（</w:t>
      </w:r>
      <w:r>
        <w:rPr>
          <w:rFonts w:ascii="Times New Roman" w:hAnsi="Times New Roman" w:cs="Times New Roman" w:eastAsia="Times New Roman" w:hint="default"/>
        </w:rPr>
        <w:t>3</w:t>
      </w:r>
      <w:r>
        <w:rPr/>
        <w:t>）所得税的抵销</w:t>
      </w:r>
      <w:r>
        <w:rPr>
          <w:w w:val="100"/>
        </w:rPr>
        <w:t> </w:t>
      </w:r>
      <w:r>
        <w:rPr>
          <w:spacing w:val="-3"/>
        </w:rPr>
        <w:t>当本公司拥有以净额结算的法定权利，且意图以净额结算或取得资产、清偿负债同时进行时，本公司当期所得税资产及</w:t>
      </w:r>
    </w:p>
    <w:p>
      <w:pPr>
        <w:pStyle w:val="BodyText"/>
        <w:spacing w:line="195" w:lineRule="exact"/>
        <w:ind w:right="93"/>
        <w:jc w:val="left"/>
      </w:pPr>
      <w:r>
        <w:rPr/>
        <w:t>当期所得税负债以抵销后的净额列报。</w:t>
      </w:r>
    </w:p>
    <w:p>
      <w:pPr>
        <w:spacing w:line="240" w:lineRule="auto" w:before="7"/>
        <w:rPr>
          <w:rFonts w:ascii="宋体" w:hAnsi="宋体" w:cs="宋体" w:eastAsia="宋体" w:hint="default"/>
          <w:sz w:val="13"/>
          <w:szCs w:val="13"/>
        </w:rPr>
      </w:pPr>
    </w:p>
    <w:p>
      <w:pPr>
        <w:pStyle w:val="BodyText"/>
        <w:spacing w:line="316" w:lineRule="auto"/>
        <w:ind w:right="191" w:firstLine="359"/>
        <w:jc w:val="both"/>
      </w:pPr>
      <w:r>
        <w:rPr>
          <w:spacing w:val="-3"/>
          <w:w w:val="100"/>
        </w:rPr>
        <w:t>当拥有以净额结算当期所得税资产及当期所得税负债的法定权利，且递延所得税资产及递延所得税负债是与同一税收征</w:t>
      </w:r>
      <w:r>
        <w:rPr>
          <w:w w:val="100"/>
        </w:rPr>
        <w:t> </w:t>
      </w:r>
      <w:r>
        <w:rPr>
          <w:spacing w:val="-3"/>
          <w:w w:val="100"/>
        </w:rPr>
        <w:t>管部门对同一纳税主体征收的所得税相关或者是对不同的纳税主体相关，但在未来每一具有重要性的递延所得税资产及负债</w:t>
      </w:r>
      <w:r>
        <w:rPr>
          <w:spacing w:val="-64"/>
          <w:w w:val="100"/>
        </w:rPr>
        <w:t> </w:t>
      </w:r>
      <w:r>
        <w:rPr>
          <w:spacing w:val="-64"/>
          <w:w w:val="100"/>
        </w:rPr>
      </w:r>
      <w:r>
        <w:rPr>
          <w:spacing w:val="-3"/>
        </w:rPr>
        <w:t>转回的期间内，涉及的纳税主体意图以净额结算当期所得税资产和负债或是同时取得资产、清偿负债时，本公司递延所得税</w:t>
      </w:r>
      <w:r>
        <w:rPr>
          <w:spacing w:val="-50"/>
        </w:rPr>
        <w:t> </w:t>
      </w:r>
      <w:r>
        <w:rPr>
          <w:spacing w:val="-50"/>
        </w:rPr>
      </w:r>
      <w:r>
        <w:rPr/>
        <w:t>资产及递延所得税负债以抵销后的净额列报。</w:t>
      </w:r>
    </w:p>
    <w:p>
      <w:pPr>
        <w:spacing w:after="0" w:line="316" w:lineRule="auto"/>
        <w:jc w:val="both"/>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bookmarkStart w:name="27、租赁 " w:id="194"/>
      <w:bookmarkEnd w:id="194"/>
      <w:r>
        <w:rPr>
          <w:b w:val="0"/>
          <w:bCs w:val="0"/>
        </w:rPr>
      </w: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bookmarkStart w:name="（1）经营租赁的会计处理方法 " w:id="195"/>
      <w:bookmarkEnd w:id="19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98" w:lineRule="auto"/>
        <w:ind w:left="512" w:right="93" w:hanging="73"/>
        <w:jc w:val="left"/>
      </w:pPr>
      <w:r>
        <w:rPr>
          <w:rFonts w:ascii="Times New Roman" w:hAnsi="Times New Roman" w:cs="Times New Roman" w:eastAsia="Times New Roman" w:hint="default"/>
        </w:rPr>
        <w:t>1</w:t>
      </w:r>
      <w:r>
        <w:rPr/>
        <w:t>）本公司作为承租人记录经营租赁业务</w:t>
      </w:r>
      <w:r>
        <w:rPr>
          <w:w w:val="100"/>
        </w:rPr>
        <w:t> </w:t>
      </w:r>
      <w:r>
        <w:rPr>
          <w:spacing w:val="-3"/>
        </w:rPr>
        <w:t>经营租赁的租金支出在租赁期内的各个期间按直线法计入相关资产成本或当期损益。初始直接费用计入当期损益。或有</w:t>
      </w:r>
    </w:p>
    <w:p>
      <w:pPr>
        <w:pStyle w:val="BodyText"/>
        <w:spacing w:line="193" w:lineRule="exact"/>
        <w:ind w:right="93"/>
        <w:jc w:val="left"/>
      </w:pPr>
      <w:r>
        <w:rPr/>
        <w:t>租金于实际发生时计入当期损益。</w:t>
      </w:r>
    </w:p>
    <w:p>
      <w:pPr>
        <w:spacing w:line="240" w:lineRule="auto" w:before="5"/>
        <w:rPr>
          <w:rFonts w:ascii="宋体" w:hAnsi="宋体" w:cs="宋体" w:eastAsia="宋体" w:hint="default"/>
          <w:sz w:val="13"/>
          <w:szCs w:val="13"/>
        </w:rPr>
      </w:pPr>
    </w:p>
    <w:p>
      <w:pPr>
        <w:pStyle w:val="BodyText"/>
        <w:spacing w:line="398" w:lineRule="auto"/>
        <w:ind w:left="512" w:right="93" w:hanging="73"/>
        <w:jc w:val="left"/>
      </w:pPr>
      <w:r>
        <w:rPr>
          <w:rFonts w:ascii="Times New Roman" w:hAnsi="Times New Roman" w:cs="Times New Roman" w:eastAsia="Times New Roman" w:hint="default"/>
        </w:rPr>
        <w:t>2</w:t>
      </w:r>
      <w:r>
        <w:rPr/>
        <w:t>）本公司作为出租人记录经营租赁业务</w:t>
      </w:r>
      <w:r>
        <w:rPr>
          <w:w w:val="100"/>
        </w:rPr>
        <w:t> </w:t>
      </w:r>
      <w:r>
        <w:rPr>
          <w:spacing w:val="-1"/>
        </w:rPr>
        <w:t>经营租赁的租金收入在租赁期内的各个期间按直线法确认为当期损益。对金额较大的初始直接费用于发生时予以资本</w:t>
      </w:r>
    </w:p>
    <w:p>
      <w:pPr>
        <w:pStyle w:val="BodyText"/>
        <w:spacing w:line="193" w:lineRule="exact"/>
        <w:ind w:right="93"/>
        <w:jc w:val="left"/>
      </w:pPr>
      <w:r>
        <w:rPr>
          <w:spacing w:val="-3"/>
        </w:rPr>
        <w:t>化，在整个租赁期间内按照与确认租金收入相同的基础分期计入当期损益；其他金额较小的初始直接费用于发生时计入当期</w:t>
      </w:r>
    </w:p>
    <w:p>
      <w:pPr>
        <w:pStyle w:val="BodyText"/>
        <w:spacing w:line="240" w:lineRule="auto" w:before="76"/>
        <w:ind w:right="93"/>
        <w:jc w:val="left"/>
      </w:pPr>
      <w:r>
        <w:rPr/>
        <w:t>损益。或有租金于实际发生时计入当期损益。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2"/>
          <w:szCs w:val="22"/>
        </w:rPr>
      </w:pPr>
    </w:p>
    <w:p>
      <w:pPr>
        <w:pStyle w:val="Heading3"/>
        <w:spacing w:line="240" w:lineRule="auto"/>
        <w:ind w:right="93"/>
        <w:jc w:val="left"/>
        <w:rPr>
          <w:b w:val="0"/>
          <w:bCs w:val="0"/>
        </w:rPr>
      </w:pPr>
      <w:bookmarkStart w:name="（2）融资租赁的会计处理方法 " w:id="196"/>
      <w:bookmarkEnd w:id="19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98" w:lineRule="auto"/>
        <w:ind w:left="512" w:right="93" w:hanging="73"/>
        <w:jc w:val="left"/>
      </w:pPr>
      <w:r>
        <w:rPr>
          <w:rFonts w:ascii="Times New Roman" w:hAnsi="Times New Roman" w:cs="Times New Roman" w:eastAsia="Times New Roman" w:hint="default"/>
        </w:rPr>
        <w:t>1</w:t>
      </w:r>
      <w:r>
        <w:rPr/>
        <w:t>）本公司作为承租人记录融资租赁业务</w:t>
      </w:r>
      <w:r>
        <w:rPr>
          <w:w w:val="100"/>
        </w:rPr>
        <w:t> </w:t>
      </w:r>
      <w:r>
        <w:rPr>
          <w:spacing w:val="-3"/>
        </w:rPr>
        <w:t>于租赁期开始日，将租赁开始日租赁资产的公允价值与最低租赁付款额现值两者中较低者作为租入资产的入账价值，将</w:t>
      </w:r>
    </w:p>
    <w:p>
      <w:pPr>
        <w:pStyle w:val="BodyText"/>
        <w:spacing w:line="193" w:lineRule="exact"/>
        <w:ind w:right="93"/>
        <w:jc w:val="left"/>
      </w:pPr>
      <w:r>
        <w:rPr>
          <w:spacing w:val="-5"/>
        </w:rPr>
        <w:t>最低租赁付款额作为长期应付款的入账价值，其差额作为未确认融资费用。此外，在租赁谈判和签订租赁合同过程中发生的，</w:t>
      </w:r>
    </w:p>
    <w:p>
      <w:pPr>
        <w:pStyle w:val="BodyText"/>
        <w:spacing w:line="240" w:lineRule="auto" w:before="76"/>
        <w:ind w:right="93"/>
        <w:jc w:val="left"/>
      </w:pPr>
      <w:r>
        <w:rPr/>
        <w:t>可归属于租赁项目的初始直接费用也计入租入资产价值。</w:t>
      </w:r>
    </w:p>
    <w:p>
      <w:pPr>
        <w:spacing w:line="240" w:lineRule="auto" w:before="7"/>
        <w:rPr>
          <w:rFonts w:ascii="宋体" w:hAnsi="宋体" w:cs="宋体" w:eastAsia="宋体" w:hint="default"/>
          <w:sz w:val="13"/>
          <w:szCs w:val="13"/>
        </w:rPr>
      </w:pPr>
    </w:p>
    <w:p>
      <w:pPr>
        <w:pStyle w:val="BodyText"/>
        <w:spacing w:line="316" w:lineRule="auto"/>
        <w:ind w:right="93" w:firstLine="359"/>
        <w:jc w:val="left"/>
      </w:pPr>
      <w:r>
        <w:rPr>
          <w:spacing w:val="-3"/>
        </w:rPr>
        <w:t>未确认融资费用在租赁期内采用实际利率法计算确认当期的融资费用。或有租金于实际发生时计入当期损益。最低租赁</w:t>
      </w:r>
      <w:r>
        <w:rPr>
          <w:w w:val="100"/>
        </w:rPr>
        <w:t> </w:t>
      </w:r>
      <w:r>
        <w:rPr/>
        <w:t>付款额扣除未确认融资费用后的余额分别作为长期负债和一年内到期的长期负债列示。</w:t>
      </w:r>
    </w:p>
    <w:p>
      <w:pPr>
        <w:pStyle w:val="BodyText"/>
        <w:spacing w:line="398" w:lineRule="auto" w:before="117"/>
        <w:ind w:left="512" w:right="93" w:hanging="73"/>
        <w:jc w:val="left"/>
      </w:pPr>
      <w:r>
        <w:rPr>
          <w:rFonts w:ascii="Times New Roman" w:hAnsi="Times New Roman" w:cs="Times New Roman" w:eastAsia="Times New Roman" w:hint="default"/>
        </w:rPr>
        <w:t>2</w:t>
      </w:r>
      <w:r>
        <w:rPr/>
        <w:t>）本公司作为出租人记录融资租赁业务</w:t>
      </w:r>
      <w:r>
        <w:rPr>
          <w:w w:val="100"/>
        </w:rPr>
        <w:t> </w:t>
      </w:r>
      <w:r>
        <w:rPr>
          <w:spacing w:val="-3"/>
        </w:rPr>
        <w:t>于租赁期开始日，将租赁开始日最低租赁收款额与初始直接费用之和作为应收融资租赁款的入账价值，同时记录未担保</w:t>
      </w:r>
    </w:p>
    <w:p>
      <w:pPr>
        <w:pStyle w:val="BodyText"/>
        <w:spacing w:line="193" w:lineRule="exact"/>
        <w:ind w:right="93"/>
        <w:jc w:val="left"/>
      </w:pPr>
      <w:r>
        <w:rPr/>
        <w:t>余值；将最低租赁收款额、初始直接费用及未担保余值之和与其现值之和的差额确认为未实现融资收益。</w:t>
      </w:r>
    </w:p>
    <w:p>
      <w:pPr>
        <w:spacing w:line="240" w:lineRule="auto" w:before="7"/>
        <w:rPr>
          <w:rFonts w:ascii="宋体" w:hAnsi="宋体" w:cs="宋体" w:eastAsia="宋体" w:hint="default"/>
          <w:sz w:val="13"/>
          <w:szCs w:val="13"/>
        </w:rPr>
      </w:pPr>
    </w:p>
    <w:p>
      <w:pPr>
        <w:pStyle w:val="BodyText"/>
        <w:spacing w:line="417" w:lineRule="auto"/>
        <w:ind w:left="512" w:right="93"/>
        <w:jc w:val="left"/>
      </w:pPr>
      <w:r>
        <w:rPr>
          <w:spacing w:val="-2"/>
        </w:rPr>
        <w:t>未实现融资收益在租赁期内采用实际利率法计算确认当期的融资收入。或有租金于实际发生时计入当期损益。</w:t>
      </w:r>
      <w:r>
        <w:rPr>
          <w:spacing w:val="-33"/>
        </w:rPr>
        <w:t> </w:t>
      </w:r>
      <w:r>
        <w:rPr>
          <w:spacing w:val="-33"/>
        </w:rPr>
      </w:r>
      <w:r>
        <w:rPr/>
        <w:t>应收融资租赁款扣除未实现融资收益后的余额分别作为长期债权和一年内到期的长期债权列示。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3"/>
        <w:spacing w:line="240" w:lineRule="auto"/>
        <w:ind w:right="93"/>
        <w:jc w:val="left"/>
        <w:rPr>
          <w:b w:val="0"/>
          <w:bCs w:val="0"/>
        </w:rPr>
      </w:pPr>
      <w:bookmarkStart w:name="28、其他重要的会计政策和会计估计 " w:id="197"/>
      <w:bookmarkEnd w:id="197"/>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3"/>
        <w:jc w:val="left"/>
      </w:pPr>
      <w:bookmarkStart w:name="29、重要会计政策和会计估计变更 " w:id="198"/>
      <w:bookmarkEnd w:id="198"/>
      <w:r>
        <w:rPr/>
      </w: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93"/>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bookmarkStart w:name="（1）重要会计政策变更 " w:id="199"/>
      <w:bookmarkEnd w:id="19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74"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5"/>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w:t>
            </w:r>
            <w:r>
              <w:rPr>
                <w:rFonts w:ascii="宋体" w:hAnsi="宋体" w:cs="宋体" w:eastAsia="宋体" w:hint="default"/>
                <w:w w:val="100"/>
                <w:sz w:val="18"/>
                <w:szCs w:val="18"/>
              </w:rPr>
              <w:t> </w:t>
            </w:r>
            <w:r>
              <w:rPr>
                <w:rFonts w:ascii="宋体" w:hAnsi="宋体" w:cs="宋体" w:eastAsia="宋体" w:hint="default"/>
                <w:sz w:val="18"/>
                <w:szCs w:val="18"/>
              </w:rPr>
              <w:t>变更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年初，财政部分别以财会</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日董事会通过</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40"/>
        </w:sectPr>
      </w:pPr>
    </w:p>
    <w:p>
      <w:pPr>
        <w:spacing w:line="240" w:lineRule="auto" w:before="6"/>
        <w:rPr>
          <w:rFonts w:ascii="宋体" w:hAnsi="宋体" w:cs="宋体" w:eastAsia="宋体" w:hint="default"/>
          <w:sz w:val="26"/>
          <w:szCs w:val="26"/>
        </w:rPr>
      </w:pPr>
    </w:p>
    <w:p>
      <w:pPr>
        <w:pStyle w:val="BodyText"/>
        <w:spacing w:line="240" w:lineRule="auto" w:before="44"/>
        <w:ind w:left="181" w:right="0"/>
        <w:jc w:val="left"/>
      </w:pPr>
      <w:r>
        <w:rPr/>
        <w:pict>
          <v:group style="position:absolute;margin-left:56.400002pt;margin-top:1.0747pt;width:478.95pt;height:315.5pt;mso-position-horizontal-relative:page;mso-position-vertical-relative:paragraph;z-index:-898024" coordorigin="1128,21" coordsize="9579,6310">
            <v:group style="position:absolute;left:4330;top:36;width:3178;height:6281" coordorigin="4330,36" coordsize="3178,6281">
              <v:shape style="position:absolute;left:4330;top:36;width:3178;height:6281" coordorigin="4330,36" coordsize="3178,6281" path="m4330,36l7507,36,7507,6317,4330,6317,4330,36xe" filled="true" fillcolor="#ffffff" stroked="false">
                <v:path arrowok="t"/>
                <v:fill type="solid"/>
              </v:shape>
            </v:group>
            <v:group style="position:absolute;left:1138;top:31;width:3183;height:2" coordorigin="1138,31" coordsize="3183,2">
              <v:shape style="position:absolute;left:1138;top:31;width:3183;height:2" coordorigin="1138,31" coordsize="3183,0" path="m1138,31l4320,31e" filled="false" stroked="true" strokeweight=".48pt" strokecolor="#000000">
                <v:path arrowok="t"/>
              </v:shape>
            </v:group>
            <v:group style="position:absolute;left:4330;top:31;width:3178;height:2" coordorigin="4330,31" coordsize="3178,2">
              <v:shape style="position:absolute;left:4330;top:31;width:3178;height:2" coordorigin="4330,31" coordsize="3178,0" path="m4330,31l7507,31e" filled="false" stroked="true" strokeweight=".48pt" strokecolor="#000000">
                <v:path arrowok="t"/>
              </v:shape>
            </v:group>
            <v:group style="position:absolute;left:7517;top:31;width:3180;height:2" coordorigin="7517,31" coordsize="3180,2">
              <v:shape style="position:absolute;left:7517;top:31;width:3180;height:2" coordorigin="7517,31" coordsize="3180,0" path="m7517,31l10697,31e" filled="false" stroked="true" strokeweight=".48pt" strokecolor="#000000">
                <v:path arrowok="t"/>
              </v:shape>
            </v:group>
            <v:group style="position:absolute;left:1133;top:26;width:2;height:6300" coordorigin="1133,26" coordsize="2,6300">
              <v:shape style="position:absolute;left:1133;top:26;width:2;height:6300" coordorigin="1133,26" coordsize="0,6300" path="m1133,26l1133,6326e" filled="false" stroked="true" strokeweight=".48pt" strokecolor="#000000">
                <v:path arrowok="t"/>
              </v:shape>
            </v:group>
            <v:group style="position:absolute;left:1138;top:6321;width:3183;height:2" coordorigin="1138,6321" coordsize="3183,2">
              <v:shape style="position:absolute;left:1138;top:6321;width:3183;height:2" coordorigin="1138,6321" coordsize="3183,0" path="m1138,6321l4320,6321e" filled="false" stroked="true" strokeweight=".48pt" strokecolor="#000000">
                <v:path arrowok="t"/>
              </v:shape>
            </v:group>
            <v:group style="position:absolute;left:4325;top:26;width:2;height:6300" coordorigin="4325,26" coordsize="2,6300">
              <v:shape style="position:absolute;left:4325;top:26;width:2;height:6300" coordorigin="4325,26" coordsize="0,6300" path="m4325,26l4325,6326e" filled="false" stroked="true" strokeweight=".48pt" strokecolor="#000000">
                <v:path arrowok="t"/>
              </v:shape>
            </v:group>
            <v:group style="position:absolute;left:4330;top:6321;width:3178;height:2" coordorigin="4330,6321" coordsize="3178,2">
              <v:shape style="position:absolute;left:4330;top:6321;width:3178;height:2" coordorigin="4330,6321" coordsize="3178,0" path="m4330,6321l7507,6321e" filled="false" stroked="true" strokeweight=".48pt" strokecolor="#000000">
                <v:path arrowok="t"/>
              </v:shape>
            </v:group>
            <v:group style="position:absolute;left:7512;top:26;width:2;height:6300" coordorigin="7512,26" coordsize="2,6300">
              <v:shape style="position:absolute;left:7512;top:26;width:2;height:6300" coordorigin="7512,26" coordsize="0,6300" path="m7512,26l7512,6326e" filled="false" stroked="true" strokeweight=".48pt" strokecolor="#000000">
                <v:path arrowok="t"/>
              </v:shape>
            </v:group>
            <v:group style="position:absolute;left:7517;top:6321;width:3180;height:2" coordorigin="7517,6321" coordsize="3180,2">
              <v:shape style="position:absolute;left:7517;top:6321;width:3180;height:2" coordorigin="7517,6321" coordsize="3180,0" path="m7517,6321l10697,6321e" filled="false" stroked="true" strokeweight=".48pt" strokecolor="#000000">
                <v:path arrowok="t"/>
              </v:shape>
            </v:group>
            <v:group style="position:absolute;left:10702;top:26;width:2;height:6300" coordorigin="10702,26" coordsize="2,6300">
              <v:shape style="position:absolute;left:10702;top:26;width:2;height:6300" coordorigin="10702,26" coordsize="0,6300" path="m10702,26l10702,6326e" filled="false" stroked="true" strokeweight=".48pt" strokecolor="#000000">
                <v:path arrowok="t"/>
              </v:shape>
            </v:group>
            <w10:wrap type="none"/>
          </v:group>
        </w:pict>
      </w:r>
      <w:r>
        <w:rPr>
          <w:rFonts w:ascii="Times New Roman" w:hAnsi="Times New Roman" w:cs="Times New Roman" w:eastAsia="Times New Roman" w:hint="default"/>
        </w:rPr>
        <w:t>[2014]6 </w:t>
      </w:r>
      <w:r>
        <w:rPr/>
        <w:t>号、</w:t>
      </w:r>
      <w:r>
        <w:rPr>
          <w:rFonts w:ascii="Times New Roman" w:hAnsi="Times New Roman" w:cs="Times New Roman" w:eastAsia="Times New Roman" w:hint="default"/>
        </w:rPr>
        <w:t>7 </w:t>
      </w:r>
      <w:r>
        <w:rPr/>
        <w:t>号、</w:t>
      </w:r>
      <w:r>
        <w:rPr>
          <w:rFonts w:ascii="Times New Roman" w:hAnsi="Times New Roman" w:cs="Times New Roman" w:eastAsia="Times New Roman" w:hint="default"/>
        </w:rPr>
        <w:t>8 </w:t>
      </w:r>
      <w:r>
        <w:rPr/>
        <w:t>号、</w:t>
      </w:r>
      <w:r>
        <w:rPr>
          <w:rFonts w:ascii="Times New Roman" w:hAnsi="Times New Roman" w:cs="Times New Roman" w:eastAsia="Times New Roman" w:hint="default"/>
        </w:rPr>
        <w:t>10 </w:t>
      </w:r>
      <w:r>
        <w:rPr>
          <w:spacing w:val="-3"/>
        </w:rPr>
        <w:t>号、</w:t>
      </w:r>
      <w:r>
        <w:rPr>
          <w:rFonts w:ascii="Times New Roman" w:hAnsi="Times New Roman" w:cs="Times New Roman" w:eastAsia="Times New Roman" w:hint="default"/>
          <w:spacing w:val="-3"/>
        </w:rPr>
        <w:t>11 </w:t>
      </w:r>
      <w:r>
        <w:rPr/>
        <w:t>号、</w:t>
      </w:r>
    </w:p>
    <w:p>
      <w:pPr>
        <w:pStyle w:val="BodyText"/>
        <w:spacing w:line="240" w:lineRule="auto" w:before="63"/>
        <w:ind w:left="181" w:right="0"/>
        <w:jc w:val="left"/>
      </w:pP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号及</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号发布了《企业会计准则第</w:t>
      </w:r>
    </w:p>
    <w:p>
      <w:pPr>
        <w:pStyle w:val="BodyText"/>
        <w:spacing w:line="300" w:lineRule="auto" w:before="62"/>
        <w:ind w:left="181" w:right="6622"/>
        <w:jc w:val="both"/>
      </w:pPr>
      <w:r>
        <w:rPr>
          <w:rFonts w:ascii="Times New Roman" w:hAnsi="Times New Roman" w:cs="Times New Roman" w:eastAsia="Times New Roman" w:hint="default"/>
          <w:w w:val="100"/>
        </w:rPr>
        <w:t>39 </w:t>
      </w:r>
      <w:r>
        <w:rPr>
          <w:spacing w:val="-12"/>
          <w:w w:val="100"/>
        </w:rPr>
        <w:t>号</w:t>
      </w:r>
      <w:r>
        <w:rPr>
          <w:rFonts w:ascii="Times New Roman" w:hAnsi="Times New Roman" w:cs="Times New Roman" w:eastAsia="Times New Roman" w:hint="default"/>
          <w:spacing w:val="-12"/>
          <w:w w:val="100"/>
        </w:rPr>
        <w:t>——</w:t>
      </w:r>
      <w:r>
        <w:rPr>
          <w:spacing w:val="-12"/>
          <w:w w:val="100"/>
        </w:rPr>
        <w:t>公允价值计量》、《企业会计准</w:t>
      </w:r>
      <w:r>
        <w:rPr>
          <w:spacing w:val="-83"/>
          <w:w w:val="100"/>
        </w:rPr>
        <w:t> </w:t>
      </w:r>
      <w:r>
        <w:rPr>
          <w:spacing w:val="-83"/>
          <w:w w:val="100"/>
        </w:rPr>
      </w:r>
      <w:r>
        <w:rPr/>
        <w:t>则第</w:t>
      </w:r>
      <w:r>
        <w:rPr>
          <w:spacing w:val="-41"/>
        </w:rPr>
        <w:t>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spacing w:val="-6"/>
        </w:rPr>
        <w:t>号</w:t>
      </w:r>
      <w:r>
        <w:rPr>
          <w:rFonts w:ascii="Times New Roman" w:hAnsi="Times New Roman" w:cs="Times New Roman" w:eastAsia="Times New Roman" w:hint="default"/>
          <w:spacing w:val="-6"/>
        </w:rPr>
        <w:t>——</w:t>
      </w:r>
      <w:r>
        <w:rPr>
          <w:spacing w:val="-6"/>
        </w:rPr>
        <w:t>财务报表列报（</w:t>
      </w:r>
      <w:r>
        <w:rPr>
          <w:rFonts w:ascii="Times New Roman" w:hAnsi="Times New Roman" w:cs="Times New Roman" w:eastAsia="Times New Roman" w:hint="default"/>
          <w:spacing w:val="-6"/>
        </w:rPr>
        <w:t>2014</w:t>
      </w:r>
      <w:r>
        <w:rPr>
          <w:rFonts w:ascii="Times New Roman" w:hAnsi="Times New Roman" w:cs="Times New Roman" w:eastAsia="Times New Roman" w:hint="default"/>
          <w:spacing w:val="5"/>
        </w:rPr>
        <w:t> </w:t>
      </w:r>
      <w:r>
        <w:rPr/>
        <w:t>年修</w:t>
      </w:r>
      <w:r>
        <w:rPr>
          <w:w w:val="100"/>
        </w:rPr>
        <w:t> </w:t>
      </w:r>
      <w:r>
        <w:rPr>
          <w:spacing w:val="-25"/>
          <w:w w:val="100"/>
        </w:rPr>
        <w:t>订）》、《企业会计准则第</w:t>
      </w:r>
      <w:r>
        <w:rPr>
          <w:spacing w:val="-43"/>
          <w:w w:val="100"/>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4"/>
          <w:w w:val="100"/>
        </w:rPr>
        <w:t> </w:t>
      </w:r>
      <w:r>
        <w:rPr>
          <w:spacing w:val="-2"/>
          <w:w w:val="100"/>
        </w:rPr>
        <w:t>号</w:t>
      </w:r>
      <w:r>
        <w:rPr>
          <w:rFonts w:ascii="Times New Roman" w:hAnsi="Times New Roman" w:cs="Times New Roman" w:eastAsia="Times New Roman" w:hint="default"/>
          <w:spacing w:val="-2"/>
          <w:w w:val="100"/>
        </w:rPr>
        <w:t>——</w:t>
      </w:r>
      <w:r>
        <w:rPr>
          <w:spacing w:val="-2"/>
          <w:w w:val="100"/>
        </w:rPr>
        <w:t>职工薪</w:t>
      </w:r>
      <w:r>
        <w:rPr>
          <w:spacing w:val="-89"/>
          <w:w w:val="100"/>
        </w:rPr>
        <w:t> </w:t>
      </w:r>
      <w:r>
        <w:rPr>
          <w:spacing w:val="-89"/>
          <w:w w:val="100"/>
        </w:rPr>
      </w:r>
      <w:r>
        <w:rPr>
          <w:spacing w:val="-1"/>
          <w:w w:val="100"/>
        </w:rPr>
        <w:t>酬（</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13"/>
          <w:w w:val="100"/>
        </w:rPr>
        <w:t> </w:t>
      </w:r>
      <w:r>
        <w:rPr>
          <w:spacing w:val="-21"/>
          <w:w w:val="100"/>
        </w:rPr>
        <w:t>年修订）》、《企业会计准则第</w:t>
      </w:r>
    </w:p>
    <w:p>
      <w:pPr>
        <w:pStyle w:val="BodyText"/>
        <w:spacing w:line="240" w:lineRule="auto" w:before="13"/>
        <w:ind w:left="181" w:right="0"/>
        <w:jc w:val="left"/>
      </w:pPr>
      <w:r>
        <w:rPr>
          <w:rFonts w:ascii="Times New Roman" w:hAnsi="Times New Roman" w:cs="Times New Roman" w:eastAsia="Times New Roman" w:hint="default"/>
          <w:spacing w:val="1"/>
          <w:w w:val="100"/>
        </w:rPr>
        <w:t>3</w:t>
      </w:r>
      <w:r>
        <w:rPr>
          <w:rFonts w:ascii="Times New Roman" w:hAnsi="Times New Roman" w:cs="Times New Roman" w:eastAsia="Times New Roman" w:hint="default"/>
          <w:w w:val="100"/>
        </w:rPr>
        <w:t>3</w:t>
      </w:r>
      <w:r>
        <w:rPr>
          <w:rFonts w:ascii="Times New Roman" w:hAnsi="Times New Roman" w:cs="Times New Roman" w:eastAsia="Times New Roman" w:hint="default"/>
          <w:spacing w:val="-6"/>
        </w:rPr>
        <w:t> </w:t>
      </w:r>
      <w:r>
        <w:rPr>
          <w:spacing w:val="-1"/>
          <w:w w:val="100"/>
        </w:rPr>
        <w:t>号</w:t>
      </w:r>
      <w:r>
        <w:rPr>
          <w:rFonts w:ascii="Times New Roman" w:hAnsi="Times New Roman" w:cs="Times New Roman" w:eastAsia="Times New Roman" w:hint="default"/>
          <w:spacing w:val="-1"/>
          <w:w w:val="100"/>
        </w:rPr>
        <w:t>——</w:t>
      </w:r>
      <w:r>
        <w:rPr>
          <w:spacing w:val="-1"/>
          <w:w w:val="100"/>
        </w:rPr>
        <w:t>合并财务报</w:t>
      </w:r>
      <w:r>
        <w:rPr>
          <w:spacing w:val="-92"/>
          <w:w w:val="100"/>
        </w:rPr>
        <w:t>表</w:t>
      </w:r>
      <w:r>
        <w:rPr>
          <w:spacing w:val="-1"/>
          <w:w w:val="100"/>
        </w:rPr>
        <w:t>（</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spacing w:val="1"/>
          <w:w w:val="100"/>
        </w:rPr>
        <w:t>0</w:t>
      </w:r>
      <w:r>
        <w:rPr>
          <w:rFonts w:ascii="Times New Roman" w:hAnsi="Times New Roman" w:cs="Times New Roman" w:eastAsia="Times New Roman" w:hint="default"/>
          <w:spacing w:val="-2"/>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9"/>
        </w:rPr>
        <w:t> </w:t>
      </w:r>
      <w:r>
        <w:rPr>
          <w:spacing w:val="-1"/>
          <w:w w:val="100"/>
        </w:rPr>
        <w:t>年修订</w:t>
      </w:r>
      <w:r>
        <w:rPr>
          <w:spacing w:val="-92"/>
          <w:w w:val="100"/>
        </w:rPr>
        <w:t>）</w:t>
      </w:r>
      <w:r>
        <w:rPr>
          <w:spacing w:val="-90"/>
          <w:w w:val="100"/>
        </w:rPr>
        <w:t>》</w:t>
      </w:r>
      <w:r>
        <w:rPr>
          <w:w w:val="100"/>
        </w:rPr>
        <w:t>、</w:t>
      </w:r>
    </w:p>
    <w:p>
      <w:pPr>
        <w:pStyle w:val="BodyText"/>
        <w:spacing w:line="240" w:lineRule="auto" w:before="63"/>
        <w:ind w:left="181" w:right="0"/>
        <w:jc w:val="left"/>
      </w:pPr>
      <w:r>
        <w:rPr>
          <w:spacing w:val="-1"/>
          <w:w w:val="100"/>
        </w:rPr>
        <w:t>《企业会计准则</w:t>
      </w:r>
      <w:r>
        <w:rPr>
          <w:w w:val="100"/>
        </w:rPr>
        <w:t>第</w:t>
      </w:r>
      <w:r>
        <w:rPr>
          <w:spacing w:val="-53"/>
        </w:rPr>
        <w:t> </w:t>
      </w:r>
      <w:r>
        <w:rPr>
          <w:rFonts w:ascii="Times New Roman" w:hAnsi="Times New Roman" w:cs="Times New Roman" w:eastAsia="Times New Roman" w:hint="default"/>
          <w:spacing w:val="-2"/>
          <w:w w:val="100"/>
        </w:rPr>
        <w:t>4</w:t>
      </w:r>
      <w:r>
        <w:rPr>
          <w:rFonts w:ascii="Times New Roman" w:hAnsi="Times New Roman" w:cs="Times New Roman" w:eastAsia="Times New Roman" w:hint="default"/>
          <w:w w:val="100"/>
        </w:rPr>
        <w:t>0</w:t>
      </w:r>
      <w:r>
        <w:rPr>
          <w:rFonts w:ascii="Times New Roman" w:hAnsi="Times New Roman" w:cs="Times New Roman" w:eastAsia="Times New Roman" w:hint="default"/>
          <w:spacing w:val="-6"/>
        </w:rPr>
        <w:t> </w:t>
      </w:r>
      <w:r>
        <w:rPr>
          <w:spacing w:val="-1"/>
          <w:w w:val="100"/>
        </w:rPr>
        <w:t>号</w:t>
      </w:r>
      <w:r>
        <w:rPr>
          <w:rFonts w:ascii="Times New Roman" w:hAnsi="Times New Roman" w:cs="Times New Roman" w:eastAsia="Times New Roman" w:hint="default"/>
          <w:spacing w:val="-1"/>
          <w:w w:val="100"/>
        </w:rPr>
        <w:t>——</w:t>
      </w:r>
      <w:r>
        <w:rPr>
          <w:spacing w:val="-3"/>
          <w:w w:val="100"/>
        </w:rPr>
        <w:t>合</w:t>
      </w:r>
      <w:r>
        <w:rPr>
          <w:spacing w:val="-1"/>
          <w:w w:val="100"/>
        </w:rPr>
        <w:t>营安排</w:t>
      </w:r>
      <w:r>
        <w:rPr>
          <w:spacing w:val="-92"/>
          <w:w w:val="100"/>
        </w:rPr>
        <w:t>》</w:t>
      </w:r>
      <w:r>
        <w:rPr>
          <w:w w:val="100"/>
        </w:rPr>
        <w:t>、</w:t>
      </w:r>
    </w:p>
    <w:p>
      <w:pPr>
        <w:pStyle w:val="BodyText"/>
        <w:spacing w:line="304" w:lineRule="auto" w:before="62"/>
        <w:ind w:left="181" w:right="6619"/>
        <w:jc w:val="left"/>
      </w:pPr>
      <w:r>
        <w:rPr/>
        <w:t>《企业会计准则第</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长期股权投</w:t>
      </w:r>
      <w:r>
        <w:rPr>
          <w:w w:val="100"/>
        </w:rPr>
        <w:t> </w:t>
      </w:r>
      <w:r>
        <w:rPr>
          <w:spacing w:val="-4"/>
          <w:w w:val="100"/>
        </w:rPr>
        <w:t>资（</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spacing w:val="7"/>
          <w:w w:val="100"/>
        </w:rPr>
        <w:t> </w:t>
      </w:r>
      <w:r>
        <w:rPr>
          <w:spacing w:val="-11"/>
          <w:w w:val="100"/>
        </w:rPr>
        <w:t>年修订）》及《企业会计准则第</w:t>
      </w:r>
      <w:r>
        <w:rPr>
          <w:spacing w:val="-87"/>
          <w:w w:val="100"/>
        </w:rPr>
        <w:t> </w:t>
      </w:r>
      <w:r>
        <w:rPr>
          <w:spacing w:val="-87"/>
          <w:w w:val="100"/>
        </w:rPr>
      </w:r>
      <w:r>
        <w:rPr>
          <w:rFonts w:ascii="Times New Roman" w:hAnsi="Times New Roman" w:cs="Times New Roman" w:eastAsia="Times New Roman" w:hint="default"/>
          <w:w w:val="100"/>
        </w:rPr>
        <w:t>41</w:t>
      </w:r>
      <w:r>
        <w:rPr>
          <w:rFonts w:ascii="Times New Roman" w:hAnsi="Times New Roman" w:cs="Times New Roman" w:eastAsia="Times New Roman" w:hint="default"/>
          <w:spacing w:val="2"/>
          <w:w w:val="100"/>
        </w:rPr>
        <w:t> </w:t>
      </w:r>
      <w:r>
        <w:rPr>
          <w:spacing w:val="-10"/>
          <w:w w:val="100"/>
        </w:rPr>
        <w:t>号</w:t>
      </w:r>
      <w:r>
        <w:rPr>
          <w:rFonts w:ascii="Times New Roman" w:hAnsi="Times New Roman" w:cs="Times New Roman" w:eastAsia="Times New Roman" w:hint="default"/>
          <w:spacing w:val="-10"/>
          <w:w w:val="100"/>
        </w:rPr>
        <w:t>——</w:t>
      </w:r>
      <w:r>
        <w:rPr>
          <w:spacing w:val="-10"/>
          <w:w w:val="100"/>
        </w:rPr>
        <w:t>在其他主体中权益的披露》，要</w:t>
      </w:r>
      <w:r>
        <w:rPr>
          <w:w w:val="100"/>
        </w:rPr>
        <w:t> </w:t>
      </w:r>
      <w:r>
        <w:rPr/>
        <w:t>求自</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日起在所有执行企业</w:t>
      </w:r>
      <w:r>
        <w:rPr>
          <w:w w:val="100"/>
        </w:rPr>
        <w:t> </w:t>
      </w:r>
      <w:r>
        <w:rPr/>
        <w:t>会计准则的企业范围内施行，鼓励在境</w:t>
      </w:r>
      <w:r>
        <w:rPr>
          <w:w w:val="100"/>
        </w:rPr>
        <w:t> </w:t>
      </w:r>
      <w:r>
        <w:rPr/>
        <w:t>外上市的企业提前执行。同时，财政部</w:t>
      </w:r>
      <w:r>
        <w:rPr>
          <w:w w:val="100"/>
        </w:rPr>
        <w:t> </w:t>
      </w:r>
      <w:r>
        <w:rPr>
          <w:spacing w:val="-1"/>
          <w:w w:val="100"/>
        </w:rPr>
        <w:t>以财会</w:t>
      </w:r>
      <w:r>
        <w:rPr>
          <w:rFonts w:ascii="Times New Roman" w:hAnsi="Times New Roman" w:cs="Times New Roman" w:eastAsia="Times New Roman" w:hint="default"/>
          <w:spacing w:val="-1"/>
          <w:w w:val="100"/>
        </w:rPr>
        <w:t>[2014]23</w:t>
      </w:r>
      <w:r>
        <w:rPr>
          <w:rFonts w:ascii="Times New Roman" w:hAnsi="Times New Roman" w:cs="Times New Roman" w:eastAsia="Times New Roman" w:hint="default"/>
          <w:spacing w:val="10"/>
          <w:w w:val="100"/>
        </w:rPr>
        <w:t> </w:t>
      </w:r>
      <w:r>
        <w:rPr>
          <w:spacing w:val="-10"/>
          <w:w w:val="100"/>
        </w:rPr>
        <w:t>号发布了《企业会计准则</w:t>
      </w:r>
      <w:r>
        <w:rPr>
          <w:spacing w:val="-86"/>
          <w:w w:val="100"/>
        </w:rPr>
        <w:t> </w:t>
      </w:r>
      <w:r>
        <w:rPr>
          <w:spacing w:val="-86"/>
          <w:w w:val="100"/>
        </w:rPr>
      </w:r>
      <w:r>
        <w:rPr/>
        <w:t>第</w:t>
      </w:r>
      <w:r>
        <w:rPr>
          <w:spacing w:val="-47"/>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金融工具列报（</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w:t>
      </w:r>
      <w:r>
        <w:rPr>
          <w:w w:val="100"/>
        </w:rPr>
        <w:t> </w:t>
      </w:r>
      <w:r>
        <w:rPr>
          <w:spacing w:val="-15"/>
          <w:w w:val="100"/>
        </w:rPr>
        <w:t>订）》（以下简称</w:t>
      </w:r>
      <w:r>
        <w:rPr>
          <w:rFonts w:ascii="Times New Roman" w:hAnsi="Times New Roman" w:cs="Times New Roman" w:eastAsia="Times New Roman" w:hint="default"/>
          <w:spacing w:val="-15"/>
          <w:w w:val="100"/>
        </w:rPr>
        <w:t>“</w:t>
      </w:r>
      <w:r>
        <w:rPr>
          <w:spacing w:val="-15"/>
          <w:w w:val="100"/>
        </w:rPr>
        <w:t>金融工具列报准则</w:t>
      </w:r>
      <w:r>
        <w:rPr>
          <w:rFonts w:ascii="Times New Roman" w:hAnsi="Times New Roman" w:cs="Times New Roman" w:eastAsia="Times New Roman" w:hint="default"/>
          <w:spacing w:val="-15"/>
          <w:w w:val="100"/>
        </w:rPr>
        <w:t>”</w:t>
      </w:r>
      <w:r>
        <w:rPr>
          <w:spacing w:val="-15"/>
          <w:w w:val="100"/>
        </w:rPr>
        <w:t>），</w:t>
      </w:r>
      <w:r>
        <w:rPr>
          <w:spacing w:val="-80"/>
          <w:w w:val="100"/>
        </w:rPr>
        <w:t> </w:t>
      </w:r>
      <w:r>
        <w:rPr>
          <w:spacing w:val="-80"/>
          <w:w w:val="100"/>
        </w:rPr>
      </w:r>
      <w:r>
        <w:rPr/>
        <w:t>要求在</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年年度及以后期间的财务报</w:t>
      </w:r>
      <w:r>
        <w:rPr>
          <w:w w:val="100"/>
        </w:rPr>
        <w:t> </w:t>
      </w:r>
      <w:r>
        <w:rPr/>
        <w:t>告中按照该准则的要求对金融工具进行</w:t>
      </w:r>
      <w:r>
        <w:rPr>
          <w:w w:val="100"/>
        </w:rPr>
        <w:t> </w:t>
      </w:r>
      <w:bookmarkStart w:name="（2）重要会计估计变更 " w:id="200"/>
      <w:bookmarkEnd w:id="200"/>
      <w:r>
        <w:rPr/>
        <w:t>列</w:t>
      </w:r>
      <w:r>
        <w:rPr/>
        <w:t>报。</w:t>
      </w:r>
    </w:p>
    <w:p>
      <w:pPr>
        <w:spacing w:line="240" w:lineRule="auto" w:before="7"/>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30、其他 " w:id="201"/>
      <w:bookmarkEnd w:id="201"/>
      <w:r>
        <w:rPr/>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六、税项 " w:id="202"/>
      <w:bookmarkEnd w:id="202"/>
      <w:r>
        <w:rPr/>
      </w:r>
      <w:r>
        <w:rPr>
          <w:w w:val="100"/>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 w:id="203"/>
      <w:bookmarkEnd w:id="20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0"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销售收入</w:t>
            </w:r>
          </w:p>
        </w:tc>
        <w:tc>
          <w:tcPr>
            <w:tcW w:w="31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8" w:hRule="exact"/>
        </w:trPr>
        <w:tc>
          <w:tcPr>
            <w:tcW w:w="478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西藏金岳医疗器械有限公司</w:t>
            </w:r>
          </w:p>
        </w:tc>
        <w:tc>
          <w:tcPr>
            <w:tcW w:w="4786"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7"/>
              <w:ind w:left="21"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荣成市业安医疗器械有限公司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枣庄际安医疗器械有限责任公司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bookmarkStart w:name="2、税收优惠 " w:id="204"/>
            <w:bookmarkEnd w:id="204"/>
            <w:r>
              <w:rPr/>
            </w:r>
            <w:r>
              <w:rPr>
                <w:rFonts w:ascii="宋体" w:hAnsi="宋体" w:cs="宋体" w:eastAsia="宋体" w:hint="default"/>
                <w:sz w:val="18"/>
                <w:szCs w:val="18"/>
              </w:rPr>
              <w:t>其他公司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287"/>
        <w:jc w:val="left"/>
      </w:pPr>
      <w:r>
        <w:rPr>
          <w:spacing w:val="-2"/>
        </w:rPr>
        <w:t>根据国家西部大开发税收优惠政策，在</w:t>
      </w:r>
      <w:r>
        <w:rPr>
          <w:rFonts w:ascii="Times New Roman" w:hAnsi="Times New Roman" w:cs="Times New Roman" w:eastAsia="Times New Roman" w:hint="default"/>
          <w:spacing w:val="-2"/>
        </w:rPr>
        <w:t>2014</w:t>
      </w:r>
      <w:r>
        <w:rPr>
          <w:spacing w:val="-2"/>
        </w:rPr>
        <w:t>年至</w:t>
      </w:r>
      <w:r>
        <w:rPr>
          <w:rFonts w:ascii="Times New Roman" w:hAnsi="Times New Roman" w:cs="Times New Roman" w:eastAsia="Times New Roman" w:hint="default"/>
          <w:spacing w:val="-2"/>
        </w:rPr>
        <w:t>2020</w:t>
      </w:r>
      <w:r>
        <w:rPr>
          <w:spacing w:val="-2"/>
        </w:rPr>
        <w:t>年期间，西藏金岳医疗器械有限公司和尼木祥云医疗器械有限公司</w:t>
      </w:r>
      <w:r>
        <w:rPr>
          <w:w w:val="100"/>
        </w:rPr>
        <w:t> </w:t>
      </w:r>
      <w:r>
        <w:rPr>
          <w:spacing w:val="-1"/>
        </w:rPr>
        <w:t>按</w:t>
      </w:r>
      <w:r>
        <w:rPr>
          <w:rFonts w:ascii="Times New Roman" w:hAnsi="Times New Roman" w:cs="Times New Roman" w:eastAsia="Times New Roman" w:hint="default"/>
          <w:spacing w:val="-1"/>
        </w:rPr>
        <w:t>15%</w:t>
      </w:r>
      <w:r>
        <w:rPr>
          <w:spacing w:val="-1"/>
        </w:rPr>
        <w:t>的税率征收企业所得税；根据财税</w:t>
      </w:r>
      <w:r>
        <w:rPr>
          <w:rFonts w:ascii="Times New Roman" w:hAnsi="Times New Roman" w:cs="Times New Roman" w:eastAsia="Times New Roman" w:hint="default"/>
          <w:spacing w:val="-1"/>
        </w:rPr>
        <w:t>[2011]117</w:t>
      </w:r>
      <w:r>
        <w:rPr>
          <w:spacing w:val="-1"/>
        </w:rPr>
        <w:t>号规定，自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日，对年应纳税所得额低于</w:t>
      </w:r>
      <w:r>
        <w:rPr>
          <w:rFonts w:ascii="Times New Roman" w:hAnsi="Times New Roman" w:cs="Times New Roman" w:eastAsia="Times New Roman" w:hint="default"/>
          <w:spacing w:val="-1"/>
        </w:rPr>
        <w:t>6</w:t>
      </w:r>
      <w:r>
        <w:rPr>
          <w:spacing w:val="-1"/>
        </w:rPr>
        <w:t>万</w:t>
      </w:r>
      <w:r>
        <w:rPr>
          <w:spacing w:val="-59"/>
        </w:rPr>
        <w:t> </w:t>
      </w:r>
      <w:r>
        <w:rPr/>
        <w:t>元（含</w:t>
      </w:r>
      <w:r>
        <w:rPr>
          <w:rFonts w:ascii="Times New Roman" w:hAnsi="Times New Roman" w:cs="Times New Roman" w:eastAsia="Times New Roman" w:hint="default"/>
        </w:rPr>
        <w:t>6</w:t>
      </w:r>
      <w:r>
        <w:rPr/>
        <w:t>万元）的小型微利企业，其所得减按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的税率缴纳企业所得税，荣成市业安医疗器械</w:t>
      </w:r>
      <w:r>
        <w:rPr>
          <w:w w:val="100"/>
        </w:rPr>
        <w:t> </w:t>
      </w:r>
      <w:r>
        <w:rPr/>
        <w:t>有限公司、枣庄际安医疗器械有限责任公司执行</w:t>
      </w:r>
      <w:r>
        <w:rPr>
          <w:rFonts w:ascii="Times New Roman" w:hAnsi="Times New Roman" w:cs="Times New Roman" w:eastAsia="Times New Roman" w:hint="default"/>
        </w:rPr>
        <w:t>20%</w:t>
      </w:r>
      <w:r>
        <w:rPr/>
        <w:t>的企业所得税税率。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3"/>
        <w:spacing w:line="240" w:lineRule="auto"/>
        <w:ind w:right="0"/>
        <w:jc w:val="left"/>
        <w:rPr>
          <w:b w:val="0"/>
          <w:bCs w:val="0"/>
        </w:rPr>
      </w:pPr>
      <w:bookmarkStart w:name="3、其他 " w:id="205"/>
      <w:bookmarkEnd w:id="205"/>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369" w:lineRule="auto"/>
        <w:ind w:left="524" w:right="0" w:hanging="12"/>
        <w:jc w:val="left"/>
      </w:pPr>
      <w:r>
        <w:rPr>
          <w:rFonts w:ascii="Times New Roman" w:hAnsi="Times New Roman" w:cs="Times New Roman" w:eastAsia="Times New Roman" w:hint="default"/>
        </w:rPr>
        <w:t>(1)</w:t>
      </w:r>
      <w:r>
        <w:rPr/>
        <w:t>增值税：</w:t>
      </w:r>
      <w:r>
        <w:rPr>
          <w:w w:val="100"/>
        </w:rPr>
        <w:t> </w:t>
      </w:r>
      <w:r>
        <w:rPr>
          <w:spacing w:val="-3"/>
        </w:rPr>
        <w:t>公司为增值税一般纳税人，报告期内销售的普通药品和器械按应税收入的</w:t>
      </w:r>
      <w:r>
        <w:rPr>
          <w:rFonts w:ascii="Times New Roman" w:hAnsi="Times New Roman" w:cs="Times New Roman" w:eastAsia="Times New Roman" w:hint="default"/>
          <w:spacing w:val="-3"/>
        </w:rPr>
        <w:t>17%</w:t>
      </w:r>
      <w:r>
        <w:rPr>
          <w:spacing w:val="-3"/>
        </w:rPr>
        <w:t>缴纳增值税，销售的中药材按应税收入的</w:t>
      </w:r>
    </w:p>
    <w:p>
      <w:pPr>
        <w:pStyle w:val="BodyText"/>
        <w:spacing w:line="204" w:lineRule="exact"/>
        <w:ind w:right="0"/>
        <w:jc w:val="left"/>
      </w:pPr>
      <w:r>
        <w:rPr>
          <w:rFonts w:ascii="Times New Roman" w:hAnsi="Times New Roman" w:cs="Times New Roman" w:eastAsia="Times New Roman" w:hint="default"/>
        </w:rPr>
        <w:t>13%</w:t>
      </w:r>
      <w:r>
        <w:rPr/>
        <w:t>缴纳增值税，服务费按应税收入的</w:t>
      </w:r>
      <w:r>
        <w:rPr>
          <w:rFonts w:ascii="Times New Roman" w:hAnsi="Times New Roman" w:cs="Times New Roman" w:eastAsia="Times New Roman" w:hint="default"/>
        </w:rPr>
        <w:t>6%</w:t>
      </w:r>
      <w:r>
        <w:rPr/>
        <w:t>缴纳增值税税率，销售生物药品按照应税收入的</w:t>
      </w:r>
      <w:r>
        <w:rPr>
          <w:rFonts w:ascii="Times New Roman" w:hAnsi="Times New Roman" w:cs="Times New Roman" w:eastAsia="Times New Roman" w:hint="default"/>
        </w:rPr>
        <w:t>3%</w:t>
      </w:r>
      <w:r>
        <w:rPr/>
        <w:t>缴纳增值税，销售的计生用品</w:t>
      </w:r>
    </w:p>
    <w:p>
      <w:pPr>
        <w:pStyle w:val="BodyText"/>
        <w:spacing w:line="240" w:lineRule="auto" w:before="62"/>
        <w:ind w:right="0"/>
        <w:jc w:val="left"/>
      </w:pPr>
      <w:r>
        <w:rPr/>
        <w:t>为零税率。</w:t>
      </w:r>
    </w:p>
    <w:p>
      <w:pPr>
        <w:pStyle w:val="BodyText"/>
        <w:spacing w:line="369" w:lineRule="auto" w:before="148"/>
        <w:ind w:left="524" w:right="0" w:hanging="12"/>
        <w:jc w:val="left"/>
      </w:pPr>
      <w:r>
        <w:rPr>
          <w:rFonts w:ascii="Times New Roman" w:hAnsi="Times New Roman" w:cs="Times New Roman" w:eastAsia="Times New Roman" w:hint="default"/>
        </w:rPr>
        <w:t>(2)</w:t>
      </w:r>
      <w:r>
        <w:rPr/>
        <w:t>所得税：</w:t>
      </w:r>
      <w:r>
        <w:rPr>
          <w:w w:val="100"/>
        </w:rPr>
        <w:t> </w:t>
      </w:r>
      <w:r>
        <w:rPr>
          <w:spacing w:val="-1"/>
        </w:rPr>
        <w:t>各分公司所得税在当地预缴，由总部统一汇算清缴。各子公司所得税在当地缴纳、汇算清缴。除西藏金岳医疗器械有</w:t>
      </w:r>
    </w:p>
    <w:p>
      <w:pPr>
        <w:pStyle w:val="BodyText"/>
        <w:spacing w:line="215" w:lineRule="exact"/>
        <w:ind w:right="0"/>
        <w:jc w:val="left"/>
      </w:pPr>
      <w:r>
        <w:rPr>
          <w:spacing w:val="-3"/>
        </w:rPr>
        <w:t>限公司、尼木祥云医疗器械有限公司、荣成市业安医疗器械有限公司、枣庄际安医疗器械有限责任公司外，总部和各地分子</w:t>
      </w:r>
    </w:p>
    <w:p>
      <w:pPr>
        <w:pStyle w:val="BodyText"/>
        <w:spacing w:line="300" w:lineRule="auto" w:before="76"/>
        <w:ind w:right="0"/>
        <w:jc w:val="left"/>
      </w:pPr>
      <w:r>
        <w:rPr>
          <w:spacing w:val="-2"/>
        </w:rPr>
        <w:t>公司都执行统一</w:t>
      </w:r>
      <w:r>
        <w:rPr>
          <w:rFonts w:ascii="Times New Roman" w:hAnsi="Times New Roman" w:cs="Times New Roman" w:eastAsia="Times New Roman" w:hint="default"/>
          <w:spacing w:val="-2"/>
        </w:rPr>
        <w:t>25%</w:t>
      </w:r>
      <w:r>
        <w:rPr>
          <w:spacing w:val="-2"/>
        </w:rPr>
        <w:t>的企业所得税税率。西藏金岳医疗器械有限公司和尼木祥云医疗器械有限公司执行</w:t>
      </w:r>
      <w:r>
        <w:rPr>
          <w:rFonts w:ascii="Times New Roman" w:hAnsi="Times New Roman" w:cs="Times New Roman" w:eastAsia="Times New Roman" w:hint="default"/>
          <w:spacing w:val="-2"/>
        </w:rPr>
        <w:t>15%</w:t>
      </w:r>
      <w:r>
        <w:rPr>
          <w:spacing w:val="-2"/>
        </w:rPr>
        <w:t>的企业所得税税</w:t>
      </w:r>
      <w:r>
        <w:rPr>
          <w:spacing w:val="-36"/>
        </w:rPr>
        <w:t> </w:t>
      </w:r>
      <w:r>
        <w:rPr>
          <w:spacing w:val="-36"/>
        </w:rPr>
      </w:r>
      <w:r>
        <w:rPr/>
        <w:t>率，荣成市业安医疗器械有限公司、枣庄际安医疗器械有限责任公司减按</w:t>
      </w:r>
      <w:r>
        <w:rPr>
          <w:rFonts w:ascii="Times New Roman" w:hAnsi="Times New Roman" w:cs="Times New Roman" w:eastAsia="Times New Roman" w:hint="default"/>
        </w:rPr>
        <w:t>20%</w:t>
      </w:r>
      <w:r>
        <w:rPr/>
        <w:t>的企业所得税率执行。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bookmarkStart w:name="七、合并财务报表项目注释 " w:id="206"/>
      <w:bookmarkEnd w:id="206"/>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货币资金 " w:id="207"/>
      <w:bookmarkEnd w:id="20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0"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454,979.48</w:t>
            </w:r>
          </w:p>
        </w:tc>
        <w:tc>
          <w:tcPr>
            <w:tcW w:w="3190"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601,623.82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536,120,774.82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623,989,640.37</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41,942,526.93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23,483,169.23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578,518,281.23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648,074,433.42</w:t>
            </w:r>
          </w:p>
        </w:tc>
      </w:tr>
    </w:tbl>
    <w:p>
      <w:pPr>
        <w:pStyle w:val="BodyText"/>
        <w:spacing w:line="240" w:lineRule="auto" w:before="49"/>
        <w:ind w:right="0"/>
        <w:jc w:val="left"/>
      </w:pPr>
      <w:r>
        <w:rPr/>
        <w:t>其他说明</w:t>
      </w:r>
    </w:p>
    <w:p>
      <w:pPr>
        <w:pStyle w:val="BodyText"/>
        <w:spacing w:line="240" w:lineRule="auto" w:before="148"/>
        <w:ind w:left="512" w:right="0"/>
        <w:jc w:val="left"/>
      </w:pPr>
      <w:r>
        <w:rPr/>
        <w:t>公司期末其他货币资金为开具银行承兑汇票而存入的保证金。</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以公允价值计量且其变动计入当期损益的金融资产 " w:id="208"/>
      <w:bookmarkEnd w:id="20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衍生金融资产 " w:id="209"/>
      <w:bookmarkEnd w:id="20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应收票据 " w:id="210"/>
      <w:bookmarkEnd w:id="21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 w:id="211"/>
      <w:bookmarkEnd w:id="21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293,682,913.60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325,238,147.51</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330,882,913.60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379,238,147.51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期末公司已质押的应收票据 " w:id="212"/>
      <w:bookmarkEnd w:id="21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1" w:hRule="exact"/>
        </w:trPr>
        <w:tc>
          <w:tcPr>
            <w:tcW w:w="4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29,875,644.78</w:t>
            </w:r>
          </w:p>
        </w:tc>
      </w:tr>
      <w:tr>
        <w:trPr>
          <w:trHeight w:val="403" w:hRule="exact"/>
        </w:trPr>
        <w:tc>
          <w:tcPr>
            <w:tcW w:w="4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29,875,644.78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期末公司已背书或贴现且在资产负债表日尚未到期的应收票据 " w:id="213"/>
      <w:bookmarkEnd w:id="21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808,739,488.41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810,139,488.41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因出票人未履约而将其转应收账款的票据 " w:id="214"/>
      <w:bookmarkEnd w:id="21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2;top:17;width:2;height:392" coordorigin="22,17" coordsize="2,392">
              <v:shape style="position:absolute;left:22;top:17;width:2;height:392" coordorigin="22,17" coordsize="0,392" path="m22,17l22,408e" filled="false" stroked="true" strokeweight="1.2pt" strokecolor="#d3d3d3">
                <v:path arrowok="t"/>
              </v:shape>
            </v:group>
            <v:group style="position:absolute;left:4772;top:17;width:2;height:392" coordorigin="4772,17" coordsize="2,392">
              <v:shape style="position:absolute;left:4772;top:17;width:2;height:392" coordorigin="4772,17" coordsize="0,392" path="m4772,17l4772,408e" filled="false" stroked="true" strokeweight="1.08pt" strokecolor="#d3d3d3">
                <v:path arrowok="t"/>
              </v:shape>
            </v:group>
            <v:group style="position:absolute;left:34;top:14;width:4728;height:394" coordorigin="34,14" coordsize="4728,394">
              <v:shape style="position:absolute;left:34;top:14;width:4728;height:394" coordorigin="34,14" coordsize="4728,394" path="m34,14l4762,14,4762,408,34,408,34,14xe" filled="true" fillcolor="#d3d3d3" stroked="false">
                <v:path arrowok="t"/>
                <v:fill type="solid"/>
              </v:shape>
            </v:group>
            <v:group style="position:absolute;left:4806;top:17;width:2;height:392" coordorigin="4806,17" coordsize="2,392">
              <v:shape style="position:absolute;left:4806;top:17;width:2;height:392" coordorigin="4806,17" coordsize="0,392" path="m4806,17l4806,408e" filled="false" stroked="true" strokeweight="1.32pt" strokecolor="#d3d3d3">
                <v:path arrowok="t"/>
              </v:shape>
            </v:group>
            <v:group style="position:absolute;left:9557;top:17;width:2;height:392" coordorigin="9557,17" coordsize="2,392">
              <v:shape style="position:absolute;left:9557;top:17;width:2;height:392" coordorigin="9557,17" coordsize="0,392" path="m9557,17l9557,408e" filled="false" stroked="true" strokeweight="1.2pt" strokecolor="#d3d3d3">
                <v:path arrowok="t"/>
              </v:shape>
            </v:group>
            <v:group style="position:absolute;left:4819;top:14;width:4726;height:394" coordorigin="4819,14" coordsize="4726,394">
              <v:shape style="position:absolute;left:4819;top:14;width:4726;height:394" coordorigin="4819,14" coordsize="4726,394" path="m4819,14l9545,14,9545,408,4819,408,4819,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4;height:2" coordorigin="10,413" coordsize="4774,2">
              <v:shape style="position:absolute;left:10;top:413;width:4774;height:2" coordorigin="10,413" coordsize="4774,0" path="m10,413l4783,413e" filled="false" stroked="true" strokeweight=".48pt" strokecolor="#000000">
                <v:path arrowok="t"/>
              </v:shape>
            </v:group>
            <v:group style="position:absolute;left:4788;top:5;width:2;height:413" coordorigin="4788,5" coordsize="2,413">
              <v:shape style="position:absolute;left:4788;top:5;width:2;height:413" coordorigin="4788,5" coordsize="0,413" path="m4788,5l4788,418e" filled="false" stroked="true" strokeweight=".48pt" strokecolor="#000000">
                <v:path arrowok="t"/>
              </v:shape>
            </v:group>
            <v:group style="position:absolute;left:4793;top:413;width:4776;height:2" coordorigin="4793,413" coordsize="4776,2">
              <v:shape style="position:absolute;left:4793;top:413;width:4776;height:2" coordorigin="4793,413" coordsize="4776,0" path="m4793,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7;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8;top:10;width:4786;height:404" type="#_x0000_t202" filled="false" stroked="false">
                <v:textbox inset="0,0,0,0">
                  <w:txbxContent>
                    <w:p>
                      <w:pPr>
                        <w:spacing w:before="54"/>
                        <w:ind w:left="1583"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应收账款 " w:id="215"/>
      <w:bookmarkEnd w:id="21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 w:id="216"/>
      <w:bookmarkEnd w:id="21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3D3D3"/>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4" w:type="dxa"/>
            <w:vMerge/>
            <w:tcBorders>
              <w:left w:val="single" w:sz="4" w:space="0" w:color="000000"/>
              <w:bottom w:val="nil" w:sz="6" w:space="0" w:color="auto"/>
              <w:right w:val="single" w:sz="4" w:space="0" w:color="000000"/>
            </w:tcBorders>
            <w:shd w:val="clear" w:color="auto" w:fill="D3D3D3"/>
          </w:tcPr>
          <w:p>
            <w:pPr/>
          </w:p>
        </w:tc>
        <w:tc>
          <w:tcPr>
            <w:tcW w:w="15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3D3D3"/>
          </w:tcPr>
          <w:p>
            <w:pP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7" w:type="dxa"/>
            <w:gridSpan w:val="2"/>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24" w:type="dxa"/>
            <w:vMerge/>
            <w:tcBorders>
              <w:left w:val="single" w:sz="4" w:space="0" w:color="000000"/>
              <w:bottom w:val="single" w:sz="7" w:space="0" w:color="FFFFFF"/>
              <w:right w:val="single" w:sz="4" w:space="0" w:color="000000"/>
            </w:tcBorders>
            <w:shd w:val="clear" w:color="auto" w:fill="D3D3D3"/>
          </w:tcPr>
          <w:p>
            <w:pPr/>
          </w:p>
        </w:tc>
        <w:tc>
          <w:tcPr>
            <w:tcW w:w="774"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1"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8"/>
              <w:ind w:left="285" w:right="105" w:hanging="180"/>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1"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4" w:type="dxa"/>
            <w:vMerge w:val="restart"/>
            <w:tcBorders>
              <w:top w:val="single" w:sz="7" w:space="0" w:color="FFFFFF"/>
              <w:left w:val="single" w:sz="4" w:space="0" w:color="000000"/>
              <w:right w:val="single" w:sz="4" w:space="0" w:color="000000"/>
            </w:tcBorders>
            <w:shd w:val="clear" w:color="auto" w:fill="D3D3D3"/>
          </w:tcPr>
          <w:p>
            <w:pPr/>
          </w:p>
        </w:tc>
        <w:tc>
          <w:tcPr>
            <w:tcW w:w="774"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3"/>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3"/>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3"/>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6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204" w:hRule="exact"/>
        </w:trPr>
        <w:tc>
          <w:tcPr>
            <w:tcW w:w="1624" w:type="dxa"/>
            <w:vMerge/>
            <w:tcBorders>
              <w:left w:val="single" w:sz="4" w:space="0" w:color="000000"/>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right w:val="single" w:sz="4" w:space="0" w:color="000000"/>
            </w:tcBorders>
            <w:shd w:val="clear" w:color="auto" w:fill="D3D3D3"/>
          </w:tcPr>
          <w:p>
            <w:pPr/>
          </w:p>
        </w:tc>
        <w:tc>
          <w:tcPr>
            <w:tcW w:w="787" w:type="dxa"/>
            <w:vMerge w:val="restart"/>
            <w:tcBorders>
              <w:top w:val="nil" w:sz="6" w:space="0" w:color="auto"/>
              <w:left w:val="single" w:sz="4" w:space="0" w:color="000000"/>
              <w:right w:val="single" w:sz="4" w:space="0" w:color="000000"/>
            </w:tcBorders>
            <w:shd w:val="clear" w:color="auto" w:fill="D3D3D3"/>
          </w:tcPr>
          <w:p>
            <w:pPr/>
          </w:p>
        </w:tc>
        <w:tc>
          <w:tcPr>
            <w:tcW w:w="655"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100"/>
                <w:sz w:val="18"/>
                <w:szCs w:val="18"/>
              </w:rPr>
              <w:t> </w:t>
            </w:r>
            <w:r>
              <w:rPr>
                <w:rFonts w:ascii="宋体" w:hAnsi="宋体" w:cs="宋体" w:eastAsia="宋体" w:hint="default"/>
                <w:sz w:val="18"/>
                <w:szCs w:val="18"/>
              </w:rPr>
              <w:t>合计提坏账准备的</w:t>
            </w:r>
            <w:r>
              <w:rPr>
                <w:rFonts w:ascii="宋体" w:hAnsi="宋体" w:cs="宋体" w:eastAsia="宋体" w:hint="default"/>
                <w:w w:val="100"/>
                <w:sz w:val="18"/>
                <w:szCs w:val="18"/>
              </w:rPr>
              <w:t> </w:t>
            </w:r>
            <w:r>
              <w:rPr>
                <w:rFonts w:ascii="宋体" w:hAnsi="宋体" w:cs="宋体" w:eastAsia="宋体" w:hint="default"/>
                <w:sz w:val="18"/>
                <w:szCs w:val="18"/>
              </w:rPr>
              <w:t>应收账款</w:t>
            </w:r>
          </w:p>
        </w:tc>
        <w:tc>
          <w:tcPr>
            <w:tcW w:w="7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3,307,43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7,023.81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64,378,3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21.80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1.95%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3,243,058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,702.01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47,271,88</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0.69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2,375,667,2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13.14</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单项金额不重大但</w:t>
            </w:r>
            <w:r>
              <w:rPr>
                <w:rFonts w:ascii="宋体" w:hAnsi="宋体" w:cs="宋体" w:eastAsia="宋体" w:hint="default"/>
                <w:w w:val="100"/>
                <w:sz w:val="18"/>
                <w:szCs w:val="18"/>
              </w:rPr>
              <w:t> </w:t>
            </w:r>
            <w:r>
              <w:rPr>
                <w:rFonts w:ascii="宋体" w:hAnsi="宋体" w:cs="宋体" w:eastAsia="宋体" w:hint="default"/>
                <w:sz w:val="18"/>
                <w:szCs w:val="18"/>
              </w:rPr>
              <w:t>单独计提坏账准备</w:t>
            </w:r>
            <w:r>
              <w:rPr>
                <w:rFonts w:ascii="宋体" w:hAnsi="宋体" w:cs="宋体" w:eastAsia="宋体" w:hint="default"/>
                <w:w w:val="100"/>
                <w:sz w:val="18"/>
                <w:szCs w:val="18"/>
              </w:rPr>
              <w:t> </w:t>
            </w:r>
            <w:r>
              <w:rPr>
                <w:rFonts w:ascii="宋体" w:hAnsi="宋体" w:cs="宋体" w:eastAsia="宋体" w:hint="default"/>
                <w:sz w:val="18"/>
                <w:szCs w:val="18"/>
              </w:rPr>
              <w:t>的应收账款</w:t>
            </w:r>
          </w:p>
        </w:tc>
        <w:tc>
          <w:tcPr>
            <w:tcW w:w="774" w:type="dxa"/>
            <w:tcBorders>
              <w:top w:val="single" w:sz="4" w:space="0" w:color="000000"/>
              <w:left w:val="single" w:sz="12" w:space="0" w:color="D3D3D3"/>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4,751,4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16.15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4,751,416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3,307,43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7,023.81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64,378,3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21.80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1.95%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3,243,058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,702.01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90,509.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52,023,29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6.84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2.14%</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2,375,667,2</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13.14</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3D3D3"/>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vMerge/>
            <w:tcBorders>
              <w:left w:val="single" w:sz="9" w:space="0" w:color="D3D3D3"/>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29"/>
          <w:pgSz w:w="11910" w:h="16840"/>
          <w:pgMar w:footer="981" w:header="745" w:top="1060" w:bottom="1180" w:left="980" w:right="980"/>
          <w:pgNumType w:start="106"/>
        </w:sectPr>
      </w:pPr>
    </w:p>
    <w:p>
      <w:pPr>
        <w:pStyle w:val="BodyText"/>
        <w:spacing w:line="240" w:lineRule="auto" w:before="49"/>
        <w:ind w:right="0"/>
        <w:jc w:val="left"/>
      </w:pPr>
      <w:r>
        <w:rPr>
          <w:spacing w:val="-1"/>
        </w:rPr>
        <w:t>期末单项金额重大并单项计提坏账准备的应收账款：</w:t>
      </w:r>
    </w:p>
    <w:p>
      <w:pPr>
        <w:pStyle w:val="BodyText"/>
        <w:spacing w:line="360" w:lineRule="auto" w:before="114"/>
        <w:ind w:right="0"/>
        <w:jc w:val="left"/>
      </w:pPr>
      <w:r>
        <w:rPr/>
        <w:t>□ 适用 √ 不适用</w:t>
      </w:r>
      <w:r>
        <w:rPr>
          <w:w w:val="100"/>
        </w:rPr>
        <w:t> </w:t>
      </w:r>
      <w:r>
        <w:rPr>
          <w:spacing w:val="-1"/>
        </w:rPr>
        <w:t>组合中，按账龄分析法计提坏账准备的应收账款：</w:t>
      </w:r>
    </w:p>
    <w:p>
      <w:pPr>
        <w:pStyle w:val="BodyText"/>
        <w:spacing w:line="240" w:lineRule="auto" w:before="27"/>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3"/>
            <w:col w:w="1124"/>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2,970,463,897.40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29,704,638.98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299,627,087.62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14,981,354.39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3,270,090,985.02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44,685,993.37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35,307,420.76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17,653,710.40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2,038,618.03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2,038,618.03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3,307,437,023.81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64,378,321.80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r>
    </w:tbl>
    <w:p>
      <w:pPr>
        <w:pStyle w:val="BodyText"/>
        <w:spacing w:line="357" w:lineRule="auto" w:before="49"/>
        <w:ind w:left="512" w:right="0" w:hanging="360"/>
        <w:jc w:val="left"/>
      </w:pPr>
      <w:r>
        <w:rPr/>
        <w:t>确定该组合依据的说明：</w:t>
      </w:r>
      <w:r>
        <w:rPr>
          <w:w w:val="100"/>
        </w:rPr>
        <w:t> </w:t>
      </w:r>
      <w:r>
        <w:rPr>
          <w:spacing w:val="-3"/>
        </w:rPr>
        <w:t>除单独计提减值准备的应收账款外，公司根据以前年度与之相同或相类似的、按账龄段划分的具有类似信用风险特征的</w:t>
      </w:r>
    </w:p>
    <w:p>
      <w:pPr>
        <w:pStyle w:val="BodyText"/>
        <w:spacing w:line="224" w:lineRule="exact"/>
        <w:ind w:right="0"/>
        <w:jc w:val="left"/>
      </w:pPr>
      <w:r>
        <w:rPr/>
        <w:t>应收账款组合的实际损失率为基础，结合现时情况分析确定坏账准备计提的比例。</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组合中，采用余额百分比法计提坏账准备的应收账款：</w:t>
      </w:r>
    </w:p>
    <w:p>
      <w:pPr>
        <w:pStyle w:val="BodyText"/>
        <w:spacing w:line="360" w:lineRule="auto" w:before="115"/>
        <w:ind w:right="5260"/>
        <w:jc w:val="left"/>
      </w:pPr>
      <w:r>
        <w:rPr/>
        <w:t>□ 适用 √ 不适用</w:t>
      </w:r>
      <w:r>
        <w:rPr>
          <w:w w:val="100"/>
        </w:rPr>
        <w:t> </w:t>
      </w:r>
      <w:r>
        <w:rPr>
          <w:spacing w:val="-1"/>
        </w:rPr>
        <w:t>组合中，采用其他方法计提坏账准备的应收账款：</w:t>
      </w:r>
    </w:p>
    <w:p>
      <w:pPr>
        <w:spacing w:after="0" w:line="36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本期计提、收回或转回的坏账准备情况 " w:id="217"/>
      <w:bookmarkEnd w:id="2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980"/>
        </w:sectPr>
      </w:pPr>
    </w:p>
    <w:p>
      <w:pPr>
        <w:pStyle w:val="BodyText"/>
        <w:spacing w:line="338" w:lineRule="auto" w:before="44"/>
        <w:ind w:right="0"/>
        <w:jc w:val="left"/>
      </w:pPr>
      <w:r>
        <w:rPr/>
        <w:t>本期计提坏账准备金额</w:t>
      </w:r>
      <w:r>
        <w:rPr>
          <w:spacing w:val="-55"/>
        </w:rPr>
        <w:t> </w:t>
      </w:r>
      <w:r>
        <w:rPr>
          <w:rFonts w:ascii="Times New Roman" w:hAnsi="Times New Roman" w:cs="Times New Roman" w:eastAsia="Times New Roman" w:hint="default"/>
        </w:rPr>
        <w:t>12,756,637.88</w:t>
      </w:r>
      <w:r>
        <w:rPr>
          <w:rFonts w:ascii="Times New Roman" w:hAnsi="Times New Roman" w:cs="Times New Roman" w:eastAsia="Times New Roman" w:hint="default"/>
          <w:spacing w:val="-9"/>
        </w:rPr>
        <w:t> </w:t>
      </w:r>
      <w:r>
        <w:rPr/>
        <w:t>元；本期收回或转回坏账准备金额元。</w:t>
      </w:r>
      <w:r>
        <w:rPr>
          <w:w w:val="100"/>
        </w:rPr>
        <w:t> </w:t>
      </w:r>
      <w:r>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139" w:space="2688"/>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 w:id="218"/>
      <w:bookmarkEnd w:id="21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山东欣康祺医药有限公司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4,751,416.15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莱芜恒生医药有限公司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2,254.00</w:t>
            </w:r>
          </w:p>
        </w:tc>
      </w:tr>
    </w:tbl>
    <w:p>
      <w:pPr>
        <w:pStyle w:val="BodyText"/>
        <w:spacing w:line="240" w:lineRule="auto" w:before="49"/>
        <w:ind w:right="0"/>
        <w:jc w:val="left"/>
      </w:pPr>
      <w:r>
        <w:rPr/>
        <w:t>其中重要的应收账款核销情况：</w:t>
      </w:r>
    </w:p>
    <w:p>
      <w:pPr>
        <w:pStyle w:val="BodyText"/>
        <w:spacing w:line="240" w:lineRule="auto" w:before="115"/>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0"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w:t>
            </w:r>
            <w:r>
              <w:rPr>
                <w:rFonts w:ascii="宋体" w:hAnsi="宋体" w:cs="宋体" w:eastAsia="宋体" w:hint="default"/>
                <w:w w:val="100"/>
                <w:sz w:val="18"/>
                <w:szCs w:val="18"/>
              </w:rPr>
              <w:t> </w:t>
            </w:r>
            <w:r>
              <w:rPr>
                <w:rFonts w:ascii="宋体" w:hAnsi="宋体" w:cs="宋体" w:eastAsia="宋体" w:hint="default"/>
                <w:sz w:val="18"/>
                <w:szCs w:val="18"/>
              </w:rPr>
              <w:t>易产生</w:t>
            </w:r>
          </w:p>
        </w:tc>
      </w:tr>
    </w:tbl>
    <w:p>
      <w:pPr>
        <w:pStyle w:val="BodyText"/>
        <w:spacing w:line="357" w:lineRule="auto" w:before="49"/>
        <w:ind w:right="4593"/>
        <w:jc w:val="left"/>
      </w:pPr>
      <w:r>
        <w:rPr/>
        <w:t>应收账款核销说明：</w:t>
      </w:r>
      <w:r>
        <w:rPr>
          <w:w w:val="100"/>
        </w:rPr>
        <w:t> </w:t>
      </w:r>
      <w:r>
        <w:rPr>
          <w:spacing w:val="-1"/>
        </w:rPr>
        <w:t>山东欣康祺医药有限公司工商营业执照已被吊销，无法收回。</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bookmarkStart w:name="（4）按欠款方归集的期末余额前五名的应收账款情况 " w:id="219"/>
      <w:bookmarkEnd w:id="21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479"/>
        <w:jc w:val="left"/>
      </w:pPr>
      <w:r>
        <w:rPr/>
        <w:t>本公司按欠款方归集的期末余额前五名应收账款汇总金额</w:t>
      </w:r>
      <w:r>
        <w:rPr>
          <w:spacing w:val="-42"/>
        </w:rPr>
        <w:t> </w:t>
      </w:r>
      <w:r>
        <w:rPr>
          <w:rFonts w:ascii="Times New Roman" w:hAnsi="Times New Roman" w:cs="Times New Roman" w:eastAsia="Times New Roman" w:hint="default"/>
        </w:rPr>
        <w:t>326,480,982.74</w:t>
      </w:r>
      <w:r>
        <w:rPr/>
        <w:t>元，占应收账款期末余额合计数的比例为</w:t>
      </w:r>
      <w:r>
        <w:rPr>
          <w:w w:val="100"/>
        </w:rPr>
        <w:t> </w:t>
      </w:r>
      <w:r>
        <w:rPr>
          <w:rFonts w:ascii="Times New Roman" w:hAnsi="Times New Roman" w:cs="Times New Roman" w:eastAsia="Times New Roman" w:hint="default"/>
        </w:rPr>
        <w:t>9.87%</w:t>
      </w:r>
      <w:r>
        <w:rPr/>
        <w:t>，相应计提的坏账准备期末余额汇总金额</w:t>
      </w:r>
      <w:r>
        <w:rPr>
          <w:rFonts w:ascii="Times New Roman" w:hAnsi="Times New Roman" w:cs="Times New Roman" w:eastAsia="Times New Roman" w:hint="default"/>
        </w:rPr>
        <w:t>3,999,550.21</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5）因金融资产转移而终止确认的应收账款 " w:id="220"/>
      <w:bookmarkEnd w:id="22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6）转移应收账款且继续涉入形成的资产、负债金额 " w:id="221"/>
      <w:bookmarkEnd w:id="22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3"/>
        <w:jc w:val="left"/>
      </w:pPr>
      <w:r>
        <w:rPr/>
        <w:t>无</w:t>
      </w:r>
      <w:r>
        <w:rPr>
          <w:w w:val="100"/>
        </w:rPr>
        <w:t> </w:t>
      </w:r>
      <w:r>
        <w:rPr/>
        <w:t>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预付款项 " w:id="222"/>
      <w:bookmarkEnd w:id="22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 w:id="223"/>
      <w:bookmarkEnd w:id="22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397"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112,806,449.04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58,249,478.60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10,180,131.77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623,632.79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123,486,580.81</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58,873,111.39</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4928"/>
        <w:jc w:val="left"/>
      </w:pP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年且金额重要的预付款项未及时结算原因的说明：</w:t>
      </w:r>
      <w:r>
        <w:rPr>
          <w:w w:val="100"/>
        </w:rPr>
        <w:t> </w:t>
      </w:r>
      <w:bookmarkStart w:name="（2）按预付对象归集的期末余额前五名的预付款情况 " w:id="224"/>
      <w:bookmarkEnd w:id="224"/>
      <w:r>
        <w:rPr/>
        <w:t>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spacing w:val="-2"/>
        </w:rPr>
        <w:t>本公司按预付对象归集的期末余额前五名的预付账款汇总金额为</w:t>
      </w:r>
      <w:r>
        <w:rPr>
          <w:rFonts w:ascii="Times New Roman" w:hAnsi="Times New Roman" w:cs="Times New Roman" w:eastAsia="Times New Roman" w:hint="default"/>
          <w:spacing w:val="-2"/>
        </w:rPr>
        <w:t>20,134,142.30</w:t>
      </w:r>
      <w:r>
        <w:rPr>
          <w:spacing w:val="-2"/>
        </w:rPr>
        <w:t>元，占预付账款期末余额合计数的比例为</w:t>
      </w:r>
    </w:p>
    <w:p>
      <w:pPr>
        <w:pStyle w:val="BodyText"/>
        <w:spacing w:line="240" w:lineRule="auto" w:before="63"/>
        <w:ind w:right="0"/>
        <w:jc w:val="left"/>
      </w:pPr>
      <w:r>
        <w:rPr>
          <w:rFonts w:ascii="Times New Roman" w:hAnsi="Times New Roman" w:cs="Times New Roman" w:eastAsia="Times New Roman" w:hint="default"/>
        </w:rPr>
        <w:t>16.30%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right="0"/>
        <w:jc w:val="left"/>
      </w:pPr>
      <w:bookmarkStart w:name="7、其他应收款 " w:id="225"/>
      <w:bookmarkEnd w:id="225"/>
      <w:r>
        <w:rPr/>
      </w:r>
      <w:r>
        <w:rPr/>
        <w:t>其他说明：</w:t>
      </w:r>
    </w:p>
    <w:p>
      <w:pPr>
        <w:spacing w:line="240" w:lineRule="auto" w:before="0"/>
        <w:rPr>
          <w:rFonts w:ascii="宋体" w:hAnsi="宋体" w:cs="宋体" w:eastAsia="宋体" w:hint="default"/>
          <w:sz w:val="18"/>
          <w:szCs w:val="18"/>
        </w:rPr>
      </w:pPr>
    </w:p>
    <w:p>
      <w:pPr>
        <w:pStyle w:val="Heading3"/>
        <w:spacing w:line="240" w:lineRule="auto" w:before="117"/>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 w:id="226"/>
      <w:bookmarkEnd w:id="22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4"/>
        <w:gridCol w:w="762"/>
        <w:gridCol w:w="761"/>
        <w:gridCol w:w="763"/>
        <w:gridCol w:w="763"/>
        <w:gridCol w:w="787"/>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3D3D3"/>
          </w:tcPr>
          <w:p>
            <w:pPr/>
          </w:p>
        </w:tc>
        <w:tc>
          <w:tcPr>
            <w:tcW w:w="383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8" w:hRule="exact"/>
        </w:trPr>
        <w:tc>
          <w:tcPr>
            <w:tcW w:w="1624" w:type="dxa"/>
            <w:vMerge/>
            <w:tcBorders>
              <w:left w:val="single" w:sz="4" w:space="0" w:color="000000"/>
              <w:bottom w:val="nil" w:sz="6" w:space="0" w:color="auto"/>
              <w:right w:val="single" w:sz="4" w:space="0" w:color="000000"/>
            </w:tcBorders>
            <w:shd w:val="clear" w:color="auto" w:fill="D3D3D3"/>
          </w:tcPr>
          <w:p>
            <w:pPr/>
          </w:p>
        </w:tc>
        <w:tc>
          <w:tcPr>
            <w:tcW w:w="15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
        </w:tc>
      </w:tr>
      <w:tr>
        <w:trPr>
          <w:trHeight w:val="249" w:hRule="exact"/>
        </w:trPr>
        <w:tc>
          <w:tcPr>
            <w:tcW w:w="16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523" w:type="dxa"/>
            <w:gridSpan w:val="2"/>
            <w:vMerge/>
            <w:tcBorders>
              <w:left w:val="single" w:sz="4" w:space="0" w:color="000000"/>
              <w:bottom w:val="single" w:sz="4" w:space="0" w:color="000000"/>
              <w:right w:val="single" w:sz="4" w:space="0" w:color="000000"/>
            </w:tcBorders>
            <w:shd w:val="clear" w:color="auto" w:fill="D3D3D3"/>
          </w:tcPr>
          <w:p>
            <w:pP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7" w:type="dxa"/>
            <w:gridSpan w:val="2"/>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155" w:hRule="exact"/>
        </w:trPr>
        <w:tc>
          <w:tcPr>
            <w:tcW w:w="1624" w:type="dxa"/>
            <w:vMerge/>
            <w:tcBorders>
              <w:left w:val="single" w:sz="4" w:space="0" w:color="000000"/>
              <w:bottom w:val="single" w:sz="6"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1"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3D3D3"/>
          </w:tcPr>
          <w:p>
            <w:pP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7"/>
              <w:ind w:left="285" w:right="105" w:hanging="180"/>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1"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4" w:type="dxa"/>
            <w:vMerge w:val="restart"/>
            <w:tcBorders>
              <w:top w:val="single" w:sz="6" w:space="0" w:color="FFFFFF"/>
              <w:left w:val="single" w:sz="4" w:space="0" w:color="000000"/>
              <w:right w:val="single" w:sz="4" w:space="0" w:color="000000"/>
            </w:tcBorders>
            <w:shd w:val="clear" w:color="auto" w:fill="D3D3D3"/>
          </w:tcPr>
          <w:p>
            <w:pPr/>
          </w:p>
        </w:tc>
        <w:tc>
          <w:tcPr>
            <w:tcW w:w="762"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6"/>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6" w:space="0" w:color="FFFFFF"/>
              <w:left w:val="single" w:sz="4" w:space="0" w:color="000000"/>
              <w:right w:val="single" w:sz="4" w:space="0" w:color="000000"/>
            </w:tcBorders>
            <w:shd w:val="clear" w:color="auto" w:fill="D3D3D3"/>
          </w:tcPr>
          <w:p>
            <w:pPr>
              <w:pStyle w:val="TableParagraph"/>
              <w:spacing w:line="240" w:lineRule="auto" w:before="46"/>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6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24" w:type="dxa"/>
            <w:vMerge/>
            <w:tcBorders>
              <w:left w:val="single" w:sz="4" w:space="0" w:color="000000"/>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right w:val="single" w:sz="4" w:space="0" w:color="000000"/>
            </w:tcBorders>
            <w:shd w:val="clear" w:color="auto" w:fill="D3D3D3"/>
          </w:tcPr>
          <w:p>
            <w:pPr/>
          </w:p>
        </w:tc>
        <w:tc>
          <w:tcPr>
            <w:tcW w:w="787" w:type="dxa"/>
            <w:vMerge w:val="restart"/>
            <w:tcBorders>
              <w:top w:val="nil" w:sz="6" w:space="0" w:color="auto"/>
              <w:left w:val="single" w:sz="4" w:space="0" w:color="000000"/>
              <w:right w:val="single" w:sz="4" w:space="0" w:color="000000"/>
            </w:tcBorders>
            <w:shd w:val="clear" w:color="auto" w:fill="D3D3D3"/>
          </w:tcPr>
          <w:p>
            <w:pPr/>
          </w:p>
        </w:tc>
        <w:tc>
          <w:tcPr>
            <w:tcW w:w="655"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59"/>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100"/>
                <w:sz w:val="18"/>
                <w:szCs w:val="18"/>
              </w:rPr>
              <w:t> </w:t>
            </w:r>
            <w:r>
              <w:rPr>
                <w:rFonts w:ascii="宋体" w:hAnsi="宋体" w:cs="宋体" w:eastAsia="宋体" w:hint="default"/>
                <w:sz w:val="18"/>
                <w:szCs w:val="18"/>
              </w:rPr>
              <w:t>合计提坏账准备的</w:t>
            </w:r>
            <w:r>
              <w:rPr>
                <w:rFonts w:ascii="宋体" w:hAnsi="宋体" w:cs="宋体" w:eastAsia="宋体" w:hint="default"/>
                <w:w w:val="100"/>
                <w:sz w:val="18"/>
                <w:szCs w:val="18"/>
              </w:rPr>
              <w:t> </w:t>
            </w:r>
            <w:r>
              <w:rPr>
                <w:rFonts w:ascii="宋体" w:hAnsi="宋体" w:cs="宋体" w:eastAsia="宋体" w:hint="default"/>
                <w:sz w:val="18"/>
                <w:szCs w:val="18"/>
              </w:rPr>
              <w:t>其他应收款</w:t>
            </w:r>
          </w:p>
        </w:tc>
        <w:tc>
          <w:tcPr>
            <w:tcW w:w="76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54,668,4</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04.25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4,244,90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7.76%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50,423,50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2.78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14,268,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235.36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1,336,976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9.37%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12,931,258.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r>
      <w:tr>
        <w:trPr>
          <w:trHeight w:val="160" w:hRule="exact"/>
        </w:trPr>
        <w:tc>
          <w:tcPr>
            <w:tcW w:w="1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vMerge w:val="restart"/>
            <w:tcBorders>
              <w:top w:val="single" w:sz="4" w:space="0" w:color="000000"/>
              <w:left w:val="single" w:sz="9" w:space="0" w:color="D3D3D3"/>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54,668,4</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04.25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4,244,90</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1.47</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7.76%</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50,423,50</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2.78</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14,268,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235.36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1,336,976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9.37%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12,931,258.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2" w:type="dxa"/>
            <w:vMerge/>
            <w:tcBorders>
              <w:left w:val="single" w:sz="9" w:space="0" w:color="D3D3D3"/>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vMerge/>
            <w:tcBorders>
              <w:left w:val="single" w:sz="9" w:space="0" w:color="D3D3D3"/>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pStyle w:val="BodyText"/>
        <w:spacing w:line="240" w:lineRule="auto" w:before="49"/>
        <w:ind w:right="0"/>
        <w:jc w:val="left"/>
      </w:pPr>
      <w:r>
        <w:rPr>
          <w:spacing w:val="-1"/>
        </w:rPr>
        <w:t>期末单项金额重大并单项计提坏账准备的其他应收款：</w:t>
      </w:r>
    </w:p>
    <w:p>
      <w:pPr>
        <w:pStyle w:val="BodyText"/>
        <w:spacing w:line="360" w:lineRule="auto" w:before="115"/>
        <w:ind w:right="0"/>
        <w:jc w:val="left"/>
      </w:pPr>
      <w:r>
        <w:rPr/>
        <w:t>□ 适用 √ 不适用</w:t>
      </w:r>
      <w:r>
        <w:rPr>
          <w:w w:val="100"/>
        </w:rPr>
        <w:t> </w:t>
      </w:r>
      <w:r>
        <w:rPr>
          <w:spacing w:val="-1"/>
        </w:rPr>
        <w:t>组合中，按账龄分析法计提坏账准备的其他应收款：</w:t>
      </w:r>
    </w:p>
    <w:p>
      <w:pPr>
        <w:pStyle w:val="BodyText"/>
        <w:spacing w:line="240" w:lineRule="auto" w:before="27"/>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3"/>
            <w:col w:w="1124"/>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2"/>
        <w:gridCol w:w="2381"/>
      </w:tblGrid>
      <w:tr>
        <w:trPr>
          <w:trHeight w:val="202" w:hRule="exact"/>
        </w:trPr>
        <w:tc>
          <w:tcPr>
            <w:tcW w:w="2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716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67" w:type="dxa"/>
            <w:gridSpan w:val="3"/>
            <w:vMerge/>
            <w:tcBorders>
              <w:left w:val="single" w:sz="4" w:space="0" w:color="000000"/>
              <w:bottom w:val="single" w:sz="2" w:space="0" w:color="FFFFFF"/>
              <w:right w:val="single" w:sz="4" w:space="0" w:color="000000"/>
            </w:tcBorders>
            <w:shd w:val="clear" w:color="auto" w:fill="D3D3D3"/>
          </w:tcPr>
          <w:p>
            <w:pPr/>
          </w:p>
        </w:tc>
      </w:tr>
      <w:tr>
        <w:trPr>
          <w:trHeight w:val="196" w:hRule="exact"/>
        </w:trPr>
        <w:tc>
          <w:tcPr>
            <w:tcW w:w="2379"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6" w:hRule="exact"/>
        </w:trPr>
        <w:tc>
          <w:tcPr>
            <w:tcW w:w="2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81" w:type="dxa"/>
            <w:vMerge/>
            <w:tcBorders>
              <w:left w:val="single" w:sz="4" w:space="0" w:color="000000"/>
              <w:bottom w:val="single" w:sz="4" w:space="0" w:color="000000"/>
              <w:right w:val="single" w:sz="4" w:space="0" w:color="000000"/>
            </w:tcBorders>
            <w:shd w:val="clear" w:color="auto" w:fill="D3D3D3"/>
          </w:tcPr>
          <w:p>
            <w:pPr/>
          </w:p>
        </w:tc>
      </w:tr>
      <w:tr>
        <w:trPr>
          <w:trHeight w:val="397"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2" w:hRule="exact"/>
        </w:trPr>
        <w:tc>
          <w:tcPr>
            <w:tcW w:w="23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left="1313" w:right="0"/>
              <w:jc w:val="left"/>
              <w:rPr>
                <w:rFonts w:ascii="Times New Roman" w:hAnsi="Times New Roman" w:cs="Times New Roman" w:eastAsia="Times New Roman" w:hint="default"/>
                <w:sz w:val="18"/>
                <w:szCs w:val="18"/>
              </w:rPr>
            </w:pPr>
            <w:r>
              <w:rPr>
                <w:rFonts w:ascii="Times New Roman"/>
                <w:sz w:val="18"/>
              </w:rPr>
              <w:t>41,614,796.26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1" w:right="0"/>
              <w:jc w:val="left"/>
              <w:rPr>
                <w:rFonts w:ascii="Times New Roman" w:hAnsi="Times New Roman" w:cs="Times New Roman" w:eastAsia="Times New Roman" w:hint="default"/>
                <w:sz w:val="18"/>
                <w:szCs w:val="18"/>
              </w:rPr>
            </w:pPr>
            <w:r>
              <w:rPr>
                <w:rFonts w:ascii="Times New Roman"/>
                <w:sz w:val="18"/>
              </w:rPr>
              <w:t>2,080,723.67</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9,641,337.99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964,133.80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1,686,970.00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862,650.00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54,668,404.25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4,244,901.47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w:t>
            </w:r>
          </w:p>
        </w:tc>
      </w:tr>
    </w:tbl>
    <w:p>
      <w:pPr>
        <w:pStyle w:val="BodyText"/>
        <w:spacing w:line="357" w:lineRule="auto" w:before="49"/>
        <w:ind w:left="512" w:right="0" w:hanging="360"/>
        <w:jc w:val="left"/>
      </w:pPr>
      <w:r>
        <w:rPr/>
        <w:t>确定该组合依据的说明：</w:t>
      </w:r>
      <w:r>
        <w:rPr>
          <w:w w:val="100"/>
        </w:rPr>
        <w:t> </w:t>
      </w:r>
      <w:r>
        <w:rPr>
          <w:spacing w:val="-3"/>
        </w:rPr>
        <w:t>除单独计提减值准备的其他应收款外，公司根据以前年度与之相同或相类似的、按账龄段划分的具有类似信用风险特征</w:t>
      </w:r>
    </w:p>
    <w:p>
      <w:pPr>
        <w:pStyle w:val="BodyText"/>
        <w:spacing w:line="224" w:lineRule="exact"/>
        <w:ind w:right="0"/>
        <w:jc w:val="left"/>
      </w:pPr>
      <w:r>
        <w:rPr/>
        <w:t>的其他应收款组合的实际损失率为基础，结合现时情况分析法确定坏账准备计提的比例。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组合中，采用余额百分比法计提坏账准备的其他应收款：</w:t>
      </w:r>
    </w:p>
    <w:p>
      <w:pPr>
        <w:pStyle w:val="BodyText"/>
        <w:spacing w:line="357" w:lineRule="auto" w:before="117"/>
        <w:ind w:right="5260"/>
        <w:jc w:val="left"/>
      </w:pPr>
      <w:r>
        <w:rPr/>
        <w:t>□ 适用 √ 不适用</w:t>
      </w:r>
      <w:r>
        <w:rPr>
          <w:w w:val="100"/>
        </w:rPr>
        <w:t> </w:t>
      </w:r>
      <w:r>
        <w:rPr>
          <w:spacing w:val="-1"/>
        </w:rPr>
        <w:t>组合中，采用其他方法计提坏账准备的其他应收款：</w:t>
      </w:r>
    </w:p>
    <w:p>
      <w:pPr>
        <w:pStyle w:val="BodyText"/>
        <w:spacing w:line="240" w:lineRule="auto" w:before="29"/>
        <w:ind w:right="0"/>
        <w:jc w:val="left"/>
      </w:pPr>
      <w:bookmarkStart w:name="（2）本期计提、收回或转回的坏账准备情况 " w:id="227"/>
      <w:bookmarkEnd w:id="227"/>
      <w:r>
        <w:rPr/>
      </w: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980"/>
        </w:sectPr>
      </w:pPr>
    </w:p>
    <w:p>
      <w:pPr>
        <w:pStyle w:val="BodyText"/>
        <w:spacing w:line="338" w:lineRule="auto" w:before="44"/>
        <w:ind w:right="0"/>
        <w:jc w:val="left"/>
      </w:pPr>
      <w:r>
        <w:rPr/>
        <w:t>本期计提坏账准备金额</w:t>
      </w:r>
      <w:r>
        <w:rPr>
          <w:spacing w:val="-55"/>
        </w:rPr>
        <w:t> </w:t>
      </w:r>
      <w:r>
        <w:rPr>
          <w:rFonts w:ascii="Times New Roman" w:hAnsi="Times New Roman" w:cs="Times New Roman" w:eastAsia="Times New Roman" w:hint="default"/>
        </w:rPr>
        <w:t>2,357,372.80</w:t>
      </w:r>
      <w:r>
        <w:rPr>
          <w:rFonts w:ascii="Times New Roman" w:hAnsi="Times New Roman" w:cs="Times New Roman" w:eastAsia="Times New Roman" w:hint="default"/>
          <w:spacing w:val="-8"/>
        </w:rPr>
        <w:t> </w:t>
      </w:r>
      <w:r>
        <w:rPr/>
        <w:t>元；本期收回或转回坏账准备金额元。</w:t>
      </w:r>
      <w:r>
        <w:rPr>
          <w:w w:val="100"/>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bookmarkStart w:name="（3）本期实际核销的其他应收款情况 " w:id="228"/>
            <w:bookmarkEnd w:id="228"/>
            <w:r>
              <w:rPr/>
            </w: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2;top:14;width:2;height:392" coordorigin="22,14" coordsize="2,392">
              <v:shape style="position:absolute;left:22;top:14;width:2;height:392" coordorigin="22,14" coordsize="0,392" path="m22,14l22,406e" filled="false" stroked="true" strokeweight="1.2pt" strokecolor="#d3d3d3">
                <v:path arrowok="t"/>
              </v:shape>
            </v:group>
            <v:group style="position:absolute;left:4770;top:14;width:2;height:392" coordorigin="4770,14" coordsize="2,392">
              <v:shape style="position:absolute;left:4770;top:14;width:2;height:392" coordorigin="4770,14" coordsize="0,392" path="m4770,14l4770,406e" filled="false" stroked="true" strokeweight="1.08pt" strokecolor="#d3d3d3">
                <v:path arrowok="t"/>
              </v:shape>
            </v:group>
            <v:group style="position:absolute;left:34;top:14;width:4726;height:392" coordorigin="34,14" coordsize="4726,392">
              <v:shape style="position:absolute;left:34;top:14;width:4726;height:392" coordorigin="34,14" coordsize="4726,392" path="m34,14l4759,14,4759,406,34,406,34,14xe" filled="true" fillcolor="#d3d3d3" stroked="false">
                <v:path arrowok="t"/>
                <v:fill type="solid"/>
              </v:shape>
            </v:group>
            <v:group style="position:absolute;left:4802;top:14;width:2;height:392" coordorigin="4802,14" coordsize="2,392">
              <v:shape style="position:absolute;left:4802;top:14;width:2;height:392" coordorigin="4802,14" coordsize="0,392" path="m4802,14l4802,406e" filled="false" stroked="true" strokeweight="1.2pt" strokecolor="#d3d3d3">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3d3d3">
                <v:path arrowok="t"/>
              </v:shape>
            </v:group>
            <v:group style="position:absolute;left:4814;top:14;width:4731;height:392" coordorigin="4814,14" coordsize="4731,392">
              <v:shape style="position:absolute;left:4814;top:14;width:4731;height:392" coordorigin="4814,14" coordsize="4731,392" path="m4814,14l9545,14,9545,406,4814,406,4814,14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9;height:2" coordorigin="4790,10" coordsize="4779,2">
              <v:shape style="position:absolute;left:4790;top:10;width:4779;height:2" coordorigin="4790,10" coordsize="4779,0" path="m4790,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2;height:2" coordorigin="10,410" coordsize="4772,2">
              <v:shape style="position:absolute;left:10;top:410;width:4772;height:2" coordorigin="10,410" coordsize="4772,0" path="m10,410l4781,410e" filled="false" stroked="true" strokeweight=".48pt" strokecolor="#000000">
                <v:path arrowok="t"/>
              </v:shape>
            </v:group>
            <v:group style="position:absolute;left:4786;top:5;width:2;height:411" coordorigin="4786,5" coordsize="2,411">
              <v:shape style="position:absolute;left:4786;top:5;width:2;height:411" coordorigin="4786,5" coordsize="0,411" path="m4786,5l4786,415e" filled="false" stroked="true" strokeweight=".48pt" strokecolor="#000000">
                <v:path arrowok="t"/>
              </v:shape>
            </v:group>
            <v:group style="position:absolute;left:4790;top:410;width:4779;height:2" coordorigin="4790,410" coordsize="4779,2">
              <v:shape style="position:absolute;left:4790;top:410;width:4779;height:2" coordorigin="4790,410" coordsize="4779,0" path="m4790,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2215;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6;top:10;width:4788;height:401"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其中重要的其他应收款核销情况：</w:t>
      </w:r>
    </w:p>
    <w:p>
      <w:pPr>
        <w:pStyle w:val="BodyText"/>
        <w:spacing w:line="240" w:lineRule="auto" w:before="117"/>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85"/>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2" w:right="61" w:hanging="452"/>
              <w:jc w:val="left"/>
              <w:rPr>
                <w:rFonts w:ascii="宋体" w:hAnsi="宋体" w:cs="宋体" w:eastAsia="宋体" w:hint="default"/>
                <w:sz w:val="18"/>
                <w:szCs w:val="18"/>
              </w:rPr>
            </w:pPr>
            <w:r>
              <w:rPr>
                <w:rFonts w:ascii="宋体" w:hAnsi="宋体" w:cs="宋体" w:eastAsia="宋体" w:hint="default"/>
                <w:sz w:val="18"/>
                <w:szCs w:val="18"/>
              </w:rPr>
              <w:t>款项是否由关联交</w:t>
            </w:r>
            <w:r>
              <w:rPr>
                <w:rFonts w:ascii="宋体" w:hAnsi="宋体" w:cs="宋体" w:eastAsia="宋体" w:hint="default"/>
                <w:w w:val="100"/>
                <w:sz w:val="18"/>
                <w:szCs w:val="18"/>
              </w:rPr>
              <w:t> </w:t>
            </w:r>
            <w:r>
              <w:rPr>
                <w:rFonts w:ascii="宋体" w:hAnsi="宋体" w:cs="宋体" w:eastAsia="宋体" w:hint="default"/>
                <w:sz w:val="18"/>
                <w:szCs w:val="18"/>
              </w:rPr>
              <w:t>易产生</w:t>
            </w:r>
          </w:p>
        </w:tc>
      </w:tr>
    </w:tbl>
    <w:p>
      <w:pPr>
        <w:pStyle w:val="BodyText"/>
        <w:spacing w:line="240" w:lineRule="auto" w:before="49"/>
        <w:ind w:right="0"/>
        <w:jc w:val="left"/>
      </w:pPr>
      <w:bookmarkStart w:name="（4）其他应收款按款项性质分类情况 " w:id="229"/>
      <w:bookmarkEnd w:id="229"/>
      <w:r>
        <w:rPr/>
      </w: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41,164,304.09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12,035,350.56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1,521,598.89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788,290.78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7,750,487.66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1,074,754.02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3,936,311.54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369,840.00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54,668,404.25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8" w:right="0"/>
              <w:jc w:val="left"/>
              <w:rPr>
                <w:rFonts w:ascii="Times New Roman" w:hAnsi="Times New Roman" w:cs="Times New Roman" w:eastAsia="Times New Roman" w:hint="default"/>
                <w:sz w:val="18"/>
                <w:szCs w:val="18"/>
              </w:rPr>
            </w:pPr>
            <w:r>
              <w:rPr>
                <w:rFonts w:ascii="Times New Roman"/>
                <w:sz w:val="18"/>
              </w:rPr>
              <w:t>14,268,235.36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按欠款方归集的期末余额前五名的其他应收款情况 " w:id="230"/>
      <w:bookmarkEnd w:id="23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72"/>
              <w:jc w:val="left"/>
              <w:rPr>
                <w:rFonts w:ascii="宋体" w:hAnsi="宋体" w:cs="宋体" w:eastAsia="宋体" w:hint="default"/>
                <w:sz w:val="18"/>
                <w:szCs w:val="18"/>
              </w:rPr>
            </w:pPr>
            <w:r>
              <w:rPr>
                <w:rFonts w:ascii="宋体" w:hAnsi="宋体" w:cs="宋体" w:eastAsia="宋体" w:hint="default"/>
                <w:sz w:val="18"/>
                <w:szCs w:val="18"/>
              </w:rPr>
              <w:t>占其他应收款期末</w:t>
            </w:r>
            <w:r>
              <w:rPr>
                <w:rFonts w:ascii="宋体" w:hAnsi="宋体" w:cs="宋体" w:eastAsia="宋体" w:hint="default"/>
                <w:w w:val="100"/>
                <w:sz w:val="18"/>
                <w:szCs w:val="18"/>
              </w:rPr>
              <w:t> </w:t>
            </w:r>
            <w:r>
              <w:rPr>
                <w:rFonts w:ascii="宋体" w:hAnsi="宋体" w:cs="宋体" w:eastAsia="宋体" w:hint="default"/>
                <w:sz w:val="18"/>
                <w:szCs w:val="18"/>
              </w:rPr>
              <w:t>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扶持资金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3,936,311.54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196,815.58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建筑保障金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3,720,860.00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186,043.00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154,125.00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19,739,671.54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986,983.58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 w:id="231"/>
      <w:bookmarkEnd w:id="23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52"/>
        <w:jc w:val="right"/>
      </w:pPr>
      <w:r>
        <w:rPr/>
        <w:pict>
          <v:shape style="position:absolute;margin-left:56.400002pt;margin-top:-36.365284pt;width:479.3pt;height:107.5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3"/>
                    <w:gridCol w:w="1915"/>
                    <w:gridCol w:w="1913"/>
                    <w:gridCol w:w="1918"/>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685" w:right="50" w:hanging="632"/>
                          <w:jc w:val="left"/>
                          <w:rPr>
                            <w:rFonts w:ascii="宋体" w:hAnsi="宋体" w:cs="宋体" w:eastAsia="宋体" w:hint="default"/>
                            <w:sz w:val="18"/>
                            <w:szCs w:val="18"/>
                          </w:rPr>
                        </w:pPr>
                        <w:r>
                          <w:rPr>
                            <w:rFonts w:ascii="宋体" w:hAnsi="宋体" w:cs="宋体" w:eastAsia="宋体" w:hint="default"/>
                            <w:sz w:val="18"/>
                            <w:szCs w:val="18"/>
                          </w:rPr>
                          <w:t>预计收取的时间、金额</w:t>
                        </w:r>
                        <w:r>
                          <w:rPr>
                            <w:rFonts w:ascii="宋体" w:hAnsi="宋体" w:cs="宋体" w:eastAsia="宋体" w:hint="default"/>
                            <w:w w:val="100"/>
                            <w:sz w:val="18"/>
                            <w:szCs w:val="18"/>
                          </w:rPr>
                          <w:t> </w:t>
                        </w:r>
                        <w:r>
                          <w:rPr>
                            <w:rFonts w:ascii="宋体" w:hAnsi="宋体" w:cs="宋体" w:eastAsia="宋体" w:hint="default"/>
                            <w:sz w:val="18"/>
                            <w:szCs w:val="18"/>
                          </w:rPr>
                          <w:t>及依据</w:t>
                        </w:r>
                      </w:p>
                    </w:tc>
                  </w:tr>
                  <w:tr>
                    <w:trPr>
                      <w:trHeight w:val="360"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2015.1.19 </w:t>
                        </w:r>
                        <w:r>
                          <w:rPr>
                            <w:rFonts w:ascii="宋体" w:hAnsi="宋体" w:cs="宋体" w:eastAsia="宋体" w:hint="default"/>
                            <w:sz w:val="18"/>
                            <w:szCs w:val="18"/>
                          </w:rPr>
                          <w:t>收</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744,123.96</w:t>
                        </w:r>
                      </w:p>
                    </w:tc>
                  </w:tr>
                  <w:tr>
                    <w:trPr>
                      <w:trHeight w:val="317"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扶持资金</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pacing w:val="-1"/>
                            <w:sz w:val="18"/>
                          </w:rPr>
                          <w:t>3,936,311.54</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2015.3.12 </w:t>
                        </w:r>
                        <w:r>
                          <w:rPr>
                            <w:rFonts w:ascii="宋体" w:hAnsi="宋体" w:cs="宋体" w:eastAsia="宋体" w:hint="default"/>
                            <w:sz w:val="18"/>
                            <w:szCs w:val="18"/>
                          </w:rPr>
                          <w:t>收</w:t>
                        </w:r>
                      </w:p>
                    </w:tc>
                  </w:tr>
                  <w:tr>
                    <w:trPr>
                      <w:trHeight w:val="350"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5" w:right="0"/>
                          <w:jc w:val="left"/>
                          <w:rPr>
                            <w:rFonts w:ascii="Times New Roman" w:hAnsi="Times New Roman" w:cs="Times New Roman" w:eastAsia="Times New Roman" w:hint="default"/>
                            <w:sz w:val="18"/>
                            <w:szCs w:val="18"/>
                          </w:rPr>
                        </w:pPr>
                        <w:r>
                          <w:rPr>
                            <w:rFonts w:ascii="Times New Roman"/>
                            <w:sz w:val="18"/>
                          </w:rPr>
                          <w:t>3,192,187.58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3,936,311.54</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240" w:lineRule="auto" w:before="36"/>
        <w:ind w:right="0"/>
        <w:jc w:val="left"/>
        <w:rPr>
          <w:b w:val="0"/>
          <w:bCs w:val="0"/>
        </w:rPr>
      </w:pPr>
      <w:bookmarkStart w:name="（7）因金融资产转移而终止确认的其他应收款 " w:id="232"/>
      <w:bookmarkEnd w:id="23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8）转移其他应收款且继续涉入形成的资产、负债金额 " w:id="233"/>
      <w:bookmarkEnd w:id="23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3"/>
        <w:jc w:val="left"/>
      </w:pPr>
      <w:r>
        <w:rPr/>
        <w:t>无</w:t>
      </w:r>
      <w:r>
        <w:rPr>
          <w:w w:val="100"/>
        </w:rPr>
        <w:t> </w:t>
      </w:r>
      <w:r>
        <w:rPr/>
        <w:t>其他说明：</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8、存货 " w:id="234"/>
      <w:bookmarkEnd w:id="234"/>
      <w:r>
        <w:rPr>
          <w:b w:val="0"/>
          <w:bCs w:val="0"/>
        </w:rPr>
      </w:r>
      <w:r>
        <w:rPr>
          <w:rFonts w:ascii="Times New Roman" w:hAnsi="Times New Roman" w:cs="Times New Roman" w:eastAsia="Times New Roman" w:hint="default"/>
        </w:rPr>
        <w:t>8</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 w:id="235"/>
      <w:bookmarkEnd w:id="23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5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30"/>
          <w:pgSz w:w="11910" w:h="16840"/>
          <w:pgMar w:footer="981" w:header="745" w:top="1060" w:bottom="1180" w:left="980" w:right="980"/>
          <w:pgNumType w:start="11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681,517,817.90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681,517,817.90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510,880,789.53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510,880,789.53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物资采购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29,065,694.53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29,065,694.53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2,475,081.19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2,475,081.19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710,583,512.43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710,583,512.43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513,355,870.72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513,355,870.72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 " w:id="236"/>
      <w:bookmarkEnd w:id="23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 w:id="237"/>
      <w:bookmarkEnd w:id="23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 w:id="238"/>
      <w:bookmarkEnd w:id="23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pt;mso-position-horizontal-relative:char;mso-position-vertical-relative:line" coordorigin="0,0" coordsize="9579,420">
            <v:group style="position:absolute;left:22;top:14;width:2;height:392" coordorigin="22,14" coordsize="2,392">
              <v:shape style="position:absolute;left:22;top:14;width:2;height:392" coordorigin="22,14" coordsize="0,392" path="m22,14l22,406e" filled="false" stroked="true" strokeweight="1.2pt" strokecolor="#d3d3d3">
                <v:path arrowok="t"/>
              </v:shape>
            </v:group>
            <v:group style="position:absolute;left:4772;top:14;width:2;height:392" coordorigin="4772,14" coordsize="2,392">
              <v:shape style="position:absolute;left:4772;top:14;width:2;height:392" coordorigin="4772,14" coordsize="0,392" path="m4772,14l4772,406e" filled="false" stroked="true" strokeweight="1.08pt" strokecolor="#d3d3d3">
                <v:path arrowok="t"/>
              </v:shape>
            </v:group>
            <v:group style="position:absolute;left:34;top:14;width:4728;height:392" coordorigin="34,14" coordsize="4728,392">
              <v:shape style="position:absolute;left:34;top:14;width:4728;height:392" coordorigin="34,14" coordsize="4728,392" path="m34,14l4762,14,4762,406,34,406,34,14xe" filled="true" fillcolor="#d3d3d3"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32pt" strokecolor="#d3d3d3">
                <v:path arrowok="t"/>
              </v:shape>
            </v:group>
            <v:group style="position:absolute;left:9558;top:14;width:2;height:392" coordorigin="9558,14" coordsize="2,392">
              <v:shape style="position:absolute;left:9558;top:14;width:2;height:392" coordorigin="9558,14" coordsize="0,392" path="m9558,14l9558,406e" filled="false" stroked="true" strokeweight="1.08pt" strokecolor="#d3d3d3">
                <v:path arrowok="t"/>
              </v:shape>
            </v:group>
            <v:group style="position:absolute;left:4819;top:14;width:4728;height:392" coordorigin="4819,14" coordsize="4728,392">
              <v:shape style="position:absolute;left:4819;top:14;width:4728;height:392" coordorigin="4819,14" coordsize="4728,392" path="m4819,14l9547,14,9547,406,4819,406,4819,14xe" filled="true" fillcolor="#d3d3d3" stroked="false">
                <v:path arrowok="t"/>
                <v:fill type="solid"/>
              </v:shape>
            </v:group>
            <v:group style="position:absolute;left:10;top:10;width:4774;height:2" coordorigin="10,10" coordsize="4774,2">
              <v:shape style="position:absolute;left:10;top:10;width:4774;height:2" coordorigin="10,10" coordsize="4774,0" path="m10,10l4783,10e" filled="false" stroked="true" strokeweight=".48pt" strokecolor="#000000">
                <v:path arrowok="t"/>
              </v:shape>
            </v:group>
            <v:group style="position:absolute;left:4793;top:10;width:4776;height:2" coordorigin="4793,10" coordsize="4776,2">
              <v:shape style="position:absolute;left:4793;top:10;width:4776;height:2" coordorigin="4793,10" coordsize="4776,0" path="m4793,10l9569,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4;height:2" coordorigin="10,410" coordsize="4774,2">
              <v:shape style="position:absolute;left:10;top:410;width:4774;height:2" coordorigin="10,410" coordsize="4774,0" path="m10,410l4783,410e" filled="false" stroked="true" strokeweight=".48pt" strokecolor="#000000">
                <v:path arrowok="t"/>
              </v:shape>
            </v:group>
            <v:group style="position:absolute;left:4788;top:5;width:2;height:411" coordorigin="4788,5" coordsize="2,411">
              <v:shape style="position:absolute;left:4788;top:5;width:2;height:411" coordorigin="4788,5" coordsize="0,411" path="m4788,5l4788,415e" filled="false" stroked="true" strokeweight=".48pt" strokecolor="#000000">
                <v:path arrowok="t"/>
              </v:shape>
            </v:group>
            <v:group style="position:absolute;left:4793;top:410;width:4776;height:2" coordorigin="4793,410" coordsize="4776,2">
              <v:shape style="position:absolute;left:4793;top:410;width:4776;height:2" coordorigin="4793,410" coordsize="4776,0" path="m4793,410l9569,410e" filled="false" stroked="true" strokeweight=".48pt" strokecolor="#000000">
                <v:path arrowok="t"/>
              </v:shape>
            </v:group>
            <v:group style="position:absolute;left:9574;top:5;width:2;height:411" coordorigin="9574,5" coordsize="2,411">
              <v:shape style="position:absolute;left:9574;top:5;width:2;height:411" coordorigin="9574,5" coordsize="0,411" path="m9574,5l9574,415e" filled="false" stroked="true" strokeweight=".48pt" strokecolor="#000000">
                <v:path arrowok="t"/>
              </v:shape>
              <v:shape style="position:absolute;left:2217;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9、一年内到期的非流动资产 " w:id="239"/>
      <w:bookmarkEnd w:id="239"/>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0、其他流动资产 " w:id="240"/>
      <w:bookmarkEnd w:id="240"/>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11,736,200.16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2,290,482.98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167,896.15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11,904,096.31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2,290,482.98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1、固定资产 " w:id="241"/>
      <w:bookmarkEnd w:id="241"/>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 w:id="242"/>
      <w:bookmarkEnd w:id="24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8"/>
        <w:gridCol w:w="1208"/>
        <w:gridCol w:w="1195"/>
        <w:gridCol w:w="1195"/>
        <w:gridCol w:w="1195"/>
        <w:gridCol w:w="1286"/>
        <w:gridCol w:w="1368"/>
      </w:tblGrid>
      <w:tr>
        <w:trPr>
          <w:trHeight w:val="403" w:hRule="exact"/>
        </w:trPr>
        <w:tc>
          <w:tcPr>
            <w:tcW w:w="2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67"/>
              <w:jc w:val="right"/>
              <w:rPr>
                <w:rFonts w:ascii="宋体" w:hAnsi="宋体" w:cs="宋体" w:eastAsia="宋体" w:hint="default"/>
                <w:sz w:val="18"/>
                <w:szCs w:val="18"/>
              </w:rPr>
            </w:pPr>
            <w:r>
              <w:rPr>
                <w:rFonts w:ascii="宋体" w:hAnsi="宋体" w:cs="宋体" w:eastAsia="宋体" w:hint="default"/>
                <w:spacing w:val="-1"/>
                <w:sz w:val="18"/>
                <w:szCs w:val="18"/>
              </w:rPr>
              <w:t>项目</w:t>
            </w:r>
          </w:p>
        </w:tc>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24"/>
              <w:jc w:val="right"/>
              <w:rPr>
                <w:rFonts w:ascii="宋体" w:hAnsi="宋体" w:cs="宋体" w:eastAsia="宋体" w:hint="default"/>
                <w:sz w:val="18"/>
                <w:szCs w:val="18"/>
              </w:rPr>
            </w:pPr>
            <w:r>
              <w:rPr>
                <w:rFonts w:ascii="宋体" w:hAnsi="宋体" w:cs="宋体" w:eastAsia="宋体" w:hint="default"/>
                <w:spacing w:val="-1"/>
                <w:sz w:val="18"/>
                <w:szCs w:val="18"/>
              </w:rPr>
              <w:t>一、账面原值：</w:t>
            </w:r>
          </w:p>
        </w:tc>
        <w:tc>
          <w:tcPr>
            <w:tcW w:w="1208" w:type="dxa"/>
            <w:tcBorders>
              <w:top w:val="single" w:sz="4" w:space="0" w:color="000000"/>
              <w:left w:val="single" w:sz="9" w:space="0" w:color="D3D3D3"/>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31"/>
        <w:gridCol w:w="1198"/>
        <w:gridCol w:w="1195"/>
        <w:gridCol w:w="1195"/>
        <w:gridCol w:w="1195"/>
        <w:gridCol w:w="1286"/>
        <w:gridCol w:w="1368"/>
      </w:tblGrid>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160,466,637.81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56,171,341.16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15,445,448.38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20,360,573.13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252,444,000.48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123,436,165.85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51,294,872.56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26,356,365.31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5,549,746.84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206,637,150.56</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38,761,046.14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19,238,855.90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25,829,346.67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4,112,146.84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87,941,395.55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）在建工程转入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84,675,119.71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14,279,952.34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136,752.14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99,091,824.19</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）企业合并增加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17,776,064.32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390,266.50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1,437,600.00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19,603,930.82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3,097,469.35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668,963.81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2,075,848.79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5,842,281.95</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3,097,469.35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412,724.24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2,038,848.79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5,549,042.38</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256,239.57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293,239.57</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283,902,803.66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104,368,744.37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41,132,849.88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23,834,471.18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453,238,869.09</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8,589,021.79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5,198,057.22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6,651,971.85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7,132,342.67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27,571,393.53</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4,815,007.40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10,734,310.68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4,061,068.41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4,801,921.49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24,412,307.98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4,815,007.40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8,757,163.77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4,053,375.73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4,118,427.27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21,743,974.17</w:t>
            </w:r>
          </w:p>
        </w:tc>
      </w:tr>
      <w:tr>
        <w:trPr>
          <w:trHeight w:val="71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1,977,146.91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7,692.68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683,494.22</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2,668,333.81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931,718.64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338,144.57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1,366,070.11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2,635,933.32</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931,718.64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202,962.97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1,359,040.13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2,493,721.74</w:t>
            </w:r>
          </w:p>
        </w:tc>
      </w:tr>
      <w:tr>
        <w:trPr>
          <w:trHeight w:val="715"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135,181.60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7,029.98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142,211.58</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13,404,029.19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15,000,649.26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10,374,895.69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10,568,194.05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49,347,768.19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270,498,774.47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89,368,095.11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30,757,954.19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13,266,277.13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403,891,100.90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151,877,616.02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50,973,283.94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8,793,476.53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13,228,230.46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224,872,606.95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2）暂时闲置的固定资产情况 " w:id="243"/>
      <w:bookmarkEnd w:id="24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bookmarkStart w:name="（3）通过融资租赁租入的固定资产情况 " w:id="244"/>
            <w:bookmarkEnd w:id="244"/>
            <w:r>
              <w:rPr/>
            </w: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04"/>
      </w:tblGrid>
      <w:tr>
        <w:trPr>
          <w:trHeight w:val="397"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bookmarkStart w:name="（4）通过经营租赁租出的固定资产 " w:id="245"/>
            <w:bookmarkEnd w:id="245"/>
            <w:r>
              <w:rPr/>
            </w: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9"/>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2;top:14;width:2;height:392" coordorigin="22,14" coordsize="2,392">
              <v:shape style="position:absolute;left:22;top:14;width:2;height:392" coordorigin="22,14" coordsize="0,392" path="m22,14l22,406e" filled="false" stroked="true" strokeweight="1.2pt" strokecolor="#d3d3d3">
                <v:path arrowok="t"/>
              </v:shape>
            </v:group>
            <v:group style="position:absolute;left:4770;top:14;width:2;height:392" coordorigin="4770,14" coordsize="2,392">
              <v:shape style="position:absolute;left:4770;top:14;width:2;height:392" coordorigin="4770,14" coordsize="0,392" path="m4770,14l4770,406e" filled="false" stroked="true" strokeweight="1.08pt" strokecolor="#d3d3d3">
                <v:path arrowok="t"/>
              </v:shape>
            </v:group>
            <v:group style="position:absolute;left:34;top:14;width:4726;height:392" coordorigin="34,14" coordsize="4726,392">
              <v:shape style="position:absolute;left:34;top:14;width:4726;height:392" coordorigin="34,14" coordsize="4726,392" path="m34,14l4759,14,4759,406,34,406,34,14xe" filled="true" fillcolor="#d3d3d3" stroked="false">
                <v:path arrowok="t"/>
                <v:fill type="solid"/>
              </v:shape>
            </v:group>
            <v:group style="position:absolute;left:4802;top:14;width:2;height:392" coordorigin="4802,14" coordsize="2,392">
              <v:shape style="position:absolute;left:4802;top:14;width:2;height:392" coordorigin="4802,14" coordsize="0,392" path="m4802,14l4802,406e" filled="false" stroked="true" strokeweight="1.2pt" strokecolor="#d3d3d3">
                <v:path arrowok="t"/>
              </v:shape>
            </v:group>
            <v:group style="position:absolute;left:9557;top:14;width:2;height:392" coordorigin="9557,14" coordsize="2,392">
              <v:shape style="position:absolute;left:9557;top:14;width:2;height:392" coordorigin="9557,14" coordsize="0,392" path="m9557,14l9557,406e" filled="false" stroked="true" strokeweight="1.2pt" strokecolor="#d3d3d3">
                <v:path arrowok="t"/>
              </v:shape>
            </v:group>
            <v:group style="position:absolute;left:4814;top:14;width:4731;height:392" coordorigin="4814,14" coordsize="4731,392">
              <v:shape style="position:absolute;left:4814;top:14;width:4731;height:392" coordorigin="4814,14" coordsize="4731,392" path="m4814,14l9545,14,9545,406,4814,406,4814,14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9;height:2" coordorigin="4790,10" coordsize="4779,2">
              <v:shape style="position:absolute;left:4790;top:10;width:4779;height:2" coordorigin="4790,10" coordsize="4779,0" path="m4790,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9;height:2" coordorigin="4790,413" coordsize="4779,2">
              <v:shape style="position:absolute;left:4790;top:413;width:4779;height:2" coordorigin="4790,413" coordsize="4779,0" path="m4790,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5;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bookmarkStart w:name="（5）未办妥产权证书的固定资产情况 " w:id="246"/>
                      <w:bookmarkEnd w:id="246"/>
                      <w:r>
                        <w:rPr/>
                      </w:r>
                      <w:r>
                        <w:rPr>
                          <w:rFonts w:ascii="宋体" w:hAnsi="宋体" w:cs="宋体" w:eastAsia="宋体" w:hint="default"/>
                          <w:sz w:val="18"/>
                          <w:szCs w:val="18"/>
                        </w:rPr>
                        <w:t>项目</w:t>
                      </w:r>
                    </w:p>
                  </w:txbxContent>
                </v:textbox>
                <w10:wrap type="none"/>
              </v:shape>
              <v:shape style="position:absolute;left:4786;top:10;width:4788;height:402" type="#_x0000_t202" filled="false" stroked="false">
                <v:textbox inset="0,0,0,0">
                  <w:txbxContent>
                    <w:p>
                      <w:pPr>
                        <w:spacing w:before="53"/>
                        <w:ind w:left="2"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55" w:hRule="exact"/>
        </w:trPr>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right="69"/>
              <w:jc w:val="center"/>
              <w:rPr>
                <w:rFonts w:ascii="宋体" w:hAnsi="宋体" w:cs="宋体" w:eastAsia="宋体" w:hint="default"/>
                <w:sz w:val="18"/>
                <w:szCs w:val="18"/>
              </w:rPr>
            </w:pPr>
            <w:r>
              <w:rPr>
                <w:rFonts w:ascii="宋体" w:hAnsi="宋体" w:cs="宋体" w:eastAsia="宋体" w:hint="default"/>
                <w:sz w:val="18"/>
                <w:szCs w:val="18"/>
              </w:rPr>
              <w:t>济南公司房产证、烟台二期仓库房产证</w:t>
            </w:r>
          </w:p>
        </w:tc>
      </w:tr>
      <w:tr>
        <w:trPr>
          <w:trHeight w:val="624"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34" w:right="0"/>
              <w:jc w:val="left"/>
              <w:rPr>
                <w:rFonts w:ascii="Times New Roman" w:hAnsi="Times New Roman" w:cs="Times New Roman" w:eastAsia="Times New Roman" w:hint="default"/>
                <w:sz w:val="18"/>
                <w:szCs w:val="18"/>
              </w:rPr>
            </w:pPr>
            <w:r>
              <w:rPr>
                <w:rFonts w:ascii="Times New Roman"/>
                <w:sz w:val="18"/>
              </w:rPr>
              <w:t>190,558,971.26</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办理中；烟台龙湖置业、青岛北苑房产</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1"/>
                <w:w w:val="100"/>
                <w:sz w:val="18"/>
                <w:szCs w:val="18"/>
              </w:rPr>
              <w:t>（汇今投资信息</w:t>
            </w:r>
            <w:r>
              <w:rPr>
                <w:rFonts w:ascii="宋体" w:hAnsi="宋体" w:cs="宋体" w:eastAsia="宋体" w:hint="default"/>
                <w:spacing w:val="-92"/>
                <w:w w:val="100"/>
                <w:sz w:val="18"/>
                <w:szCs w:val="18"/>
              </w:rPr>
              <w:t>）</w:t>
            </w:r>
            <w:r>
              <w:rPr>
                <w:rFonts w:ascii="宋体" w:hAnsi="宋体" w:cs="宋体" w:eastAsia="宋体" w:hint="default"/>
                <w:spacing w:val="-10"/>
                <w:w w:val="100"/>
                <w:sz w:val="18"/>
                <w:szCs w:val="18"/>
              </w:rPr>
              <w:t>、</w:t>
            </w:r>
            <w:r>
              <w:rPr>
                <w:rFonts w:ascii="宋体" w:hAnsi="宋体" w:cs="宋体" w:eastAsia="宋体" w:hint="default"/>
                <w:spacing w:val="-1"/>
                <w:w w:val="100"/>
                <w:sz w:val="18"/>
                <w:szCs w:val="18"/>
              </w:rPr>
              <w:t>青岛地华</w:t>
            </w:r>
            <w:r>
              <w:rPr>
                <w:rFonts w:ascii="宋体" w:hAnsi="宋体" w:cs="宋体" w:eastAsia="宋体" w:hint="default"/>
                <w:spacing w:val="2"/>
                <w:w w:val="100"/>
                <w:sz w:val="18"/>
                <w:szCs w:val="18"/>
              </w:rPr>
              <w:t>房</w:t>
            </w:r>
            <w:r>
              <w:rPr>
                <w:rFonts w:ascii="宋体" w:hAnsi="宋体" w:cs="宋体" w:eastAsia="宋体" w:hint="default"/>
                <w:spacing w:val="-1"/>
                <w:w w:val="100"/>
                <w:sz w:val="18"/>
                <w:szCs w:val="18"/>
              </w:rPr>
              <w:t>地产</w:t>
            </w:r>
            <w:r>
              <w:rPr>
                <w:rFonts w:ascii="宋体" w:hAnsi="宋体" w:cs="宋体" w:eastAsia="宋体" w:hint="default"/>
                <w:spacing w:val="-10"/>
                <w:w w:val="100"/>
                <w:sz w:val="18"/>
                <w:szCs w:val="18"/>
              </w:rPr>
              <w:t>、</w:t>
            </w:r>
            <w:r>
              <w:rPr>
                <w:rFonts w:ascii="宋体" w:hAnsi="宋体" w:cs="宋体" w:eastAsia="宋体" w:hint="default"/>
                <w:w w:val="100"/>
                <w:sz w:val="18"/>
                <w:szCs w:val="18"/>
              </w:rPr>
              <w:t>潍</w:t>
            </w:r>
          </w:p>
        </w:tc>
      </w:tr>
      <w:tr>
        <w:trPr>
          <w:trHeight w:val="360" w:hRule="exact"/>
        </w:trPr>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0"/>
              <w:jc w:val="center"/>
              <w:rPr>
                <w:rFonts w:ascii="宋体" w:hAnsi="宋体" w:cs="宋体" w:eastAsia="宋体" w:hint="default"/>
                <w:sz w:val="18"/>
                <w:szCs w:val="18"/>
              </w:rPr>
            </w:pPr>
            <w:r>
              <w:rPr>
                <w:rFonts w:ascii="宋体" w:hAnsi="宋体" w:cs="宋体" w:eastAsia="宋体" w:hint="default"/>
                <w:sz w:val="18"/>
                <w:szCs w:val="18"/>
              </w:rPr>
              <w:t>坊盛嘉瑞房地产刚交房，房产证办理中</w:t>
            </w:r>
          </w:p>
        </w:tc>
      </w:tr>
    </w:tbl>
    <w:p>
      <w:pPr>
        <w:pStyle w:val="BodyText"/>
        <w:spacing w:line="240" w:lineRule="auto" w:before="49"/>
        <w:ind w:right="0"/>
        <w:jc w:val="left"/>
      </w:pPr>
      <w:bookmarkStart w:name="12、在建工程 " w:id="247"/>
      <w:bookmarkEnd w:id="247"/>
      <w:r>
        <w:rPr/>
      </w: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 w:id="248"/>
      <w:bookmarkEnd w:id="24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济南医用织物生</w:t>
            </w:r>
            <w:r>
              <w:rPr>
                <w:rFonts w:ascii="宋体" w:hAnsi="宋体" w:cs="宋体" w:eastAsia="宋体" w:hint="default"/>
                <w:w w:val="100"/>
                <w:sz w:val="18"/>
                <w:szCs w:val="18"/>
              </w:rPr>
              <w:t> </w:t>
            </w:r>
            <w:r>
              <w:rPr>
                <w:rFonts w:ascii="宋体" w:hAnsi="宋体" w:cs="宋体" w:eastAsia="宋体" w:hint="default"/>
                <w:sz w:val="18"/>
                <w:szCs w:val="18"/>
              </w:rPr>
              <w:t>产项目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15,873,484.80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15,873,484.80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3,734,068.95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3,734,068.95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济南医用织物洗</w:t>
            </w:r>
            <w:r>
              <w:rPr>
                <w:rFonts w:ascii="宋体" w:hAnsi="宋体" w:cs="宋体" w:eastAsia="宋体" w:hint="default"/>
                <w:w w:val="100"/>
                <w:sz w:val="18"/>
                <w:szCs w:val="18"/>
              </w:rPr>
              <w:t> </w:t>
            </w:r>
            <w:r>
              <w:rPr>
                <w:rFonts w:ascii="宋体" w:hAnsi="宋体" w:cs="宋体" w:eastAsia="宋体" w:hint="default"/>
                <w:sz w:val="18"/>
                <w:szCs w:val="18"/>
              </w:rPr>
              <w:t>涤配送项目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14,528,349.13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14,528,349.13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1,660,942.66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1,660,942.66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济南医疗器械配</w:t>
            </w:r>
            <w:r>
              <w:rPr>
                <w:rFonts w:ascii="宋体" w:hAnsi="宋体" w:cs="宋体" w:eastAsia="宋体" w:hint="default"/>
                <w:w w:val="100"/>
                <w:sz w:val="18"/>
                <w:szCs w:val="18"/>
              </w:rPr>
              <w:t> </w:t>
            </w:r>
            <w:r>
              <w:rPr>
                <w:rFonts w:ascii="宋体" w:hAnsi="宋体" w:cs="宋体" w:eastAsia="宋体" w:hint="default"/>
                <w:sz w:val="18"/>
                <w:szCs w:val="18"/>
              </w:rPr>
              <w:t>送项目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13,412,013.98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13,412,013.98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1,406,050.48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1,406,050.48</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青岛药品现代物</w:t>
            </w:r>
            <w:r>
              <w:rPr>
                <w:rFonts w:ascii="宋体" w:hAnsi="宋体" w:cs="宋体" w:eastAsia="宋体" w:hint="default"/>
                <w:w w:val="100"/>
                <w:sz w:val="18"/>
                <w:szCs w:val="18"/>
              </w:rPr>
              <w:t> </w:t>
            </w:r>
            <w:r>
              <w:rPr>
                <w:rFonts w:ascii="宋体" w:hAnsi="宋体" w:cs="宋体" w:eastAsia="宋体" w:hint="default"/>
                <w:sz w:val="18"/>
                <w:szCs w:val="18"/>
              </w:rPr>
              <w:t>流及医疗器械生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2,287,366.85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2,287,366.85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产项目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烟台药品现代物</w:t>
            </w:r>
            <w:r>
              <w:rPr>
                <w:rFonts w:ascii="宋体" w:hAnsi="宋体" w:cs="宋体" w:eastAsia="宋体" w:hint="default"/>
                <w:w w:val="100"/>
                <w:sz w:val="18"/>
                <w:szCs w:val="18"/>
              </w:rPr>
              <w:t> </w:t>
            </w:r>
            <w:r>
              <w:rPr>
                <w:rFonts w:ascii="宋体" w:hAnsi="宋体" w:cs="宋体" w:eastAsia="宋体" w:hint="default"/>
                <w:sz w:val="18"/>
                <w:szCs w:val="18"/>
              </w:rPr>
              <w:t>流项目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50,595,340.58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50,595,340.58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西藏金岳办公楼</w:t>
            </w:r>
            <w:r>
              <w:rPr>
                <w:rFonts w:ascii="宋体" w:hAnsi="宋体" w:cs="宋体" w:eastAsia="宋体" w:hint="default"/>
                <w:w w:val="100"/>
                <w:sz w:val="18"/>
                <w:szCs w:val="18"/>
              </w:rPr>
              <w:t> </w:t>
            </w:r>
            <w:r>
              <w:rPr>
                <w:rFonts w:ascii="宋体" w:hAnsi="宋体" w:cs="宋体" w:eastAsia="宋体" w:hint="default"/>
                <w:sz w:val="18"/>
                <w:szCs w:val="18"/>
              </w:rPr>
              <w:t>及药品分拣包装</w:t>
            </w:r>
            <w:r>
              <w:rPr>
                <w:rFonts w:ascii="宋体" w:hAnsi="宋体" w:cs="宋体" w:eastAsia="宋体" w:hint="default"/>
                <w:w w:val="100"/>
                <w:sz w:val="18"/>
                <w:szCs w:val="18"/>
              </w:rPr>
              <w:t> </w:t>
            </w:r>
            <w:r>
              <w:rPr>
                <w:rFonts w:ascii="宋体" w:hAnsi="宋体" w:cs="宋体" w:eastAsia="宋体" w:hint="default"/>
                <w:sz w:val="18"/>
                <w:szCs w:val="18"/>
              </w:rPr>
              <w:t>车间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37,103,867.00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37,103,867.00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大季家卫生院项</w:t>
            </w:r>
            <w:r>
              <w:rPr>
                <w:rFonts w:ascii="宋体" w:hAnsi="宋体" w:cs="宋体" w:eastAsia="宋体" w:hint="default"/>
                <w:w w:val="100"/>
                <w:sz w:val="18"/>
                <w:szCs w:val="18"/>
              </w:rPr>
              <w:t> </w:t>
            </w:r>
            <w:r>
              <w:rPr>
                <w:rFonts w:ascii="宋体" w:hAnsi="宋体" w:cs="宋体" w:eastAsia="宋体" w:hint="default"/>
                <w:sz w:val="18"/>
                <w:szCs w:val="18"/>
              </w:rPr>
              <w:t>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393,779.15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393,779.15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峄城中医院项目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165,051.29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165,051.29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青岛配送项目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青岛心血管支架</w:t>
            </w:r>
            <w:r>
              <w:rPr>
                <w:rFonts w:ascii="宋体" w:hAnsi="宋体" w:cs="宋体" w:eastAsia="宋体" w:hint="default"/>
                <w:w w:val="100"/>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济南任城区南张</w:t>
            </w:r>
            <w:r>
              <w:rPr>
                <w:rFonts w:ascii="宋体" w:hAnsi="宋体" w:cs="宋体" w:eastAsia="宋体" w:hint="default"/>
                <w:w w:val="100"/>
                <w:sz w:val="18"/>
                <w:szCs w:val="18"/>
              </w:rPr>
              <w:t> </w:t>
            </w:r>
            <w:r>
              <w:rPr>
                <w:rFonts w:ascii="宋体" w:hAnsi="宋体" w:cs="宋体" w:eastAsia="宋体" w:hint="default"/>
                <w:sz w:val="18"/>
                <w:szCs w:val="18"/>
              </w:rPr>
              <w:t>街道卫生院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13,378.63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13,378.63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淄博田氏骨伤医</w:t>
            </w:r>
            <w:r>
              <w:rPr>
                <w:rFonts w:ascii="宋体" w:hAnsi="宋体" w:cs="宋体" w:eastAsia="宋体" w:hint="default"/>
                <w:w w:val="100"/>
                <w:sz w:val="18"/>
                <w:szCs w:val="18"/>
              </w:rPr>
              <w:t> </w:t>
            </w:r>
            <w:r>
              <w:rPr>
                <w:rFonts w:ascii="宋体" w:hAnsi="宋体" w:cs="宋体" w:eastAsia="宋体" w:hint="default"/>
                <w:sz w:val="18"/>
                <w:szCs w:val="18"/>
              </w:rPr>
              <w:t>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2,136.75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2,136.75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2）重要在建工程项目本期变动情况 " w:id="249"/>
            <w:bookmarkEnd w:id="249"/>
            <w:r>
              <w:rPr/>
            </w: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46,765,560.58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46,765,560.58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94,590,269.67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94,590,269.67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9"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1" w:right="88" w:hanging="181"/>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1" w:right="91" w:hanging="181"/>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w w:val="100"/>
                <w:sz w:val="18"/>
                <w:szCs w:val="18"/>
              </w:rPr>
              <w:t> </w:t>
            </w:r>
            <w:r>
              <w:rPr>
                <w:rFonts w:ascii="宋体" w:hAnsi="宋体" w:cs="宋体" w:eastAsia="宋体" w:hint="default"/>
                <w:sz w:val="18"/>
                <w:szCs w:val="18"/>
              </w:rPr>
              <w:t>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w:t>
            </w:r>
            <w:r>
              <w:rPr>
                <w:rFonts w:ascii="宋体" w:hAnsi="宋体" w:cs="宋体" w:eastAsia="宋体" w:hint="default"/>
                <w:w w:val="100"/>
                <w:sz w:val="18"/>
                <w:szCs w:val="18"/>
              </w:rPr>
              <w:t> </w:t>
            </w:r>
            <w:r>
              <w:rPr>
                <w:rFonts w:ascii="宋体" w:hAnsi="宋体" w:cs="宋体" w:eastAsia="宋体" w:hint="default"/>
                <w:sz w:val="18"/>
                <w:szCs w:val="18"/>
              </w:rPr>
              <w:t>入固定</w:t>
            </w:r>
            <w:r>
              <w:rPr>
                <w:rFonts w:ascii="宋体" w:hAnsi="宋体" w:cs="宋体" w:eastAsia="宋体" w:hint="default"/>
                <w:w w:val="100"/>
                <w:sz w:val="18"/>
                <w:szCs w:val="18"/>
              </w:rPr>
              <w:t> </w:t>
            </w:r>
            <w:r>
              <w:rPr>
                <w:rFonts w:ascii="宋体" w:hAnsi="宋体" w:cs="宋体" w:eastAsia="宋体" w:hint="default"/>
                <w:sz w:val="18"/>
                <w:szCs w:val="18"/>
              </w:rPr>
              <w:t>资产金</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w w:val="100"/>
                <w:sz w:val="18"/>
                <w:szCs w:val="18"/>
              </w:rPr>
              <w:t> </w:t>
            </w:r>
            <w:r>
              <w:rPr>
                <w:rFonts w:ascii="宋体" w:hAnsi="宋体" w:cs="宋体" w:eastAsia="宋体" w:hint="default"/>
                <w:sz w:val="18"/>
                <w:szCs w:val="18"/>
              </w:rPr>
              <w:t>他减少</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91" w:hanging="181"/>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5" w:right="89"/>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w w:val="100"/>
                <w:sz w:val="18"/>
                <w:szCs w:val="18"/>
              </w:rPr>
              <w:t> </w:t>
            </w:r>
            <w:r>
              <w:rPr>
                <w:rFonts w:ascii="宋体" w:hAnsi="宋体" w:cs="宋体" w:eastAsia="宋体" w:hint="default"/>
                <w:sz w:val="18"/>
                <w:szCs w:val="18"/>
              </w:rPr>
              <w:t>计投入</w:t>
            </w:r>
            <w:r>
              <w:rPr>
                <w:rFonts w:ascii="宋体" w:hAnsi="宋体" w:cs="宋体" w:eastAsia="宋体" w:hint="default"/>
                <w:w w:val="100"/>
                <w:sz w:val="18"/>
                <w:szCs w:val="18"/>
              </w:rPr>
              <w:t> </w:t>
            </w:r>
            <w:r>
              <w:rPr>
                <w:rFonts w:ascii="宋体" w:hAnsi="宋体" w:cs="宋体" w:eastAsia="宋体" w:hint="default"/>
                <w:sz w:val="18"/>
                <w:szCs w:val="18"/>
              </w:rPr>
              <w:t>占预算</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w w:val="100"/>
                <w:sz w:val="18"/>
                <w:szCs w:val="18"/>
              </w:rPr>
              <w:t> </w:t>
            </w:r>
            <w:r>
              <w:rPr>
                <w:rFonts w:ascii="宋体" w:hAnsi="宋体" w:cs="宋体" w:eastAsia="宋体" w:hint="default"/>
                <w:sz w:val="18"/>
                <w:szCs w:val="18"/>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w w:val="100"/>
                <w:sz w:val="18"/>
                <w:szCs w:val="18"/>
              </w:rPr>
              <w:t> </w:t>
            </w:r>
            <w:r>
              <w:rPr>
                <w:rFonts w:ascii="宋体" w:hAnsi="宋体" w:cs="宋体" w:eastAsia="宋体" w:hint="default"/>
                <w:sz w:val="18"/>
                <w:szCs w:val="18"/>
              </w:rPr>
              <w:t>本化累</w:t>
            </w:r>
            <w:r>
              <w:rPr>
                <w:rFonts w:ascii="宋体" w:hAnsi="宋体" w:cs="宋体" w:eastAsia="宋体" w:hint="default"/>
                <w:w w:val="100"/>
                <w:sz w:val="18"/>
                <w:szCs w:val="18"/>
              </w:rPr>
              <w:t> </w:t>
            </w:r>
            <w:r>
              <w:rPr>
                <w:rFonts w:ascii="宋体" w:hAnsi="宋体" w:cs="宋体" w:eastAsia="宋体" w:hint="default"/>
                <w:sz w:val="18"/>
                <w:szCs w:val="18"/>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w w:val="100"/>
                <w:sz w:val="18"/>
                <w:szCs w:val="18"/>
              </w:rPr>
              <w:t> </w:t>
            </w:r>
            <w:r>
              <w:rPr>
                <w:rFonts w:ascii="宋体" w:hAnsi="宋体" w:cs="宋体" w:eastAsia="宋体" w:hint="default"/>
                <w:sz w:val="18"/>
                <w:szCs w:val="18"/>
              </w:rPr>
              <w:t>期利息</w:t>
            </w:r>
            <w:r>
              <w:rPr>
                <w:rFonts w:ascii="宋体" w:hAnsi="宋体" w:cs="宋体" w:eastAsia="宋体" w:hint="default"/>
                <w:w w:val="100"/>
                <w:sz w:val="18"/>
                <w:szCs w:val="18"/>
              </w:rPr>
              <w:t> </w:t>
            </w:r>
            <w:r>
              <w:rPr>
                <w:rFonts w:ascii="宋体" w:hAnsi="宋体" w:cs="宋体" w:eastAsia="宋体" w:hint="default"/>
                <w:sz w:val="18"/>
                <w:szCs w:val="18"/>
              </w:rPr>
              <w:t>资本化</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0" w:right="91"/>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w w:val="100"/>
                <w:sz w:val="18"/>
                <w:szCs w:val="18"/>
              </w:rPr>
              <w:t> </w:t>
            </w:r>
            <w:r>
              <w:rPr>
                <w:rFonts w:ascii="宋体" w:hAnsi="宋体" w:cs="宋体" w:eastAsia="宋体" w:hint="default"/>
                <w:sz w:val="18"/>
                <w:szCs w:val="18"/>
              </w:rPr>
              <w:t>息资本</w:t>
            </w:r>
            <w:r>
              <w:rPr>
                <w:rFonts w:ascii="宋体" w:hAnsi="宋体" w:cs="宋体" w:eastAsia="宋体" w:hint="default"/>
                <w:w w:val="100"/>
                <w:sz w:val="18"/>
                <w:szCs w:val="18"/>
              </w:rPr>
              <w:t> </w:t>
            </w:r>
            <w:r>
              <w:rPr>
                <w:rFonts w:ascii="宋体" w:hAnsi="宋体" w:cs="宋体" w:eastAsia="宋体" w:hint="default"/>
                <w:sz w:val="18"/>
                <w:szCs w:val="18"/>
              </w:rPr>
              <w:t>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75" w:right="89" w:hanging="181"/>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w w:val="100"/>
                <w:sz w:val="18"/>
                <w:szCs w:val="18"/>
              </w:rPr>
              <w:t> </w:t>
            </w:r>
            <w:r>
              <w:rPr>
                <w:rFonts w:ascii="宋体" w:hAnsi="宋体" w:cs="宋体" w:eastAsia="宋体" w:hint="default"/>
                <w:sz w:val="18"/>
                <w:szCs w:val="18"/>
              </w:rPr>
              <w:t>源</w:t>
            </w:r>
          </w:p>
        </w:tc>
      </w:tr>
      <w:tr>
        <w:trPr>
          <w:trHeight w:val="354"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济南医</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56"/>
              <w:jc w:val="left"/>
              <w:rPr>
                <w:rFonts w:ascii="宋体" w:hAnsi="宋体" w:cs="宋体" w:eastAsia="宋体" w:hint="default"/>
                <w:sz w:val="18"/>
                <w:szCs w:val="18"/>
              </w:rPr>
            </w:pPr>
            <w:r>
              <w:rPr>
                <w:rFonts w:ascii="宋体" w:hAnsi="宋体" w:cs="宋体" w:eastAsia="宋体" w:hint="default"/>
                <w:sz w:val="18"/>
                <w:szCs w:val="18"/>
              </w:rPr>
              <w:t>用织物</w:t>
            </w:r>
            <w:r>
              <w:rPr>
                <w:rFonts w:ascii="宋体" w:hAnsi="宋体" w:cs="宋体" w:eastAsia="宋体" w:hint="default"/>
                <w:w w:val="100"/>
                <w:sz w:val="18"/>
                <w:szCs w:val="18"/>
              </w:rPr>
              <w:t> </w:t>
            </w:r>
            <w:r>
              <w:rPr>
                <w:rFonts w:ascii="宋体" w:hAnsi="宋体" w:cs="宋体" w:eastAsia="宋体" w:hint="default"/>
                <w:sz w:val="18"/>
                <w:szCs w:val="18"/>
              </w:rPr>
              <w:t>生产项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88,720,0</w:t>
            </w:r>
          </w:p>
          <w:p>
            <w:pPr>
              <w:pStyle w:val="TableParagraph"/>
              <w:spacing w:line="240" w:lineRule="auto" w:before="102"/>
              <w:ind w:left="295"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69" w:right="0"/>
              <w:jc w:val="left"/>
              <w:rPr>
                <w:rFonts w:ascii="Times New Roman" w:hAnsi="Times New Roman" w:cs="Times New Roman" w:eastAsia="Times New Roman" w:hint="default"/>
                <w:sz w:val="18"/>
                <w:szCs w:val="18"/>
              </w:rPr>
            </w:pPr>
            <w:r>
              <w:rPr>
                <w:rFonts w:ascii="Times New Roman"/>
                <w:sz w:val="18"/>
              </w:rPr>
              <w:t>3,734,06</w:t>
            </w:r>
          </w:p>
          <w:p>
            <w:pPr>
              <w:pStyle w:val="TableParagraph"/>
              <w:spacing w:line="240" w:lineRule="auto" w:before="102"/>
              <w:ind w:left="383" w:right="0"/>
              <w:jc w:val="left"/>
              <w:rPr>
                <w:rFonts w:ascii="Times New Roman" w:hAnsi="Times New Roman" w:cs="Times New Roman" w:eastAsia="Times New Roman" w:hint="default"/>
                <w:sz w:val="18"/>
                <w:szCs w:val="18"/>
              </w:rPr>
            </w:pPr>
            <w:r>
              <w:rPr>
                <w:rFonts w:ascii="Times New Roman"/>
                <w:sz w:val="18"/>
              </w:rPr>
              <w:t>8.95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4" w:right="0"/>
              <w:jc w:val="left"/>
              <w:rPr>
                <w:rFonts w:ascii="Times New Roman" w:hAnsi="Times New Roman" w:cs="Times New Roman" w:eastAsia="Times New Roman" w:hint="default"/>
                <w:sz w:val="18"/>
                <w:szCs w:val="18"/>
              </w:rPr>
            </w:pPr>
            <w:r>
              <w:rPr>
                <w:rFonts w:ascii="Times New Roman"/>
                <w:sz w:val="18"/>
              </w:rPr>
              <w:t>12,139,4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15.85</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15,873,4</w:t>
            </w:r>
          </w:p>
          <w:p>
            <w:pPr>
              <w:pStyle w:val="TableParagraph"/>
              <w:spacing w:line="240" w:lineRule="auto" w:before="102"/>
              <w:ind w:left="294" w:right="0"/>
              <w:jc w:val="left"/>
              <w:rPr>
                <w:rFonts w:ascii="Times New Roman" w:hAnsi="Times New Roman" w:cs="Times New Roman" w:eastAsia="Times New Roman" w:hint="default"/>
                <w:sz w:val="18"/>
                <w:szCs w:val="18"/>
              </w:rPr>
            </w:pPr>
            <w:r>
              <w:rPr>
                <w:rFonts w:ascii="Times New Roman"/>
                <w:sz w:val="18"/>
              </w:rPr>
              <w:t>84.80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17.89%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17.89%</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5" w:right="158"/>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w w:val="100"/>
                <w:sz w:val="18"/>
                <w:szCs w:val="18"/>
              </w:rPr>
              <w:t> </w:t>
            </w:r>
            <w:r>
              <w:rPr>
                <w:rFonts w:ascii="宋体" w:hAnsi="宋体" w:cs="宋体" w:eastAsia="宋体" w:hint="default"/>
                <w:sz w:val="18"/>
                <w:szCs w:val="18"/>
              </w:rPr>
              <w:t>金</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100"/>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济南医</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56"/>
              <w:jc w:val="left"/>
              <w:rPr>
                <w:rFonts w:ascii="宋体" w:hAnsi="宋体" w:cs="宋体" w:eastAsia="宋体" w:hint="default"/>
                <w:sz w:val="18"/>
                <w:szCs w:val="18"/>
              </w:rPr>
            </w:pPr>
            <w:r>
              <w:rPr>
                <w:rFonts w:ascii="宋体" w:hAnsi="宋体" w:cs="宋体" w:eastAsia="宋体" w:hint="default"/>
                <w:sz w:val="18"/>
                <w:szCs w:val="18"/>
              </w:rPr>
              <w:t>用织物</w:t>
            </w:r>
            <w:r>
              <w:rPr>
                <w:rFonts w:ascii="宋体" w:hAnsi="宋体" w:cs="宋体" w:eastAsia="宋体" w:hint="default"/>
                <w:w w:val="100"/>
                <w:sz w:val="18"/>
                <w:szCs w:val="18"/>
              </w:rPr>
              <w:t> </w:t>
            </w:r>
            <w:r>
              <w:rPr>
                <w:rFonts w:ascii="宋体" w:hAnsi="宋体" w:cs="宋体" w:eastAsia="宋体" w:hint="default"/>
                <w:sz w:val="18"/>
                <w:szCs w:val="18"/>
              </w:rPr>
              <w:t>洗涤配</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9" w:right="0"/>
              <w:jc w:val="center"/>
              <w:rPr>
                <w:rFonts w:ascii="Times New Roman" w:hAnsi="Times New Roman" w:cs="Times New Roman" w:eastAsia="Times New Roman" w:hint="default"/>
                <w:sz w:val="18"/>
                <w:szCs w:val="18"/>
              </w:rPr>
            </w:pPr>
            <w:r>
              <w:rPr>
                <w:rFonts w:ascii="Times New Roman"/>
                <w:sz w:val="18"/>
              </w:rPr>
              <w:t>103,570,</w:t>
            </w:r>
          </w:p>
          <w:p>
            <w:pPr>
              <w:pStyle w:val="TableParagraph"/>
              <w:spacing w:line="240" w:lineRule="auto" w:before="105"/>
              <w:ind w:left="181"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69" w:right="0"/>
              <w:jc w:val="left"/>
              <w:rPr>
                <w:rFonts w:ascii="Times New Roman" w:hAnsi="Times New Roman" w:cs="Times New Roman" w:eastAsia="Times New Roman" w:hint="default"/>
                <w:sz w:val="18"/>
                <w:szCs w:val="18"/>
              </w:rPr>
            </w:pPr>
            <w:r>
              <w:rPr>
                <w:rFonts w:ascii="Times New Roman"/>
                <w:sz w:val="18"/>
              </w:rPr>
              <w:t>1,660,94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2.66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4" w:right="0"/>
              <w:jc w:val="left"/>
              <w:rPr>
                <w:rFonts w:ascii="Times New Roman" w:hAnsi="Times New Roman" w:cs="Times New Roman" w:eastAsia="Times New Roman" w:hint="default"/>
                <w:sz w:val="18"/>
                <w:szCs w:val="18"/>
              </w:rPr>
            </w:pPr>
            <w:r>
              <w:rPr>
                <w:rFonts w:ascii="Times New Roman"/>
                <w:sz w:val="18"/>
              </w:rPr>
              <w:t>12,867,4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06.47</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14,528,3</w:t>
            </w:r>
          </w:p>
          <w:p>
            <w:pPr>
              <w:pStyle w:val="TableParagraph"/>
              <w:spacing w:line="240" w:lineRule="auto" w:before="105"/>
              <w:ind w:left="294" w:right="0"/>
              <w:jc w:val="left"/>
              <w:rPr>
                <w:rFonts w:ascii="Times New Roman" w:hAnsi="Times New Roman" w:cs="Times New Roman" w:eastAsia="Times New Roman" w:hint="default"/>
                <w:sz w:val="18"/>
                <w:szCs w:val="18"/>
              </w:rPr>
            </w:pPr>
            <w:r>
              <w:rPr>
                <w:rFonts w:ascii="Times New Roman"/>
                <w:sz w:val="18"/>
              </w:rPr>
              <w:t>49.13</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14.03%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14.03%</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5" w:right="158"/>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w w:val="100"/>
                <w:sz w:val="18"/>
                <w:szCs w:val="18"/>
              </w:rPr>
              <w:t> </w:t>
            </w:r>
            <w:r>
              <w:rPr>
                <w:rFonts w:ascii="宋体" w:hAnsi="宋体" w:cs="宋体" w:eastAsia="宋体" w:hint="default"/>
                <w:sz w:val="18"/>
                <w:szCs w:val="18"/>
              </w:rPr>
              <w:t>金</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送项目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4"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济南医</w:t>
            </w: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56"/>
              <w:jc w:val="left"/>
              <w:rPr>
                <w:rFonts w:ascii="宋体" w:hAnsi="宋体" w:cs="宋体" w:eastAsia="宋体" w:hint="default"/>
                <w:sz w:val="18"/>
                <w:szCs w:val="18"/>
              </w:rPr>
            </w:pPr>
            <w:r>
              <w:rPr>
                <w:rFonts w:ascii="宋体" w:hAnsi="宋体" w:cs="宋体" w:eastAsia="宋体" w:hint="default"/>
                <w:sz w:val="18"/>
                <w:szCs w:val="18"/>
              </w:rPr>
              <w:t>疗器械</w:t>
            </w:r>
            <w:r>
              <w:rPr>
                <w:rFonts w:ascii="宋体" w:hAnsi="宋体" w:cs="宋体" w:eastAsia="宋体" w:hint="default"/>
                <w:w w:val="100"/>
                <w:sz w:val="18"/>
                <w:szCs w:val="18"/>
              </w:rPr>
              <w:t> </w:t>
            </w:r>
            <w:r>
              <w:rPr>
                <w:rFonts w:ascii="宋体" w:hAnsi="宋体" w:cs="宋体" w:eastAsia="宋体" w:hint="default"/>
                <w:sz w:val="18"/>
                <w:szCs w:val="18"/>
              </w:rPr>
              <w:t>配送项</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9" w:right="0"/>
              <w:jc w:val="center"/>
              <w:rPr>
                <w:rFonts w:ascii="Times New Roman" w:hAnsi="Times New Roman" w:cs="Times New Roman" w:eastAsia="Times New Roman" w:hint="default"/>
                <w:sz w:val="18"/>
                <w:szCs w:val="18"/>
              </w:rPr>
            </w:pPr>
            <w:r>
              <w:rPr>
                <w:rFonts w:ascii="Times New Roman"/>
                <w:sz w:val="18"/>
              </w:rPr>
              <w:t>134,600,</w:t>
            </w:r>
          </w:p>
          <w:p>
            <w:pPr>
              <w:pStyle w:val="TableParagraph"/>
              <w:spacing w:line="240" w:lineRule="auto" w:before="102"/>
              <w:ind w:left="181"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69" w:right="0"/>
              <w:jc w:val="left"/>
              <w:rPr>
                <w:rFonts w:ascii="Times New Roman" w:hAnsi="Times New Roman" w:cs="Times New Roman" w:eastAsia="Times New Roman" w:hint="default"/>
                <w:sz w:val="18"/>
                <w:szCs w:val="18"/>
              </w:rPr>
            </w:pPr>
            <w:r>
              <w:rPr>
                <w:rFonts w:ascii="Times New Roman"/>
                <w:sz w:val="18"/>
              </w:rPr>
              <w:t>1,406,05</w:t>
            </w:r>
          </w:p>
          <w:p>
            <w:pPr>
              <w:pStyle w:val="TableParagraph"/>
              <w:spacing w:line="240" w:lineRule="auto" w:before="102"/>
              <w:ind w:left="383" w:right="0"/>
              <w:jc w:val="left"/>
              <w:rPr>
                <w:rFonts w:ascii="Times New Roman" w:hAnsi="Times New Roman" w:cs="Times New Roman" w:eastAsia="Times New Roman" w:hint="default"/>
                <w:sz w:val="18"/>
                <w:szCs w:val="18"/>
              </w:rPr>
            </w:pPr>
            <w:r>
              <w:rPr>
                <w:rFonts w:ascii="Times New Roman"/>
                <w:sz w:val="18"/>
              </w:rPr>
              <w:t>0.48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4" w:right="0"/>
              <w:jc w:val="left"/>
              <w:rPr>
                <w:rFonts w:ascii="Times New Roman" w:hAnsi="Times New Roman" w:cs="Times New Roman" w:eastAsia="Times New Roman" w:hint="default"/>
                <w:sz w:val="18"/>
                <w:szCs w:val="18"/>
              </w:rPr>
            </w:pPr>
            <w:r>
              <w:rPr>
                <w:rFonts w:ascii="Times New Roman"/>
                <w:sz w:val="18"/>
              </w:rPr>
              <w:t>12,005,9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63.50</w:t>
            </w: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71" w:right="0"/>
              <w:jc w:val="left"/>
              <w:rPr>
                <w:rFonts w:ascii="Times New Roman" w:hAnsi="Times New Roman" w:cs="Times New Roman" w:eastAsia="Times New Roman" w:hint="default"/>
                <w:sz w:val="18"/>
                <w:szCs w:val="18"/>
              </w:rPr>
            </w:pPr>
            <w:r>
              <w:rPr>
                <w:rFonts w:ascii="Times New Roman"/>
                <w:sz w:val="18"/>
              </w:rPr>
              <w:t>13,412,0</w:t>
            </w:r>
          </w:p>
          <w:p>
            <w:pPr>
              <w:pStyle w:val="TableParagraph"/>
              <w:spacing w:line="240" w:lineRule="auto" w:before="102"/>
              <w:ind w:left="294" w:right="0"/>
              <w:jc w:val="left"/>
              <w:rPr>
                <w:rFonts w:ascii="Times New Roman" w:hAnsi="Times New Roman" w:cs="Times New Roman" w:eastAsia="Times New Roman" w:hint="default"/>
                <w:sz w:val="18"/>
                <w:szCs w:val="18"/>
              </w:rPr>
            </w:pPr>
            <w:r>
              <w:rPr>
                <w:rFonts w:ascii="Times New Roman"/>
                <w:sz w:val="18"/>
              </w:rPr>
              <w:t>13.98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19" w:right="0"/>
              <w:jc w:val="center"/>
              <w:rPr>
                <w:rFonts w:ascii="Times New Roman" w:hAnsi="Times New Roman" w:cs="Times New Roman" w:eastAsia="Times New Roman" w:hint="default"/>
                <w:sz w:val="18"/>
                <w:szCs w:val="18"/>
              </w:rPr>
            </w:pPr>
            <w:r>
              <w:rPr>
                <w:rFonts w:ascii="Times New Roman"/>
                <w:sz w:val="18"/>
              </w:rPr>
              <w:t>9.96%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9.96%</w:t>
            </w: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5" w:right="158"/>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w w:val="100"/>
                <w:sz w:val="18"/>
                <w:szCs w:val="18"/>
              </w:rPr>
              <w:t> </w:t>
            </w:r>
            <w:r>
              <w:rPr>
                <w:rFonts w:ascii="宋体" w:hAnsi="宋体" w:cs="宋体" w:eastAsia="宋体" w:hint="default"/>
                <w:sz w:val="18"/>
                <w:szCs w:val="18"/>
              </w:rPr>
              <w:t>金</w:t>
            </w:r>
          </w:p>
        </w:tc>
      </w:tr>
      <w:tr>
        <w:trPr>
          <w:trHeight w:val="355"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w w:val="100"/>
                <w:sz w:val="18"/>
                <w:szCs w:val="18"/>
              </w:rPr>
              <w:t>目</w:t>
            </w: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56"/>
              <w:jc w:val="left"/>
              <w:rPr>
                <w:rFonts w:ascii="宋体" w:hAnsi="宋体" w:cs="宋体" w:eastAsia="宋体" w:hint="default"/>
                <w:sz w:val="18"/>
                <w:szCs w:val="18"/>
              </w:rPr>
            </w:pPr>
            <w:r>
              <w:rPr>
                <w:rFonts w:ascii="宋体" w:hAnsi="宋体" w:cs="宋体" w:eastAsia="宋体" w:hint="default"/>
                <w:sz w:val="18"/>
                <w:szCs w:val="18"/>
              </w:rPr>
              <w:t>青岛药</w:t>
            </w:r>
            <w:r>
              <w:rPr>
                <w:rFonts w:ascii="宋体" w:hAnsi="宋体" w:cs="宋体" w:eastAsia="宋体" w:hint="default"/>
                <w:w w:val="100"/>
                <w:sz w:val="18"/>
                <w:szCs w:val="18"/>
              </w:rPr>
              <w:t> </w:t>
            </w:r>
            <w:r>
              <w:rPr>
                <w:rFonts w:ascii="宋体" w:hAnsi="宋体" w:cs="宋体" w:eastAsia="宋体" w:hint="default"/>
                <w:sz w:val="18"/>
                <w:szCs w:val="18"/>
              </w:rPr>
              <w:t>品现代</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95"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2,287,36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2,287,36</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6.85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32.59%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32.59%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29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6"/>
              <w:jc w:val="both"/>
              <w:rPr>
                <w:rFonts w:ascii="宋体" w:hAnsi="宋体" w:cs="宋体" w:eastAsia="宋体" w:hint="default"/>
                <w:sz w:val="18"/>
                <w:szCs w:val="18"/>
              </w:rPr>
            </w:pPr>
            <w:r>
              <w:rPr>
                <w:rFonts w:ascii="宋体" w:hAnsi="宋体" w:cs="宋体" w:eastAsia="宋体" w:hint="default"/>
                <w:sz w:val="18"/>
                <w:szCs w:val="18"/>
              </w:rPr>
              <w:t>物流及</w:t>
            </w:r>
            <w:r>
              <w:rPr>
                <w:rFonts w:ascii="宋体" w:hAnsi="宋体" w:cs="宋体" w:eastAsia="宋体" w:hint="default"/>
                <w:w w:val="100"/>
                <w:sz w:val="18"/>
                <w:szCs w:val="18"/>
              </w:rPr>
              <w:t> </w:t>
            </w:r>
            <w:r>
              <w:rPr>
                <w:rFonts w:ascii="宋体" w:hAnsi="宋体" w:cs="宋体" w:eastAsia="宋体" w:hint="default"/>
                <w:sz w:val="18"/>
                <w:szCs w:val="18"/>
              </w:rPr>
              <w:t>医疗器</w:t>
            </w:r>
            <w:r>
              <w:rPr>
                <w:rFonts w:ascii="宋体" w:hAnsi="宋体" w:cs="宋体" w:eastAsia="宋体" w:hint="default"/>
                <w:w w:val="100"/>
                <w:sz w:val="18"/>
                <w:szCs w:val="18"/>
              </w:rPr>
              <w:t> </w:t>
            </w:r>
            <w:r>
              <w:rPr>
                <w:rFonts w:ascii="宋体" w:hAnsi="宋体" w:cs="宋体" w:eastAsia="宋体" w:hint="default"/>
                <w:sz w:val="18"/>
                <w:szCs w:val="18"/>
              </w:rPr>
              <w:t>械生产</w:t>
            </w:r>
            <w:r>
              <w:rPr>
                <w:rFonts w:ascii="宋体" w:hAnsi="宋体" w:cs="宋体" w:eastAsia="宋体" w:hint="default"/>
                <w:w w:val="100"/>
                <w:sz w:val="18"/>
                <w:szCs w:val="18"/>
              </w:rPr>
              <w:t> </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406,890,</w:t>
            </w:r>
          </w:p>
          <w:p>
            <w:pPr>
              <w:pStyle w:val="TableParagraph"/>
              <w:spacing w:line="240" w:lineRule="auto" w:before="102"/>
              <w:ind w:left="181" w:right="0"/>
              <w:jc w:val="center"/>
              <w:rPr>
                <w:rFonts w:ascii="Times New Roman" w:hAnsi="Times New Roman" w:cs="Times New Roman" w:eastAsia="Times New Roman" w:hint="default"/>
                <w:sz w:val="18"/>
                <w:szCs w:val="18"/>
              </w:rPr>
            </w:pPr>
            <w:bookmarkStart w:name="（3）本期计提在建工程减值准备情况 " w:id="250"/>
            <w:bookmarkEnd w:id="250"/>
            <w:r>
              <w:rPr/>
            </w: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6,801,06</w:t>
            </w:r>
          </w:p>
          <w:p>
            <w:pPr>
              <w:pStyle w:val="TableParagraph"/>
              <w:spacing w:line="240" w:lineRule="auto" w:before="102"/>
              <w:ind w:left="383" w:right="0"/>
              <w:jc w:val="left"/>
              <w:rPr>
                <w:rFonts w:ascii="Times New Roman" w:hAnsi="Times New Roman" w:cs="Times New Roman" w:eastAsia="Times New Roman" w:hint="default"/>
                <w:sz w:val="18"/>
                <w:szCs w:val="18"/>
              </w:rPr>
            </w:pPr>
            <w:r>
              <w:rPr>
                <w:rFonts w:ascii="Times New Roman"/>
                <w:sz w:val="18"/>
              </w:rPr>
              <w:t>2.09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39,300,1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52.67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46,101,2</w:t>
            </w:r>
          </w:p>
          <w:p>
            <w:pPr>
              <w:pStyle w:val="TableParagraph"/>
              <w:spacing w:line="240" w:lineRule="auto" w:before="102"/>
              <w:ind w:left="294" w:right="0"/>
              <w:jc w:val="left"/>
              <w:rPr>
                <w:rFonts w:ascii="Times New Roman" w:hAnsi="Times New Roman" w:cs="Times New Roman" w:eastAsia="Times New Roman" w:hint="default"/>
                <w:sz w:val="18"/>
                <w:szCs w:val="18"/>
              </w:rPr>
            </w:pPr>
            <w:r>
              <w:rPr>
                <w:rFonts w:ascii="Times New Roman"/>
                <w:sz w:val="18"/>
              </w:rPr>
              <w:t>14.76</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bookmarkStart w:name="13、固定资产清理 " w:id="251"/>
      <w:bookmarkEnd w:id="251"/>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13</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bookmarkStart w:name="14、无形资产 " w:id="252"/>
      <w:bookmarkEnd w:id="252"/>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 w:id="253"/>
      <w:bookmarkEnd w:id="25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0"/>
        <w:gridCol w:w="1579"/>
      </w:tblGrid>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9"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56,961,070.60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10,654,160.09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67,615,230.69</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24,168,066.94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1,840,505.13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26,008,572.07</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24,168,066.94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1,840,505.13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26,008,572.07</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9"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9"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76,129,137.54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12,494,665.22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88,623,802.76</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4,117,047.15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5,418,199.44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9,535,246.59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2"/>
        <w:gridCol w:w="1397"/>
        <w:gridCol w:w="1368"/>
        <w:gridCol w:w="1382"/>
        <w:gridCol w:w="1380"/>
        <w:gridCol w:w="1579"/>
      </w:tblGrid>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1,592,805.93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1,155,232.24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2,748,038.17</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1,592,805.93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1,155,232.24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2,748,038.17</w:t>
            </w: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5,709,853.08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6,573,431.68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12,283,284.76</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70,419,284.46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5,921,233.54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76,340,518.00</w:t>
            </w:r>
          </w:p>
        </w:tc>
      </w:tr>
      <w:tr>
        <w:trPr>
          <w:trHeight w:val="403" w:hRule="exact"/>
        </w:trPr>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84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52,844,023.45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5,235,960.65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58,079,984.10</w:t>
            </w:r>
          </w:p>
        </w:tc>
      </w:tr>
    </w:tbl>
    <w:p>
      <w:pPr>
        <w:pStyle w:val="BodyText"/>
        <w:spacing w:line="240" w:lineRule="auto" w:before="49"/>
        <w:ind w:right="0"/>
        <w:jc w:val="left"/>
      </w:pPr>
      <w:bookmarkStart w:name="（2）未办妥产权证书的土地使用权情况 " w:id="254"/>
      <w:bookmarkEnd w:id="254"/>
      <w:r>
        <w:rPr/>
      </w:r>
      <w:r>
        <w:rPr>
          <w:spacing w:val="-1"/>
        </w:rPr>
        <w:t>本期末通过公司内部研发形成的无形资产占无形资产余额的比例</w:t>
      </w:r>
      <w:r>
        <w:rPr>
          <w:spacing w:val="-35"/>
        </w:rPr>
        <w:t> </w:t>
      </w:r>
      <w:r>
        <w:rPr>
          <w:rFonts w:ascii="Times New Roman" w:hAnsi="Times New Roman" w:cs="Times New Roman" w:eastAsia="Times New Roman" w:hint="default"/>
          <w:spacing w:val="-1"/>
        </w:rPr>
        <w:t>0.00%</w:t>
      </w:r>
      <w:r>
        <w:rPr>
          <w:spacing w:val="-1"/>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拉萨经开区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块土地使用权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8,445,991.79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办理中</w:t>
            </w:r>
          </w:p>
        </w:tc>
      </w:tr>
    </w:tbl>
    <w:p>
      <w:pPr>
        <w:pStyle w:val="BodyText"/>
        <w:spacing w:line="240" w:lineRule="auto" w:before="49"/>
        <w:ind w:right="0"/>
        <w:jc w:val="left"/>
      </w:pPr>
      <w:bookmarkStart w:name="15、商誉 " w:id="255"/>
      <w:bookmarkEnd w:id="255"/>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 w:id="256"/>
      <w:bookmarkEnd w:id="25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pacing w:val="-1"/>
                <w:sz w:val="18"/>
                <w:szCs w:val="18"/>
              </w:rPr>
              <w:t>被投资单位名称</w:t>
            </w:r>
            <w:r>
              <w:rPr>
                <w:rFonts w:ascii="宋体" w:hAnsi="宋体" w:cs="宋体" w:eastAsia="宋体" w:hint="default"/>
                <w:w w:val="100"/>
                <w:sz w:val="18"/>
                <w:szCs w:val="18"/>
              </w:rPr>
              <w:t> </w:t>
            </w:r>
            <w:r>
              <w:rPr>
                <w:rFonts w:ascii="宋体" w:hAnsi="宋体" w:cs="宋体" w:eastAsia="宋体" w:hint="default"/>
                <w:spacing w:val="-1"/>
                <w:sz w:val="18"/>
                <w:szCs w:val="18"/>
              </w:rPr>
              <w:t>或形成商誉的事</w:t>
            </w:r>
            <w:r>
              <w:rPr>
                <w:rFonts w:ascii="宋体" w:hAnsi="宋体" w:cs="宋体" w:eastAsia="宋体" w:hint="default"/>
                <w:w w:val="100"/>
                <w:sz w:val="18"/>
                <w:szCs w:val="18"/>
              </w:rPr>
              <w:t> </w:t>
            </w:r>
            <w:r>
              <w:rPr>
                <w:rFonts w:ascii="宋体" w:hAnsi="宋体" w:cs="宋体" w:eastAsia="宋体" w:hint="default"/>
                <w:sz w:val="18"/>
                <w:szCs w:val="18"/>
              </w:rPr>
              <w:t>项</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淄博瑞康药品配</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599,141.41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599,141.41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东营瑞康药品配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166,578.45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166,578.45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青岛瑞康药品配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2,717,854.06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2,717,854.06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济南明康大药房</w:t>
            </w:r>
            <w:r>
              <w:rPr>
                <w:rFonts w:ascii="宋体" w:hAnsi="宋体" w:cs="宋体" w:eastAsia="宋体" w:hint="default"/>
                <w:w w:val="100"/>
                <w:sz w:val="18"/>
                <w:szCs w:val="18"/>
              </w:rPr>
              <w:t> </w:t>
            </w:r>
            <w:r>
              <w:rPr>
                <w:rFonts w:ascii="宋体" w:hAnsi="宋体" w:cs="宋体" w:eastAsia="宋体" w:hint="default"/>
                <w:sz w:val="18"/>
                <w:szCs w:val="18"/>
              </w:rPr>
              <w:t>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44,461.00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44,461.00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潍坊瑞康药品配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1,771,010.79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1,771,010.79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济宁瑞康医药有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6,775,718.95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6,775,718.95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聊城瑞康宏源医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3,494,420.11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3,494,420.11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青岛海誉泰德商</w:t>
            </w:r>
            <w:r>
              <w:rPr>
                <w:rFonts w:ascii="宋体" w:hAnsi="宋体" w:cs="宋体" w:eastAsia="宋体" w:hint="default"/>
                <w:w w:val="100"/>
                <w:sz w:val="18"/>
                <w:szCs w:val="18"/>
              </w:rPr>
              <w:t> </w:t>
            </w:r>
            <w:r>
              <w:rPr>
                <w:rFonts w:ascii="宋体" w:hAnsi="宋体" w:cs="宋体" w:eastAsia="宋体" w:hint="default"/>
                <w:sz w:val="18"/>
                <w:szCs w:val="18"/>
              </w:rPr>
              <w:t>贸有限公司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7,126,425.16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7,126,425.16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菏泽金岳瑞康医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北京天业爱博科</w:t>
            </w:r>
            <w:r>
              <w:rPr>
                <w:rFonts w:ascii="宋体" w:hAnsi="宋体" w:cs="宋体" w:eastAsia="宋体" w:hint="default"/>
                <w:w w:val="100"/>
                <w:sz w:val="18"/>
                <w:szCs w:val="18"/>
              </w:rPr>
              <w:t> </w:t>
            </w:r>
            <w:r>
              <w:rPr>
                <w:rFonts w:ascii="宋体" w:hAnsi="宋体" w:cs="宋体" w:eastAsia="宋体" w:hint="default"/>
                <w:sz w:val="18"/>
                <w:szCs w:val="18"/>
              </w:rPr>
              <w:t>贸有限公司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1,260,424.89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1,260,424.89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山东滨州瑞康医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3,900,005.37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535,813.11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4,435,818.48</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天业德威医疗设</w:t>
            </w:r>
            <w:r>
              <w:rPr>
                <w:rFonts w:ascii="宋体" w:hAnsi="宋体" w:cs="宋体" w:eastAsia="宋体" w:hint="default"/>
                <w:w w:val="100"/>
                <w:sz w:val="18"/>
                <w:szCs w:val="18"/>
              </w:rPr>
              <w:t> </w:t>
            </w:r>
            <w:r>
              <w:rPr>
                <w:rFonts w:ascii="宋体" w:hAnsi="宋体" w:cs="宋体" w:eastAsia="宋体" w:hint="default"/>
                <w:sz w:val="18"/>
                <w:szCs w:val="18"/>
              </w:rPr>
              <w:t>备（北京）有限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236,852.36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236,852.36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威海神瑞贸易有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4,195.83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4,195.83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潍坊耀恒经贸有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241.27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241.27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尼木祥云医疗器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26,399,120.98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26,399,120.98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2）商誉减值准备 " w:id="257"/>
            <w:bookmarkEnd w:id="257"/>
            <w:r>
              <w:rPr/>
            </w: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30,092,892.55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26,939,371.19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1,497,277.25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55,534,986.49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64"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或形成商誉的事</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6" w:lineRule="exact"/>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6" w:lineRule="exact"/>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0"/>
                <w:sz w:val="18"/>
                <w:szCs w:val="18"/>
              </w:rPr>
              <w:t>项</w:t>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0"/>
        <w:jc w:val="left"/>
      </w:pPr>
      <w:r>
        <w:rPr/>
        <w:t>说明商誉减值测试过程、参数及商誉减值损失的确认方法：</w:t>
      </w:r>
    </w:p>
    <w:p>
      <w:pPr>
        <w:spacing w:after="0" w:line="240"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51" w:firstLine="287"/>
        <w:jc w:val="both"/>
      </w:pPr>
      <w:r>
        <w:rPr>
          <w:spacing w:val="-2"/>
        </w:rPr>
        <w:t>商誉减值测试过程及商誉减值损失的确认方法见本节五、</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）非同一控制下的企业合并及商誉。公司将商誉的账面价</w:t>
      </w:r>
      <w:r>
        <w:rPr>
          <w:w w:val="100"/>
        </w:rPr>
        <w:t> </w:t>
      </w:r>
      <w:r>
        <w:rPr>
          <w:spacing w:val="-3"/>
        </w:rPr>
        <w:t>值自购买日起按照合理方法分摊至资产组，并对包含商誉的相关资产组进行减值测试，未发现与商誉相关的资产组存在明显</w:t>
      </w:r>
      <w:r>
        <w:rPr>
          <w:spacing w:val="-51"/>
        </w:rPr>
        <w:t> </w:t>
      </w:r>
      <w:r>
        <w:rPr>
          <w:spacing w:val="-51"/>
        </w:rPr>
      </w:r>
      <w:r>
        <w:rPr/>
        <w:t>减值迹象。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6"/>
          <w:szCs w:val="16"/>
        </w:rPr>
      </w:pPr>
    </w:p>
    <w:p>
      <w:pPr>
        <w:pStyle w:val="BodyText"/>
        <w:spacing w:line="240" w:lineRule="auto"/>
        <w:ind w:right="0"/>
        <w:jc w:val="left"/>
      </w:pPr>
      <w:bookmarkStart w:name="16、长期待摊费用 " w:id="258"/>
      <w:bookmarkEnd w:id="258"/>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租房装修费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1,905,598.76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3,356,459.48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644,494.96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4,617,563.28</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宋体" w:hAnsi="宋体" w:cs="宋体" w:eastAsia="宋体" w:hint="default"/>
                <w:sz w:val="18"/>
                <w:szCs w:val="18"/>
              </w:rPr>
            </w:pPr>
            <w:r>
              <w:rPr>
                <w:rFonts w:ascii="宋体" w:hAnsi="宋体" w:cs="宋体" w:eastAsia="宋体" w:hint="default"/>
                <w:sz w:val="18"/>
                <w:szCs w:val="18"/>
              </w:rPr>
              <w:t>租入房屋强电工程</w:t>
            </w:r>
            <w:r>
              <w:rPr>
                <w:rFonts w:ascii="宋体" w:hAnsi="宋体" w:cs="宋体" w:eastAsia="宋体" w:hint="default"/>
                <w:w w:val="100"/>
                <w:sz w:val="18"/>
                <w:szCs w:val="18"/>
              </w:rPr>
              <w:t> </w:t>
            </w:r>
            <w:r>
              <w:rPr>
                <w:rFonts w:ascii="宋体" w:hAnsi="宋体" w:cs="宋体" w:eastAsia="宋体" w:hint="default"/>
                <w:sz w:val="18"/>
                <w:szCs w:val="18"/>
              </w:rPr>
              <w:t>改造费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680,415.89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160,276.29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531,065.60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电力改造费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809,200.00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727,600.00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新仓库灯具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23,819.44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8,166.72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15,652.72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仓库工程改造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1,078,911.27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124,685.94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71,499.00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218,799.95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75,833.00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1,173,025.28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3,637,834.04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4,522,129.75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1,023,557.91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7,136,405.88</w:t>
            </w:r>
          </w:p>
        </w:tc>
      </w:tr>
    </w:tbl>
    <w:p>
      <w:pPr>
        <w:pStyle w:val="BodyText"/>
        <w:spacing w:line="240" w:lineRule="auto" w:before="49"/>
        <w:ind w:right="0"/>
        <w:jc w:val="left"/>
      </w:pPr>
      <w:bookmarkStart w:name="17、递延所得税资产/递延所得税负债 " w:id="259"/>
      <w:bookmarkEnd w:id="259"/>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 w:id="260"/>
      <w:bookmarkEnd w:id="26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2" w:hRule="exact"/>
        </w:trPr>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13" w:type="dxa"/>
            <w:vMerge/>
            <w:tcBorders>
              <w:left w:val="single" w:sz="4" w:space="0" w:color="000000"/>
              <w:bottom w:val="nil" w:sz="6" w:space="0" w:color="auto"/>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8" w:hRule="exact"/>
        </w:trPr>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64,723,426.26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16,160,543.79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50,195,364.24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12,548,841.06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12,678,197.98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3,169,549.49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2）未经抵销的递延所得税负债 " w:id="261"/>
            <w:bookmarkEnd w:id="261"/>
            <w:r>
              <w:rPr/>
            </w:r>
            <w:r>
              <w:rPr>
                <w:rFonts w:ascii="宋体" w:hAnsi="宋体" w:cs="宋体" w:eastAsia="宋体" w:hint="default"/>
                <w:sz w:val="18"/>
                <w:szCs w:val="18"/>
              </w:rPr>
              <w:t>合计</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77,401,624.24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19,330,093.28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50,195,364.24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12,548,841.06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以抵销后净额列示的递延所得税资产或负债 " w:id="262"/>
      <w:bookmarkEnd w:id="26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4"/>
        <w:gridCol w:w="1906"/>
        <w:gridCol w:w="1914"/>
        <w:gridCol w:w="1914"/>
        <w:gridCol w:w="1903"/>
      </w:tblGrid>
      <w:tr>
        <w:trPr>
          <w:trHeight w:val="160" w:hRule="exact"/>
        </w:trPr>
        <w:tc>
          <w:tcPr>
            <w:tcW w:w="192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99"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w:t>
            </w:r>
            <w:r>
              <w:rPr>
                <w:rFonts w:ascii="宋体" w:hAnsi="宋体" w:cs="宋体" w:eastAsia="宋体" w:hint="default"/>
                <w:w w:val="100"/>
                <w:sz w:val="18"/>
                <w:szCs w:val="18"/>
              </w:rPr>
              <w:t> </w:t>
            </w:r>
            <w:r>
              <w:rPr>
                <w:rFonts w:ascii="宋体" w:hAnsi="宋体" w:cs="宋体" w:eastAsia="宋体" w:hint="default"/>
                <w:sz w:val="18"/>
                <w:szCs w:val="18"/>
              </w:rPr>
              <w:t>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22" w:right="47"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w:t>
            </w:r>
            <w:r>
              <w:rPr>
                <w:rFonts w:ascii="宋体" w:hAnsi="宋体" w:cs="宋体" w:eastAsia="宋体" w:hint="default"/>
                <w:w w:val="100"/>
                <w:sz w:val="18"/>
                <w:szCs w:val="18"/>
              </w:rPr>
              <w:t> </w:t>
            </w:r>
            <w:r>
              <w:rPr>
                <w:rFonts w:ascii="宋体" w:hAnsi="宋体" w:cs="宋体" w:eastAsia="宋体" w:hint="default"/>
                <w:sz w:val="18"/>
                <w:szCs w:val="18"/>
              </w:rPr>
              <w:t>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10"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w:t>
            </w:r>
            <w:r>
              <w:rPr>
                <w:rFonts w:ascii="宋体" w:hAnsi="宋体" w:cs="宋体" w:eastAsia="宋体" w:hint="default"/>
                <w:w w:val="100"/>
                <w:sz w:val="18"/>
                <w:szCs w:val="18"/>
              </w:rPr>
              <w:t> </w:t>
            </w:r>
            <w:r>
              <w:rPr>
                <w:rFonts w:ascii="宋体" w:hAnsi="宋体" w:cs="宋体" w:eastAsia="宋体" w:hint="default"/>
                <w:sz w:val="18"/>
                <w:szCs w:val="18"/>
              </w:rPr>
              <w:t>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319" w:right="39"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w:t>
            </w:r>
            <w:r>
              <w:rPr>
                <w:rFonts w:ascii="宋体" w:hAnsi="宋体" w:cs="宋体" w:eastAsia="宋体" w:hint="default"/>
                <w:w w:val="100"/>
                <w:sz w:val="18"/>
                <w:szCs w:val="18"/>
              </w:rPr>
              <w:t> </w:t>
            </w:r>
            <w:r>
              <w:rPr>
                <w:rFonts w:ascii="宋体" w:hAnsi="宋体" w:cs="宋体" w:eastAsia="宋体" w:hint="default"/>
                <w:sz w:val="18"/>
                <w:szCs w:val="18"/>
              </w:rPr>
              <w:t>或负债期初余额</w:t>
            </w:r>
          </w:p>
        </w:tc>
      </w:tr>
      <w:tr>
        <w:trPr>
          <w:trHeight w:val="394" w:hRule="exact"/>
        </w:trPr>
        <w:tc>
          <w:tcPr>
            <w:tcW w:w="19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6"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4）未确认递延所得税资产明细 " w:id="263"/>
            <w:bookmarkEnd w:id="263"/>
            <w:r>
              <w:rPr/>
            </w:r>
            <w:r>
              <w:rPr>
                <w:rFonts w:ascii="宋体" w:hAnsi="宋体" w:cs="宋体" w:eastAsia="宋体" w:hint="default"/>
                <w:sz w:val="18"/>
                <w:szCs w:val="18"/>
              </w:rPr>
              <w:t>递延所得税资产</w:t>
            </w:r>
          </w:p>
        </w:tc>
        <w:tc>
          <w:tcPr>
            <w:tcW w:w="1906" w:type="dxa"/>
            <w:tcBorders>
              <w:top w:val="single" w:sz="4" w:space="0" w:color="000000"/>
              <w:left w:val="single" w:sz="12"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19,330,093.28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3" w:right="0"/>
              <w:jc w:val="left"/>
              <w:rPr>
                <w:rFonts w:ascii="Times New Roman" w:hAnsi="Times New Roman" w:cs="Times New Roman" w:eastAsia="Times New Roman" w:hint="default"/>
                <w:sz w:val="18"/>
                <w:szCs w:val="18"/>
              </w:rPr>
            </w:pPr>
            <w:r>
              <w:rPr>
                <w:rFonts w:ascii="Times New Roman"/>
                <w:sz w:val="18"/>
              </w:rPr>
              <w:t>12,548,841.06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3,899,797.01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3,164,909.11</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5,060,175.45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3,301,345.16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5）未确认递延所得税资产的可抵扣亏损将于以下年度到期 " w:id="264"/>
            <w:bookmarkEnd w:id="264"/>
            <w:r>
              <w:rPr/>
            </w:r>
            <w:r>
              <w:rPr>
                <w:rFonts w:ascii="宋体" w:hAnsi="宋体" w:cs="宋体" w:eastAsia="宋体" w:hint="default"/>
                <w:sz w:val="18"/>
                <w:szCs w:val="18"/>
              </w:rPr>
              <w:t>合计</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8,959,972.46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6,466,254.27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653,485.36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653,485.36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年纳税所得额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635,067.62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625,149.07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年纳税所得额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1,947,935.47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1,686,444.93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年纳税所得额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1,823,687.00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336,265.80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年纳税所得额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5,060,175.45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3,301,345.16</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bookmarkStart w:name="18、其他非流动资产 " w:id="265"/>
      <w:bookmarkEnd w:id="265"/>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20,475,516.85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39,980,265.62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20,475,516.85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39,980,265.62</w:t>
            </w:r>
          </w:p>
        </w:tc>
      </w:tr>
    </w:tbl>
    <w:p>
      <w:pPr>
        <w:pStyle w:val="BodyText"/>
        <w:spacing w:line="240" w:lineRule="auto" w:before="49"/>
        <w:ind w:right="0"/>
        <w:jc w:val="left"/>
      </w:pPr>
      <w:r>
        <w:rPr/>
        <w:t>其他说明：</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19、短期借款 " w:id="266"/>
      <w:bookmarkEnd w:id="266"/>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 w:id="267"/>
      <w:bookmarkEnd w:id="26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345,000,000.00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474,000,000.00</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197,746,736.50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93,712,772.84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1,272,746,736.50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912,712,772.84</w:t>
            </w:r>
          </w:p>
        </w:tc>
      </w:tr>
    </w:tbl>
    <w:p>
      <w:pPr>
        <w:pStyle w:val="BodyText"/>
        <w:spacing w:line="240" w:lineRule="auto" w:before="49"/>
        <w:ind w:right="0"/>
        <w:jc w:val="left"/>
      </w:pPr>
      <w:r>
        <w:rPr/>
        <w:t>短期借款分类的说明：</w:t>
      </w:r>
    </w:p>
    <w:p>
      <w:pPr>
        <w:spacing w:line="240" w:lineRule="auto" w:before="5"/>
        <w:rPr>
          <w:rFonts w:ascii="宋体" w:hAnsi="宋体" w:cs="宋体" w:eastAsia="宋体" w:hint="default"/>
          <w:sz w:val="13"/>
          <w:szCs w:val="13"/>
        </w:rPr>
      </w:pPr>
    </w:p>
    <w:p>
      <w:pPr>
        <w:pStyle w:val="BodyText"/>
        <w:spacing w:line="300" w:lineRule="auto"/>
        <w:ind w:left="272" w:right="0" w:firstLine="215"/>
        <w:jc w:val="left"/>
      </w:pPr>
      <w:r>
        <w:rPr>
          <w:rFonts w:ascii="Times New Roman" w:hAnsi="Times New Roman" w:cs="Times New Roman" w:eastAsia="Times New Roman" w:hint="default"/>
          <w:spacing w:val="-2"/>
        </w:rPr>
        <w:t>1)</w:t>
      </w:r>
      <w:r>
        <w:rPr>
          <w:spacing w:val="-2"/>
        </w:rPr>
        <w:t>保理借款：公司通过应收账款保理方式、并以实际控制人韩旭、张仁华夫妇个人担保方式向中国银行股份有限公司烟</w:t>
      </w:r>
      <w:r>
        <w:rPr>
          <w:w w:val="100"/>
        </w:rPr>
        <w:t> </w:t>
      </w:r>
      <w:r>
        <w:rPr/>
        <w:t>台芝罘支行办理贷款</w:t>
      </w:r>
      <w:r>
        <w:rPr>
          <w:rFonts w:ascii="Times New Roman" w:hAnsi="Times New Roman" w:cs="Times New Roman" w:eastAsia="Times New Roman" w:hint="default"/>
        </w:rPr>
        <w:t>4,774.67</w:t>
      </w:r>
      <w:r>
        <w:rPr/>
        <w:t>万元。</w:t>
      </w:r>
    </w:p>
    <w:p>
      <w:pPr>
        <w:pStyle w:val="BodyText"/>
        <w:spacing w:line="316" w:lineRule="auto" w:before="113"/>
        <w:ind w:right="0" w:firstLine="515"/>
        <w:jc w:val="left"/>
      </w:pPr>
      <w:r>
        <w:rPr>
          <w:spacing w:val="-3"/>
        </w:rPr>
        <w:t>公司通过应收账款保理方式、并以实际控制人韩旭、张仁华担保方式向上海浦东发展银行股份有限公司烟台分行办理</w:t>
      </w:r>
      <w:r>
        <w:rPr>
          <w:w w:val="100"/>
        </w:rPr>
        <w:t> </w:t>
      </w:r>
      <w:r>
        <w:rPr/>
        <w:t>贷款</w:t>
      </w:r>
      <w:r>
        <w:rPr>
          <w:rFonts w:ascii="Times New Roman" w:hAnsi="Times New Roman" w:cs="Times New Roman" w:eastAsia="Times New Roman" w:hint="default"/>
        </w:rPr>
        <w:t>14,000</w:t>
      </w:r>
      <w:r>
        <w:rPr/>
        <w:t>万元。</w:t>
      </w:r>
    </w:p>
    <w:p>
      <w:pPr>
        <w:pStyle w:val="BodyText"/>
        <w:spacing w:line="240" w:lineRule="auto" w:before="100"/>
        <w:ind w:left="668" w:right="0"/>
        <w:jc w:val="left"/>
      </w:pPr>
      <w:r>
        <w:rPr/>
        <w:t>公司通过应收账款保理方式向中国工商银行股份有限公司烟台莱山支行办理贷款</w:t>
      </w:r>
      <w:r>
        <w:rPr>
          <w:rFonts w:ascii="Times New Roman" w:hAnsi="Times New Roman" w:cs="Times New Roman" w:eastAsia="Times New Roman" w:hint="default"/>
        </w:rPr>
        <w:t>1,000</w:t>
      </w:r>
      <w:r>
        <w:rPr/>
        <w:t>万元。</w:t>
      </w:r>
    </w:p>
    <w:p>
      <w:pPr>
        <w:pStyle w:val="BodyText"/>
        <w:spacing w:line="300" w:lineRule="auto" w:before="161"/>
        <w:ind w:right="0" w:firstLine="359"/>
        <w:jc w:val="left"/>
      </w:pPr>
      <w:r>
        <w:rPr>
          <w:rFonts w:ascii="Times New Roman" w:hAnsi="Times New Roman" w:cs="Times New Roman" w:eastAsia="Times New Roman" w:hint="default"/>
          <w:spacing w:val="-2"/>
        </w:rPr>
        <w:t>2)</w:t>
      </w:r>
      <w:r>
        <w:rPr>
          <w:spacing w:val="-2"/>
        </w:rPr>
        <w:t>质押借款：公司通过应收账款质押并以实际控制人韩旭、张仁华夫妇个人担保方式向中国建设银行股份有限公司烟台</w:t>
      </w:r>
      <w:r>
        <w:rPr>
          <w:w w:val="100"/>
        </w:rPr>
        <w:t> </w:t>
      </w:r>
      <w:r>
        <w:rPr/>
        <w:t>卧龙支行办理贷款</w:t>
      </w:r>
      <w:r>
        <w:rPr>
          <w:rFonts w:ascii="Times New Roman" w:hAnsi="Times New Roman" w:cs="Times New Roman" w:eastAsia="Times New Roman" w:hint="default"/>
        </w:rPr>
        <w:t>31,500</w:t>
      </w:r>
      <w:r>
        <w:rPr/>
        <w:t>万元。</w:t>
      </w:r>
    </w:p>
    <w:p>
      <w:pPr>
        <w:pStyle w:val="BodyText"/>
        <w:spacing w:line="319" w:lineRule="auto" w:before="113"/>
        <w:ind w:right="0" w:firstLine="523"/>
        <w:jc w:val="left"/>
      </w:pPr>
      <w:r>
        <w:rPr>
          <w:spacing w:val="-3"/>
        </w:rPr>
        <w:t>公司通过应收账款质押方式并以实际控制人韩旭、张仁华夫妇个人担保方式向中国银行股份有限公司烟台芝罘支行办</w:t>
      </w:r>
      <w:r>
        <w:rPr>
          <w:w w:val="100"/>
        </w:rPr>
        <w:t> </w:t>
      </w:r>
      <w:r>
        <w:rPr/>
        <w:t>理贷款</w:t>
      </w:r>
      <w:r>
        <w:rPr>
          <w:rFonts w:ascii="Times New Roman" w:hAnsi="Times New Roman" w:cs="Times New Roman" w:eastAsia="Times New Roman" w:hint="default"/>
        </w:rPr>
        <w:t>6,500</w:t>
      </w:r>
      <w:r>
        <w:rPr/>
        <w:t>万元。</w:t>
      </w:r>
    </w:p>
    <w:p>
      <w:pPr>
        <w:pStyle w:val="BodyText"/>
        <w:spacing w:line="300" w:lineRule="auto" w:before="97"/>
        <w:ind w:right="0" w:firstLine="35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保证借款：公司通过实际控制人韩旭、张仁华夫妇个人担保方式向中国建设银行股份有限公司烟台卧龙支行办理贷</w:t>
      </w:r>
      <w:r>
        <w:rPr>
          <w:w w:val="100"/>
        </w:rPr>
        <w:t> </w:t>
      </w:r>
      <w:r>
        <w:rPr/>
        <w:t>款</w:t>
      </w:r>
      <w:r>
        <w:rPr>
          <w:rFonts w:ascii="Times New Roman" w:hAnsi="Times New Roman" w:cs="Times New Roman" w:eastAsia="Times New Roman" w:hint="default"/>
        </w:rPr>
        <w:t>4,500</w:t>
      </w:r>
      <w:r>
        <w:rPr/>
        <w:t>万元。</w:t>
      </w:r>
    </w:p>
    <w:p>
      <w:pPr>
        <w:pStyle w:val="BodyText"/>
        <w:spacing w:line="240" w:lineRule="auto" w:before="111"/>
        <w:ind w:left="783" w:right="0"/>
        <w:jc w:val="left"/>
      </w:pPr>
      <w:r>
        <w:rPr/>
        <w:t>公司通过实际控制人韩旭、张仁华夫妇个人担保方式向中信银行股份有限公司烟台支行办理贷款</w:t>
      </w:r>
      <w:r>
        <w:rPr>
          <w:rFonts w:ascii="Times New Roman" w:hAnsi="Times New Roman" w:cs="Times New Roman" w:eastAsia="Times New Roman" w:hint="default"/>
        </w:rPr>
        <w:t>30,000</w:t>
      </w:r>
      <w:r>
        <w:rPr/>
        <w:t>万元。</w:t>
      </w:r>
    </w:p>
    <w:p>
      <w:pPr>
        <w:spacing w:line="240" w:lineRule="auto" w:before="2"/>
        <w:rPr>
          <w:rFonts w:ascii="宋体" w:hAnsi="宋体" w:cs="宋体" w:eastAsia="宋体" w:hint="default"/>
          <w:sz w:val="9"/>
          <w:szCs w:val="9"/>
        </w:rPr>
      </w:pPr>
    </w:p>
    <w:p>
      <w:pPr>
        <w:pStyle w:val="BodyText"/>
        <w:spacing w:line="240" w:lineRule="auto" w:before="44"/>
        <w:ind w:left="783" w:right="0"/>
        <w:jc w:val="left"/>
      </w:pPr>
      <w:r>
        <w:rPr/>
        <w:t>公司通过实际控制人韩旭、张仁华夫妇个人担保方式向上海浦东发展银行股份有限公司烟台分行办理贷款</w:t>
      </w:r>
      <w:r>
        <w:rPr>
          <w:rFonts w:ascii="Times New Roman" w:hAnsi="Times New Roman" w:cs="Times New Roman" w:eastAsia="Times New Roman" w:hint="default"/>
        </w:rPr>
        <w:t>6,000</w:t>
      </w:r>
      <w:r>
        <w:rPr/>
        <w:t>万</w:t>
      </w:r>
    </w:p>
    <w:p>
      <w:pPr>
        <w:pStyle w:val="BodyText"/>
        <w:spacing w:line="240" w:lineRule="auto" w:before="62"/>
        <w:ind w:right="0"/>
        <w:jc w:val="left"/>
      </w:pPr>
      <w:r>
        <w:rPr/>
        <w:t>元。</w:t>
      </w:r>
    </w:p>
    <w:p>
      <w:pPr>
        <w:spacing w:line="240" w:lineRule="auto" w:before="2"/>
        <w:rPr>
          <w:rFonts w:ascii="宋体" w:hAnsi="宋体" w:cs="宋体" w:eastAsia="宋体" w:hint="default"/>
          <w:sz w:val="10"/>
          <w:szCs w:val="10"/>
        </w:rPr>
      </w:pPr>
    </w:p>
    <w:p>
      <w:pPr>
        <w:pStyle w:val="BodyText"/>
        <w:spacing w:line="396" w:lineRule="auto" w:before="44"/>
        <w:ind w:left="783" w:right="0"/>
        <w:jc w:val="left"/>
      </w:pPr>
      <w:r>
        <w:rPr>
          <w:spacing w:val="-1"/>
        </w:rPr>
        <w:t>公司通过实际控制人韩旭、张仁华夫妇个人担保方式向中国光大银行股份有限公司烟台分行办理贷款</w:t>
      </w:r>
      <w:r>
        <w:rPr>
          <w:rFonts w:ascii="Times New Roman" w:hAnsi="Times New Roman" w:cs="Times New Roman" w:eastAsia="Times New Roman" w:hint="default"/>
          <w:spacing w:val="-1"/>
        </w:rPr>
        <w:t>10,000</w:t>
      </w:r>
      <w:r>
        <w:rPr>
          <w:spacing w:val="-1"/>
        </w:rPr>
        <w:t>万元。</w:t>
      </w:r>
      <w:r>
        <w:rPr>
          <w:spacing w:val="-74"/>
        </w:rPr>
        <w:t> </w:t>
      </w:r>
      <w:r>
        <w:rPr>
          <w:spacing w:val="-74"/>
        </w:rPr>
      </w:r>
      <w:r>
        <w:rPr/>
        <w:t>公司通过实际控制人韩旭、张仁华夫妇个人担保方式向中国民生银行股份有限公司烟台分行办理贷款</w:t>
      </w:r>
      <w:r>
        <w:rPr>
          <w:rFonts w:ascii="Times New Roman" w:hAnsi="Times New Roman" w:cs="Times New Roman" w:eastAsia="Times New Roman" w:hint="default"/>
        </w:rPr>
        <w:t>6,000</w:t>
      </w:r>
      <w:r>
        <w:rPr/>
        <w:t>万元。</w:t>
      </w:r>
    </w:p>
    <w:p>
      <w:pPr>
        <w:pStyle w:val="BodyText"/>
        <w:spacing w:line="240" w:lineRule="auto" w:before="34"/>
        <w:ind w:left="783" w:right="0"/>
        <w:jc w:val="left"/>
      </w:pPr>
      <w:r>
        <w:rPr/>
        <w:t>公司通过实际控制人韩旭、张仁华夫妇个人担保方式向招商银行股份有限公司烟台大海阳路支行办理贷款</w:t>
      </w:r>
      <w:r>
        <w:rPr>
          <w:rFonts w:ascii="Times New Roman" w:hAnsi="Times New Roman" w:cs="Times New Roman" w:eastAsia="Times New Roman" w:hint="default"/>
        </w:rPr>
        <w:t>3,000</w:t>
      </w:r>
      <w:r>
        <w:rPr/>
        <w:t>万</w:t>
      </w:r>
    </w:p>
    <w:p>
      <w:pPr>
        <w:pStyle w:val="BodyText"/>
        <w:spacing w:line="240" w:lineRule="auto" w:before="62"/>
        <w:ind w:right="0"/>
        <w:jc w:val="left"/>
      </w:pPr>
      <w:r>
        <w:rPr/>
        <w:t>元。</w:t>
      </w:r>
    </w:p>
    <w:p>
      <w:pPr>
        <w:spacing w:line="240" w:lineRule="auto" w:before="2"/>
        <w:rPr>
          <w:rFonts w:ascii="宋体" w:hAnsi="宋体" w:cs="宋体" w:eastAsia="宋体" w:hint="default"/>
          <w:sz w:val="10"/>
          <w:szCs w:val="10"/>
        </w:rPr>
      </w:pPr>
    </w:p>
    <w:p>
      <w:pPr>
        <w:pStyle w:val="BodyText"/>
        <w:spacing w:line="240" w:lineRule="auto" w:before="44"/>
        <w:ind w:left="452" w:right="0" w:firstLine="331"/>
        <w:jc w:val="left"/>
      </w:pPr>
      <w:r>
        <w:rPr/>
        <w:t>公司通过实际控制人韩旭、张仁华夫妇个人担保方式向烟台银行股份有限公司塔山支行办理贷款</w:t>
      </w:r>
      <w:r>
        <w:rPr>
          <w:rFonts w:ascii="Times New Roman" w:hAnsi="Times New Roman" w:cs="Times New Roman" w:eastAsia="Times New Roman" w:hint="default"/>
        </w:rPr>
        <w:t>5,000</w:t>
      </w:r>
      <w:r>
        <w:rPr/>
        <w:t>万元。</w:t>
      </w:r>
    </w:p>
    <w:p>
      <w:pPr>
        <w:pStyle w:val="BodyText"/>
        <w:spacing w:line="300" w:lineRule="auto" w:before="161"/>
        <w:ind w:right="0" w:firstLine="299"/>
        <w:jc w:val="left"/>
      </w:pPr>
      <w:r>
        <w:rPr>
          <w:rFonts w:ascii="Times New Roman" w:hAnsi="Times New Roman" w:cs="Times New Roman" w:eastAsia="Times New Roman" w:hint="default"/>
          <w:spacing w:val="-1"/>
        </w:rPr>
        <w:t>4</w:t>
      </w:r>
      <w:r>
        <w:rPr>
          <w:spacing w:val="-1"/>
        </w:rPr>
        <w:t>）抵押借款：公司通过固定资产抵押、无形资产抵押、并以实际控制人韩旭、张仁华夫妇个人担保方式向中国建设银</w:t>
      </w:r>
      <w:r>
        <w:rPr>
          <w:w w:val="100"/>
        </w:rPr>
        <w:t> </w:t>
      </w:r>
      <w:r>
        <w:rPr/>
        <w:t>行股份有限公司烟台卧龙支行办理贷款</w:t>
      </w:r>
      <w:r>
        <w:rPr>
          <w:rFonts w:ascii="Times New Roman" w:hAnsi="Times New Roman" w:cs="Times New Roman" w:eastAsia="Times New Roman" w:hint="default"/>
        </w:rPr>
        <w:t>5,000</w:t>
      </w:r>
      <w:r>
        <w:rPr/>
        <w:t>万元。</w:t>
      </w:r>
    </w:p>
    <w:p>
      <w:pPr>
        <w:spacing w:after="0" w:line="300" w:lineRule="auto"/>
        <w:jc w:val="left"/>
        <w:sectPr>
          <w:footerReference w:type="default" r:id="rId31"/>
          <w:pgSz w:w="11910" w:h="16840"/>
          <w:pgMar w:footer="981" w:header="745" w:top="1060" w:bottom="1180" w:left="980" w:right="98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已逾期未偿还的短期借款情况 " w:id="268"/>
      <w:bookmarkEnd w:id="26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5"/>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0"/>
        <w:ind w:right="0"/>
        <w:jc w:val="left"/>
      </w:pPr>
      <w:bookmarkStart w:name="20、应付票据 " w:id="269"/>
      <w:bookmarkEnd w:id="269"/>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339,300,908.52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214,629,791.79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339,300,908.52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214,629,791.79</w:t>
            </w:r>
          </w:p>
        </w:tc>
      </w:tr>
    </w:tbl>
    <w:p>
      <w:pPr>
        <w:pStyle w:val="BodyText"/>
        <w:spacing w:line="240" w:lineRule="auto" w:before="49"/>
        <w:ind w:right="0"/>
        <w:jc w:val="left"/>
      </w:pPr>
      <w:bookmarkStart w:name="21、应付账款 " w:id="270"/>
      <w:bookmarkEnd w:id="270"/>
      <w:r>
        <w:rPr/>
      </w: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 w:id="271"/>
      <w:bookmarkEnd w:id="27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2,065,978,941.94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1,539,502,697.75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8,669,457.21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6,578,433.29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2）账龄超过1年的重要应付账款 " w:id="272"/>
            <w:bookmarkEnd w:id="272"/>
            <w:r>
              <w:rPr/>
            </w: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2,074,648,399.15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1,546,081,131.04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0"/>
        <w:ind w:right="0"/>
        <w:jc w:val="left"/>
      </w:pPr>
      <w:bookmarkStart w:name="22、预收款项 " w:id="273"/>
      <w:bookmarkEnd w:id="273"/>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 w:id="274"/>
      <w:bookmarkEnd w:id="27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3,268,158.15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4,090,271.35</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61,741.45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73,828.15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3,329,899.60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4,164,099.50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2）账龄超过1年的重要预收款项 " w:id="275"/>
      <w:bookmarkEnd w:id="275"/>
      <w:r>
        <w:rPr>
          <w:b w:val="0"/>
          <w:bCs w:val="0"/>
        </w:rPr>
      </w: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bookmarkStart w:name="（3）期末建造合同形成的已结算未完工项目情况 " w:id="276"/>
            <w:bookmarkEnd w:id="276"/>
            <w:r>
              <w:rPr/>
            </w: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407;width:4769;height:2" coordorigin="10,407" coordsize="4769,2">
              <v:shape style="position:absolute;left:10;top:407;width:4769;height:2" coordorigin="10,407" coordsize="4769,0" path="m10,407l4778,407e" filled="false" stroked="true" strokeweight=".1pt" strokecolor="#d3d3d3">
                <v:path arrowok="t"/>
              </v:shape>
            </v:group>
            <v:group style="position:absolute;left:22;top:14;width:2;height:392" coordorigin="22,14" coordsize="2,392">
              <v:shape style="position:absolute;left:22;top:14;width:2;height:392" coordorigin="22,14" coordsize="0,392" path="m22,14l22,406e" filled="false" stroked="true" strokeweight="1.2pt" strokecolor="#d3d3d3">
                <v:path arrowok="t"/>
              </v:shape>
            </v:group>
            <v:group style="position:absolute;left:4768;top:14;width:2;height:392" coordorigin="4768,14" coordsize="2,392">
              <v:shape style="position:absolute;left:4768;top:14;width:2;height:392" coordorigin="4768,14" coordsize="0,392" path="m4768,14l4768,406e" filled="false" stroked="true" strokeweight="1.08pt" strokecolor="#d3d3d3">
                <v:path arrowok="t"/>
              </v:shape>
            </v:group>
            <v:group style="position:absolute;left:34;top:14;width:4724;height:392" coordorigin="34,14" coordsize="4724,392">
              <v:shape style="position:absolute;left:34;top:14;width:4724;height:392" coordorigin="34,14" coordsize="4724,392" path="m34,14l4757,14,4757,406,34,406,34,14xe" filled="true" fillcolor="#d3d3d3" stroked="false">
                <v:path arrowok="t"/>
                <v:fill type="solid"/>
              </v:shape>
            </v:group>
            <v:group style="position:absolute;left:4788;top:407;width:4781;height:2" coordorigin="4788,407" coordsize="4781,2">
              <v:shape style="position:absolute;left:4788;top:407;width:4781;height:2" coordorigin="4788,407" coordsize="4781,0" path="m4788,407l9569,407e" filled="false" stroked="true" strokeweight=".1pt" strokecolor="#d3d3d3">
                <v:path arrowok="t"/>
              </v:shape>
            </v:group>
            <v:group style="position:absolute;left:4801;top:14;width:2;height:392" coordorigin="4801,14" coordsize="2,392">
              <v:shape style="position:absolute;left:4801;top:14;width:2;height:392" coordorigin="4801,14" coordsize="0,392" path="m4801,14l4801,406e" filled="false" stroked="true" strokeweight="1.32pt" strokecolor="#d3d3d3">
                <v:path arrowok="t"/>
              </v:shape>
            </v:group>
            <v:group style="position:absolute;left:9558;top:14;width:2;height:392" coordorigin="9558,14" coordsize="2,392">
              <v:shape style="position:absolute;left:9558;top:14;width:2;height:392" coordorigin="9558,14" coordsize="0,392" path="m9558,14l9558,406e" filled="false" stroked="true" strokeweight="1.08pt" strokecolor="#d3d3d3">
                <v:path arrowok="t"/>
              </v:shape>
            </v:group>
            <v:group style="position:absolute;left:4814;top:14;width:4733;height:392" coordorigin="4814,14" coordsize="4733,392">
              <v:shape style="position:absolute;left:4814;top:14;width:4733;height:392" coordorigin="4814,14" coordsize="4733,392" path="m4814,14l9547,14,9547,406,4814,406,4814,14xe" filled="true" fillcolor="#d3d3d3" stroked="false">
                <v:path arrowok="t"/>
                <v:fill type="solid"/>
              </v:shape>
            </v:group>
            <v:group style="position:absolute;left:10;top:10;width:4769;height:2" coordorigin="10,10" coordsize="4769,2">
              <v:shape style="position:absolute;left:10;top:10;width:4769;height:2" coordorigin="10,10" coordsize="4769,0" path="m10,10l4778,10e" filled="false" stroked="true" strokeweight=".48pt" strokecolor="#000000">
                <v:path arrowok="t"/>
              </v:shape>
            </v:group>
            <v:group style="position:absolute;left:4788;top:10;width:4781;height:2" coordorigin="4788,10" coordsize="4781,2">
              <v:shape style="position:absolute;left:4788;top:10;width:4781;height:2" coordorigin="4788,10" coordsize="4781,0" path="m4788,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69;height:2" coordorigin="10,413" coordsize="4769,2">
              <v:shape style="position:absolute;left:10;top:413;width:4769;height:2" coordorigin="10,413" coordsize="4769,0" path="m10,413l4778,413e" filled="false" stroked="true" strokeweight=".48pt" strokecolor="#000000">
                <v:path arrowok="t"/>
              </v:shape>
            </v:group>
            <v:group style="position:absolute;left:4783;top:5;width:2;height:413" coordorigin="4783,5" coordsize="2,413">
              <v:shape style="position:absolute;left:4783;top:5;width:2;height:413" coordorigin="4783,5" coordsize="0,413" path="m4783,5l4783,418e" filled="false" stroked="true" strokeweight=".48pt" strokecolor="#000000">
                <v:path arrowok="t"/>
              </v:shape>
            </v:group>
            <v:group style="position:absolute;left:4788;top:413;width:4781;height:2" coordorigin="4788,413" coordsize="4781,2">
              <v:shape style="position:absolute;left:4788;top:413;width:4781;height:2" coordorigin="4788,413" coordsize="4781,0" path="m4788,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215;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0;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bookmarkStart w:name="23、应付职工薪酬 " w:id="277"/>
      <w:bookmarkEnd w:id="277"/>
      <w:r>
        <w:rPr/>
      </w: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 w:id="278"/>
      <w:bookmarkEnd w:id="27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6"/>
        <w:gridCol w:w="1915"/>
        <w:gridCol w:w="1913"/>
        <w:gridCol w:w="1915"/>
      </w:tblGrid>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6"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6,149,090.07</w:t>
            </w:r>
          </w:p>
        </w:tc>
        <w:tc>
          <w:tcPr>
            <w:tcW w:w="191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81,568,526.17</w:t>
            </w:r>
          </w:p>
        </w:tc>
        <w:tc>
          <w:tcPr>
            <w:tcW w:w="191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81,622,807.01</w:t>
            </w:r>
          </w:p>
        </w:tc>
        <w:tc>
          <w:tcPr>
            <w:tcW w:w="1915"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6,094,809.23</w:t>
            </w:r>
          </w:p>
        </w:tc>
      </w:tr>
      <w:tr>
        <w:trPr>
          <w:trHeight w:val="715"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10"/>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存计划</w:t>
            </w:r>
          </w:p>
        </w:tc>
        <w:tc>
          <w:tcPr>
            <w:tcW w:w="1926"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8,848,134.15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8,765,564.35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82,569.80</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2）短期薪酬列示 " w:id="279"/>
            <w:bookmarkEnd w:id="279"/>
            <w:r>
              <w:rPr/>
            </w:r>
            <w:r>
              <w:rPr>
                <w:rFonts w:ascii="宋体" w:hAnsi="宋体" w:cs="宋体" w:eastAsia="宋体" w:hint="default"/>
                <w:sz w:val="18"/>
                <w:szCs w:val="18"/>
              </w:rPr>
              <w:t>合计</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6,149,090.07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90,416,660.32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90,388,371.36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6,177,379.03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5"/>
        <w:gridCol w:w="1915"/>
        <w:gridCol w:w="1913"/>
        <w:gridCol w:w="1915"/>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1"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补贴</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6,149,090.07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72,124,857.62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72,218,433.48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6,055,514.21</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2,224,290.88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2,224,290.88</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3,972,705.42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3,969,566.40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3,139.02</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6"/>
              <w:jc w:val="right"/>
              <w:rPr>
                <w:rFonts w:ascii="宋体" w:hAnsi="宋体" w:cs="宋体" w:eastAsia="宋体" w:hint="default"/>
                <w:sz w:val="18"/>
                <w:szCs w:val="18"/>
              </w:rPr>
            </w:pPr>
            <w:r>
              <w:rPr>
                <w:rFonts w:ascii="宋体" w:hAnsi="宋体" w:cs="宋体" w:eastAsia="宋体" w:hint="default"/>
                <w:spacing w:val="-1"/>
                <w:sz w:val="18"/>
                <w:szCs w:val="18"/>
              </w:rPr>
              <w:t>其中：医疗保险费</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3,262,776.10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3,259,593.66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3,182.44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6"/>
              <w:jc w:val="right"/>
              <w:rPr>
                <w:rFonts w:ascii="宋体" w:hAnsi="宋体" w:cs="宋体" w:eastAsia="宋体" w:hint="default"/>
                <w:sz w:val="18"/>
                <w:szCs w:val="18"/>
              </w:rPr>
            </w:pPr>
            <w:r>
              <w:rPr>
                <w:rFonts w:ascii="宋体" w:hAnsi="宋体" w:cs="宋体" w:eastAsia="宋体" w:hint="default"/>
                <w:spacing w:val="-1"/>
                <w:sz w:val="18"/>
                <w:szCs w:val="18"/>
              </w:rPr>
              <w:t>工伤保险费</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293,920.03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293,938.12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-18.09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6"/>
              <w:jc w:val="right"/>
              <w:rPr>
                <w:rFonts w:ascii="宋体" w:hAnsi="宋体" w:cs="宋体" w:eastAsia="宋体" w:hint="default"/>
                <w:sz w:val="18"/>
                <w:szCs w:val="18"/>
              </w:rPr>
            </w:pPr>
            <w:r>
              <w:rPr>
                <w:rFonts w:ascii="宋体" w:hAnsi="宋体" w:cs="宋体" w:eastAsia="宋体" w:hint="default"/>
                <w:spacing w:val="-1"/>
                <w:sz w:val="18"/>
                <w:szCs w:val="18"/>
              </w:rPr>
              <w:t>生育保险费</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416,009.29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416,034.62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-25.33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2,607,286.02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2,571,130.02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36,156.00</w:t>
            </w: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11" w:right="1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经费</w:t>
            </w:r>
          </w:p>
        </w:tc>
        <w:tc>
          <w:tcPr>
            <w:tcW w:w="1915"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639,386.23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639,386.23</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6,149,090.07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81,568,526.17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81,622,807.01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6,094,809.23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设定提存计划列示 " w:id="280"/>
      <w:bookmarkEnd w:id="28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6"/>
        <w:gridCol w:w="1915"/>
        <w:gridCol w:w="1913"/>
        <w:gridCol w:w="1915"/>
      </w:tblGrid>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6"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8,428,443.17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8,346,659.58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81,783.59</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6"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419,690.98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418,904.77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786.21</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2" w:space="0" w:color="D3D3D3"/>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8,848,134.15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8,765,564.35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82,569.80</w:t>
            </w:r>
          </w:p>
        </w:tc>
      </w:tr>
    </w:tbl>
    <w:p>
      <w:pPr>
        <w:pStyle w:val="BodyText"/>
        <w:spacing w:line="240" w:lineRule="auto" w:before="49"/>
        <w:ind w:right="0"/>
        <w:jc w:val="left"/>
      </w:pPr>
      <w:r>
        <w:rPr/>
        <w:t>其他说明：</w:t>
      </w:r>
    </w:p>
    <w:p>
      <w:pPr>
        <w:pStyle w:val="BodyText"/>
        <w:spacing w:line="300" w:lineRule="auto" w:before="117"/>
        <w:ind w:right="149" w:firstLine="287"/>
        <w:jc w:val="both"/>
      </w:pPr>
      <w:r>
        <w:rPr>
          <w:spacing w:val="-3"/>
        </w:rPr>
        <w:t>本公司按规定参加由政府机构设立的养老保险、失业保险计划，根据该等计划，本公司分别按</w:t>
      </w:r>
      <w:r>
        <w:rPr>
          <w:spacing w:val="-16"/>
        </w:rPr>
        <w:t> </w:t>
      </w:r>
      <w:r>
        <w:rPr>
          <w:rFonts w:ascii="Times New Roman" w:hAnsi="Times New Roman" w:cs="Times New Roman" w:eastAsia="Times New Roman" w:hint="default"/>
        </w:rPr>
        <w:t>2014</w:t>
      </w:r>
      <w:r>
        <w:rPr/>
        <w:t>年度社会保险缴费基</w:t>
      </w:r>
      <w:r>
        <w:rPr>
          <w:w w:val="100"/>
        </w:rPr>
        <w:t> </w:t>
      </w:r>
      <w:r>
        <w:rPr/>
        <w:t>数的</w:t>
      </w:r>
      <w:r>
        <w:rPr>
          <w:rFonts w:ascii="Times New Roman" w:hAnsi="Times New Roman" w:cs="Times New Roman" w:eastAsia="Times New Roman" w:hint="default"/>
        </w:rPr>
        <w:t>18%</w:t>
      </w:r>
      <w:r>
        <w:rPr/>
        <w:t>、</w:t>
      </w:r>
      <w:r>
        <w:rPr>
          <w:spacing w:val="-43"/>
        </w:rPr>
        <w:t> </w:t>
      </w:r>
      <w:r>
        <w:rPr>
          <w:rFonts w:ascii="Times New Roman" w:hAnsi="Times New Roman" w:cs="Times New Roman" w:eastAsia="Times New Roman" w:hint="default"/>
        </w:rPr>
        <w:t>1%</w:t>
      </w:r>
      <w:r>
        <w:rPr/>
        <w:t>每月向该等计划缴存费用。除上述每月缴存费用外，本公司不再承担进一步支付义务。相应的支出于发生时</w:t>
      </w:r>
      <w:r>
        <w:rPr>
          <w:w w:val="100"/>
        </w:rPr>
        <w:t> </w:t>
      </w:r>
      <w:r>
        <w:rPr/>
        <w:t>计入当期损益或相关资产的成本。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51"/>
        <w:ind w:right="0"/>
        <w:jc w:val="left"/>
        <w:rPr>
          <w:b w:val="0"/>
          <w:bCs w:val="0"/>
        </w:rPr>
      </w:pPr>
      <w:bookmarkStart w:name="24、应交税费 " w:id="281"/>
      <w:bookmarkEnd w:id="281"/>
      <w:r>
        <w:rPr>
          <w:b w:val="0"/>
          <w:bCs w:val="0"/>
        </w:rPr>
      </w:r>
      <w:r>
        <w:rPr>
          <w:rFonts w:ascii="Times New Roman" w:hAnsi="Times New Roman" w:cs="Times New Roman" w:eastAsia="Times New Roman" w:hint="default"/>
        </w:rPr>
        <w:t>24</w:t>
      </w:r>
      <w:r>
        <w:rPr/>
        <w:t>、应交税费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12,555,346.71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15,346,416.27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22,959,814.67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17,920,700.37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46,985.36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102,478.24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884,611.06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1,079,738.75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501,454.14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101,550.68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461,756.26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196,518.00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365,093.52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295,300.64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631,865.02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774,419.49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64,010.55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148,243.28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38,470,937.29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35,965,365.72</w:t>
            </w:r>
          </w:p>
        </w:tc>
      </w:tr>
    </w:tbl>
    <w:p>
      <w:pPr>
        <w:pStyle w:val="BodyText"/>
        <w:spacing w:line="240" w:lineRule="auto" w:before="49"/>
        <w:ind w:right="0"/>
        <w:jc w:val="left"/>
      </w:pPr>
      <w:bookmarkStart w:name="25、应付利息 " w:id="282"/>
      <w:bookmarkEnd w:id="282"/>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3,715,464.16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2,576,566.45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3,715,464.16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2,576,566.45</w:t>
            </w:r>
          </w:p>
        </w:tc>
      </w:tr>
    </w:tbl>
    <w:p>
      <w:pPr>
        <w:pStyle w:val="BodyText"/>
        <w:spacing w:line="240" w:lineRule="auto" w:before="49"/>
        <w:ind w:right="0"/>
        <w:jc w:val="left"/>
      </w:pPr>
      <w:r>
        <w:rPr/>
        <w:t>重要的已逾期未支付的利息情况：</w:t>
      </w:r>
    </w:p>
    <w:p>
      <w:pPr>
        <w:pStyle w:val="BodyText"/>
        <w:spacing w:line="240" w:lineRule="auto" w:before="115"/>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96"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bookmarkStart w:name="26、应付股利 " w:id="283"/>
      <w:bookmarkEnd w:id="283"/>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bookmarkStart w:name="27、其他应付款 " w:id="284"/>
      <w:bookmarkEnd w:id="284"/>
      <w:r>
        <w:rPr/>
      </w:r>
      <w:r>
        <w:rPr/>
        <w:t>其他说明，包括重要的超过</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 w:id="285"/>
      <w:bookmarkEnd w:id="28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29,135,552.86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7,868,728.10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3,595,813.11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员工款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10,698,619.67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7,131,423.02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42,110,451.36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13,636,130.81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其他往来款等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29,100,571.86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48,429,726.50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2）账龄超过1年的重要其他应付款 " w:id="286"/>
            <w:bookmarkEnd w:id="286"/>
            <w:r>
              <w:rPr/>
            </w: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114,641,008.86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81,966,008.43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96"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6"/>
        <w:ind w:right="0"/>
        <w:jc w:val="left"/>
      </w:pPr>
      <w:bookmarkStart w:name="28、一年内到期的非流动负债 " w:id="287"/>
      <w:bookmarkEnd w:id="287"/>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bookmarkStart w:name="29、其他流动负债 " w:id="288"/>
      <w:bookmarkEnd w:id="288"/>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9"/>
        <w:gridCol w:w="797"/>
        <w:gridCol w:w="799"/>
        <w:gridCol w:w="797"/>
        <w:gridCol w:w="799"/>
        <w:gridCol w:w="796"/>
        <w:gridCol w:w="797"/>
        <w:gridCol w:w="798"/>
        <w:gridCol w:w="794"/>
        <w:gridCol w:w="786"/>
      </w:tblGrid>
      <w:tr>
        <w:trPr>
          <w:trHeight w:val="402"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按面值计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1" w:right="0"/>
              <w:jc w:val="left"/>
              <w:rPr>
                <w:rFonts w:ascii="宋体" w:hAnsi="宋体" w:cs="宋体" w:eastAsia="宋体" w:hint="default"/>
                <w:sz w:val="18"/>
                <w:szCs w:val="18"/>
              </w:rPr>
            </w:pPr>
            <w:r>
              <w:rPr>
                <w:rFonts w:ascii="宋体" w:hAnsi="宋体" w:cs="宋体" w:eastAsia="宋体" w:hint="default"/>
                <w:sz w:val="18"/>
                <w:szCs w:val="18"/>
              </w:rPr>
              <w:t>溢折价摊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9"/>
        <w:gridCol w:w="799"/>
        <w:gridCol w:w="799"/>
        <w:gridCol w:w="797"/>
        <w:gridCol w:w="799"/>
        <w:gridCol w:w="797"/>
        <w:gridCol w:w="797"/>
        <w:gridCol w:w="797"/>
        <w:gridCol w:w="797"/>
        <w:gridCol w:w="797"/>
        <w:gridCol w:w="797"/>
        <w:gridCol w:w="797"/>
      </w:tblGrid>
      <w:tr>
        <w:trPr>
          <w:trHeight w:val="362"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26" w:right="0"/>
              <w:jc w:val="left"/>
              <w:rPr>
                <w:rFonts w:ascii="宋体" w:hAnsi="宋体" w:cs="宋体" w:eastAsia="宋体" w:hint="default"/>
                <w:sz w:val="18"/>
                <w:szCs w:val="18"/>
              </w:rPr>
            </w:pPr>
            <w:r>
              <w:rPr>
                <w:rFonts w:ascii="宋体" w:hAnsi="宋体" w:cs="宋体" w:eastAsia="宋体" w:hint="default"/>
                <w:sz w:val="18"/>
                <w:szCs w:val="18"/>
              </w:rPr>
              <w:t>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w w:val="100"/>
                <w:sz w:val="18"/>
                <w:szCs w:val="18"/>
              </w:rPr>
              <w:t>销</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0"/>
        <w:jc w:val="left"/>
      </w:pPr>
      <w:bookmarkStart w:name="30、股本 " w:id="289"/>
      <w:bookmarkEnd w:id="289"/>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spacing w:val="-1"/>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5"/>
        <w:gridCol w:w="1198"/>
        <w:gridCol w:w="1195"/>
        <w:gridCol w:w="1184"/>
        <w:gridCol w:w="1208"/>
      </w:tblGrid>
      <w:tr>
        <w:trPr>
          <w:trHeight w:val="201" w:hRule="exact"/>
        </w:trPr>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8"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183" w:type="dxa"/>
            <w:vMerge w:val="restart"/>
            <w:tcBorders>
              <w:top w:val="nil" w:sz="6" w:space="0" w:color="auto"/>
              <w:left w:val="single" w:sz="4" w:space="0" w:color="000000"/>
              <w:right w:val="single" w:sz="4" w:space="0" w:color="000000"/>
            </w:tcBorders>
            <w:shd w:val="clear" w:color="auto" w:fill="D3D3D3"/>
          </w:tcPr>
          <w:p>
            <w:pPr/>
          </w:p>
        </w:tc>
        <w:tc>
          <w:tcPr>
            <w:tcW w:w="11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8" w:type="dxa"/>
            <w:gridSpan w:val="5"/>
            <w:vMerge/>
            <w:tcBorders>
              <w:left w:val="single" w:sz="4" w:space="0" w:color="000000"/>
              <w:bottom w:val="single" w:sz="4" w:space="0" w:color="000000"/>
              <w:right w:val="single" w:sz="4" w:space="0" w:color="000000"/>
            </w:tcBorders>
            <w:shd w:val="clear" w:color="auto" w:fill="D3D3D3"/>
          </w:tcPr>
          <w:p>
            <w:pPr/>
          </w:p>
        </w:tc>
        <w:tc>
          <w:tcPr>
            <w:tcW w:w="12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83" w:type="dxa"/>
            <w:vMerge/>
            <w:tcBorders>
              <w:left w:val="single" w:sz="4" w:space="0" w:color="000000"/>
              <w:bottom w:val="nil" w:sz="6" w:space="0" w:color="auto"/>
              <w:right w:val="single" w:sz="4" w:space="0" w:color="000000"/>
            </w:tcBorders>
            <w:shd w:val="clear" w:color="auto" w:fill="D3D3D3"/>
          </w:tcPr>
          <w:p>
            <w:pPr/>
          </w:p>
        </w:tc>
        <w:tc>
          <w:tcPr>
            <w:tcW w:w="1198" w:type="dxa"/>
            <w:vMerge/>
            <w:tcBorders>
              <w:left w:val="single" w:sz="4" w:space="0" w:color="000000"/>
              <w:bottom w:val="nil" w:sz="6" w:space="0" w:color="auto"/>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4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108,947,600.00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108,947,600.00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108,947,600.00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217,895,200.00</w:t>
            </w:r>
          </w:p>
        </w:tc>
      </w:tr>
    </w:tbl>
    <w:p>
      <w:pPr>
        <w:pStyle w:val="BodyText"/>
        <w:spacing w:line="240" w:lineRule="auto" w:before="49"/>
        <w:ind w:right="0"/>
        <w:jc w:val="left"/>
      </w:pPr>
      <w:bookmarkStart w:name="31、其他权益工具 " w:id="290"/>
      <w:bookmarkEnd w:id="290"/>
      <w:r>
        <w:rPr/>
      </w:r>
      <w:r>
        <w:rPr/>
        <w:t>其他说明：</w:t>
      </w:r>
    </w:p>
    <w:p>
      <w:pPr>
        <w:spacing w:line="240" w:lineRule="auto" w:before="0"/>
        <w:rPr>
          <w:rFonts w:ascii="宋体" w:hAnsi="宋体" w:cs="宋体" w:eastAsia="宋体" w:hint="default"/>
          <w:sz w:val="18"/>
          <w:szCs w:val="18"/>
        </w:rPr>
      </w:pPr>
    </w:p>
    <w:p>
      <w:pPr>
        <w:pStyle w:val="Heading3"/>
        <w:spacing w:line="240" w:lineRule="auto" w:before="117"/>
        <w:ind w:right="0"/>
        <w:jc w:val="left"/>
        <w:rPr>
          <w:b w:val="0"/>
          <w:bCs w:val="0"/>
        </w:rPr>
      </w:pPr>
      <w:r>
        <w:rPr>
          <w:rFonts w:ascii="Times New Roman" w:hAnsi="Times New Roman" w:cs="Times New Roman" w:eastAsia="Times New Roman" w:hint="default"/>
        </w:rPr>
        <w:t>31</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期末发行在外的优先股、永续债等其他金融工具基本情况 " w:id="291"/>
      <w:bookmarkEnd w:id="29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期末发行在外的优先股、永续债等金融工具变动情况表 " w:id="292"/>
      <w:bookmarkEnd w:id="29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3"/>
        <w:gridCol w:w="1063"/>
        <w:gridCol w:w="1063"/>
        <w:gridCol w:w="1063"/>
        <w:gridCol w:w="1061"/>
        <w:gridCol w:w="1063"/>
        <w:gridCol w:w="1061"/>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0"/>
              <w:ind w:left="167" w:right="76" w:hanging="92"/>
              <w:jc w:val="left"/>
              <w:rPr>
                <w:rFonts w:ascii="宋体" w:hAnsi="宋体" w:cs="宋体" w:eastAsia="宋体" w:hint="default"/>
                <w:sz w:val="18"/>
                <w:szCs w:val="18"/>
              </w:rPr>
            </w:pPr>
            <w:r>
              <w:rPr>
                <w:rFonts w:ascii="宋体" w:hAnsi="宋体" w:cs="宋体" w:eastAsia="宋体" w:hint="default"/>
                <w:sz w:val="18"/>
                <w:szCs w:val="18"/>
              </w:rPr>
              <w:t>发行在外的</w:t>
            </w:r>
            <w:r>
              <w:rPr>
                <w:rFonts w:ascii="宋体" w:hAnsi="宋体" w:cs="宋体" w:eastAsia="宋体" w:hint="default"/>
                <w:w w:val="100"/>
                <w:sz w:val="18"/>
                <w:szCs w:val="18"/>
              </w:rPr>
              <w:t> </w:t>
            </w:r>
            <w:r>
              <w:rPr>
                <w:rFonts w:ascii="宋体" w:hAnsi="宋体" w:cs="宋体" w:eastAsia="宋体" w:hint="default"/>
                <w:sz w:val="18"/>
                <w:szCs w:val="18"/>
              </w:rPr>
              <w:t>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3185"/>
        <w:jc w:val="left"/>
      </w:pPr>
      <w:r>
        <w:rPr>
          <w:spacing w:val="-1"/>
        </w:rPr>
        <w:t>其他权益工具本期增减变动情况、变动原因说明，以及相关会计处理的依据：</w:t>
      </w:r>
      <w:r>
        <w:rPr>
          <w:spacing w:val="-82"/>
        </w:rPr>
        <w:t> </w:t>
      </w:r>
      <w:r>
        <w:rPr>
          <w:spacing w:val="-82"/>
        </w:rPr>
      </w:r>
      <w:bookmarkStart w:name="32、资本公积 " w:id="293"/>
      <w:bookmarkEnd w:id="293"/>
      <w:r>
        <w:rPr/>
        <w:t>其</w:t>
      </w:r>
      <w:r>
        <w:rPr/>
        <w:t>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6"/>
        <w:gridCol w:w="1915"/>
        <w:gridCol w:w="1913"/>
        <w:gridCol w:w="1915"/>
      </w:tblGrid>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1,131,018,647.66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109,024,450.64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1,021,994,197.02</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1,131,018,647.66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109,024,450.64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1,021,994,197.02</w:t>
            </w:r>
          </w:p>
        </w:tc>
      </w:tr>
    </w:tbl>
    <w:p>
      <w:pPr>
        <w:pStyle w:val="BodyText"/>
        <w:spacing w:line="240" w:lineRule="auto" w:before="49"/>
        <w:ind w:right="0"/>
        <w:jc w:val="left"/>
      </w:pPr>
      <w:bookmarkStart w:name="33、库存股 " w:id="294"/>
      <w:bookmarkEnd w:id="294"/>
      <w:r>
        <w:rPr/>
      </w: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0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4、其他综合收益 " w:id="295"/>
      <w:bookmarkEnd w:id="295"/>
      <w:r>
        <w:rPr>
          <w:b w:val="0"/>
          <w:bCs w:val="0"/>
        </w:rPr>
      </w:r>
      <w:r>
        <w:rPr>
          <w:rFonts w:ascii="Times New Roman" w:hAnsi="Times New Roman" w:cs="Times New Roman" w:eastAsia="Times New Roman" w:hint="default"/>
        </w:rPr>
        <w:t>34</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after="0" w:line="240" w:lineRule="auto"/>
        <w:jc w:val="right"/>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10"/>
        <w:gridCol w:w="1068"/>
        <w:gridCol w:w="936"/>
        <w:gridCol w:w="1150"/>
        <w:gridCol w:w="936"/>
        <w:gridCol w:w="936"/>
        <w:gridCol w:w="936"/>
        <w:gridCol w:w="797"/>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05" w:right="98"/>
              <w:jc w:val="center"/>
              <w:rPr>
                <w:rFonts w:ascii="宋体" w:hAnsi="宋体" w:cs="宋体" w:eastAsia="宋体" w:hint="default"/>
                <w:sz w:val="18"/>
                <w:szCs w:val="18"/>
              </w:rPr>
            </w:pPr>
            <w:r>
              <w:rPr>
                <w:rFonts w:ascii="宋体" w:hAnsi="宋体" w:cs="宋体" w:eastAsia="宋体" w:hint="default"/>
                <w:sz w:val="18"/>
                <w:szCs w:val="18"/>
              </w:rPr>
              <w:t>本期所得</w:t>
            </w:r>
            <w:r>
              <w:rPr>
                <w:rFonts w:ascii="宋体" w:hAnsi="宋体" w:cs="宋体" w:eastAsia="宋体" w:hint="default"/>
                <w:w w:val="100"/>
                <w:sz w:val="18"/>
                <w:szCs w:val="18"/>
              </w:rPr>
              <w:t> </w:t>
            </w:r>
            <w:r>
              <w:rPr>
                <w:rFonts w:ascii="宋体" w:hAnsi="宋体" w:cs="宋体" w:eastAsia="宋体" w:hint="default"/>
                <w:sz w:val="18"/>
                <w:szCs w:val="18"/>
              </w:rPr>
              <w:t>税前发生</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30" w:right="26"/>
              <w:jc w:val="both"/>
              <w:rPr>
                <w:rFonts w:ascii="宋体" w:hAnsi="宋体" w:cs="宋体" w:eastAsia="宋体" w:hint="default"/>
                <w:sz w:val="18"/>
                <w:szCs w:val="18"/>
              </w:rPr>
            </w:pPr>
            <w:r>
              <w:rPr>
                <w:rFonts w:ascii="宋体" w:hAnsi="宋体" w:cs="宋体" w:eastAsia="宋体" w:hint="default"/>
                <w:sz w:val="18"/>
                <w:szCs w:val="18"/>
              </w:rPr>
              <w:t>减：前期计入</w:t>
            </w:r>
            <w:r>
              <w:rPr>
                <w:rFonts w:ascii="宋体" w:hAnsi="宋体" w:cs="宋体" w:eastAsia="宋体" w:hint="default"/>
                <w:w w:val="100"/>
                <w:sz w:val="18"/>
                <w:szCs w:val="18"/>
              </w:rPr>
              <w:t> </w:t>
            </w:r>
            <w:r>
              <w:rPr>
                <w:rFonts w:ascii="宋体" w:hAnsi="宋体" w:cs="宋体" w:eastAsia="宋体" w:hint="default"/>
                <w:sz w:val="18"/>
                <w:szCs w:val="18"/>
              </w:rPr>
              <w:t>其他综合收益</w:t>
            </w:r>
            <w:r>
              <w:rPr>
                <w:rFonts w:ascii="宋体" w:hAnsi="宋体" w:cs="宋体" w:eastAsia="宋体" w:hint="default"/>
                <w:w w:val="100"/>
                <w:sz w:val="18"/>
                <w:szCs w:val="18"/>
              </w:rPr>
              <w:t> </w:t>
            </w:r>
            <w:r>
              <w:rPr>
                <w:rFonts w:ascii="宋体" w:hAnsi="宋体" w:cs="宋体" w:eastAsia="宋体" w:hint="default"/>
                <w:sz w:val="18"/>
                <w:szCs w:val="18"/>
              </w:rPr>
              <w:t>当期转入损益</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282" w:right="22"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w w:val="100"/>
                <w:sz w:val="18"/>
                <w:szCs w:val="18"/>
              </w:rPr>
              <w:t> </w:t>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5"/>
                <w:szCs w:val="15"/>
              </w:rPr>
            </w:pPr>
          </w:p>
          <w:p>
            <w:pPr>
              <w:pStyle w:val="TableParagraph"/>
              <w:spacing w:line="319" w:lineRule="auto"/>
              <w:ind w:left="102" w:right="101"/>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w w:val="100"/>
                <w:sz w:val="18"/>
                <w:szCs w:val="18"/>
              </w:rPr>
              <w:t> </w:t>
            </w:r>
            <w:r>
              <w:rPr>
                <w:rFonts w:ascii="宋体" w:hAnsi="宋体" w:cs="宋体" w:eastAsia="宋体" w:hint="default"/>
                <w:sz w:val="18"/>
                <w:szCs w:val="18"/>
              </w:rPr>
              <w:t>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7"/>
              <w:ind w:left="102" w:right="101"/>
              <w:jc w:val="center"/>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w w:val="100"/>
                <w:sz w:val="18"/>
                <w:szCs w:val="18"/>
              </w:rPr>
              <w:t> </w:t>
            </w:r>
            <w:r>
              <w:rPr>
                <w:rFonts w:ascii="宋体" w:hAnsi="宋体" w:cs="宋体" w:eastAsia="宋体" w:hint="default"/>
                <w:sz w:val="18"/>
                <w:szCs w:val="18"/>
              </w:rPr>
              <w:t>于少数股</w:t>
            </w:r>
            <w:r>
              <w:rPr>
                <w:rFonts w:ascii="宋体" w:hAnsi="宋体" w:cs="宋体" w:eastAsia="宋体" w:hint="default"/>
                <w:w w:val="100"/>
                <w:sz w:val="18"/>
                <w:szCs w:val="18"/>
              </w:rPr>
              <w:t> </w:t>
            </w:r>
            <w:r>
              <w:rPr>
                <w:rFonts w:ascii="宋体" w:hAnsi="宋体" w:cs="宋体" w:eastAsia="宋体" w:hint="default"/>
                <w:sz w:val="18"/>
                <w:szCs w:val="18"/>
              </w:rPr>
              <w:t>东</w:t>
            </w:r>
          </w:p>
        </w:tc>
        <w:tc>
          <w:tcPr>
            <w:tcW w:w="797"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49"/>
        <w:ind w:right="0"/>
        <w:jc w:val="left"/>
      </w:pPr>
      <w:bookmarkStart w:name="35、专项储备 " w:id="296"/>
      <w:bookmarkEnd w:id="296"/>
      <w:r>
        <w:rPr/>
      </w: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04"/>
      </w:tblGrid>
      <w:tr>
        <w:trPr>
          <w:trHeight w:val="396"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6"/>
        <w:ind w:right="0"/>
        <w:jc w:val="left"/>
      </w:pPr>
      <w:bookmarkStart w:name="36、盈余公积 " w:id="297"/>
      <w:bookmarkEnd w:id="297"/>
      <w:r>
        <w:rPr/>
      </w: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0"/>
        <w:gridCol w:w="1926"/>
        <w:gridCol w:w="1915"/>
        <w:gridCol w:w="1913"/>
        <w:gridCol w:w="1915"/>
      </w:tblGrid>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35,044,149.23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42,941,823.99</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35,044,149.23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42,941,823.99</w:t>
            </w:r>
          </w:p>
        </w:tc>
      </w:tr>
    </w:tbl>
    <w:p>
      <w:pPr>
        <w:pStyle w:val="BodyText"/>
        <w:spacing w:line="240" w:lineRule="auto" w:before="49"/>
        <w:ind w:right="0"/>
        <w:jc w:val="left"/>
      </w:pPr>
      <w:bookmarkStart w:name="37、未分配利润 " w:id="298"/>
      <w:bookmarkEnd w:id="298"/>
      <w:r>
        <w:rPr/>
      </w: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37</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2"/>
        <w:gridCol w:w="2934"/>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356,677,919.09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235,257,855.94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356,677,919.09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235,257,855.94</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180,986,792.67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143,554,930.80</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7,897,674.76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10,878,867.65</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14,707,926.00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11,256,000.00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515,059,111.00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356,677,919.09</w:t>
            </w:r>
          </w:p>
        </w:tc>
      </w:tr>
    </w:tbl>
    <w:p>
      <w:pPr>
        <w:pStyle w:val="BodyText"/>
        <w:spacing w:line="240" w:lineRule="auto" w:before="49"/>
        <w:ind w:right="0"/>
        <w:jc w:val="left"/>
      </w:pPr>
      <w:r>
        <w:rPr/>
        <w:t>调整期初未分配利润明细：</w:t>
      </w:r>
    </w:p>
    <w:p>
      <w:pPr>
        <w:pStyle w:val="BodyText"/>
        <w:spacing w:line="240" w:lineRule="auto" w:before="114"/>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8、营业收入和营业成本 " w:id="299"/>
      <w:bookmarkEnd w:id="299"/>
      <w:r>
        <w:rPr>
          <w:b w:val="0"/>
          <w:bCs w:val="0"/>
        </w:rPr>
      </w:r>
      <w:r>
        <w:rPr>
          <w:rFonts w:ascii="Times New Roman" w:hAnsi="Times New Roman" w:cs="Times New Roman" w:eastAsia="Times New Roman" w:hint="default"/>
        </w:rPr>
        <w:t>38</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202" w:hRule="exact"/>
        </w:trPr>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13" w:type="dxa"/>
            <w:vMerge/>
            <w:tcBorders>
              <w:left w:val="single" w:sz="4" w:space="0" w:color="000000"/>
              <w:bottom w:val="nil" w:sz="6" w:space="0" w:color="auto"/>
              <w:right w:val="single" w:sz="4" w:space="0" w:color="000000"/>
            </w:tcBorders>
            <w:shd w:val="clear" w:color="auto" w:fill="D3D3D3"/>
          </w:tcPr>
          <w:p>
            <w:pP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8" w:hRule="exact"/>
        </w:trPr>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7,784,331,025.39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7,080,173,562.97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5,923,662,049.36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5,416,171,994.48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1,576,051.64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349,361.27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2,179,641.85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508,010.78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39、营业税金及附加 " w:id="300"/>
            <w:bookmarkEnd w:id="300"/>
            <w:r>
              <w:rPr/>
            </w:r>
            <w:r>
              <w:rPr>
                <w:rFonts w:ascii="宋体" w:hAnsi="宋体" w:cs="宋体" w:eastAsia="宋体" w:hint="default"/>
                <w:sz w:val="18"/>
                <w:szCs w:val="18"/>
              </w:rPr>
              <w:t>合计</w:t>
            </w:r>
          </w:p>
        </w:tc>
        <w:tc>
          <w:tcPr>
            <w:tcW w:w="191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7,785,907,077.03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7,080,522,924.24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5,925,841,691.21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5,416,680,005.26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18,339.00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66,932.53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7,551,907.74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5,719,737.63</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3,237,055.32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2,453,692.58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2,156,664.89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1,628,161.48</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12,963,966.95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9,868,524.22</w:t>
            </w:r>
          </w:p>
        </w:tc>
      </w:tr>
    </w:tbl>
    <w:p>
      <w:pPr>
        <w:pStyle w:val="BodyText"/>
        <w:spacing w:line="240" w:lineRule="auto" w:before="49"/>
        <w:ind w:right="0"/>
        <w:jc w:val="left"/>
      </w:pPr>
      <w:bookmarkStart w:name="40、销售费用 " w:id="301"/>
      <w:bookmarkEnd w:id="301"/>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40</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96"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136,314,080.07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62,598,449.46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34,232,110.41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35,259,477.18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17,855,034.51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17,175,495.35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12,404,588.21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8,263,701.05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3,674,984.52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2,074,198.78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4,235,279.61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1,321,009.01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3,974,322.87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3,366,304.01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1,872,872.21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1,740,126.80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1,123,455.74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898,591.99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2,725,183.16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1,975,347.21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3,395,339.90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913,225.44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1,933,340.70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342,956.13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10,285,369.20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963,185.48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7" w:right="0"/>
              <w:jc w:val="left"/>
              <w:rPr>
                <w:rFonts w:ascii="Times New Roman" w:hAnsi="Times New Roman" w:cs="Times New Roman" w:eastAsia="Times New Roman" w:hint="default"/>
                <w:sz w:val="18"/>
                <w:szCs w:val="18"/>
              </w:rPr>
            </w:pPr>
            <w:r>
              <w:rPr>
                <w:rFonts w:ascii="Times New Roman"/>
                <w:sz w:val="18"/>
              </w:rPr>
              <w:t>234,025,961.11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9" w:right="0"/>
              <w:jc w:val="left"/>
              <w:rPr>
                <w:rFonts w:ascii="Times New Roman" w:hAnsi="Times New Roman" w:cs="Times New Roman" w:eastAsia="Times New Roman" w:hint="default"/>
                <w:sz w:val="18"/>
                <w:szCs w:val="18"/>
              </w:rPr>
            </w:pPr>
            <w:r>
              <w:rPr>
                <w:rFonts w:ascii="Times New Roman"/>
                <w:sz w:val="18"/>
              </w:rPr>
              <w:t>136,892,067.89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1、管理费用 " w:id="302"/>
      <w:bookmarkEnd w:id="302"/>
      <w:r>
        <w:rPr>
          <w:b w:val="0"/>
          <w:bCs w:val="0"/>
        </w:rPr>
      </w:r>
      <w:r>
        <w:rPr>
          <w:rFonts w:ascii="Times New Roman" w:hAnsi="Times New Roman" w:cs="Times New Roman" w:eastAsia="Times New Roman" w:hint="default"/>
        </w:rPr>
        <w:t>41</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53,697,458.13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44,062,806.62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13,500,213.57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8,201,837.64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6,871,470.05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5,888,062.67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17,428,515.51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8,146,544.39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7,084,714.12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4,440,447.07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2,792,140.74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2,335,108.15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2,794,297.05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1,378,519.93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3,210,115.63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1,129,533.23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1,297,613.04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868,899.12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1,389,617.67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1,123,670.72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2,287,793.65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814,103.23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7,338,823.50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3,069,776.33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12,221,620.93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8,006,818.13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131,914,393.59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89,466,127.23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2、财务费用 " w:id="303"/>
      <w:bookmarkEnd w:id="303"/>
      <w:r>
        <w:rPr>
          <w:b w:val="0"/>
          <w:bCs w:val="0"/>
        </w:rPr>
      </w:r>
      <w:r>
        <w:rPr>
          <w:rFonts w:ascii="Times New Roman" w:hAnsi="Times New Roman" w:cs="Times New Roman" w:eastAsia="Times New Roman" w:hint="default"/>
        </w:rPr>
        <w:t>42</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397"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77,652,346.43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68,667,606.07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-3,639,492.47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-4,404,861.12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2,740,033.61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1,958,252.28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76,752,887.57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66,220,997.23</w:t>
            </w:r>
          </w:p>
        </w:tc>
      </w:tr>
    </w:tbl>
    <w:p>
      <w:pPr>
        <w:pStyle w:val="BodyText"/>
        <w:spacing w:line="240" w:lineRule="auto" w:before="49"/>
        <w:ind w:right="0"/>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bookmarkStart w:name="43、资产减值损失 " w:id="304"/>
      <w:bookmarkEnd w:id="304"/>
      <w:r>
        <w:rPr>
          <w:b w:val="0"/>
          <w:bCs w:val="0"/>
        </w:rPr>
      </w:r>
      <w:r>
        <w:rPr>
          <w:rFonts w:ascii="Times New Roman" w:hAnsi="Times New Roman" w:cs="Times New Roman" w:eastAsia="Times New Roman" w:hint="default"/>
        </w:rPr>
        <w:t>43</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15,114,010.68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10,951,405.56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15,114,010.68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10,951,405.56</w:t>
            </w:r>
          </w:p>
        </w:tc>
      </w:tr>
    </w:tbl>
    <w:p>
      <w:pPr>
        <w:pStyle w:val="BodyText"/>
        <w:spacing w:line="240" w:lineRule="auto" w:before="49"/>
        <w:ind w:right="0"/>
        <w:jc w:val="left"/>
      </w:pPr>
      <w:bookmarkStart w:name="44、公允价值变动收益 " w:id="305"/>
      <w:bookmarkEnd w:id="305"/>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96"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6"/>
        <w:ind w:right="0"/>
        <w:jc w:val="left"/>
      </w:pPr>
      <w:bookmarkStart w:name="45、投资收益 " w:id="306"/>
      <w:bookmarkEnd w:id="306"/>
      <w:r>
        <w:rPr/>
      </w: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8"/>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174"/>
              <w:jc w:val="left"/>
              <w:rPr>
                <w:rFonts w:ascii="宋体" w:hAnsi="宋体" w:cs="宋体" w:eastAsia="宋体" w:hint="default"/>
                <w:sz w:val="18"/>
                <w:szCs w:val="18"/>
              </w:rPr>
            </w:pPr>
            <w:r>
              <w:rPr>
                <w:rFonts w:ascii="宋体" w:hAnsi="宋体" w:cs="宋体" w:eastAsia="宋体" w:hint="default"/>
                <w:spacing w:val="-1"/>
                <w:sz w:val="18"/>
                <w:szCs w:val="18"/>
              </w:rPr>
              <w:t>处置以公允价值计量且其变动计入当期损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益的金融资产取得的投资收益</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1,156,496.11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0" w:type="dxa"/>
            <w:tcBorders>
              <w:top w:val="single" w:sz="4" w:space="0" w:color="000000"/>
              <w:left w:val="single" w:sz="12" w:space="0" w:color="D3D3D3"/>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-456,144.34</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1,156,496.11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-456,144.34</w:t>
            </w:r>
          </w:p>
        </w:tc>
      </w:tr>
    </w:tbl>
    <w:p>
      <w:pPr>
        <w:pStyle w:val="BodyText"/>
        <w:spacing w:line="240" w:lineRule="auto" w:before="49"/>
        <w:ind w:right="0"/>
        <w:jc w:val="left"/>
      </w:pPr>
      <w:bookmarkStart w:name="46、营业外收入 " w:id="307"/>
      <w:bookmarkEnd w:id="307"/>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46</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0" w:hRule="exact"/>
        </w:trPr>
        <w:tc>
          <w:tcPr>
            <w:tcW w:w="238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r>
              <w:rPr>
                <w:rFonts w:ascii="宋体" w:hAnsi="宋体" w:cs="宋体" w:eastAsia="宋体" w:hint="default"/>
                <w:w w:val="100"/>
                <w:sz w:val="18"/>
                <w:szCs w:val="18"/>
              </w:rPr>
              <w:t> </w:t>
            </w:r>
            <w:r>
              <w:rPr>
                <w:rFonts w:ascii="宋体" w:hAnsi="宋体" w:cs="宋体" w:eastAsia="宋体" w:hint="default"/>
                <w:sz w:val="18"/>
                <w:szCs w:val="18"/>
              </w:rPr>
              <w:t>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667,223.69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667,223.69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667,223.69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667,223.69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5,816,110.22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5,816,110.22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449,648.11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88,232.70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449,648.11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6,932,982.02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104,461.90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6,932,982.02</w:t>
            </w:r>
          </w:p>
        </w:tc>
      </w:tr>
    </w:tbl>
    <w:p>
      <w:pPr>
        <w:pStyle w:val="BodyText"/>
        <w:spacing w:line="240" w:lineRule="auto" w:before="49"/>
        <w:ind w:right="0"/>
        <w:jc w:val="left"/>
      </w:pPr>
      <w:r>
        <w:rPr/>
        <w:t>计入当期损益的政府补助：</w:t>
      </w:r>
    </w:p>
    <w:p>
      <w:pPr>
        <w:pStyle w:val="BodyText"/>
        <w:spacing w:line="240" w:lineRule="auto" w:before="117"/>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企业发展金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5,816,110.22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5,816,110.22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7、营业外支出 " w:id="308"/>
      <w:bookmarkEnd w:id="308"/>
      <w:r>
        <w:rPr>
          <w:b w:val="0"/>
          <w:bCs w:val="0"/>
        </w:rPr>
      </w:r>
      <w:r>
        <w:rPr>
          <w:rFonts w:ascii="Times New Roman" w:hAnsi="Times New Roman" w:cs="Times New Roman" w:eastAsia="Times New Roman" w:hint="default"/>
        </w:rPr>
        <w:t>47</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160" w:hRule="exact"/>
        </w:trPr>
        <w:tc>
          <w:tcPr>
            <w:tcW w:w="238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r>
              <w:rPr>
                <w:rFonts w:ascii="宋体" w:hAnsi="宋体" w:cs="宋体" w:eastAsia="宋体" w:hint="default"/>
                <w:w w:val="100"/>
                <w:sz w:val="18"/>
                <w:szCs w:val="18"/>
              </w:rPr>
              <w:t> </w:t>
            </w:r>
            <w:r>
              <w:rPr>
                <w:rFonts w:ascii="宋体" w:hAnsi="宋体" w:cs="宋体" w:eastAsia="宋体" w:hint="default"/>
                <w:sz w:val="18"/>
                <w:szCs w:val="18"/>
              </w:rPr>
              <w:t>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30,162.93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543,416.63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30,162.93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30,162.93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543,416.63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30,162.93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910,500.00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1,306,727.00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910,500.00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2,512.61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58,490.39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2,512.61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943,175.54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1,908,634.02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943,175.54</w:t>
            </w:r>
          </w:p>
        </w:tc>
      </w:tr>
    </w:tbl>
    <w:p>
      <w:pPr>
        <w:pStyle w:val="BodyText"/>
        <w:spacing w:line="240" w:lineRule="auto" w:before="49"/>
        <w:ind w:right="0"/>
        <w:jc w:val="left"/>
      </w:pPr>
      <w:bookmarkStart w:name="48、所得税费用 " w:id="309"/>
      <w:bookmarkEnd w:id="309"/>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48</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 w:id="310"/>
      <w:bookmarkEnd w:id="31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66,730,094.99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52,152,820.68</w:t>
            </w:r>
          </w:p>
        </w:tc>
      </w:tr>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-6,732,033.93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-2,892,540.76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2）会计利润与所得税费用调整过程 " w:id="311"/>
            <w:bookmarkEnd w:id="311"/>
            <w:r>
              <w:rPr/>
            </w:r>
            <w:r>
              <w:rPr>
                <w:rFonts w:ascii="宋体" w:hAnsi="宋体" w:cs="宋体" w:eastAsia="宋体" w:hint="default"/>
                <w:sz w:val="18"/>
                <w:szCs w:val="18"/>
              </w:rPr>
              <w:t>合计</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59,998,061.06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49,260,279.92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1"/>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1" w:type="dxa"/>
            <w:tcBorders>
              <w:top w:val="single" w:sz="5"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241,759,235.48</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60,439,808.87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-1,476,743.85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-237,021.02</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343,334.95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-1,915.28</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1" w:right="50"/>
              <w:jc w:val="left"/>
              <w:rPr>
                <w:rFonts w:ascii="宋体" w:hAnsi="宋体" w:cs="宋体" w:eastAsia="宋体" w:hint="default"/>
                <w:sz w:val="18"/>
                <w:szCs w:val="18"/>
              </w:rPr>
            </w:pPr>
            <w:r>
              <w:rPr>
                <w:rFonts w:ascii="宋体" w:hAnsi="宋体" w:cs="宋体" w:eastAsia="宋体" w:hint="default"/>
                <w:spacing w:val="-1"/>
                <w:sz w:val="18"/>
                <w:szCs w:val="18"/>
              </w:rPr>
              <w:t>本期未确认递延所得税资产的可抵扣暂时性差异或可抵扣亏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损的影响</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930,597.38</w:t>
            </w:r>
          </w:p>
        </w:tc>
      </w:tr>
      <w:tr>
        <w:trPr>
          <w:trHeight w:val="403"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59,998,061.06</w:t>
            </w:r>
          </w:p>
        </w:tc>
      </w:tr>
    </w:tbl>
    <w:p>
      <w:pPr>
        <w:pStyle w:val="BodyText"/>
        <w:spacing w:line="240" w:lineRule="auto" w:before="49"/>
        <w:ind w:right="0"/>
        <w:jc w:val="left"/>
      </w:pPr>
      <w:r>
        <w:rPr/>
        <w:t>其他说明</w:t>
      </w:r>
    </w:p>
    <w:p>
      <w:pPr>
        <w:spacing w:after="0" w:line="240" w:lineRule="auto"/>
        <w:jc w:val="left"/>
        <w:sectPr>
          <w:footerReference w:type="default" r:id="rId32"/>
          <w:pgSz w:w="11910" w:h="16840"/>
          <w:pgMar w:footer="981" w:header="745" w:top="1060" w:bottom="1180" w:left="980" w:right="980"/>
          <w:pgNumType w:start="13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9、其他综合收益 " w:id="312"/>
      <w:bookmarkEnd w:id="312"/>
      <w:r>
        <w:rPr>
          <w:b w:val="0"/>
          <w:bCs w:val="0"/>
        </w:rPr>
      </w:r>
      <w:r>
        <w:rPr>
          <w:rFonts w:ascii="Times New Roman" w:hAnsi="Times New Roman" w:cs="Times New Roman" w:eastAsia="Times New Roman" w:hint="default"/>
        </w:rPr>
        <w:t>49</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0、现金流量表项目 " w:id="313"/>
      <w:bookmarkEnd w:id="313"/>
      <w:r>
        <w:rPr>
          <w:b w:val="0"/>
          <w:bCs w:val="0"/>
        </w:rPr>
      </w:r>
      <w:r>
        <w:rPr>
          <w:rFonts w:ascii="Times New Roman" w:hAnsi="Times New Roman" w:cs="Times New Roman" w:eastAsia="Times New Roman" w:hint="default"/>
        </w:rPr>
        <w:t>50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 w:id="314"/>
      <w:bookmarkEnd w:id="31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4,309,310.02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1,916,154.14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151,081,887.90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17,623,461.68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1,879,798.68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157,270,996.60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19,539,615.82</w:t>
            </w:r>
          </w:p>
        </w:tc>
      </w:tr>
    </w:tbl>
    <w:p>
      <w:pPr>
        <w:pStyle w:val="BodyText"/>
        <w:spacing w:line="240" w:lineRule="auto" w:before="49"/>
        <w:ind w:right="0"/>
        <w:jc w:val="left"/>
      </w:pPr>
      <w:r>
        <w:rPr/>
        <w:t>收到的其他与经营活动有关的现金说明：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 w:id="315"/>
      <w:bookmarkEnd w:id="31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30,566,695.02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26,245,442.37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178,248,249.02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96,516,722.27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财务费用支出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1,953,119.15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317,455.79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17,149,613.55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136,907,971.68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61,615,289.92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364,825,648.42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184,694,910.35</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3）收到的其他与投资活动有关的现金 " w:id="316"/>
      <w:bookmarkEnd w:id="31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支付的其他与投资活动有关的现金 " w:id="317"/>
      <w:bookmarkEnd w:id="31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348,135.20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348,135.20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bookmarkStart w:name="（5）收到的其他与筹资活动有关的现金 " w:id="318"/>
      <w:bookmarkEnd w:id="318"/>
      <w:r>
        <w:rPr/>
      </w: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承兑汇票保证金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52,625,616.88</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募集资金专户利息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2,389,653.39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55,015,270.27</w:t>
            </w:r>
          </w:p>
        </w:tc>
      </w:tr>
    </w:tbl>
    <w:p>
      <w:pPr>
        <w:pStyle w:val="BodyText"/>
        <w:spacing w:line="240" w:lineRule="auto" w:before="49"/>
        <w:ind w:right="0"/>
        <w:jc w:val="left"/>
      </w:pPr>
      <w:bookmarkStart w:name="（6）支付的其他与筹资活动有关的现金 " w:id="319"/>
      <w:bookmarkEnd w:id="319"/>
      <w:r>
        <w:rPr/>
      </w: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97"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3"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Times New Roman" w:hAnsi="Times New Roman" w:cs="Times New Roman" w:eastAsia="Times New Roman" w:hint="default"/>
                <w:sz w:val="18"/>
                <w:szCs w:val="18"/>
              </w:rPr>
            </w:pPr>
            <w:r>
              <w:rPr>
                <w:rFonts w:ascii="Times New Roman"/>
                <w:spacing w:val="-1"/>
                <w:sz w:val="18"/>
              </w:rPr>
              <w:t>1,012,303.76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保理手续费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1,744,910.56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银行承兑保证金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18,140,182.72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19,885,093.28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1,012,303.76</w:t>
            </w:r>
          </w:p>
        </w:tc>
      </w:tr>
    </w:tbl>
    <w:p>
      <w:pPr>
        <w:pStyle w:val="BodyText"/>
        <w:spacing w:line="240" w:lineRule="auto" w:before="49"/>
        <w:ind w:right="0"/>
        <w:jc w:val="left"/>
      </w:pPr>
      <w:bookmarkStart w:name="51、现金流量表补充资料 " w:id="320"/>
      <w:bookmarkEnd w:id="320"/>
      <w:r>
        <w:rPr/>
      </w: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 w:id="321"/>
      <w:bookmarkEnd w:id="32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181,761,174.42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144,241,967.44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15,114,010.68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10,951,405.56</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r>
              <w:rPr>
                <w:rFonts w:ascii="宋体" w:hAnsi="宋体" w:cs="宋体" w:eastAsia="宋体" w:hint="default"/>
                <w:w w:val="100"/>
                <w:sz w:val="18"/>
                <w:szCs w:val="18"/>
              </w:rPr>
              <w:t> </w:t>
            </w:r>
            <w:r>
              <w:rPr>
                <w:rFonts w:ascii="宋体" w:hAnsi="宋体" w:cs="宋体" w:eastAsia="宋体" w:hint="default"/>
                <w:sz w:val="18"/>
                <w:szCs w:val="18"/>
              </w:rPr>
              <w:t>物资产折旧</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21,743,974.17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9,467,553.40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2,748,038.17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2,335,108.15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1,023,557.91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436,132.07</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 w:right="39"/>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r>
              <w:rPr>
                <w:rFonts w:ascii="宋体" w:hAnsi="宋体" w:cs="宋体" w:eastAsia="宋体" w:hint="default"/>
                <w:w w:val="100"/>
                <w:sz w:val="18"/>
                <w:szCs w:val="18"/>
              </w:rPr>
              <w:t> </w:t>
            </w:r>
            <w:r>
              <w:rPr>
                <w:rFonts w:ascii="宋体" w:hAnsi="宋体" w:cs="宋体" w:eastAsia="宋体" w:hint="default"/>
                <w:sz w:val="18"/>
                <w:szCs w:val="18"/>
              </w:rPr>
              <w:t>的损失（收益以“－”号填列）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-637,060.76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456,988.31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r>
        <w:rPr/>
        <w:pict>
          <v:group style="position:absolute;margin-left:223.199997pt;margin-top:71.880013pt;width:151.35pt;height:20.8pt;mso-position-horizontal-relative:page;mso-position-vertical-relative:page;z-index:-897616" coordorigin="4464,1438" coordsize="3027,416">
            <v:group style="position:absolute;left:4476;top:1450;width:2;height:392" coordorigin="4476,1450" coordsize="2,392">
              <v:shape style="position:absolute;left:4476;top:1450;width:2;height:392" coordorigin="4476,1450" coordsize="0,392" path="m4476,1450l4476,1841e" filled="false" stroked="true" strokeweight="1.2pt" strokecolor="#ffffff">
                <v:path arrowok="t"/>
              </v:shape>
            </v:group>
            <v:group style="position:absolute;left:4488;top:1450;width:3003;height:392" coordorigin="4488,1450" coordsize="3003,392">
              <v:shape style="position:absolute;left:4488;top:1450;width:3003;height:392" coordorigin="4488,1450" coordsize="3003,392" path="m4488,1450l7490,1450,7490,1841,4488,1841,4488,145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pacing w:val="-5"/>
                <w:sz w:val="18"/>
                <w:szCs w:val="18"/>
              </w:rPr>
              <w:t>固定资产报废损失（收益以“－”号填列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49"/>
              <w:ind w:left="-116"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72,875.38</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68,907,833.67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59,901,783.20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-1,156,496.11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456,144.34</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w:t>
            </w:r>
            <w:r>
              <w:rPr>
                <w:rFonts w:ascii="宋体" w:hAnsi="宋体" w:cs="宋体" w:eastAsia="宋体" w:hint="default"/>
                <w:w w:val="100"/>
                <w:sz w:val="18"/>
                <w:szCs w:val="18"/>
              </w:rPr>
              <w:t> </w:t>
            </w:r>
            <w:r>
              <w:rPr>
                <w:rFonts w:ascii="宋体" w:hAnsi="宋体" w:cs="宋体" w:eastAsia="宋体" w:hint="default"/>
                <w:sz w:val="18"/>
                <w:szCs w:val="18"/>
              </w:rPr>
              <w:t>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-3,562,484.44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-2,892,540.76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-197,227,641.71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-85,357,152.77</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 w:right="39"/>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w:t>
            </w:r>
            <w:r>
              <w:rPr>
                <w:rFonts w:ascii="宋体" w:hAnsi="宋体" w:cs="宋体" w:eastAsia="宋体" w:hint="default"/>
                <w:w w:val="100"/>
                <w:sz w:val="18"/>
                <w:szCs w:val="18"/>
              </w:rPr>
              <w:t> </w:t>
            </w:r>
            <w:r>
              <w:rPr>
                <w:rFonts w:ascii="宋体" w:hAnsi="宋体" w:cs="宋体" w:eastAsia="宋体" w:hint="default"/>
                <w:sz w:val="18"/>
                <w:szCs w:val="18"/>
              </w:rPr>
              <w:t>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-946,018,531.56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-652,524,343.43</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9"/>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w:t>
            </w:r>
            <w:r>
              <w:rPr>
                <w:rFonts w:ascii="宋体" w:hAnsi="宋体" w:cs="宋体" w:eastAsia="宋体" w:hint="default"/>
                <w:w w:val="100"/>
                <w:sz w:val="18"/>
                <w:szCs w:val="18"/>
              </w:rPr>
              <w:t> </w:t>
            </w:r>
            <w:r>
              <w:rPr>
                <w:rFonts w:ascii="宋体" w:hAnsi="宋体" w:cs="宋体" w:eastAsia="宋体" w:hint="default"/>
                <w:sz w:val="18"/>
                <w:szCs w:val="18"/>
              </w:rPr>
              <w:t>填列）</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693,682,596.47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237,994,969.23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-163,621,029.09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-274,459,109.88</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49"/>
              <w:ind w:left="11"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r>
              <w:rPr>
                <w:rFonts w:ascii="宋体" w:hAnsi="宋体" w:cs="宋体" w:eastAsia="宋体" w:hint="default"/>
                <w:w w:val="100"/>
                <w:sz w:val="18"/>
                <w:szCs w:val="18"/>
              </w:rPr>
              <w:t> </w:t>
            </w:r>
            <w:r>
              <w:rPr>
                <w:rFonts w:ascii="宋体" w:hAnsi="宋体" w:cs="宋体" w:eastAsia="宋体" w:hint="default"/>
                <w:sz w:val="18"/>
                <w:szCs w:val="18"/>
              </w:rPr>
              <w:t>动：</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04"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5" w:right="0"/>
              <w:jc w:val="left"/>
              <w:rPr>
                <w:rFonts w:ascii="Times New Roman" w:hAnsi="Times New Roman" w:cs="Times New Roman" w:eastAsia="Times New Roman" w:hint="default"/>
                <w:sz w:val="18"/>
                <w:szCs w:val="18"/>
              </w:rPr>
            </w:pPr>
            <w:r>
              <w:rPr>
                <w:rFonts w:ascii="Times New Roman"/>
                <w:sz w:val="18"/>
              </w:rPr>
              <w:t>--</w:t>
            </w:r>
          </w:p>
        </w:tc>
      </w:tr>
      <w:tr>
        <w:trPr>
          <w:trHeight w:val="160" w:hRule="exact"/>
        </w:trPr>
        <w:tc>
          <w:tcPr>
            <w:tcW w:w="3304"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536,575,754.30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624,591,264.19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624,591,264.19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321,990,699.39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bookmarkStart w:name="（2）本期支付的取得子公司的现金净额 " w:id="322"/>
            <w:bookmarkEnd w:id="322"/>
            <w:r>
              <w:rPr/>
            </w:r>
            <w:r>
              <w:rPr>
                <w:rFonts w:ascii="宋体" w:hAnsi="宋体" w:cs="宋体" w:eastAsia="宋体" w:hint="default"/>
                <w:sz w:val="18"/>
                <w:szCs w:val="18"/>
              </w:rPr>
              <w:t>现金及现金等价物净增加额</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-88,015,509.89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302,600,564.80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其中：尼木祥云医疗器械有限公司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8,821,972.42</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8,821,972.42</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2,840,000.00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其中：山东滨州瑞康医药有限公司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1,840,000.00</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菏泽金岳瑞康医药有限公司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26,018,027.58</w:t>
            </w:r>
          </w:p>
        </w:tc>
      </w:tr>
    </w:tbl>
    <w:p>
      <w:pPr>
        <w:pStyle w:val="BodyText"/>
        <w:spacing w:line="240" w:lineRule="auto" w:before="49"/>
        <w:ind w:right="0"/>
        <w:jc w:val="left"/>
      </w:pPr>
      <w:r>
        <w:rPr/>
        <w:t>其他说明：</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3）本期收到的处置子公司的现金净额 " w:id="323"/>
      <w:bookmarkEnd w:id="32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7"/>
        <w:gridCol w:w="4582"/>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4,940,856.51</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北京天业爱博科贸有限公司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4,648,688.52</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青岛康医堂医疗管理有限公司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292,167.99</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5,288,991.71</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北京天业爱博科贸有限公司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4,996,823.72</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青岛康医堂医疗管理有限公司</w:t>
            </w:r>
          </w:p>
        </w:tc>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292,167.99</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-348,135.20</w:t>
            </w:r>
          </w:p>
        </w:tc>
      </w:tr>
    </w:tbl>
    <w:p>
      <w:pPr>
        <w:pStyle w:val="BodyText"/>
        <w:spacing w:line="240" w:lineRule="auto" w:before="49"/>
        <w:ind w:right="0"/>
        <w:jc w:val="left"/>
      </w:pPr>
      <w:bookmarkStart w:name="（4）现金和现金等价物的构成 " w:id="324"/>
      <w:bookmarkEnd w:id="324"/>
      <w:r>
        <w:rPr/>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536,575,754.30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624,591,264.19</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454,979.48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601,623.82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536,120,774.82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623,989,640.37</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536,575,754.30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624,591,264.19</w:t>
            </w:r>
          </w:p>
        </w:tc>
      </w:tr>
    </w:tbl>
    <w:p>
      <w:pPr>
        <w:pStyle w:val="BodyText"/>
        <w:spacing w:line="240" w:lineRule="auto" w:before="49"/>
        <w:ind w:right="0"/>
        <w:jc w:val="left"/>
      </w:pPr>
      <w:bookmarkStart w:name="52、所有者权益变动表项目注释 " w:id="325"/>
      <w:bookmarkEnd w:id="325"/>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52</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115"/>
        <w:jc w:val="left"/>
      </w:pPr>
      <w:r>
        <w:rPr>
          <w:spacing w:val="-2"/>
        </w:rPr>
        <w:t>说明对上年期末余额进行调整的“其他”项目名称及调整金额等事项：</w:t>
      </w:r>
      <w:r>
        <w:rPr>
          <w:spacing w:val="-53"/>
        </w:rPr>
        <w:t> </w:t>
      </w:r>
      <w:r>
        <w:rPr>
          <w:spacing w:val="-53"/>
        </w:rPr>
      </w:r>
      <w:bookmarkStart w:name="53、所有权或使用权受到限制的资产 " w:id="326"/>
      <w:bookmarkEnd w:id="326"/>
      <w:r>
        <w:rPr/>
        <w:t>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53</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5"/>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41,942,526.93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29,875,644.78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34,867,637.94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bl>
    <w:p>
      <w:pPr>
        <w:spacing w:after="0" w:line="240"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6,286,389.77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1,901,298,186.09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借款质押、保理</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2,014,270,385.51</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bookmarkStart w:name="54、其他 " w:id="327"/>
      <w:bookmarkEnd w:id="327"/>
      <w:r>
        <w:rPr/>
      </w:r>
      <w:r>
        <w:rPr/>
        <w:t>其他说明：</w:t>
      </w:r>
    </w:p>
    <w:p>
      <w:pPr>
        <w:spacing w:line="240" w:lineRule="auto" w:before="0"/>
        <w:rPr>
          <w:rFonts w:ascii="宋体" w:hAnsi="宋体" w:cs="宋体" w:eastAsia="宋体" w:hint="default"/>
          <w:sz w:val="18"/>
          <w:szCs w:val="18"/>
        </w:rPr>
      </w:pPr>
    </w:p>
    <w:p>
      <w:pPr>
        <w:spacing w:line="487" w:lineRule="auto" w:before="118"/>
        <w:ind w:left="152" w:right="73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 w:id="328"/>
      <w:bookmarkEnd w:id="328"/>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 w:id="329"/>
      <w:bookmarkEnd w:id="329"/>
      <w:r>
        <w:rPr>
          <w:rFonts w:ascii="宋体" w:hAnsi="宋体" w:cs="宋体" w:eastAsia="宋体" w:hint="default"/>
          <w:b/>
          <w:bCs/>
          <w:w w:val="99"/>
          <w:sz w:val="24"/>
          <w:szCs w:val="24"/>
        </w:rPr>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、非同一控制下企业合并</w:t>
      </w:r>
      <w:r>
        <w:rPr>
          <w:rFonts w:ascii="宋体" w:hAnsi="宋体" w:cs="宋体" w:eastAsia="宋体" w:hint="default"/>
          <w:spacing w:val="-1"/>
          <w:sz w:val="21"/>
          <w:szCs w:val="21"/>
        </w:rPr>
      </w:r>
    </w:p>
    <w:p>
      <w:pPr>
        <w:pStyle w:val="Heading3"/>
        <w:spacing w:line="240" w:lineRule="auto" w:before="84"/>
        <w:ind w:right="0"/>
        <w:jc w:val="left"/>
        <w:rPr>
          <w:b w:val="0"/>
          <w:bCs w:val="0"/>
        </w:rPr>
      </w:pPr>
      <w:bookmarkStart w:name="（1）本期发生的非同一控制下企业合并 " w:id="330"/>
      <w:bookmarkEnd w:id="33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3"/>
        <w:gridCol w:w="1066"/>
        <w:gridCol w:w="1061"/>
        <w:gridCol w:w="1063"/>
        <w:gridCol w:w="1061"/>
      </w:tblGrid>
      <w:tr>
        <w:trPr>
          <w:trHeight w:val="1027"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1"/>
              <w:jc w:val="left"/>
              <w:rPr>
                <w:rFonts w:ascii="宋体" w:hAnsi="宋体" w:cs="宋体" w:eastAsia="宋体" w:hint="default"/>
                <w:sz w:val="18"/>
                <w:szCs w:val="18"/>
              </w:rPr>
            </w:pPr>
            <w:r>
              <w:rPr>
                <w:rFonts w:ascii="宋体" w:hAnsi="宋体" w:cs="宋体" w:eastAsia="宋体" w:hint="default"/>
                <w:sz w:val="18"/>
                <w:szCs w:val="18"/>
              </w:rPr>
              <w:t>被购买方名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8" w:right="72" w:hanging="360"/>
              <w:jc w:val="left"/>
              <w:rPr>
                <w:rFonts w:ascii="宋体" w:hAnsi="宋体" w:cs="宋体" w:eastAsia="宋体" w:hint="default"/>
                <w:sz w:val="18"/>
                <w:szCs w:val="18"/>
              </w:rPr>
            </w:pPr>
            <w:r>
              <w:rPr>
                <w:rFonts w:ascii="宋体" w:hAnsi="宋体" w:cs="宋体" w:eastAsia="宋体" w:hint="default"/>
                <w:sz w:val="18"/>
                <w:szCs w:val="18"/>
              </w:rPr>
              <w:t>股权取得时</w:t>
            </w:r>
            <w:r>
              <w:rPr>
                <w:rFonts w:ascii="宋体" w:hAnsi="宋体" w:cs="宋体" w:eastAsia="宋体" w:hint="default"/>
                <w:w w:val="100"/>
                <w:sz w:val="18"/>
                <w:szCs w:val="18"/>
              </w:rPr>
              <w:t> </w:t>
            </w:r>
            <w:r>
              <w:rPr>
                <w:rFonts w:ascii="宋体" w:hAnsi="宋体" w:cs="宋体" w:eastAsia="宋体" w:hint="default"/>
                <w:sz w:val="18"/>
                <w:szCs w:val="18"/>
              </w:rPr>
              <w:t>点</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6" w:hanging="361"/>
              <w:jc w:val="left"/>
              <w:rPr>
                <w:rFonts w:ascii="宋体" w:hAnsi="宋体" w:cs="宋体" w:eastAsia="宋体" w:hint="default"/>
                <w:sz w:val="18"/>
                <w:szCs w:val="18"/>
              </w:rPr>
            </w:pPr>
            <w:r>
              <w:rPr>
                <w:rFonts w:ascii="宋体" w:hAnsi="宋体" w:cs="宋体" w:eastAsia="宋体" w:hint="default"/>
                <w:sz w:val="18"/>
                <w:szCs w:val="18"/>
              </w:rPr>
              <w:t>股权取得成</w:t>
            </w:r>
            <w:r>
              <w:rPr>
                <w:rFonts w:ascii="宋体" w:hAnsi="宋体" w:cs="宋体" w:eastAsia="宋体" w:hint="default"/>
                <w:w w:val="100"/>
                <w:sz w:val="18"/>
                <w:szCs w:val="18"/>
              </w:rPr>
              <w:t> </w:t>
            </w:r>
            <w:r>
              <w:rPr>
                <w:rFonts w:ascii="宋体" w:hAnsi="宋体" w:cs="宋体" w:eastAsia="宋体" w:hint="default"/>
                <w:sz w:val="18"/>
                <w:szCs w:val="18"/>
              </w:rPr>
              <w:t>本</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4" w:right="76" w:hanging="360"/>
              <w:jc w:val="left"/>
              <w:rPr>
                <w:rFonts w:ascii="宋体" w:hAnsi="宋体" w:cs="宋体" w:eastAsia="宋体" w:hint="default"/>
                <w:sz w:val="18"/>
                <w:szCs w:val="18"/>
              </w:rPr>
            </w:pPr>
            <w:r>
              <w:rPr>
                <w:rFonts w:ascii="宋体" w:hAnsi="宋体" w:cs="宋体" w:eastAsia="宋体" w:hint="default"/>
                <w:sz w:val="18"/>
                <w:szCs w:val="18"/>
              </w:rPr>
              <w:t>股权取得比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w:t>
            </w:r>
            <w:r>
              <w:rPr>
                <w:rFonts w:ascii="宋体" w:hAnsi="宋体" w:cs="宋体" w:eastAsia="宋体" w:hint="default"/>
                <w:w w:val="100"/>
                <w:sz w:val="18"/>
                <w:szCs w:val="18"/>
              </w:rPr>
              <w:t> </w:t>
            </w:r>
            <w:r>
              <w:rPr>
                <w:rFonts w:ascii="宋体" w:hAnsi="宋体" w:cs="宋体" w:eastAsia="宋体" w:hint="default"/>
                <w:sz w:val="18"/>
                <w:szCs w:val="18"/>
              </w:rPr>
              <w:t>式</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8"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3" w:right="74" w:hanging="180"/>
              <w:jc w:val="left"/>
              <w:rPr>
                <w:rFonts w:ascii="宋体" w:hAnsi="宋体" w:cs="宋体" w:eastAsia="宋体" w:hint="default"/>
                <w:sz w:val="18"/>
                <w:szCs w:val="18"/>
              </w:rPr>
            </w:pPr>
            <w:r>
              <w:rPr>
                <w:rFonts w:ascii="宋体" w:hAnsi="宋体" w:cs="宋体" w:eastAsia="宋体" w:hint="default"/>
                <w:sz w:val="18"/>
                <w:szCs w:val="18"/>
              </w:rPr>
              <w:t>购买日的确</w:t>
            </w:r>
            <w:r>
              <w:rPr>
                <w:rFonts w:ascii="宋体" w:hAnsi="宋体" w:cs="宋体" w:eastAsia="宋体" w:hint="default"/>
                <w:w w:val="100"/>
                <w:sz w:val="18"/>
                <w:szCs w:val="18"/>
              </w:rPr>
              <w:t> </w:t>
            </w:r>
            <w:r>
              <w:rPr>
                <w:rFonts w:ascii="宋体" w:hAnsi="宋体" w:cs="宋体" w:eastAsia="宋体" w:hint="default"/>
                <w:sz w:val="18"/>
                <w:szCs w:val="18"/>
              </w:rPr>
              <w:t>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w:t>
            </w:r>
            <w:r>
              <w:rPr>
                <w:rFonts w:ascii="宋体" w:hAnsi="宋体" w:cs="宋体" w:eastAsia="宋体" w:hint="default"/>
                <w:w w:val="100"/>
                <w:sz w:val="18"/>
                <w:szCs w:val="18"/>
              </w:rPr>
              <w:t> </w:t>
            </w:r>
            <w:r>
              <w:rPr>
                <w:rFonts w:ascii="宋体" w:hAnsi="宋体" w:cs="宋体" w:eastAsia="宋体" w:hint="default"/>
                <w:sz w:val="18"/>
                <w:szCs w:val="18"/>
              </w:rPr>
              <w:t>末被购买方</w:t>
            </w:r>
            <w:r>
              <w:rPr>
                <w:rFonts w:ascii="宋体" w:hAnsi="宋体" w:cs="宋体" w:eastAsia="宋体" w:hint="default"/>
                <w:w w:val="100"/>
                <w:sz w:val="18"/>
                <w:szCs w:val="18"/>
              </w:rPr>
              <w:t> </w:t>
            </w:r>
            <w:r>
              <w:rPr>
                <w:rFonts w:ascii="宋体" w:hAnsi="宋体" w:cs="宋体" w:eastAsia="宋体" w:hint="default"/>
                <w:sz w:val="18"/>
                <w:szCs w:val="18"/>
              </w:rPr>
              <w:t>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4" w:right="74"/>
              <w:jc w:val="both"/>
              <w:rPr>
                <w:rFonts w:ascii="宋体" w:hAnsi="宋体" w:cs="宋体" w:eastAsia="宋体" w:hint="default"/>
                <w:sz w:val="18"/>
                <w:szCs w:val="18"/>
              </w:rPr>
            </w:pPr>
            <w:r>
              <w:rPr>
                <w:rFonts w:ascii="宋体" w:hAnsi="宋体" w:cs="宋体" w:eastAsia="宋体" w:hint="default"/>
                <w:sz w:val="18"/>
                <w:szCs w:val="18"/>
              </w:rPr>
              <w:t>购买日至期</w:t>
            </w:r>
            <w:r>
              <w:rPr>
                <w:rFonts w:ascii="宋体" w:hAnsi="宋体" w:cs="宋体" w:eastAsia="宋体" w:hint="default"/>
                <w:w w:val="100"/>
                <w:sz w:val="18"/>
                <w:szCs w:val="18"/>
              </w:rPr>
              <w:t> </w:t>
            </w:r>
            <w:r>
              <w:rPr>
                <w:rFonts w:ascii="宋体" w:hAnsi="宋体" w:cs="宋体" w:eastAsia="宋体" w:hint="default"/>
                <w:sz w:val="18"/>
                <w:szCs w:val="18"/>
              </w:rPr>
              <w:t>末被购买方</w:t>
            </w:r>
            <w:r>
              <w:rPr>
                <w:rFonts w:ascii="宋体" w:hAnsi="宋体" w:cs="宋体" w:eastAsia="宋体" w:hint="default"/>
                <w:w w:val="100"/>
                <w:sz w:val="18"/>
                <w:szCs w:val="18"/>
              </w:rPr>
              <w:t> </w:t>
            </w:r>
            <w:r>
              <w:rPr>
                <w:rFonts w:ascii="宋体" w:hAnsi="宋体" w:cs="宋体" w:eastAsia="宋体" w:hint="default"/>
                <w:sz w:val="18"/>
                <w:szCs w:val="18"/>
              </w:rPr>
              <w:t>的净利润</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尼木祥云医</w:t>
            </w:r>
            <w:r>
              <w:rPr>
                <w:rFonts w:ascii="宋体" w:hAnsi="宋体" w:cs="宋体" w:eastAsia="宋体" w:hint="default"/>
                <w:w w:val="100"/>
                <w:sz w:val="18"/>
                <w:szCs w:val="18"/>
              </w:rPr>
              <w:t> </w:t>
            </w:r>
            <w:r>
              <w:rPr>
                <w:rFonts w:ascii="宋体" w:hAnsi="宋体" w:cs="宋体" w:eastAsia="宋体" w:hint="default"/>
                <w:sz w:val="18"/>
                <w:szCs w:val="18"/>
              </w:rPr>
              <w:t>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 w:right="0"/>
              <w:jc w:val="left"/>
              <w:rPr>
                <w:rFonts w:ascii="宋体" w:hAnsi="宋体" w:cs="宋体" w:eastAsia="宋体" w:hint="default"/>
                <w:sz w:val="18"/>
                <w:szCs w:val="18"/>
              </w:rPr>
            </w:pPr>
            <w:r>
              <w:rPr>
                <w:rFonts w:ascii="宋体" w:hAnsi="宋体" w:cs="宋体" w:eastAsia="宋体" w:hint="default"/>
                <w:sz w:val="18"/>
                <w:szCs w:val="18"/>
              </w:rPr>
              <w:t>股权转移</w:t>
            </w:r>
          </w:p>
        </w:tc>
        <w:tc>
          <w:tcPr>
            <w:tcW w:w="106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46,018,264.4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9</w:t>
            </w:r>
          </w:p>
        </w:tc>
        <w:tc>
          <w:tcPr>
            <w:tcW w:w="1061"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19,864,675.0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w w:val="100"/>
                <w:sz w:val="18"/>
              </w:rPr>
              <w:t>5</w:t>
            </w:r>
          </w:p>
        </w:tc>
      </w:tr>
    </w:tbl>
    <w:p>
      <w:pPr>
        <w:pStyle w:val="BodyText"/>
        <w:spacing w:line="240" w:lineRule="auto" w:before="49"/>
        <w:ind w:right="0"/>
        <w:jc w:val="left"/>
      </w:pPr>
      <w:r>
        <w:rPr/>
        <w:t>其他说明：</w:t>
      </w:r>
    </w:p>
    <w:p>
      <w:pPr>
        <w:spacing w:line="240" w:lineRule="auto" w:before="7"/>
        <w:rPr>
          <w:rFonts w:ascii="宋体" w:hAnsi="宋体" w:cs="宋体" w:eastAsia="宋体" w:hint="default"/>
          <w:sz w:val="13"/>
          <w:szCs w:val="13"/>
        </w:rPr>
      </w:pPr>
    </w:p>
    <w:p>
      <w:pPr>
        <w:pStyle w:val="BodyText"/>
        <w:spacing w:line="319" w:lineRule="auto"/>
        <w:ind w:right="0"/>
        <w:jc w:val="left"/>
      </w:pPr>
      <w:r>
        <w:rPr>
          <w:spacing w:val="-3"/>
        </w:rPr>
        <w:t>尼木祥云医疗器械有限公司下设三个子公司，分别为：青岛宝康生物科技有限公司、威海神瑞贸易有限公司、潍坊耀恒经贸</w:t>
      </w:r>
      <w:r>
        <w:rPr>
          <w:spacing w:val="-44"/>
        </w:rPr>
        <w:t> </w:t>
      </w:r>
      <w:r>
        <w:rPr>
          <w:spacing w:val="-44"/>
        </w:rPr>
      </w:r>
      <w:r>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ind w:right="0"/>
        <w:jc w:val="left"/>
        <w:rPr>
          <w:b w:val="0"/>
          <w:bCs w:val="0"/>
        </w:rPr>
      </w:pPr>
      <w:bookmarkStart w:name="（2）合并成本及商誉 " w:id="331"/>
      <w:bookmarkEnd w:id="33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5256"/>
        <w:gridCol w:w="3317"/>
      </w:tblGrid>
      <w:tr>
        <w:trPr>
          <w:trHeight w:val="550" w:hRule="exact"/>
        </w:trPr>
        <w:tc>
          <w:tcPr>
            <w:tcW w:w="525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31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r>
      <w:tr>
        <w:trPr>
          <w:trHeight w:val="547" w:hRule="exact"/>
        </w:trPr>
        <w:tc>
          <w:tcPr>
            <w:tcW w:w="5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3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547" w:hRule="exact"/>
        </w:trPr>
        <w:tc>
          <w:tcPr>
            <w:tcW w:w="5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3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547" w:hRule="exact"/>
        </w:trPr>
        <w:tc>
          <w:tcPr>
            <w:tcW w:w="5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3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5,600,879.02</w:t>
            </w:r>
          </w:p>
        </w:tc>
      </w:tr>
      <w:tr>
        <w:trPr>
          <w:trHeight w:val="547" w:hRule="exact"/>
        </w:trPr>
        <w:tc>
          <w:tcPr>
            <w:tcW w:w="52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3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26,399,120.98</w:t>
            </w:r>
          </w:p>
        </w:tc>
      </w:tr>
    </w:tbl>
    <w:p>
      <w:pPr>
        <w:spacing w:line="240" w:lineRule="auto" w:before="3"/>
        <w:rPr>
          <w:rFonts w:ascii="宋体" w:hAnsi="宋体" w:cs="宋体" w:eastAsia="宋体" w:hint="default"/>
          <w:b/>
          <w:bCs/>
          <w:sz w:val="24"/>
          <w:szCs w:val="24"/>
        </w:rPr>
      </w:pPr>
    </w:p>
    <w:p>
      <w:pPr>
        <w:pStyle w:val="BodyText"/>
        <w:spacing w:line="417" w:lineRule="auto" w:before="44"/>
        <w:ind w:right="2587"/>
        <w:jc w:val="left"/>
      </w:pPr>
      <w:r>
        <w:rPr>
          <w:spacing w:val="-1"/>
        </w:rPr>
        <w:t>合并成本公允价值的确定方法、或有对价及其变动的说明：</w:t>
      </w:r>
      <w:r>
        <w:rPr>
          <w:spacing w:val="-84"/>
        </w:rPr>
        <w:t> </w:t>
      </w:r>
      <w:r>
        <w:rPr>
          <w:spacing w:val="-84"/>
        </w:rPr>
      </w:r>
      <w:r>
        <w:rPr/>
        <w:t>公允价值的确定方法为依据审计报告。</w:t>
      </w:r>
    </w:p>
    <w:p>
      <w:pPr>
        <w:spacing w:after="0" w:line="417" w:lineRule="auto"/>
        <w:jc w:val="left"/>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pStyle w:val="BodyText"/>
        <w:spacing w:line="360" w:lineRule="auto" w:before="44"/>
        <w:ind w:right="7625"/>
        <w:jc w:val="left"/>
      </w:pPr>
      <w:r>
        <w:rPr>
          <w:spacing w:val="-1"/>
        </w:rPr>
        <w:t>大额商誉形成的主要原因：</w:t>
      </w:r>
      <w:r>
        <w:rPr>
          <w:spacing w:val="-88"/>
        </w:rPr>
        <w:t> </w:t>
      </w:r>
      <w:r>
        <w:rPr>
          <w:spacing w:val="-88"/>
        </w:rPr>
      </w:r>
      <w:bookmarkStart w:name="（3）被购买方于购买日可辨认资产、负债 " w:id="332"/>
      <w:bookmarkEnd w:id="332"/>
      <w:r>
        <w:rPr/>
        <w:t>其</w:t>
      </w:r>
      <w:r>
        <w:rPr/>
        <w:t>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741"/>
        <w:gridCol w:w="2551"/>
        <w:gridCol w:w="3254"/>
      </w:tblGrid>
      <w:tr>
        <w:trPr>
          <w:trHeight w:val="550" w:hRule="exact"/>
        </w:trPr>
        <w:tc>
          <w:tcPr>
            <w:tcW w:w="2741" w:type="dxa"/>
            <w:vMerge w:val="restart"/>
            <w:tcBorders>
              <w:top w:val="single" w:sz="6" w:space="0" w:color="000000"/>
              <w:left w:val="single" w:sz="6" w:space="0" w:color="000000"/>
              <w:right w:val="single" w:sz="6" w:space="0" w:color="000000"/>
            </w:tcBorders>
          </w:tcPr>
          <w:p>
            <w:pPr/>
          </w:p>
        </w:tc>
        <w:tc>
          <w:tcPr>
            <w:tcW w:w="5806"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118"/>
              <w:ind w:left="1816" w:right="0"/>
              <w:jc w:val="left"/>
              <w:rPr>
                <w:rFonts w:ascii="宋体" w:hAnsi="宋体" w:cs="宋体" w:eastAsia="宋体" w:hint="default"/>
                <w:sz w:val="18"/>
                <w:szCs w:val="18"/>
              </w:rPr>
            </w:pPr>
            <w:r>
              <w:rPr>
                <w:rFonts w:ascii="宋体" w:hAnsi="宋体" w:cs="宋体" w:eastAsia="宋体" w:hint="default"/>
                <w:sz w:val="18"/>
                <w:szCs w:val="18"/>
              </w:rPr>
              <w:t>尼木祥云医疗器械有限公司</w:t>
            </w:r>
          </w:p>
        </w:tc>
      </w:tr>
      <w:tr>
        <w:trPr>
          <w:trHeight w:val="960" w:hRule="exact"/>
        </w:trPr>
        <w:tc>
          <w:tcPr>
            <w:tcW w:w="2741" w:type="dxa"/>
            <w:vMerge/>
            <w:tcBorders>
              <w:left w:val="single" w:sz="6" w:space="0" w:color="000000"/>
              <w:bottom w:val="single" w:sz="8" w:space="0" w:color="000000"/>
              <w:right w:val="single" w:sz="6" w:space="0" w:color="000000"/>
            </w:tcBorders>
          </w:tcPr>
          <w:p>
            <w:pP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417" w:lineRule="auto" w:before="113"/>
              <w:ind w:left="906" w:right="907" w:firstLine="2"/>
              <w:jc w:val="center"/>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w w:val="100"/>
                <w:sz w:val="18"/>
                <w:szCs w:val="18"/>
              </w:rPr>
              <w:t> </w:t>
            </w:r>
            <w:r>
              <w:rPr>
                <w:rFonts w:ascii="宋体" w:hAnsi="宋体" w:cs="宋体" w:eastAsia="宋体" w:hint="default"/>
                <w:sz w:val="18"/>
                <w:szCs w:val="18"/>
              </w:rPr>
              <w:t>公允价值</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417" w:lineRule="auto" w:before="113"/>
              <w:ind w:left="1264" w:right="1260" w:hanging="3"/>
              <w:jc w:val="center"/>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w w:val="100"/>
                <w:sz w:val="18"/>
                <w:szCs w:val="18"/>
              </w:rPr>
              <w:t> </w:t>
            </w:r>
            <w:r>
              <w:rPr>
                <w:rFonts w:ascii="宋体" w:hAnsi="宋体" w:cs="宋体" w:eastAsia="宋体" w:hint="default"/>
                <w:sz w:val="18"/>
                <w:szCs w:val="18"/>
              </w:rPr>
              <w:t>账面价值</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4"/>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551" w:type="dxa"/>
            <w:tcBorders>
              <w:top w:val="single" w:sz="8" w:space="0" w:color="000000"/>
              <w:left w:val="single" w:sz="6" w:space="0" w:color="000000"/>
              <w:bottom w:val="single" w:sz="8" w:space="0" w:color="000000"/>
              <w:right w:val="single" w:sz="6" w:space="0" w:color="000000"/>
            </w:tcBorders>
          </w:tcPr>
          <w:p>
            <w:pPr/>
          </w:p>
        </w:tc>
        <w:tc>
          <w:tcPr>
            <w:tcW w:w="3254" w:type="dxa"/>
            <w:tcBorders>
              <w:top w:val="single" w:sz="8" w:space="0" w:color="000000"/>
              <w:left w:val="single" w:sz="6" w:space="0" w:color="000000"/>
              <w:bottom w:val="single" w:sz="8" w:space="0" w:color="000000"/>
              <w:right w:val="nil" w:sz="6" w:space="0" w:color="auto"/>
            </w:tcBorders>
          </w:tcPr>
          <w:p>
            <w:pP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4"/>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8,821,972.42</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8,821,972.42</w:t>
            </w:r>
          </w:p>
        </w:tc>
      </w:tr>
      <w:tr>
        <w:trPr>
          <w:trHeight w:val="545"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4"/>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88,703,344.63</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88,703,344.63</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25,180,430.95</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25,180,430.95</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16,935,597.01</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16,935,597.01</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4,437.10</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4,437.10</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75,833.00</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75,833.00</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49,840.28</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49,840.28</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551" w:type="dxa"/>
            <w:tcBorders>
              <w:top w:val="single" w:sz="8" w:space="0" w:color="000000"/>
              <w:left w:val="single" w:sz="6" w:space="0" w:color="000000"/>
              <w:bottom w:val="single" w:sz="8" w:space="0" w:color="000000"/>
              <w:right w:val="single" w:sz="6" w:space="0" w:color="000000"/>
            </w:tcBorders>
          </w:tcPr>
          <w:p>
            <w:pPr/>
          </w:p>
        </w:tc>
        <w:tc>
          <w:tcPr>
            <w:tcW w:w="3254" w:type="dxa"/>
            <w:tcBorders>
              <w:top w:val="single" w:sz="8" w:space="0" w:color="000000"/>
              <w:left w:val="single" w:sz="6" w:space="0" w:color="000000"/>
              <w:bottom w:val="single" w:sz="8" w:space="0" w:color="000000"/>
              <w:right w:val="nil" w:sz="6" w:space="0" w:color="auto"/>
            </w:tcBorders>
          </w:tcPr>
          <w:p>
            <w:pP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2" w:right="0"/>
              <w:jc w:val="left"/>
              <w:rPr>
                <w:rFonts w:ascii="宋体" w:hAnsi="宋体" w:cs="宋体" w:eastAsia="宋体" w:hint="default"/>
                <w:sz w:val="18"/>
                <w:szCs w:val="18"/>
              </w:rPr>
            </w:pPr>
            <w:r>
              <w:rPr>
                <w:rFonts w:ascii="宋体" w:hAnsi="宋体" w:cs="宋体" w:eastAsia="宋体" w:hint="default"/>
                <w:sz w:val="18"/>
                <w:szCs w:val="18"/>
              </w:rPr>
              <w:t>减：借款</w:t>
            </w:r>
          </w:p>
        </w:tc>
        <w:tc>
          <w:tcPr>
            <w:tcW w:w="2551" w:type="dxa"/>
            <w:tcBorders>
              <w:top w:val="single" w:sz="8" w:space="0" w:color="000000"/>
              <w:left w:val="single" w:sz="6" w:space="0" w:color="000000"/>
              <w:bottom w:val="single" w:sz="8" w:space="0" w:color="000000"/>
              <w:right w:val="single" w:sz="6" w:space="0" w:color="000000"/>
            </w:tcBorders>
          </w:tcPr>
          <w:p>
            <w:pPr/>
          </w:p>
        </w:tc>
        <w:tc>
          <w:tcPr>
            <w:tcW w:w="3254" w:type="dxa"/>
            <w:tcBorders>
              <w:top w:val="single" w:sz="8" w:space="0" w:color="000000"/>
              <w:left w:val="single" w:sz="6" w:space="0" w:color="000000"/>
              <w:bottom w:val="single" w:sz="8" w:space="0" w:color="000000"/>
              <w:right w:val="nil" w:sz="6" w:space="0" w:color="auto"/>
            </w:tcBorders>
          </w:tcPr>
          <w:p>
            <w:pP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3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115,081,304.08</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115,081,304.08</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3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3,088,211.34</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3,088,211.34</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3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2,189,093.21</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2,189,093.21</w:t>
            </w:r>
          </w:p>
        </w:tc>
      </w:tr>
      <w:tr>
        <w:trPr>
          <w:trHeight w:val="547"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19,412,846.76</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19,412,846.76</w:t>
            </w:r>
          </w:p>
        </w:tc>
      </w:tr>
      <w:tr>
        <w:trPr>
          <w:trHeight w:val="545"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13,811,967.74</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13,811,967.74</w:t>
            </w:r>
          </w:p>
        </w:tc>
      </w:tr>
      <w:tr>
        <w:trPr>
          <w:trHeight w:val="550" w:hRule="exact"/>
        </w:trPr>
        <w:tc>
          <w:tcPr>
            <w:tcW w:w="274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5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5,600,879.02</w:t>
            </w:r>
          </w:p>
        </w:tc>
        <w:tc>
          <w:tcPr>
            <w:tcW w:w="3254"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5,600,879.02</w:t>
            </w:r>
          </w:p>
        </w:tc>
      </w:tr>
    </w:tbl>
    <w:p>
      <w:pPr>
        <w:spacing w:line="240" w:lineRule="auto" w:before="3"/>
        <w:rPr>
          <w:rFonts w:ascii="宋体" w:hAnsi="宋体" w:cs="宋体" w:eastAsia="宋体" w:hint="default"/>
          <w:b/>
          <w:bCs/>
          <w:sz w:val="24"/>
          <w:szCs w:val="24"/>
        </w:rPr>
      </w:pPr>
    </w:p>
    <w:p>
      <w:pPr>
        <w:pStyle w:val="BodyText"/>
        <w:spacing w:line="357" w:lineRule="auto" w:before="44"/>
        <w:ind w:right="6411"/>
        <w:jc w:val="left"/>
      </w:pPr>
      <w:r>
        <w:rPr>
          <w:spacing w:val="-1"/>
        </w:rPr>
        <w:t>可辨认资产、负债公允价值的确定方法：</w:t>
      </w:r>
      <w:r>
        <w:rPr>
          <w:spacing w:val="-85"/>
        </w:rPr>
        <w:t> </w:t>
      </w:r>
      <w:r>
        <w:rPr>
          <w:spacing w:val="-85"/>
        </w:rPr>
      </w:r>
      <w:r>
        <w:rPr/>
        <w:t>依据审计报告。</w:t>
      </w:r>
      <w:r>
        <w:rPr>
          <w:w w:val="100"/>
        </w:rPr>
        <w:t> </w:t>
      </w:r>
      <w:r>
        <w:rPr>
          <w:spacing w:val="-1"/>
        </w:rPr>
        <w:t>企业合并中承担的被购买方的或有负债：</w:t>
      </w:r>
      <w:r>
        <w:rPr>
          <w:spacing w:val="-86"/>
        </w:rPr>
        <w:t> </w:t>
      </w:r>
      <w:r>
        <w:rPr>
          <w:spacing w:val="-86"/>
        </w:rPr>
      </w:r>
      <w:r>
        <w:rPr/>
        <w:t>无</w:t>
      </w:r>
    </w:p>
    <w:p>
      <w:pPr>
        <w:pStyle w:val="BodyText"/>
        <w:spacing w:line="240" w:lineRule="auto" w:before="29"/>
        <w:ind w:right="0"/>
        <w:jc w:val="left"/>
      </w:pPr>
      <w:r>
        <w:rPr/>
        <w:t>其他说明：</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购买日之前持有的股权按照公允价值重新计量产生的利得或损失 " w:id="333"/>
      <w:bookmarkEnd w:id="33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bookmarkStart w:name="（5）购买日或合并当期期末无法合理确定合并对价或被购买方可辨认资产、负债公允价值" w:id="334"/>
      <w:bookmarkEnd w:id="334"/>
      <w:r>
        <w:rPr/>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6）其他说明 " w:id="335"/>
      <w:bookmarkEnd w:id="335"/>
      <w:r>
        <w:rPr/>
      </w: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bookmarkStart w:name="2、处置子公司 " w:id="336"/>
      <w:bookmarkEnd w:id="336"/>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1" w:top="1060" w:bottom="1180" w:left="980" w:right="980"/>
        </w:sectPr>
      </w:pPr>
    </w:p>
    <w:p>
      <w:pPr>
        <w:pStyle w:val="BodyText"/>
        <w:spacing w:line="240" w:lineRule="auto" w:before="44"/>
        <w:ind w:right="0"/>
        <w:jc w:val="left"/>
      </w:pPr>
      <w:r>
        <w:rPr>
          <w:spacing w:val="-1"/>
        </w:rPr>
        <w:t>是否存在单次处置对子公司投资即丧失控制权的情形</w:t>
      </w:r>
    </w:p>
    <w:p>
      <w:pPr>
        <w:pStyle w:val="BodyText"/>
        <w:spacing w:line="240" w:lineRule="auto" w:before="114"/>
        <w:ind w:right="0"/>
        <w:jc w:val="left"/>
      </w:pPr>
      <w:r>
        <w:rPr/>
        <w:t>√ 是 □</w:t>
      </w:r>
      <w:r>
        <w:rPr>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5" w:space="4532"/>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4"/>
        <w:gridCol w:w="734"/>
        <w:gridCol w:w="734"/>
        <w:gridCol w:w="737"/>
        <w:gridCol w:w="737"/>
        <w:gridCol w:w="737"/>
        <w:gridCol w:w="734"/>
        <w:gridCol w:w="737"/>
      </w:tblGrid>
      <w:tr>
        <w:trPr>
          <w:trHeight w:val="354" w:hRule="exact"/>
        </w:trPr>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9" w:hRule="exact"/>
        </w:trPr>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100"/>
                <w:sz w:val="18"/>
                <w:szCs w:val="18"/>
              </w:rPr>
              <w:t> </w:t>
            </w:r>
            <w:r>
              <w:rPr>
                <w:rFonts w:ascii="宋体" w:hAnsi="宋体" w:cs="宋体" w:eastAsia="宋体" w:hint="default"/>
                <w:sz w:val="18"/>
                <w:szCs w:val="18"/>
              </w:rPr>
              <w:t>名称</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4" w:lineRule="auto"/>
              <w:ind w:left="91" w:right="91"/>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w w:val="100"/>
                <w:sz w:val="18"/>
                <w:szCs w:val="18"/>
              </w:rPr>
              <w:t> </w:t>
            </w:r>
            <w:r>
              <w:rPr>
                <w:rFonts w:ascii="宋体" w:hAnsi="宋体" w:cs="宋体" w:eastAsia="宋体" w:hint="default"/>
                <w:sz w:val="18"/>
                <w:szCs w:val="18"/>
              </w:rPr>
              <w:t>置价款</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w w:val="100"/>
                <w:sz w:val="18"/>
                <w:szCs w:val="18"/>
              </w:rPr>
              <w:t> </w:t>
            </w:r>
            <w:r>
              <w:rPr>
                <w:rFonts w:ascii="宋体" w:hAnsi="宋体" w:cs="宋体" w:eastAsia="宋体" w:hint="default"/>
                <w:sz w:val="18"/>
                <w:szCs w:val="18"/>
              </w:rPr>
              <w:t>置比例</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4" w:lineRule="auto"/>
              <w:ind w:left="95" w:right="86"/>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w w:val="100"/>
                <w:sz w:val="18"/>
                <w:szCs w:val="18"/>
              </w:rPr>
              <w:t> </w:t>
            </w:r>
            <w:r>
              <w:rPr>
                <w:rFonts w:ascii="宋体" w:hAnsi="宋体" w:cs="宋体" w:eastAsia="宋体" w:hint="default"/>
                <w:sz w:val="18"/>
                <w:szCs w:val="18"/>
              </w:rPr>
              <w:t>置方式</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5"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0"/>
                <w:sz w:val="18"/>
                <w:szCs w:val="18"/>
              </w:rPr>
              <w:t> </w:t>
            </w:r>
            <w:r>
              <w:rPr>
                <w:rFonts w:ascii="宋体" w:hAnsi="宋体" w:cs="宋体" w:eastAsia="宋体" w:hint="default"/>
                <w:sz w:val="18"/>
                <w:szCs w:val="18"/>
              </w:rPr>
              <w:t>制权的</w:t>
            </w:r>
            <w:r>
              <w:rPr>
                <w:rFonts w:ascii="宋体" w:hAnsi="宋体" w:cs="宋体" w:eastAsia="宋体" w:hint="default"/>
                <w:w w:val="100"/>
                <w:sz w:val="18"/>
                <w:szCs w:val="18"/>
              </w:rPr>
              <w:t> </w:t>
            </w:r>
            <w:r>
              <w:rPr>
                <w:rFonts w:ascii="宋体" w:hAnsi="宋体" w:cs="宋体" w:eastAsia="宋体" w:hint="default"/>
                <w:sz w:val="18"/>
                <w:szCs w:val="18"/>
              </w:rPr>
              <w:t>时点</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90" w:right="91"/>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0"/>
                <w:sz w:val="18"/>
                <w:szCs w:val="18"/>
              </w:rPr>
              <w:t> </w:t>
            </w:r>
            <w:r>
              <w:rPr>
                <w:rFonts w:ascii="宋体" w:hAnsi="宋体" w:cs="宋体" w:eastAsia="宋体" w:hint="default"/>
                <w:sz w:val="18"/>
                <w:szCs w:val="18"/>
              </w:rPr>
              <w:t>制权时</w:t>
            </w:r>
            <w:r>
              <w:rPr>
                <w:rFonts w:ascii="宋体" w:hAnsi="宋体" w:cs="宋体" w:eastAsia="宋体" w:hint="default"/>
                <w:w w:val="100"/>
                <w:sz w:val="18"/>
                <w:szCs w:val="18"/>
              </w:rPr>
              <w:t> </w:t>
            </w:r>
            <w:r>
              <w:rPr>
                <w:rFonts w:ascii="宋体" w:hAnsi="宋体" w:cs="宋体" w:eastAsia="宋体" w:hint="default"/>
                <w:sz w:val="18"/>
                <w:szCs w:val="18"/>
              </w:rPr>
              <w:t>点的确</w:t>
            </w:r>
            <w:r>
              <w:rPr>
                <w:rFonts w:ascii="宋体" w:hAnsi="宋体" w:cs="宋体" w:eastAsia="宋体" w:hint="default"/>
                <w:w w:val="100"/>
                <w:sz w:val="18"/>
                <w:szCs w:val="18"/>
              </w:rPr>
              <w:t> </w:t>
            </w:r>
            <w:r>
              <w:rPr>
                <w:rFonts w:ascii="宋体" w:hAnsi="宋体" w:cs="宋体" w:eastAsia="宋体" w:hint="default"/>
                <w:sz w:val="18"/>
                <w:szCs w:val="18"/>
              </w:rPr>
              <w:t>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9"/>
              <w:ind w:left="90" w:right="91"/>
              <w:jc w:val="both"/>
              <w:rPr>
                <w:rFonts w:ascii="宋体" w:hAnsi="宋体" w:cs="宋体" w:eastAsia="宋体" w:hint="default"/>
                <w:sz w:val="18"/>
                <w:szCs w:val="18"/>
              </w:rPr>
            </w:pPr>
            <w:r>
              <w:rPr>
                <w:rFonts w:ascii="宋体" w:hAnsi="宋体" w:cs="宋体" w:eastAsia="宋体" w:hint="default"/>
                <w:sz w:val="18"/>
                <w:szCs w:val="18"/>
              </w:rPr>
              <w:t>款与处</w:t>
            </w:r>
            <w:r>
              <w:rPr>
                <w:rFonts w:ascii="宋体" w:hAnsi="宋体" w:cs="宋体" w:eastAsia="宋体" w:hint="default"/>
                <w:w w:val="100"/>
                <w:sz w:val="18"/>
                <w:szCs w:val="18"/>
              </w:rPr>
              <w:t> </w:t>
            </w:r>
            <w:r>
              <w:rPr>
                <w:rFonts w:ascii="宋体" w:hAnsi="宋体" w:cs="宋体" w:eastAsia="宋体" w:hint="default"/>
                <w:sz w:val="18"/>
                <w:szCs w:val="18"/>
              </w:rPr>
              <w:t>置投资</w:t>
            </w:r>
            <w:r>
              <w:rPr>
                <w:rFonts w:ascii="宋体" w:hAnsi="宋体" w:cs="宋体" w:eastAsia="宋体" w:hint="default"/>
                <w:w w:val="100"/>
                <w:sz w:val="18"/>
                <w:szCs w:val="18"/>
              </w:rPr>
              <w:t> </w:t>
            </w:r>
            <w:r>
              <w:rPr>
                <w:rFonts w:ascii="宋体" w:hAnsi="宋体" w:cs="宋体" w:eastAsia="宋体" w:hint="default"/>
                <w:sz w:val="18"/>
                <w:szCs w:val="18"/>
              </w:rPr>
              <w:t>对应的</w:t>
            </w:r>
            <w:r>
              <w:rPr>
                <w:rFonts w:ascii="宋体" w:hAnsi="宋体" w:cs="宋体" w:eastAsia="宋体" w:hint="default"/>
                <w:w w:val="100"/>
                <w:sz w:val="18"/>
                <w:szCs w:val="18"/>
              </w:rPr>
              <w:t> </w:t>
            </w:r>
            <w:r>
              <w:rPr>
                <w:rFonts w:ascii="宋体" w:hAnsi="宋体" w:cs="宋体" w:eastAsia="宋体" w:hint="default"/>
                <w:sz w:val="18"/>
                <w:szCs w:val="18"/>
              </w:rPr>
              <w:t>合并财</w:t>
            </w:r>
            <w:r>
              <w:rPr>
                <w:rFonts w:ascii="宋体" w:hAnsi="宋体" w:cs="宋体" w:eastAsia="宋体" w:hint="default"/>
                <w:w w:val="100"/>
                <w:sz w:val="18"/>
                <w:szCs w:val="18"/>
              </w:rPr>
              <w:t> </w:t>
            </w:r>
            <w:r>
              <w:rPr>
                <w:rFonts w:ascii="宋体" w:hAnsi="宋体" w:cs="宋体" w:eastAsia="宋体" w:hint="default"/>
                <w:sz w:val="18"/>
                <w:szCs w:val="18"/>
              </w:rPr>
              <w:t>务报表</w:t>
            </w:r>
            <w:r>
              <w:rPr>
                <w:rFonts w:ascii="宋体" w:hAnsi="宋体" w:cs="宋体" w:eastAsia="宋体" w:hint="default"/>
                <w:w w:val="100"/>
                <w:sz w:val="18"/>
                <w:szCs w:val="18"/>
              </w:rPr>
              <w:t> </w:t>
            </w:r>
            <w:r>
              <w:rPr>
                <w:rFonts w:ascii="宋体" w:hAnsi="宋体" w:cs="宋体" w:eastAsia="宋体" w:hint="default"/>
                <w:sz w:val="18"/>
                <w:szCs w:val="18"/>
              </w:rPr>
              <w:t>层面享</w:t>
            </w:r>
            <w:r>
              <w:rPr>
                <w:rFonts w:ascii="宋体" w:hAnsi="宋体" w:cs="宋体" w:eastAsia="宋体" w:hint="default"/>
                <w:w w:val="100"/>
                <w:sz w:val="18"/>
                <w:szCs w:val="18"/>
              </w:rPr>
              <w:t> </w:t>
            </w:r>
            <w:r>
              <w:rPr>
                <w:rFonts w:ascii="宋体" w:hAnsi="宋体" w:cs="宋体" w:eastAsia="宋体" w:hint="default"/>
                <w:sz w:val="18"/>
                <w:szCs w:val="18"/>
              </w:rPr>
              <w:t>有该子</w:t>
            </w:r>
            <w:r>
              <w:rPr>
                <w:rFonts w:ascii="宋体" w:hAnsi="宋体" w:cs="宋体" w:eastAsia="宋体" w:hint="default"/>
                <w:w w:val="100"/>
                <w:sz w:val="18"/>
                <w:szCs w:val="18"/>
              </w:rPr>
              <w:t> </w:t>
            </w:r>
            <w:r>
              <w:rPr>
                <w:rFonts w:ascii="宋体" w:hAnsi="宋体" w:cs="宋体" w:eastAsia="宋体" w:hint="default"/>
                <w:sz w:val="18"/>
                <w:szCs w:val="18"/>
              </w:rPr>
              <w:t>公司净</w:t>
            </w:r>
            <w:r>
              <w:rPr>
                <w:rFonts w:ascii="宋体" w:hAnsi="宋体" w:cs="宋体" w:eastAsia="宋体" w:hint="default"/>
                <w:w w:val="100"/>
                <w:sz w:val="18"/>
                <w:szCs w:val="18"/>
              </w:rPr>
              <w:t> </w:t>
            </w:r>
            <w:r>
              <w:rPr>
                <w:rFonts w:ascii="宋体" w:hAnsi="宋体" w:cs="宋体" w:eastAsia="宋体" w:hint="default"/>
                <w:sz w:val="18"/>
                <w:szCs w:val="18"/>
              </w:rPr>
              <w:t>资产份</w:t>
            </w:r>
            <w:r>
              <w:rPr>
                <w:rFonts w:ascii="宋体" w:hAnsi="宋体" w:cs="宋体" w:eastAsia="宋体" w:hint="default"/>
                <w:w w:val="100"/>
                <w:sz w:val="18"/>
                <w:szCs w:val="18"/>
              </w:rPr>
              <w:t> </w:t>
            </w:r>
            <w:r>
              <w:rPr>
                <w:rFonts w:ascii="宋体" w:hAnsi="宋体" w:cs="宋体" w:eastAsia="宋体" w:hint="default"/>
                <w:sz w:val="18"/>
                <w:szCs w:val="18"/>
              </w:rPr>
              <w:t>额的差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95" w:right="86"/>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0"/>
                <w:sz w:val="18"/>
                <w:szCs w:val="18"/>
              </w:rPr>
              <w:t> </w:t>
            </w:r>
            <w:r>
              <w:rPr>
                <w:rFonts w:ascii="宋体" w:hAnsi="宋体" w:cs="宋体" w:eastAsia="宋体" w:hint="default"/>
                <w:sz w:val="18"/>
                <w:szCs w:val="18"/>
              </w:rPr>
              <w:t>制权之</w:t>
            </w:r>
            <w:r>
              <w:rPr>
                <w:rFonts w:ascii="宋体" w:hAnsi="宋体" w:cs="宋体" w:eastAsia="宋体" w:hint="default"/>
                <w:w w:val="100"/>
                <w:sz w:val="18"/>
                <w:szCs w:val="18"/>
              </w:rPr>
              <w:t> </w:t>
            </w:r>
            <w:r>
              <w:rPr>
                <w:rFonts w:ascii="宋体" w:hAnsi="宋体" w:cs="宋体" w:eastAsia="宋体" w:hint="default"/>
                <w:sz w:val="18"/>
                <w:szCs w:val="18"/>
              </w:rPr>
              <w:t>日剩余</w:t>
            </w:r>
            <w:r>
              <w:rPr>
                <w:rFonts w:ascii="宋体" w:hAnsi="宋体" w:cs="宋体" w:eastAsia="宋体" w:hint="default"/>
                <w:w w:val="100"/>
                <w:sz w:val="18"/>
                <w:szCs w:val="18"/>
              </w:rPr>
              <w:t> </w:t>
            </w:r>
            <w:r>
              <w:rPr>
                <w:rFonts w:ascii="宋体" w:hAnsi="宋体" w:cs="宋体" w:eastAsia="宋体" w:hint="default"/>
                <w:sz w:val="18"/>
                <w:szCs w:val="18"/>
              </w:rPr>
              <w:t>股权的</w:t>
            </w:r>
            <w:r>
              <w:rPr>
                <w:rFonts w:ascii="宋体" w:hAnsi="宋体" w:cs="宋体" w:eastAsia="宋体" w:hint="default"/>
                <w:w w:val="100"/>
                <w:sz w:val="18"/>
                <w:szCs w:val="18"/>
              </w:rPr>
              <w:t> </w:t>
            </w:r>
            <w:r>
              <w:rPr>
                <w:rFonts w:ascii="宋体" w:hAnsi="宋体" w:cs="宋体" w:eastAsia="宋体" w:hint="default"/>
                <w:sz w:val="18"/>
                <w:szCs w:val="18"/>
              </w:rPr>
              <w:t>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5" w:right="89"/>
              <w:jc w:val="center"/>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0"/>
                <w:sz w:val="18"/>
                <w:szCs w:val="18"/>
              </w:rPr>
              <w:t> </w:t>
            </w:r>
            <w:r>
              <w:rPr>
                <w:rFonts w:ascii="宋体" w:hAnsi="宋体" w:cs="宋体" w:eastAsia="宋体" w:hint="default"/>
                <w:sz w:val="18"/>
                <w:szCs w:val="18"/>
              </w:rPr>
              <w:t>制权之</w:t>
            </w:r>
            <w:r>
              <w:rPr>
                <w:rFonts w:ascii="宋体" w:hAnsi="宋体" w:cs="宋体" w:eastAsia="宋体" w:hint="default"/>
                <w:w w:val="100"/>
                <w:sz w:val="18"/>
                <w:szCs w:val="18"/>
              </w:rPr>
              <w:t> </w:t>
            </w:r>
            <w:r>
              <w:rPr>
                <w:rFonts w:ascii="宋体" w:hAnsi="宋体" w:cs="宋体" w:eastAsia="宋体" w:hint="default"/>
                <w:sz w:val="18"/>
                <w:szCs w:val="18"/>
              </w:rPr>
              <w:t>日剩余</w:t>
            </w:r>
            <w:r>
              <w:rPr>
                <w:rFonts w:ascii="宋体" w:hAnsi="宋体" w:cs="宋体" w:eastAsia="宋体" w:hint="default"/>
                <w:w w:val="100"/>
                <w:sz w:val="18"/>
                <w:szCs w:val="18"/>
              </w:rPr>
              <w:t> </w:t>
            </w:r>
            <w:r>
              <w:rPr>
                <w:rFonts w:ascii="宋体" w:hAnsi="宋体" w:cs="宋体" w:eastAsia="宋体" w:hint="default"/>
                <w:sz w:val="18"/>
                <w:szCs w:val="18"/>
              </w:rPr>
              <w:t>股权的</w:t>
            </w:r>
            <w:r>
              <w:rPr>
                <w:rFonts w:ascii="宋体" w:hAnsi="宋体" w:cs="宋体" w:eastAsia="宋体" w:hint="default"/>
                <w:w w:val="100"/>
                <w:sz w:val="18"/>
                <w:szCs w:val="18"/>
              </w:rPr>
              <w:t> </w:t>
            </w:r>
            <w:r>
              <w:rPr>
                <w:rFonts w:ascii="宋体" w:hAnsi="宋体" w:cs="宋体" w:eastAsia="宋体" w:hint="default"/>
                <w:sz w:val="18"/>
                <w:szCs w:val="18"/>
              </w:rPr>
              <w:t>账面价</w:t>
            </w:r>
            <w:r>
              <w:rPr>
                <w:rFonts w:ascii="宋体" w:hAnsi="宋体" w:cs="宋体" w:eastAsia="宋体" w:hint="default"/>
                <w:w w:val="100"/>
                <w:sz w:val="18"/>
                <w:szCs w:val="18"/>
              </w:rPr>
              <w:t> </w:t>
            </w:r>
            <w:r>
              <w:rPr>
                <w:rFonts w:ascii="宋体" w:hAnsi="宋体" w:cs="宋体" w:eastAsia="宋体" w:hint="default"/>
                <w:sz w:val="18"/>
                <w:szCs w:val="18"/>
              </w:rPr>
              <w:t>值</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0"/>
                <w:sz w:val="18"/>
                <w:szCs w:val="18"/>
              </w:rPr>
              <w:t> </w:t>
            </w:r>
            <w:r>
              <w:rPr>
                <w:rFonts w:ascii="宋体" w:hAnsi="宋体" w:cs="宋体" w:eastAsia="宋体" w:hint="default"/>
                <w:sz w:val="18"/>
                <w:szCs w:val="18"/>
              </w:rPr>
              <w:t>制权之</w:t>
            </w:r>
            <w:r>
              <w:rPr>
                <w:rFonts w:ascii="宋体" w:hAnsi="宋体" w:cs="宋体" w:eastAsia="宋体" w:hint="default"/>
                <w:w w:val="100"/>
                <w:sz w:val="18"/>
                <w:szCs w:val="18"/>
              </w:rPr>
              <w:t> </w:t>
            </w:r>
            <w:r>
              <w:rPr>
                <w:rFonts w:ascii="宋体" w:hAnsi="宋体" w:cs="宋体" w:eastAsia="宋体" w:hint="default"/>
                <w:sz w:val="18"/>
                <w:szCs w:val="18"/>
              </w:rPr>
              <w:t>日剩余</w:t>
            </w:r>
            <w:r>
              <w:rPr>
                <w:rFonts w:ascii="宋体" w:hAnsi="宋体" w:cs="宋体" w:eastAsia="宋体" w:hint="default"/>
                <w:w w:val="100"/>
                <w:sz w:val="18"/>
                <w:szCs w:val="18"/>
              </w:rPr>
              <w:t> </w:t>
            </w:r>
            <w:r>
              <w:rPr>
                <w:rFonts w:ascii="宋体" w:hAnsi="宋体" w:cs="宋体" w:eastAsia="宋体" w:hint="default"/>
                <w:sz w:val="18"/>
                <w:szCs w:val="18"/>
              </w:rPr>
              <w:t>股权的</w:t>
            </w:r>
            <w:r>
              <w:rPr>
                <w:rFonts w:ascii="宋体" w:hAnsi="宋体" w:cs="宋体" w:eastAsia="宋体" w:hint="default"/>
                <w:w w:val="100"/>
                <w:sz w:val="18"/>
                <w:szCs w:val="18"/>
              </w:rPr>
              <w:t> </w:t>
            </w:r>
            <w:r>
              <w:rPr>
                <w:rFonts w:ascii="宋体" w:hAnsi="宋体" w:cs="宋体" w:eastAsia="宋体" w:hint="default"/>
                <w:sz w:val="18"/>
                <w:szCs w:val="18"/>
              </w:rPr>
              <w:t>公允价</w:t>
            </w:r>
            <w:r>
              <w:rPr>
                <w:rFonts w:ascii="宋体" w:hAnsi="宋体" w:cs="宋体" w:eastAsia="宋体" w:hint="default"/>
                <w:w w:val="100"/>
                <w:sz w:val="18"/>
                <w:szCs w:val="18"/>
              </w:rPr>
              <w:t> </w:t>
            </w:r>
            <w:r>
              <w:rPr>
                <w:rFonts w:ascii="宋体" w:hAnsi="宋体" w:cs="宋体" w:eastAsia="宋体" w:hint="default"/>
                <w:sz w:val="18"/>
                <w:szCs w:val="18"/>
              </w:rPr>
              <w:t>值</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w:t>
            </w:r>
            <w:r>
              <w:rPr>
                <w:rFonts w:ascii="宋体" w:hAnsi="宋体" w:cs="宋体" w:eastAsia="宋体" w:hint="default"/>
                <w:w w:val="100"/>
                <w:sz w:val="18"/>
                <w:szCs w:val="18"/>
              </w:rPr>
              <w:t> </w:t>
            </w:r>
            <w:r>
              <w:rPr>
                <w:rFonts w:ascii="宋体" w:hAnsi="宋体" w:cs="宋体" w:eastAsia="宋体" w:hint="default"/>
                <w:sz w:val="18"/>
                <w:szCs w:val="18"/>
              </w:rPr>
              <w:t>允价值</w:t>
            </w:r>
            <w:r>
              <w:rPr>
                <w:rFonts w:ascii="宋体" w:hAnsi="宋体" w:cs="宋体" w:eastAsia="宋体" w:hint="default"/>
                <w:w w:val="100"/>
                <w:sz w:val="18"/>
                <w:szCs w:val="18"/>
              </w:rPr>
              <w:t> </w:t>
            </w:r>
            <w:r>
              <w:rPr>
                <w:rFonts w:ascii="宋体" w:hAnsi="宋体" w:cs="宋体" w:eastAsia="宋体" w:hint="default"/>
                <w:sz w:val="18"/>
                <w:szCs w:val="18"/>
              </w:rPr>
              <w:t>重新计</w:t>
            </w:r>
            <w:r>
              <w:rPr>
                <w:rFonts w:ascii="宋体" w:hAnsi="宋体" w:cs="宋体" w:eastAsia="宋体" w:hint="default"/>
                <w:w w:val="100"/>
                <w:sz w:val="18"/>
                <w:szCs w:val="18"/>
              </w:rPr>
              <w:t> </w:t>
            </w:r>
            <w:r>
              <w:rPr>
                <w:rFonts w:ascii="宋体" w:hAnsi="宋体" w:cs="宋体" w:eastAsia="宋体" w:hint="default"/>
                <w:sz w:val="18"/>
                <w:szCs w:val="18"/>
              </w:rPr>
              <w:t>量剩余</w:t>
            </w:r>
            <w:r>
              <w:rPr>
                <w:rFonts w:ascii="宋体" w:hAnsi="宋体" w:cs="宋体" w:eastAsia="宋体" w:hint="default"/>
                <w:w w:val="100"/>
                <w:sz w:val="18"/>
                <w:szCs w:val="18"/>
              </w:rPr>
              <w:t> </w:t>
            </w:r>
            <w:r>
              <w:rPr>
                <w:rFonts w:ascii="宋体" w:hAnsi="宋体" w:cs="宋体" w:eastAsia="宋体" w:hint="default"/>
                <w:sz w:val="18"/>
                <w:szCs w:val="18"/>
              </w:rPr>
              <w:t>股权产</w:t>
            </w:r>
            <w:r>
              <w:rPr>
                <w:rFonts w:ascii="宋体" w:hAnsi="宋体" w:cs="宋体" w:eastAsia="宋体" w:hint="default"/>
                <w:w w:val="100"/>
                <w:sz w:val="18"/>
                <w:szCs w:val="18"/>
              </w:rPr>
              <w:t> </w:t>
            </w:r>
            <w:r>
              <w:rPr>
                <w:rFonts w:ascii="宋体" w:hAnsi="宋体" w:cs="宋体" w:eastAsia="宋体" w:hint="default"/>
                <w:sz w:val="18"/>
                <w:szCs w:val="18"/>
              </w:rPr>
              <w:t>生的利</w:t>
            </w:r>
            <w:r>
              <w:rPr>
                <w:rFonts w:ascii="宋体" w:hAnsi="宋体" w:cs="宋体" w:eastAsia="宋体" w:hint="default"/>
                <w:w w:val="100"/>
                <w:sz w:val="18"/>
                <w:szCs w:val="18"/>
              </w:rPr>
              <w:t> </w:t>
            </w:r>
            <w:r>
              <w:rPr>
                <w:rFonts w:ascii="宋体" w:hAnsi="宋体" w:cs="宋体" w:eastAsia="宋体" w:hint="default"/>
                <w:sz w:val="18"/>
                <w:szCs w:val="18"/>
              </w:rPr>
              <w:t>得或损</w:t>
            </w:r>
            <w:r>
              <w:rPr>
                <w:rFonts w:ascii="宋体" w:hAnsi="宋体" w:cs="宋体" w:eastAsia="宋体" w:hint="default"/>
                <w:w w:val="100"/>
                <w:sz w:val="18"/>
                <w:szCs w:val="18"/>
              </w:rPr>
              <w:t> </w:t>
            </w:r>
            <w:r>
              <w:rPr>
                <w:rFonts w:ascii="宋体" w:hAnsi="宋体" w:cs="宋体" w:eastAsia="宋体" w:hint="default"/>
                <w:sz w:val="18"/>
                <w:szCs w:val="18"/>
              </w:rPr>
              <w:t>失</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90" w:right="91"/>
              <w:jc w:val="center"/>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w w:val="100"/>
                <w:sz w:val="18"/>
                <w:szCs w:val="18"/>
              </w:rPr>
              <w:t> </w:t>
            </w:r>
            <w:r>
              <w:rPr>
                <w:rFonts w:ascii="宋体" w:hAnsi="宋体" w:cs="宋体" w:eastAsia="宋体" w:hint="default"/>
                <w:sz w:val="18"/>
                <w:szCs w:val="18"/>
              </w:rPr>
              <w:t>制权之</w:t>
            </w:r>
            <w:r>
              <w:rPr>
                <w:rFonts w:ascii="宋体" w:hAnsi="宋体" w:cs="宋体" w:eastAsia="宋体" w:hint="default"/>
                <w:w w:val="100"/>
                <w:sz w:val="18"/>
                <w:szCs w:val="18"/>
              </w:rPr>
              <w:t> </w:t>
            </w:r>
            <w:r>
              <w:rPr>
                <w:rFonts w:ascii="宋体" w:hAnsi="宋体" w:cs="宋体" w:eastAsia="宋体" w:hint="default"/>
                <w:sz w:val="18"/>
                <w:szCs w:val="18"/>
              </w:rPr>
              <w:t>日剩余</w:t>
            </w:r>
            <w:r>
              <w:rPr>
                <w:rFonts w:ascii="宋体" w:hAnsi="宋体" w:cs="宋体" w:eastAsia="宋体" w:hint="default"/>
                <w:w w:val="100"/>
                <w:sz w:val="18"/>
                <w:szCs w:val="18"/>
              </w:rPr>
              <w:t> </w:t>
            </w:r>
            <w:r>
              <w:rPr>
                <w:rFonts w:ascii="宋体" w:hAnsi="宋体" w:cs="宋体" w:eastAsia="宋体" w:hint="default"/>
                <w:sz w:val="18"/>
                <w:szCs w:val="18"/>
              </w:rPr>
              <w:t>股权公</w:t>
            </w:r>
            <w:r>
              <w:rPr>
                <w:rFonts w:ascii="宋体" w:hAnsi="宋体" w:cs="宋体" w:eastAsia="宋体" w:hint="default"/>
                <w:w w:val="100"/>
                <w:sz w:val="18"/>
                <w:szCs w:val="18"/>
              </w:rPr>
              <w:t> </w:t>
            </w:r>
            <w:r>
              <w:rPr>
                <w:rFonts w:ascii="宋体" w:hAnsi="宋体" w:cs="宋体" w:eastAsia="宋体" w:hint="default"/>
                <w:sz w:val="18"/>
                <w:szCs w:val="18"/>
              </w:rPr>
              <w:t>允价值</w:t>
            </w:r>
            <w:r>
              <w:rPr>
                <w:rFonts w:ascii="宋体" w:hAnsi="宋体" w:cs="宋体" w:eastAsia="宋体" w:hint="default"/>
                <w:w w:val="100"/>
                <w:sz w:val="18"/>
                <w:szCs w:val="18"/>
              </w:rPr>
              <w:t> </w:t>
            </w:r>
            <w:r>
              <w:rPr>
                <w:rFonts w:ascii="宋体" w:hAnsi="宋体" w:cs="宋体" w:eastAsia="宋体" w:hint="default"/>
                <w:sz w:val="18"/>
                <w:szCs w:val="18"/>
              </w:rPr>
              <w:t>的确定</w:t>
            </w:r>
            <w:r>
              <w:rPr>
                <w:rFonts w:ascii="宋体" w:hAnsi="宋体" w:cs="宋体" w:eastAsia="宋体" w:hint="default"/>
                <w:w w:val="100"/>
                <w:sz w:val="18"/>
                <w:szCs w:val="18"/>
              </w:rPr>
              <w:t> </w:t>
            </w:r>
            <w:r>
              <w:rPr>
                <w:rFonts w:ascii="宋体" w:hAnsi="宋体" w:cs="宋体" w:eastAsia="宋体" w:hint="default"/>
                <w:sz w:val="18"/>
                <w:szCs w:val="18"/>
              </w:rPr>
              <w:t>方法及</w:t>
            </w:r>
            <w:r>
              <w:rPr>
                <w:rFonts w:ascii="宋体" w:hAnsi="宋体" w:cs="宋体" w:eastAsia="宋体" w:hint="default"/>
                <w:w w:val="100"/>
                <w:sz w:val="18"/>
                <w:szCs w:val="18"/>
              </w:rPr>
              <w:t> </w:t>
            </w:r>
            <w:r>
              <w:rPr>
                <w:rFonts w:ascii="宋体" w:hAnsi="宋体" w:cs="宋体" w:eastAsia="宋体" w:hint="default"/>
                <w:sz w:val="18"/>
                <w:szCs w:val="18"/>
              </w:rPr>
              <w:t>主要假</w:t>
            </w:r>
            <w:r>
              <w:rPr>
                <w:rFonts w:ascii="宋体" w:hAnsi="宋体" w:cs="宋体" w:eastAsia="宋体" w:hint="default"/>
                <w:w w:val="100"/>
                <w:sz w:val="18"/>
                <w:szCs w:val="18"/>
              </w:rPr>
              <w:t> </w:t>
            </w:r>
            <w:r>
              <w:rPr>
                <w:rFonts w:ascii="宋体" w:hAnsi="宋体" w:cs="宋体" w:eastAsia="宋体" w:hint="default"/>
                <w:sz w:val="18"/>
                <w:szCs w:val="18"/>
              </w:rPr>
              <w:t>设</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w w:val="100"/>
                <w:sz w:val="18"/>
                <w:szCs w:val="18"/>
              </w:rPr>
              <w:t> </w:t>
            </w:r>
            <w:r>
              <w:rPr>
                <w:rFonts w:ascii="宋体" w:hAnsi="宋体" w:cs="宋体" w:eastAsia="宋体" w:hint="default"/>
                <w:sz w:val="18"/>
                <w:szCs w:val="18"/>
              </w:rPr>
              <w:t>公司股</w:t>
            </w:r>
            <w:r>
              <w:rPr>
                <w:rFonts w:ascii="宋体" w:hAnsi="宋体" w:cs="宋体" w:eastAsia="宋体" w:hint="default"/>
                <w:w w:val="100"/>
                <w:sz w:val="18"/>
                <w:szCs w:val="18"/>
              </w:rPr>
              <w:t> </w:t>
            </w:r>
            <w:r>
              <w:rPr>
                <w:rFonts w:ascii="宋体" w:hAnsi="宋体" w:cs="宋体" w:eastAsia="宋体" w:hint="default"/>
                <w:sz w:val="18"/>
                <w:szCs w:val="18"/>
              </w:rPr>
              <w:t>权投资</w:t>
            </w:r>
            <w:r>
              <w:rPr>
                <w:rFonts w:ascii="宋体" w:hAnsi="宋体" w:cs="宋体" w:eastAsia="宋体" w:hint="default"/>
                <w:w w:val="100"/>
                <w:sz w:val="18"/>
                <w:szCs w:val="18"/>
              </w:rPr>
              <w:t> </w:t>
            </w:r>
            <w:r>
              <w:rPr>
                <w:rFonts w:ascii="宋体" w:hAnsi="宋体" w:cs="宋体" w:eastAsia="宋体" w:hint="default"/>
                <w:sz w:val="18"/>
                <w:szCs w:val="18"/>
              </w:rPr>
              <w:t>相关的</w:t>
            </w:r>
            <w:r>
              <w:rPr>
                <w:rFonts w:ascii="宋体" w:hAnsi="宋体" w:cs="宋体" w:eastAsia="宋体" w:hint="default"/>
                <w:w w:val="100"/>
                <w:sz w:val="18"/>
                <w:szCs w:val="18"/>
              </w:rPr>
              <w:t> </w:t>
            </w:r>
            <w:r>
              <w:rPr>
                <w:rFonts w:ascii="宋体" w:hAnsi="宋体" w:cs="宋体" w:eastAsia="宋体" w:hint="default"/>
                <w:sz w:val="18"/>
                <w:szCs w:val="18"/>
              </w:rPr>
              <w:t>其他综</w:t>
            </w:r>
            <w:r>
              <w:rPr>
                <w:rFonts w:ascii="宋体" w:hAnsi="宋体" w:cs="宋体" w:eastAsia="宋体" w:hint="default"/>
                <w:w w:val="100"/>
                <w:sz w:val="18"/>
                <w:szCs w:val="18"/>
              </w:rPr>
              <w:t> </w:t>
            </w:r>
            <w:r>
              <w:rPr>
                <w:rFonts w:ascii="宋体" w:hAnsi="宋体" w:cs="宋体" w:eastAsia="宋体" w:hint="default"/>
                <w:sz w:val="18"/>
                <w:szCs w:val="18"/>
              </w:rPr>
              <w:t>合收益</w:t>
            </w:r>
            <w:r>
              <w:rPr>
                <w:rFonts w:ascii="宋体" w:hAnsi="宋体" w:cs="宋体" w:eastAsia="宋体" w:hint="default"/>
                <w:w w:val="100"/>
                <w:sz w:val="18"/>
                <w:szCs w:val="18"/>
              </w:rPr>
              <w:t> </w:t>
            </w:r>
            <w:r>
              <w:rPr>
                <w:rFonts w:ascii="宋体" w:hAnsi="宋体" w:cs="宋体" w:eastAsia="宋体" w:hint="default"/>
                <w:sz w:val="18"/>
                <w:szCs w:val="18"/>
              </w:rPr>
              <w:t>转入投</w:t>
            </w:r>
            <w:r>
              <w:rPr>
                <w:rFonts w:ascii="宋体" w:hAnsi="宋体" w:cs="宋体" w:eastAsia="宋体" w:hint="default"/>
                <w:w w:val="100"/>
                <w:sz w:val="18"/>
                <w:szCs w:val="18"/>
              </w:rPr>
              <w:t> </w:t>
            </w:r>
            <w:r>
              <w:rPr>
                <w:rFonts w:ascii="宋体" w:hAnsi="宋体" w:cs="宋体" w:eastAsia="宋体" w:hint="default"/>
                <w:sz w:val="18"/>
                <w:szCs w:val="18"/>
              </w:rPr>
              <w:t>资损益</w:t>
            </w:r>
            <w:r>
              <w:rPr>
                <w:rFonts w:ascii="宋体" w:hAnsi="宋体" w:cs="宋体" w:eastAsia="宋体" w:hint="default"/>
                <w:w w:val="100"/>
                <w:sz w:val="18"/>
                <w:szCs w:val="18"/>
              </w:rPr>
              <w:t> </w:t>
            </w:r>
            <w:r>
              <w:rPr>
                <w:rFonts w:ascii="宋体" w:hAnsi="宋体" w:cs="宋体" w:eastAsia="宋体" w:hint="default"/>
                <w:sz w:val="18"/>
                <w:szCs w:val="18"/>
              </w:rPr>
              <w:t>的金额</w:t>
            </w:r>
          </w:p>
        </w:tc>
      </w:tr>
      <w:tr>
        <w:trPr>
          <w:trHeight w:val="360" w:hRule="exact"/>
        </w:trPr>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0"/>
                <w:sz w:val="18"/>
                <w:szCs w:val="18"/>
              </w:rPr>
              <w:t>额</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0"/>
              <w:jc w:val="both"/>
              <w:rPr>
                <w:rFonts w:ascii="宋体" w:hAnsi="宋体" w:cs="宋体" w:eastAsia="宋体" w:hint="default"/>
                <w:sz w:val="18"/>
                <w:szCs w:val="18"/>
              </w:rPr>
            </w:pPr>
            <w:r>
              <w:rPr>
                <w:rFonts w:ascii="宋体" w:hAnsi="宋体" w:cs="宋体" w:eastAsia="宋体" w:hint="default"/>
                <w:sz w:val="18"/>
                <w:szCs w:val="18"/>
              </w:rPr>
              <w:t>北京天</w:t>
            </w:r>
            <w:r>
              <w:rPr>
                <w:rFonts w:ascii="宋体" w:hAnsi="宋体" w:cs="宋体" w:eastAsia="宋体" w:hint="default"/>
                <w:w w:val="100"/>
                <w:sz w:val="18"/>
                <w:szCs w:val="18"/>
              </w:rPr>
              <w:t> </w:t>
            </w:r>
            <w:r>
              <w:rPr>
                <w:rFonts w:ascii="宋体" w:hAnsi="宋体" w:cs="宋体" w:eastAsia="宋体" w:hint="default"/>
                <w:sz w:val="18"/>
                <w:szCs w:val="18"/>
              </w:rPr>
              <w:t>业爱博</w:t>
            </w:r>
            <w:r>
              <w:rPr>
                <w:rFonts w:ascii="宋体" w:hAnsi="宋体" w:cs="宋体" w:eastAsia="宋体" w:hint="default"/>
                <w:w w:val="100"/>
                <w:sz w:val="18"/>
                <w:szCs w:val="18"/>
              </w:rPr>
              <w:t> </w:t>
            </w:r>
            <w:r>
              <w:rPr>
                <w:rFonts w:ascii="宋体" w:hAnsi="宋体" w:cs="宋体" w:eastAsia="宋体" w:hint="default"/>
                <w:sz w:val="18"/>
                <w:szCs w:val="18"/>
              </w:rPr>
              <w:t>科贸有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11,634,8</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28.52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51.00%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w w:val="100"/>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1,260,42</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4.89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3185"/>
        <w:jc w:val="left"/>
      </w:pPr>
      <w:r>
        <w:rPr/>
        <w:t>其他说明：</w:t>
      </w:r>
      <w:r>
        <w:rPr>
          <w:w w:val="100"/>
        </w:rPr>
        <w:t> </w:t>
      </w:r>
      <w:r>
        <w:rPr>
          <w:spacing w:val="-1"/>
        </w:rPr>
        <w:t>是否存在通过多次交易分步处置对子公司投资且在本期丧失控制权的情形</w:t>
      </w:r>
    </w:p>
    <w:p>
      <w:pPr>
        <w:pStyle w:val="BodyText"/>
        <w:spacing w:line="240" w:lineRule="auto" w:before="29"/>
        <w:ind w:right="0"/>
        <w:jc w:val="left"/>
      </w:pPr>
      <w:bookmarkStart w:name="3、其他原因的合并范围变动 " w:id="337"/>
      <w:bookmarkEnd w:id="337"/>
      <w:r>
        <w:rPr/>
      </w:r>
      <w:r>
        <w:rPr/>
        <w:t>□ 是 √</w:t>
      </w:r>
      <w:r>
        <w:rPr>
          <w:spacing w:val="1"/>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4"/>
        <w:ind w:right="0" w:firstLine="71"/>
        <w:jc w:val="left"/>
      </w:pPr>
      <w:r>
        <w:rPr>
          <w:spacing w:val="-1"/>
        </w:rPr>
        <w:t>（</w:t>
      </w:r>
      <w:r>
        <w:rPr>
          <w:rFonts w:ascii="Times New Roman" w:hAnsi="Times New Roman" w:cs="Times New Roman" w:eastAsia="Times New Roman" w:hint="default"/>
          <w:spacing w:val="-1"/>
        </w:rPr>
        <w:t>1</w:t>
      </w:r>
      <w:r>
        <w:rPr>
          <w:spacing w:val="-1"/>
        </w:rPr>
        <w:t>）枣庄际安医疗器械有限责任公司成立于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24</w:t>
      </w:r>
      <w:r>
        <w:rPr>
          <w:spacing w:val="-1"/>
        </w:rPr>
        <w:t>日，注册资本</w:t>
      </w:r>
      <w:r>
        <w:rPr>
          <w:rFonts w:ascii="Times New Roman" w:hAnsi="Times New Roman" w:cs="Times New Roman" w:eastAsia="Times New Roman" w:hint="default"/>
          <w:spacing w:val="-1"/>
        </w:rPr>
        <w:t>50</w:t>
      </w:r>
      <w:r>
        <w:rPr>
          <w:spacing w:val="-1"/>
        </w:rPr>
        <w:t>万元人民币，为公司新设立的全资子公司，法定</w:t>
      </w:r>
      <w:r>
        <w:rPr>
          <w:w w:val="100"/>
        </w:rPr>
        <w:t> </w:t>
      </w:r>
      <w:r>
        <w:rPr/>
        <w:t>代表人为韩松。</w:t>
      </w:r>
    </w:p>
    <w:p>
      <w:pPr>
        <w:pStyle w:val="BodyText"/>
        <w:spacing w:line="240" w:lineRule="auto" w:before="31"/>
        <w:ind w:left="224" w:right="0"/>
        <w:jc w:val="left"/>
      </w:pPr>
      <w:r>
        <w:rPr/>
        <w:t>（</w:t>
      </w:r>
      <w:r>
        <w:rPr>
          <w:rFonts w:ascii="Times New Roman" w:hAnsi="Times New Roman" w:cs="Times New Roman" w:eastAsia="Times New Roman" w:hint="default"/>
        </w:rPr>
        <w:t>2</w:t>
      </w:r>
      <w:r>
        <w:rPr/>
        <w:t>）威海西施康生物工程有限公司已于</w:t>
      </w:r>
      <w:r>
        <w:rPr>
          <w:rFonts w:ascii="Times New Roman" w:hAnsi="Times New Roman" w:cs="Times New Roman" w:eastAsia="Times New Roman" w:hint="default"/>
        </w:rPr>
        <w:t>2013</w:t>
      </w:r>
      <w:r>
        <w:rPr/>
        <w:t>年度转让。</w:t>
      </w:r>
    </w:p>
    <w:p>
      <w:pPr>
        <w:spacing w:after="0" w:line="240" w:lineRule="auto"/>
        <w:jc w:val="left"/>
        <w:sectPr>
          <w:type w:val="continuous"/>
          <w:pgSz w:w="11910" w:h="16840"/>
          <w:pgMar w:top="1060" w:bottom="1180" w:left="980" w:right="980"/>
        </w:sectPr>
      </w:pPr>
    </w:p>
    <w:p>
      <w:pPr>
        <w:spacing w:line="240" w:lineRule="auto" w:before="10"/>
        <w:rPr>
          <w:rFonts w:ascii="宋体" w:hAnsi="宋体" w:cs="宋体" w:eastAsia="宋体" w:hint="default"/>
          <w:sz w:val="24"/>
          <w:szCs w:val="24"/>
        </w:rPr>
      </w:pPr>
    </w:p>
    <w:p>
      <w:pPr>
        <w:spacing w:line="487" w:lineRule="auto" w:before="36"/>
        <w:ind w:left="152" w:right="7123" w:firstLine="0"/>
        <w:jc w:val="left"/>
        <w:rPr>
          <w:rFonts w:ascii="宋体" w:hAnsi="宋体" w:cs="宋体" w:eastAsia="宋体" w:hint="default"/>
          <w:sz w:val="21"/>
          <w:szCs w:val="21"/>
        </w:rPr>
      </w:pPr>
      <w:bookmarkStart w:name="4、其他 " w:id="338"/>
      <w:bookmarkEnd w:id="3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 w:id="339"/>
      <w:bookmarkEnd w:id="339"/>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 w:id="340"/>
      <w:bookmarkEnd w:id="34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bookmarkStart w:name="（1）企业集团的构成 " w:id="341"/>
      <w:bookmarkEnd w:id="34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烟台天际健康咨</w:t>
            </w:r>
            <w:r>
              <w:rPr>
                <w:rFonts w:ascii="宋体" w:hAnsi="宋体" w:cs="宋体" w:eastAsia="宋体" w:hint="default"/>
                <w:w w:val="100"/>
                <w:sz w:val="18"/>
                <w:szCs w:val="18"/>
              </w:rPr>
              <w:t> </w:t>
            </w:r>
            <w:r>
              <w:rPr>
                <w:rFonts w:ascii="宋体" w:hAnsi="宋体" w:cs="宋体" w:eastAsia="宋体" w:hint="default"/>
                <w:sz w:val="18"/>
                <w:szCs w:val="18"/>
              </w:rPr>
              <w:t>询服务有限公司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7"/>
              <w:jc w:val="left"/>
              <w:rPr>
                <w:rFonts w:ascii="宋体" w:hAnsi="宋体" w:cs="宋体" w:eastAsia="宋体" w:hint="default"/>
                <w:sz w:val="18"/>
                <w:szCs w:val="18"/>
              </w:rPr>
            </w:pPr>
            <w:r>
              <w:rPr>
                <w:rFonts w:ascii="宋体" w:hAnsi="宋体" w:cs="宋体" w:eastAsia="宋体" w:hint="default"/>
                <w:sz w:val="18"/>
                <w:szCs w:val="18"/>
              </w:rPr>
              <w:t>烟台市芝罘区机</w:t>
            </w:r>
            <w:r>
              <w:rPr>
                <w:rFonts w:ascii="宋体" w:hAnsi="宋体" w:cs="宋体" w:eastAsia="宋体" w:hint="default"/>
                <w:w w:val="100"/>
                <w:sz w:val="18"/>
                <w:szCs w:val="18"/>
              </w:rPr>
              <w:t> </w:t>
            </w:r>
            <w:r>
              <w:rPr>
                <w:rFonts w:ascii="宋体" w:hAnsi="宋体" w:cs="宋体" w:eastAsia="宋体" w:hint="default"/>
                <w:sz w:val="18"/>
                <w:szCs w:val="18"/>
              </w:rPr>
              <w:t>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健康咨询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山东瑞祥医疗器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67"/>
              <w:jc w:val="left"/>
              <w:rPr>
                <w:rFonts w:ascii="宋体" w:hAnsi="宋体" w:cs="宋体" w:eastAsia="宋体" w:hint="default"/>
                <w:sz w:val="18"/>
                <w:szCs w:val="18"/>
              </w:rPr>
            </w:pPr>
            <w:r>
              <w:rPr>
                <w:rFonts w:ascii="宋体" w:hAnsi="宋体" w:cs="宋体" w:eastAsia="宋体" w:hint="default"/>
                <w:sz w:val="18"/>
                <w:szCs w:val="18"/>
              </w:rPr>
              <w:t>烟台市芝罘区机</w:t>
            </w:r>
            <w:r>
              <w:rPr>
                <w:rFonts w:ascii="宋体" w:hAnsi="宋体" w:cs="宋体" w:eastAsia="宋体" w:hint="default"/>
                <w:w w:val="100"/>
                <w:sz w:val="18"/>
                <w:szCs w:val="18"/>
              </w:rPr>
              <w:t> </w:t>
            </w:r>
            <w:r>
              <w:rPr>
                <w:rFonts w:ascii="宋体" w:hAnsi="宋体" w:cs="宋体" w:eastAsia="宋体" w:hint="default"/>
                <w:sz w:val="18"/>
                <w:szCs w:val="18"/>
              </w:rPr>
              <w:t>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326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医疗器械研发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西藏金岳医疗器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7"/>
              <w:jc w:val="left"/>
              <w:rPr>
                <w:rFonts w:ascii="宋体" w:hAnsi="宋体" w:cs="宋体" w:eastAsia="宋体" w:hint="default"/>
                <w:sz w:val="18"/>
                <w:szCs w:val="18"/>
              </w:rPr>
            </w:pPr>
            <w:r>
              <w:rPr>
                <w:rFonts w:ascii="宋体" w:hAnsi="宋体" w:cs="宋体" w:eastAsia="宋体" w:hint="default"/>
                <w:sz w:val="18"/>
                <w:szCs w:val="18"/>
              </w:rPr>
              <w:t>拉萨经济开发区</w:t>
            </w:r>
            <w:r>
              <w:rPr>
                <w:rFonts w:ascii="宋体" w:hAnsi="宋体" w:cs="宋体" w:eastAsia="宋体" w:hint="default"/>
                <w:w w:val="100"/>
                <w:sz w:val="18"/>
                <w:szCs w:val="18"/>
              </w:rPr>
              <w:t> </w:t>
            </w:r>
            <w:r>
              <w:rPr>
                <w:rFonts w:ascii="宋体" w:hAnsi="宋体" w:cs="宋体" w:eastAsia="宋体" w:hint="default"/>
                <w:sz w:val="18"/>
                <w:szCs w:val="18"/>
              </w:rPr>
              <w:t>广东延伸路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青岛康医堂医疗</w:t>
            </w:r>
            <w:r>
              <w:rPr>
                <w:rFonts w:ascii="宋体" w:hAnsi="宋体" w:cs="宋体" w:eastAsia="宋体" w:hint="default"/>
                <w:w w:val="100"/>
                <w:sz w:val="18"/>
                <w:szCs w:val="18"/>
              </w:rPr>
              <w:t> </w:t>
            </w:r>
            <w:r>
              <w:rPr>
                <w:rFonts w:ascii="宋体" w:hAnsi="宋体" w:cs="宋体" w:eastAsia="宋体" w:hint="default"/>
                <w:sz w:val="18"/>
                <w:szCs w:val="18"/>
              </w:rPr>
              <w:t>管理有限公司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67"/>
              <w:jc w:val="left"/>
              <w:rPr>
                <w:rFonts w:ascii="宋体" w:hAnsi="宋体" w:cs="宋体" w:eastAsia="宋体" w:hint="default"/>
                <w:sz w:val="18"/>
                <w:szCs w:val="18"/>
              </w:rPr>
            </w:pPr>
            <w:r>
              <w:rPr>
                <w:rFonts w:ascii="宋体" w:hAnsi="宋体" w:cs="宋体" w:eastAsia="宋体" w:hint="default"/>
                <w:sz w:val="18"/>
                <w:szCs w:val="18"/>
              </w:rPr>
              <w:t>青岛市市北区上</w:t>
            </w:r>
            <w:r>
              <w:rPr>
                <w:rFonts w:ascii="宋体" w:hAnsi="宋体" w:cs="宋体" w:eastAsia="宋体" w:hint="default"/>
                <w:w w:val="100"/>
                <w:sz w:val="18"/>
                <w:szCs w:val="18"/>
              </w:rPr>
              <w:t> </w:t>
            </w:r>
            <w:r>
              <w:rPr>
                <w:rFonts w:ascii="宋体" w:hAnsi="宋体" w:cs="宋体" w:eastAsia="宋体" w:hint="default"/>
                <w:sz w:val="18"/>
                <w:szCs w:val="18"/>
              </w:rPr>
              <w:t>清路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济南德一医疗器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p>
            <w:pPr>
              <w:pStyle w:val="TableParagraph"/>
              <w:spacing w:line="312" w:lineRule="auto" w:before="17"/>
              <w:ind w:left="23" w:right="2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月更</w:t>
            </w:r>
            <w:r>
              <w:rPr>
                <w:rFonts w:ascii="宋体" w:hAnsi="宋体" w:cs="宋体" w:eastAsia="宋体" w:hint="default"/>
                <w:w w:val="100"/>
                <w:sz w:val="18"/>
                <w:szCs w:val="18"/>
              </w:rPr>
              <w:t> </w:t>
            </w:r>
            <w:r>
              <w:rPr>
                <w:rFonts w:ascii="宋体" w:hAnsi="宋体" w:cs="宋体" w:eastAsia="宋体" w:hint="default"/>
                <w:sz w:val="18"/>
                <w:szCs w:val="18"/>
              </w:rPr>
              <w:t>名为山东瑞康德</w:t>
            </w:r>
            <w:r>
              <w:rPr>
                <w:rFonts w:ascii="宋体" w:hAnsi="宋体" w:cs="宋体" w:eastAsia="宋体" w:hint="default"/>
                <w:w w:val="100"/>
                <w:sz w:val="18"/>
                <w:szCs w:val="18"/>
              </w:rPr>
              <w:t> </w:t>
            </w:r>
            <w:r>
              <w:rPr>
                <w:rFonts w:ascii="宋体" w:hAnsi="宋体" w:cs="宋体" w:eastAsia="宋体" w:hint="default"/>
                <w:sz w:val="18"/>
                <w:szCs w:val="18"/>
              </w:rPr>
              <w:t>一医疗器械有限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6" w:right="67"/>
              <w:jc w:val="left"/>
              <w:rPr>
                <w:rFonts w:ascii="宋体" w:hAnsi="宋体" w:cs="宋体" w:eastAsia="宋体" w:hint="default"/>
                <w:sz w:val="18"/>
                <w:szCs w:val="18"/>
              </w:rPr>
            </w:pPr>
            <w:r>
              <w:rPr>
                <w:rFonts w:ascii="宋体" w:hAnsi="宋体" w:cs="宋体" w:eastAsia="宋体" w:hint="default"/>
                <w:sz w:val="18"/>
                <w:szCs w:val="18"/>
              </w:rPr>
              <w:t>济南市市中区小</w:t>
            </w:r>
            <w:r>
              <w:rPr>
                <w:rFonts w:ascii="宋体" w:hAnsi="宋体" w:cs="宋体" w:eastAsia="宋体" w:hint="default"/>
                <w:w w:val="100"/>
                <w:sz w:val="18"/>
                <w:szCs w:val="18"/>
              </w:rPr>
              <w:t> </w:t>
            </w:r>
            <w:r>
              <w:rPr>
                <w:rFonts w:ascii="宋体" w:hAnsi="宋体" w:cs="宋体" w:eastAsia="宋体" w:hint="default"/>
                <w:sz w:val="18"/>
                <w:szCs w:val="18"/>
              </w:rPr>
              <w:t>纬四路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济南瑞康医药有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7"/>
              <w:jc w:val="both"/>
              <w:rPr>
                <w:rFonts w:ascii="宋体" w:hAnsi="宋体" w:cs="宋体" w:eastAsia="宋体" w:hint="default"/>
                <w:sz w:val="18"/>
                <w:szCs w:val="18"/>
              </w:rPr>
            </w:pPr>
            <w:r>
              <w:rPr>
                <w:rFonts w:ascii="宋体" w:hAnsi="宋体" w:cs="宋体" w:eastAsia="宋体" w:hint="default"/>
                <w:sz w:val="18"/>
                <w:szCs w:val="18"/>
              </w:rPr>
              <w:t>济南历城区临港</w:t>
            </w:r>
            <w:r>
              <w:rPr>
                <w:rFonts w:ascii="宋体" w:hAnsi="宋体" w:cs="宋体" w:eastAsia="宋体" w:hint="default"/>
                <w:w w:val="100"/>
                <w:sz w:val="18"/>
                <w:szCs w:val="18"/>
              </w:rPr>
              <w:t> </w:t>
            </w:r>
            <w:r>
              <w:rPr>
                <w:rFonts w:ascii="宋体" w:hAnsi="宋体" w:cs="宋体" w:eastAsia="宋体" w:hint="default"/>
                <w:sz w:val="18"/>
                <w:szCs w:val="18"/>
              </w:rPr>
              <w:t>经济开发区机场</w:t>
            </w:r>
            <w:r>
              <w:rPr>
                <w:rFonts w:ascii="宋体" w:hAnsi="宋体" w:cs="宋体" w:eastAsia="宋体" w:hint="default"/>
                <w:w w:val="100"/>
                <w:sz w:val="18"/>
                <w:szCs w:val="18"/>
              </w:rPr>
              <w:t> </w:t>
            </w: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荣成市业安医疗</w:t>
            </w:r>
            <w:r>
              <w:rPr>
                <w:rFonts w:ascii="宋体" w:hAnsi="宋体" w:cs="宋体" w:eastAsia="宋体" w:hint="default"/>
                <w:w w:val="100"/>
                <w:sz w:val="18"/>
                <w:szCs w:val="18"/>
              </w:rPr>
              <w:t> </w:t>
            </w:r>
            <w:r>
              <w:rPr>
                <w:rFonts w:ascii="宋体" w:hAnsi="宋体" w:cs="宋体" w:eastAsia="宋体" w:hint="default"/>
                <w:sz w:val="18"/>
                <w:szCs w:val="18"/>
              </w:rPr>
              <w:t>器械有限公司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荣成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荣成市盐湖街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w w:val="100"/>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批发零售医疗器</w:t>
            </w:r>
            <w:r>
              <w:rPr>
                <w:rFonts w:ascii="宋体" w:hAnsi="宋体" w:cs="宋体" w:eastAsia="宋体" w:hint="default"/>
                <w:w w:val="100"/>
                <w:sz w:val="18"/>
                <w:szCs w:val="18"/>
              </w:rPr>
              <w:t> </w:t>
            </w:r>
            <w:r>
              <w:rPr>
                <w:rFonts w:ascii="宋体" w:hAnsi="宋体" w:cs="宋体" w:eastAsia="宋体" w:hint="default"/>
                <w:sz w:val="18"/>
                <w:szCs w:val="18"/>
              </w:rPr>
              <w:t>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淄博瑞康药品配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淄博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4"/>
              <w:jc w:val="left"/>
              <w:rPr>
                <w:rFonts w:ascii="宋体" w:hAnsi="宋体" w:cs="宋体" w:eastAsia="宋体" w:hint="default"/>
                <w:sz w:val="18"/>
                <w:szCs w:val="18"/>
              </w:rPr>
            </w:pPr>
            <w:r>
              <w:rPr>
                <w:rFonts w:ascii="宋体" w:hAnsi="宋体" w:cs="宋体" w:eastAsia="宋体" w:hint="default"/>
                <w:sz w:val="18"/>
                <w:szCs w:val="18"/>
              </w:rPr>
              <w:t>山东省淄博市张</w:t>
            </w:r>
            <w:r>
              <w:rPr>
                <w:rFonts w:ascii="宋体" w:hAnsi="宋体" w:cs="宋体" w:eastAsia="宋体" w:hint="default"/>
                <w:w w:val="100"/>
                <w:sz w:val="18"/>
                <w:szCs w:val="18"/>
              </w:rPr>
              <w:t> </w:t>
            </w:r>
            <w:r>
              <w:rPr>
                <w:rFonts w:ascii="宋体" w:hAnsi="宋体" w:cs="宋体" w:eastAsia="宋体" w:hint="default"/>
                <w:sz w:val="18"/>
                <w:szCs w:val="18"/>
              </w:rPr>
              <w:t>店区华光路</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泰安瑞康药品配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7"/>
              <w:jc w:val="both"/>
              <w:rPr>
                <w:rFonts w:ascii="宋体" w:hAnsi="宋体" w:cs="宋体" w:eastAsia="宋体" w:hint="default"/>
                <w:sz w:val="18"/>
                <w:szCs w:val="18"/>
              </w:rPr>
            </w:pPr>
            <w:r>
              <w:rPr>
                <w:rFonts w:ascii="宋体" w:hAnsi="宋体" w:cs="宋体" w:eastAsia="宋体" w:hint="default"/>
                <w:sz w:val="18"/>
                <w:szCs w:val="18"/>
              </w:rPr>
              <w:t>泰安市青春创业</w:t>
            </w:r>
            <w:r>
              <w:rPr>
                <w:rFonts w:ascii="宋体" w:hAnsi="宋体" w:cs="宋体" w:eastAsia="宋体" w:hint="default"/>
                <w:w w:val="100"/>
                <w:sz w:val="18"/>
                <w:szCs w:val="18"/>
              </w:rPr>
              <w:t> </w:t>
            </w:r>
            <w:r>
              <w:rPr>
                <w:rFonts w:ascii="宋体" w:hAnsi="宋体" w:cs="宋体" w:eastAsia="宋体" w:hint="default"/>
                <w:sz w:val="18"/>
                <w:szCs w:val="18"/>
              </w:rPr>
              <w:t>开发区振华路与</w:t>
            </w:r>
            <w:r>
              <w:rPr>
                <w:rFonts w:ascii="宋体" w:hAnsi="宋体" w:cs="宋体" w:eastAsia="宋体" w:hint="default"/>
                <w:w w:val="100"/>
                <w:sz w:val="18"/>
                <w:szCs w:val="18"/>
              </w:rPr>
              <w:t> </w:t>
            </w:r>
            <w:r>
              <w:rPr>
                <w:rFonts w:ascii="宋体" w:hAnsi="宋体" w:cs="宋体" w:eastAsia="宋体" w:hint="default"/>
                <w:sz w:val="18"/>
                <w:szCs w:val="18"/>
              </w:rPr>
              <w:t>振兴街交汇处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青岛瑞康药品配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4"/>
              <w:jc w:val="both"/>
              <w:rPr>
                <w:rFonts w:ascii="宋体" w:hAnsi="宋体" w:cs="宋体" w:eastAsia="宋体" w:hint="default"/>
                <w:sz w:val="18"/>
                <w:szCs w:val="18"/>
              </w:rPr>
            </w:pPr>
            <w:r>
              <w:rPr>
                <w:rFonts w:ascii="宋体" w:hAnsi="宋体" w:cs="宋体" w:eastAsia="宋体" w:hint="default"/>
                <w:sz w:val="18"/>
                <w:szCs w:val="18"/>
              </w:rPr>
              <w:t>青岛市市北区上</w:t>
            </w:r>
            <w:r>
              <w:rPr>
                <w:rFonts w:ascii="宋体" w:hAnsi="宋体" w:cs="宋体" w:eastAsia="宋体" w:hint="default"/>
                <w:w w:val="100"/>
                <w:sz w:val="18"/>
                <w:szCs w:val="18"/>
              </w:rPr>
              <w:t> </w:t>
            </w:r>
            <w:r>
              <w:rPr>
                <w:rFonts w:ascii="宋体" w:hAnsi="宋体" w:cs="宋体" w:eastAsia="宋体" w:hint="default"/>
                <w:sz w:val="18"/>
                <w:szCs w:val="18"/>
              </w:rPr>
              <w:t>清路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号榉林园</w:t>
            </w:r>
            <w:r>
              <w:rPr>
                <w:rFonts w:ascii="宋体" w:hAnsi="宋体" w:cs="宋体" w:eastAsia="宋体" w:hint="default"/>
                <w:w w:val="100"/>
                <w:sz w:val="18"/>
                <w:szCs w:val="18"/>
              </w:rPr>
              <w:t> </w:t>
            </w:r>
            <w:r>
              <w:rPr>
                <w:rFonts w:ascii="宋体" w:hAnsi="宋体" w:cs="宋体" w:eastAsia="宋体" w:hint="default"/>
                <w:sz w:val="18"/>
                <w:szCs w:val="18"/>
              </w:rPr>
              <w:t>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药品器械等批发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济南明康大药房</w:t>
            </w:r>
            <w:r>
              <w:rPr>
                <w:rFonts w:ascii="宋体" w:hAnsi="宋体" w:cs="宋体" w:eastAsia="宋体" w:hint="default"/>
                <w:w w:val="100"/>
                <w:sz w:val="18"/>
                <w:szCs w:val="18"/>
              </w:rPr>
              <w:t> </w:t>
            </w:r>
            <w:r>
              <w:rPr>
                <w:rFonts w:ascii="宋体" w:hAnsi="宋体" w:cs="宋体" w:eastAsia="宋体" w:hint="default"/>
                <w:sz w:val="18"/>
                <w:szCs w:val="18"/>
              </w:rPr>
              <w:t>有限责任公司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7"/>
              <w:jc w:val="left"/>
              <w:rPr>
                <w:rFonts w:ascii="宋体" w:hAnsi="宋体" w:cs="宋体" w:eastAsia="宋体" w:hint="default"/>
                <w:sz w:val="18"/>
                <w:szCs w:val="18"/>
              </w:rPr>
            </w:pPr>
            <w:r>
              <w:rPr>
                <w:rFonts w:ascii="宋体" w:hAnsi="宋体" w:cs="宋体" w:eastAsia="宋体" w:hint="default"/>
                <w:sz w:val="18"/>
                <w:szCs w:val="18"/>
              </w:rPr>
              <w:t>济南市市中区小</w:t>
            </w:r>
            <w:r>
              <w:rPr>
                <w:rFonts w:ascii="宋体" w:hAnsi="宋体" w:cs="宋体" w:eastAsia="宋体" w:hint="default"/>
                <w:w w:val="100"/>
                <w:sz w:val="18"/>
                <w:szCs w:val="18"/>
              </w:rPr>
              <w:t> </w:t>
            </w:r>
            <w:r>
              <w:rPr>
                <w:rFonts w:ascii="宋体" w:hAnsi="宋体" w:cs="宋体" w:eastAsia="宋体" w:hint="default"/>
                <w:sz w:val="18"/>
                <w:szCs w:val="18"/>
              </w:rPr>
              <w:t>纬四路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医药零售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bl>
    <w:p>
      <w:pPr>
        <w:spacing w:after="0" w:line="316" w:lineRule="auto"/>
        <w:jc w:val="left"/>
        <w:rPr>
          <w:rFonts w:ascii="宋体" w:hAnsi="宋体" w:cs="宋体" w:eastAsia="宋体" w:hint="default"/>
          <w:sz w:val="18"/>
          <w:szCs w:val="18"/>
        </w:rPr>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62.079987pt;margin-top:218.090012pt;width:67.95pt;height:23.4pt;mso-position-horizontal-relative:page;mso-position-vertical-relative:page;z-index:-897592" coordorigin="5242,4362" coordsize="1359,468">
            <v:shape style="position:absolute;left:5242;top:4362;width:1359;height:468" coordorigin="5242,4362" coordsize="1359,468" path="m5242,4830l6600,4830,6600,4362,5242,4362,5242,4830xe" filled="true" fillcolor="#ffffff" stroked="false">
              <v:path arrowok="t"/>
              <v:fill type="solid"/>
            </v:shape>
            <w10:wrap type="none"/>
          </v:group>
        </w:pict>
      </w:r>
      <w:r>
        <w:rPr/>
        <w:pict>
          <v:group style="position:absolute;margin-left:262.079987pt;margin-top:623.98999pt;width:67.95pt;height:23.4pt;mso-position-horizontal-relative:page;mso-position-vertical-relative:page;z-index:-897568" coordorigin="5242,12480" coordsize="1359,468">
            <v:shape style="position:absolute;left:5242;top:12480;width:1359;height:468" coordorigin="5242,12480" coordsize="1359,468" path="m5242,12948l6600,12948,6600,12480,5242,12480,5242,12948xe" filled="true" fillcolor="#ffffff" stroked="false">
              <v:path arrowok="t"/>
              <v:fill type="solid"/>
            </v:shape>
            <w10:wrap type="none"/>
          </v:group>
        </w:pict>
      </w:r>
      <w:r>
        <w:rPr/>
        <w:pict>
          <v:group style="position:absolute;margin-left:262.079987pt;margin-top:706.290039pt;width:67.95pt;height:43.7pt;mso-position-horizontal-relative:page;mso-position-vertical-relative:page;z-index:-897544" coordorigin="5242,14126" coordsize="1359,874">
            <v:group style="position:absolute;left:5242;top:14532;width:1359;height:468" coordorigin="5242,14532" coordsize="1359,468">
              <v:shape style="position:absolute;left:5242;top:14532;width:1359;height:468" coordorigin="5242,14532" coordsize="1359,468" path="m5242,15000l6600,15000,6600,14532,5242,14532,5242,15000xe" filled="true" fillcolor="#ffffff" stroked="false">
                <v:path arrowok="t"/>
                <v:fill type="solid"/>
              </v:shape>
            </v:group>
            <v:group style="position:absolute;left:5254;top:14138;width:2;height:394" coordorigin="5254,14138" coordsize="2,394">
              <v:shape style="position:absolute;left:5254;top:14138;width:2;height:394" coordorigin="5254,14138" coordsize="0,394" path="m5254,14138l5254,14532e" filled="false" stroked="true" strokeweight="1.2pt" strokecolor="#ffffff">
                <v:path arrowok="t"/>
              </v:shape>
            </v:group>
            <v:group style="position:absolute;left:5266;top:14138;width:1313;height:394" coordorigin="5266,14138" coordsize="1313,394">
              <v:shape style="position:absolute;left:5266;top:14138;width:1313;height:394" coordorigin="5266,14138" coordsize="1313,394" path="m5266,14138l6578,14138,6578,14532,5266,14532,5266,1413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东营瑞康药品配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东营市南一路</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227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药品器械等批发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潍坊寿光市圣城</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潍坊瑞康药品配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街怡苑居小区第</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号</w:t>
            </w:r>
            <w:r>
              <w:rPr>
                <w:rFonts w:ascii="宋体" w:hAnsi="宋体" w:cs="宋体" w:eastAsia="宋体" w:hint="default"/>
                <w:w w:val="100"/>
                <w:sz w:val="18"/>
                <w:szCs w:val="18"/>
              </w:rPr>
              <w:t>楼</w:t>
            </w:r>
            <w:r>
              <w:rPr>
                <w:rFonts w:ascii="宋体" w:hAnsi="宋体" w:cs="宋体" w:eastAsia="宋体" w:hint="default"/>
                <w:spacing w:val="-48"/>
                <w:sz w:val="18"/>
                <w:szCs w:val="18"/>
              </w:rPr>
              <w:t> </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85"/>
                <w:w w:val="100"/>
                <w:sz w:val="18"/>
                <w:szCs w:val="18"/>
              </w:rPr>
              <w:t>号</w:t>
            </w:r>
            <w:r>
              <w:rPr>
                <w:rFonts w:ascii="宋体" w:hAnsi="宋体" w:cs="宋体" w:eastAsia="宋体" w:hint="default"/>
                <w:spacing w:val="-1"/>
                <w:w w:val="100"/>
                <w:sz w:val="18"/>
                <w:szCs w:val="18"/>
              </w:rPr>
              <w:t>（沿</w:t>
            </w:r>
            <w:r>
              <w:rPr>
                <w:rFonts w:ascii="宋体" w:hAnsi="宋体" w:cs="宋体" w:eastAsia="宋体" w:hint="default"/>
                <w:w w:val="100"/>
                <w:sz w:val="18"/>
                <w:szCs w:val="18"/>
              </w:rPr>
              <w:t>街</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药品器械等批发</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房）</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济宁市高新区鲁</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济宁瑞康医药有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抗国际工业园内</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（鲁抗中和环保</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药品器械等批发</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7"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7"/>
                <w:sz w:val="18"/>
                <w:szCs w:val="18"/>
              </w:rPr>
              <w:t>南、正大医药北</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8"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青岛市市北区上</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青岛海誉泰德商</w:t>
            </w:r>
            <w:r>
              <w:rPr>
                <w:rFonts w:ascii="宋体" w:hAnsi="宋体" w:cs="宋体" w:eastAsia="宋体" w:hint="default"/>
                <w:w w:val="100"/>
                <w:sz w:val="18"/>
                <w:szCs w:val="18"/>
              </w:rPr>
              <w:t> </w:t>
            </w:r>
            <w:r>
              <w:rPr>
                <w:rFonts w:ascii="宋体" w:hAnsi="宋体" w:cs="宋体" w:eastAsia="宋体" w:hint="default"/>
                <w:sz w:val="18"/>
                <w:szCs w:val="18"/>
              </w:rPr>
              <w:t>贸有限公司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6"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清路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号榉林园</w:t>
            </w:r>
            <w:r>
              <w:rPr>
                <w:rFonts w:ascii="宋体" w:hAnsi="宋体" w:cs="宋体" w:eastAsia="宋体" w:hint="default"/>
                <w:w w:val="100"/>
                <w:sz w:val="18"/>
                <w:szCs w:val="18"/>
              </w:rPr>
              <w:t> </w:t>
            </w:r>
            <w:r>
              <w:rPr>
                <w:rFonts w:ascii="宋体" w:hAnsi="宋体" w:cs="宋体" w:eastAsia="宋体" w:hint="default"/>
                <w:sz w:val="18"/>
                <w:szCs w:val="18"/>
              </w:rPr>
              <w:t>商务中心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批发零售材料等</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w w:val="100"/>
                <w:sz w:val="18"/>
                <w:szCs w:val="18"/>
              </w:rPr>
              <w:t>楼</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菏泽金岳瑞康医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菏泽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菏泽市北环路</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药品销售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聊城经济开发区</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聊城瑞康宏源医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聊城</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67"/>
              <w:jc w:val="left"/>
              <w:rPr>
                <w:rFonts w:ascii="宋体" w:hAnsi="宋体" w:cs="宋体" w:eastAsia="宋体" w:hint="default"/>
                <w:sz w:val="18"/>
                <w:szCs w:val="18"/>
              </w:rPr>
            </w:pPr>
            <w:r>
              <w:rPr>
                <w:rFonts w:ascii="宋体" w:hAnsi="宋体" w:cs="宋体" w:eastAsia="宋体" w:hint="default"/>
                <w:sz w:val="18"/>
                <w:szCs w:val="18"/>
              </w:rPr>
              <w:t>物流园区京通路</w:t>
            </w:r>
            <w:r>
              <w:rPr>
                <w:rFonts w:ascii="宋体" w:hAnsi="宋体" w:cs="宋体" w:eastAsia="宋体" w:hint="default"/>
                <w:w w:val="100"/>
                <w:sz w:val="18"/>
                <w:szCs w:val="18"/>
              </w:rPr>
              <w:t> </w:t>
            </w:r>
            <w:r>
              <w:rPr>
                <w:rFonts w:ascii="宋体" w:hAnsi="宋体" w:cs="宋体" w:eastAsia="宋体" w:hint="default"/>
                <w:sz w:val="18"/>
                <w:szCs w:val="18"/>
              </w:rPr>
              <w:t>与锦园路交叉</w:t>
            </w:r>
            <w:r>
              <w:rPr>
                <w:rFonts w:ascii="宋体" w:hAnsi="宋体" w:cs="宋体" w:eastAsia="宋体" w:hint="default"/>
                <w:w w:val="100"/>
                <w:sz w:val="18"/>
                <w:szCs w:val="18"/>
              </w:rPr>
              <w:t> </w:t>
            </w:r>
            <w:r>
              <w:rPr>
                <w:rFonts w:ascii="宋体" w:hAnsi="宋体" w:cs="宋体" w:eastAsia="宋体" w:hint="default"/>
                <w:sz w:val="18"/>
                <w:szCs w:val="18"/>
              </w:rPr>
              <w:t>口，正宏药业院</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2"/>
              <w:jc w:val="right"/>
              <w:rPr>
                <w:rFonts w:ascii="宋体" w:hAnsi="宋体" w:cs="宋体" w:eastAsia="宋体" w:hint="default"/>
                <w:sz w:val="18"/>
                <w:szCs w:val="18"/>
              </w:rPr>
            </w:pPr>
            <w:r>
              <w:rPr>
                <w:rFonts w:ascii="宋体" w:hAnsi="宋体" w:cs="宋体" w:eastAsia="宋体" w:hint="default"/>
                <w:spacing w:val="-1"/>
                <w:sz w:val="18"/>
                <w:szCs w:val="18"/>
              </w:rPr>
              <w:t>药品器械等批发</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60"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w w:val="100"/>
                <w:sz w:val="18"/>
                <w:szCs w:val="18"/>
              </w:rPr>
              <w:t>内</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山东滨州瑞康医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滨州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滨州市渤海八路</w:t>
            </w:r>
          </w:p>
          <w:p>
            <w:pPr>
              <w:pStyle w:val="TableParagraph"/>
              <w:spacing w:line="240" w:lineRule="auto" w:before="7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539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药品器械等批发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青岛德新康医药</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7"/>
              <w:jc w:val="both"/>
              <w:rPr>
                <w:rFonts w:ascii="宋体" w:hAnsi="宋体" w:cs="宋体" w:eastAsia="宋体" w:hint="default"/>
                <w:sz w:val="18"/>
                <w:szCs w:val="18"/>
              </w:rPr>
            </w:pPr>
            <w:r>
              <w:rPr>
                <w:rFonts w:ascii="宋体" w:hAnsi="宋体" w:cs="宋体" w:eastAsia="宋体" w:hint="default"/>
                <w:sz w:val="18"/>
                <w:szCs w:val="18"/>
              </w:rPr>
              <w:t>青岛高新技术产</w:t>
            </w:r>
            <w:r>
              <w:rPr>
                <w:rFonts w:ascii="宋体" w:hAnsi="宋体" w:cs="宋体" w:eastAsia="宋体" w:hint="default"/>
                <w:w w:val="100"/>
                <w:sz w:val="18"/>
                <w:szCs w:val="18"/>
              </w:rPr>
              <w:t> </w:t>
            </w:r>
            <w:r>
              <w:rPr>
                <w:rFonts w:ascii="宋体" w:hAnsi="宋体" w:cs="宋体" w:eastAsia="宋体" w:hint="default"/>
                <w:sz w:val="18"/>
                <w:szCs w:val="18"/>
              </w:rPr>
              <w:t>业开发区创业中</w:t>
            </w:r>
            <w:r>
              <w:rPr>
                <w:rFonts w:ascii="宋体" w:hAnsi="宋体" w:cs="宋体" w:eastAsia="宋体" w:hint="default"/>
                <w:w w:val="100"/>
                <w:sz w:val="18"/>
                <w:szCs w:val="18"/>
              </w:rPr>
              <w:t> </w:t>
            </w:r>
            <w:r>
              <w:rPr>
                <w:rFonts w:ascii="宋体" w:hAnsi="宋体" w:cs="宋体" w:eastAsia="宋体" w:hint="default"/>
                <w:sz w:val="18"/>
                <w:szCs w:val="18"/>
              </w:rPr>
              <w:t>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232-C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北京市海淀区曙</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北京天业爱博科</w:t>
            </w:r>
            <w:r>
              <w:rPr>
                <w:rFonts w:ascii="宋体" w:hAnsi="宋体" w:cs="宋体" w:eastAsia="宋体" w:hint="default"/>
                <w:w w:val="100"/>
                <w:sz w:val="18"/>
                <w:szCs w:val="18"/>
              </w:rPr>
              <w:t> </w:t>
            </w:r>
            <w:r>
              <w:rPr>
                <w:rFonts w:ascii="宋体" w:hAnsi="宋体" w:cs="宋体" w:eastAsia="宋体" w:hint="default"/>
                <w:sz w:val="18"/>
                <w:szCs w:val="18"/>
              </w:rPr>
              <w:t>贸有限公司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4"/>
              <w:jc w:val="left"/>
              <w:rPr>
                <w:rFonts w:ascii="宋体" w:hAnsi="宋体" w:cs="宋体" w:eastAsia="宋体" w:hint="default"/>
                <w:sz w:val="18"/>
                <w:szCs w:val="18"/>
              </w:rPr>
            </w:pPr>
            <w:r>
              <w:rPr>
                <w:rFonts w:ascii="宋体" w:hAnsi="宋体" w:cs="宋体" w:eastAsia="宋体" w:hint="default"/>
                <w:sz w:val="18"/>
                <w:szCs w:val="18"/>
              </w:rPr>
              <w:t>光花园小区望山</w:t>
            </w:r>
            <w:r>
              <w:rPr>
                <w:rFonts w:ascii="宋体" w:hAnsi="宋体" w:cs="宋体" w:eastAsia="宋体" w:hint="default"/>
                <w:w w:val="100"/>
                <w:sz w:val="18"/>
                <w:szCs w:val="18"/>
              </w:rPr>
              <w:t> </w:t>
            </w:r>
            <w:r>
              <w:rPr>
                <w:rFonts w:ascii="宋体" w:hAnsi="宋体" w:cs="宋体" w:eastAsia="宋体" w:hint="default"/>
                <w:sz w:val="18"/>
                <w:szCs w:val="18"/>
              </w:rPr>
              <w:t>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1C</w:t>
            </w:r>
            <w:r>
              <w:rPr>
                <w:rFonts w:ascii="宋体" w:hAnsi="宋体" w:cs="宋体" w:eastAsia="宋体" w:hint="default"/>
                <w:spacing w:val="-7"/>
                <w:sz w:val="18"/>
                <w:szCs w:val="18"/>
              </w:rPr>
              <w:t>（住</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医疗器械等销售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3"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宅）</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滕州市大坞镇雷</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枣庄际安医疗器</w:t>
            </w:r>
            <w:r>
              <w:rPr>
                <w:rFonts w:ascii="宋体" w:hAnsi="宋体" w:cs="宋体" w:eastAsia="宋体" w:hint="default"/>
                <w:w w:val="100"/>
                <w:sz w:val="18"/>
                <w:szCs w:val="18"/>
              </w:rPr>
              <w:t> </w:t>
            </w:r>
            <w:r>
              <w:rPr>
                <w:rFonts w:ascii="宋体" w:hAnsi="宋体" w:cs="宋体" w:eastAsia="宋体" w:hint="default"/>
                <w:sz w:val="18"/>
                <w:szCs w:val="18"/>
              </w:rPr>
              <w:t>械有限责任公司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枣庄</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67"/>
              <w:jc w:val="left"/>
              <w:rPr>
                <w:rFonts w:ascii="宋体" w:hAnsi="宋体" w:cs="宋体" w:eastAsia="宋体" w:hint="default"/>
                <w:sz w:val="18"/>
                <w:szCs w:val="18"/>
              </w:rPr>
            </w:pPr>
            <w:r>
              <w:rPr>
                <w:rFonts w:ascii="宋体" w:hAnsi="宋体" w:cs="宋体" w:eastAsia="宋体" w:hint="default"/>
                <w:sz w:val="18"/>
                <w:szCs w:val="18"/>
              </w:rPr>
              <w:t>山村生物医药产</w:t>
            </w:r>
            <w:r>
              <w:rPr>
                <w:rFonts w:ascii="宋体" w:hAnsi="宋体" w:cs="宋体" w:eastAsia="宋体" w:hint="default"/>
                <w:w w:val="100"/>
                <w:sz w:val="18"/>
                <w:szCs w:val="18"/>
              </w:rPr>
              <w:t> </w:t>
            </w:r>
            <w:r>
              <w:rPr>
                <w:rFonts w:ascii="宋体" w:hAnsi="宋体" w:cs="宋体" w:eastAsia="宋体" w:hint="default"/>
                <w:sz w:val="18"/>
                <w:szCs w:val="18"/>
              </w:rPr>
              <w:t>业基地威智大道</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医疗器械等销售</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60"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88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号仓库</w:t>
            </w: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尼木祥云医疗器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尼木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尼木县人民路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pacing w:val="-1"/>
                <w:sz w:val="18"/>
                <w:szCs w:val="18"/>
              </w:rPr>
              <w:t>医疗器械等销售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青岛市崂山区海</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青岛宝康生物科</w:t>
            </w:r>
            <w:r>
              <w:rPr>
                <w:rFonts w:ascii="宋体" w:hAnsi="宋体" w:cs="宋体" w:eastAsia="宋体" w:hint="default"/>
                <w:w w:val="100"/>
                <w:sz w:val="18"/>
                <w:szCs w:val="18"/>
              </w:rPr>
              <w:t> </w:t>
            </w:r>
            <w:r>
              <w:rPr>
                <w:rFonts w:ascii="宋体" w:hAnsi="宋体" w:cs="宋体" w:eastAsia="宋体" w:hint="default"/>
                <w:sz w:val="18"/>
                <w:szCs w:val="18"/>
              </w:rPr>
              <w:t>技有限公司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6"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号（天宝</w:t>
            </w:r>
            <w:r>
              <w:rPr>
                <w:rFonts w:ascii="宋体" w:hAnsi="宋体" w:cs="宋体" w:eastAsia="宋体" w:hint="default"/>
                <w:w w:val="100"/>
                <w:sz w:val="18"/>
                <w:szCs w:val="18"/>
              </w:rPr>
              <w:t> </w:t>
            </w:r>
            <w:r>
              <w:rPr>
                <w:rFonts w:ascii="宋体" w:hAnsi="宋体" w:cs="宋体" w:eastAsia="宋体" w:hint="default"/>
                <w:spacing w:val="-18"/>
                <w:w w:val="100"/>
                <w:sz w:val="18"/>
                <w:szCs w:val="18"/>
              </w:rPr>
              <w:t>国际）银座</w:t>
            </w:r>
            <w:r>
              <w:rPr>
                <w:rFonts w:ascii="宋体" w:hAnsi="宋体" w:cs="宋体" w:eastAsia="宋体" w:hint="default"/>
                <w:spacing w:val="-44"/>
                <w:w w:val="100"/>
                <w:sz w:val="18"/>
                <w:szCs w:val="18"/>
              </w:rPr>
              <w:t> </w:t>
            </w:r>
            <w:r>
              <w:rPr>
                <w:rFonts w:ascii="Times New Roman" w:hAnsi="Times New Roman" w:cs="Times New Roman" w:eastAsia="Times New Roman" w:hint="default"/>
                <w:w w:val="100"/>
                <w:sz w:val="18"/>
                <w:szCs w:val="18"/>
              </w:rPr>
              <w:t>2504</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医疗器械等销售</w:t>
            </w:r>
          </w:p>
          <w:p>
            <w:pPr>
              <w:pStyle w:val="TableParagraph"/>
              <w:spacing w:line="196" w:lineRule="exact"/>
              <w:ind w:left="-116" w:right="0"/>
              <w:jc w:val="left"/>
              <w:rPr>
                <w:rFonts w:ascii="宋体" w:hAnsi="宋体" w:cs="宋体" w:eastAsia="宋体" w:hint="default"/>
                <w:sz w:val="18"/>
                <w:szCs w:val="18"/>
              </w:rPr>
            </w:pPr>
            <w:r>
              <w:rPr>
                <w:rFonts w:ascii="宋体" w:hAnsi="宋体" w:cs="宋体" w:eastAsia="宋体" w:hint="default"/>
                <w:w w:val="100"/>
                <w:sz w:val="18"/>
                <w:szCs w:val="18"/>
              </w:rPr>
              <w:t>、</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5"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2506</w:t>
            </w:r>
            <w:r>
              <w:rPr>
                <w:rFonts w:ascii="宋体" w:hAnsi="宋体" w:cs="宋体" w:eastAsia="宋体" w:hint="default"/>
                <w:sz w:val="18"/>
                <w:szCs w:val="18"/>
              </w:rPr>
              <w:t>、</w:t>
            </w:r>
            <w:r>
              <w:rPr>
                <w:rFonts w:ascii="Times New Roman" w:hAnsi="Times New Roman" w:cs="Times New Roman" w:eastAsia="Times New Roman" w:hint="default"/>
                <w:sz w:val="18"/>
                <w:szCs w:val="18"/>
              </w:rPr>
              <w:t>2507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55" w:hRule="exact"/>
        </w:trPr>
        <w:tc>
          <w:tcPr>
            <w:tcW w:w="1370"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山东省威海市火</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74"/>
              <w:jc w:val="left"/>
              <w:rPr>
                <w:rFonts w:ascii="宋体" w:hAnsi="宋体" w:cs="宋体" w:eastAsia="宋体" w:hint="default"/>
                <w:sz w:val="18"/>
                <w:szCs w:val="18"/>
              </w:rPr>
            </w:pPr>
            <w:r>
              <w:rPr>
                <w:rFonts w:ascii="宋体" w:hAnsi="宋体" w:cs="宋体" w:eastAsia="宋体" w:hint="default"/>
                <w:sz w:val="18"/>
                <w:szCs w:val="18"/>
              </w:rPr>
              <w:t>威海神瑞贸易有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威海</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6" w:right="67"/>
              <w:jc w:val="left"/>
              <w:rPr>
                <w:rFonts w:ascii="宋体" w:hAnsi="宋体" w:cs="宋体" w:eastAsia="宋体" w:hint="default"/>
                <w:sz w:val="18"/>
                <w:szCs w:val="18"/>
              </w:rPr>
            </w:pPr>
            <w:r>
              <w:rPr>
                <w:rFonts w:ascii="宋体" w:hAnsi="宋体" w:cs="宋体" w:eastAsia="宋体" w:hint="default"/>
                <w:sz w:val="18"/>
                <w:szCs w:val="18"/>
              </w:rPr>
              <w:t>炬高技术产业开</w:t>
            </w:r>
            <w:r>
              <w:rPr>
                <w:rFonts w:ascii="宋体" w:hAnsi="宋体" w:cs="宋体" w:eastAsia="宋体" w:hint="default"/>
                <w:w w:val="100"/>
                <w:sz w:val="18"/>
                <w:szCs w:val="18"/>
              </w:rPr>
              <w:t> </w:t>
            </w:r>
            <w:r>
              <w:rPr>
                <w:rFonts w:ascii="宋体" w:hAnsi="宋体" w:cs="宋体" w:eastAsia="宋体" w:hint="default"/>
                <w:sz w:val="18"/>
                <w:szCs w:val="18"/>
              </w:rPr>
              <w:t>发区南苑路西侧</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医疗器械等销售</w:t>
            </w:r>
          </w:p>
        </w:tc>
        <w:tc>
          <w:tcPr>
            <w:tcW w:w="1368"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r>
        <w:trPr>
          <w:trHeight w:val="357" w:hRule="exact"/>
        </w:trPr>
        <w:tc>
          <w:tcPr>
            <w:tcW w:w="1370"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园区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厂房</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74"/>
              <w:jc w:val="left"/>
              <w:rPr>
                <w:rFonts w:ascii="宋体" w:hAnsi="宋体" w:cs="宋体" w:eastAsia="宋体" w:hint="default"/>
                <w:sz w:val="18"/>
                <w:szCs w:val="18"/>
              </w:rPr>
            </w:pPr>
            <w:r>
              <w:rPr>
                <w:rFonts w:ascii="宋体" w:hAnsi="宋体" w:cs="宋体" w:eastAsia="宋体" w:hint="default"/>
                <w:sz w:val="18"/>
                <w:szCs w:val="18"/>
              </w:rPr>
              <w:t>潍坊耀恒经贸有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4"/>
              <w:jc w:val="both"/>
              <w:rPr>
                <w:rFonts w:ascii="宋体" w:hAnsi="宋体" w:cs="宋体" w:eastAsia="宋体" w:hint="default"/>
                <w:sz w:val="18"/>
                <w:szCs w:val="18"/>
              </w:rPr>
            </w:pPr>
            <w:r>
              <w:rPr>
                <w:rFonts w:ascii="宋体" w:hAnsi="宋体" w:cs="宋体" w:eastAsia="宋体" w:hint="default"/>
                <w:sz w:val="18"/>
                <w:szCs w:val="18"/>
              </w:rPr>
              <w:t>潍坊市奎文区新</w:t>
            </w:r>
            <w:r>
              <w:rPr>
                <w:rFonts w:ascii="宋体" w:hAnsi="宋体" w:cs="宋体" w:eastAsia="宋体" w:hint="default"/>
                <w:w w:val="100"/>
                <w:sz w:val="18"/>
                <w:szCs w:val="18"/>
              </w:rPr>
              <w:t> </w:t>
            </w:r>
            <w:r>
              <w:rPr>
                <w:rFonts w:ascii="宋体" w:hAnsi="宋体" w:cs="宋体" w:eastAsia="宋体" w:hint="default"/>
                <w:sz w:val="18"/>
                <w:szCs w:val="18"/>
              </w:rPr>
              <w:t>华路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宋体" w:hAnsi="宋体" w:cs="宋体" w:eastAsia="宋体" w:hint="default"/>
                <w:w w:val="100"/>
                <w:sz w:val="18"/>
                <w:szCs w:val="18"/>
              </w:rPr>
              <w:t> </w:t>
            </w:r>
            <w:r>
              <w:rPr>
                <w:rFonts w:ascii="宋体" w:hAnsi="宋体" w:cs="宋体" w:eastAsia="宋体" w:hint="default"/>
                <w:sz w:val="18"/>
                <w:szCs w:val="18"/>
              </w:rPr>
              <w:t>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8"/>
              <w:jc w:val="center"/>
              <w:rPr>
                <w:rFonts w:ascii="宋体" w:hAnsi="宋体" w:cs="宋体" w:eastAsia="宋体" w:hint="default"/>
                <w:sz w:val="18"/>
                <w:szCs w:val="18"/>
              </w:rPr>
            </w:pPr>
            <w:r>
              <w:rPr>
                <w:rFonts w:ascii="宋体" w:hAnsi="宋体" w:cs="宋体" w:eastAsia="宋体" w:hint="default"/>
                <w:sz w:val="18"/>
                <w:szCs w:val="18"/>
              </w:rPr>
              <w:t>医疗器械等销售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69"/>
              <w:jc w:val="left"/>
              <w:rPr>
                <w:rFonts w:ascii="宋体" w:hAnsi="宋体" w:cs="宋体" w:eastAsia="宋体" w:hint="default"/>
                <w:sz w:val="18"/>
                <w:szCs w:val="18"/>
              </w:rPr>
            </w:pPr>
            <w:r>
              <w:rPr>
                <w:rFonts w:ascii="宋体" w:hAnsi="宋体" w:cs="宋体" w:eastAsia="宋体" w:hint="default"/>
                <w:sz w:val="18"/>
                <w:szCs w:val="18"/>
              </w:rPr>
              <w:t>非同一控制下企</w:t>
            </w:r>
            <w:r>
              <w:rPr>
                <w:rFonts w:ascii="宋体" w:hAnsi="宋体" w:cs="宋体" w:eastAsia="宋体" w:hint="default"/>
                <w:w w:val="100"/>
                <w:sz w:val="18"/>
                <w:szCs w:val="18"/>
              </w:rPr>
              <w:t> </w:t>
            </w:r>
            <w:r>
              <w:rPr>
                <w:rFonts w:ascii="宋体" w:hAnsi="宋体" w:cs="宋体" w:eastAsia="宋体" w:hint="default"/>
                <w:sz w:val="18"/>
                <w:szCs w:val="18"/>
              </w:rPr>
              <w:t>业合并</w:t>
            </w:r>
          </w:p>
        </w:tc>
      </w:tr>
    </w:tbl>
    <w:p>
      <w:pPr>
        <w:pStyle w:val="BodyText"/>
        <w:spacing w:line="357" w:lineRule="auto" w:before="49"/>
        <w:ind w:right="0"/>
        <w:jc w:val="left"/>
      </w:pPr>
      <w:r>
        <w:rPr/>
        <w:t>在子公司的持股比例不同于表决权比例的说明：</w:t>
      </w:r>
      <w:r>
        <w:rPr>
          <w:w w:val="100"/>
        </w:rPr>
        <w:t> </w:t>
      </w:r>
      <w:r>
        <w:rPr>
          <w:spacing w:val="-1"/>
        </w:rPr>
        <w:t>持有半数或以下表决权但仍控制被投资单位、以及持有半数以上表决权但不控制被投资单位的依据：</w:t>
      </w:r>
      <w:r>
        <w:rPr>
          <w:spacing w:val="-81"/>
        </w:rPr>
        <w:t> </w:t>
      </w:r>
      <w:r>
        <w:rPr>
          <w:spacing w:val="-81"/>
        </w:rPr>
      </w:r>
      <w:r>
        <w:rPr/>
        <w:t>对于纳入合并范围的重要的结构化主体，控制的依据：</w:t>
      </w:r>
    </w:p>
    <w:p>
      <w:pPr>
        <w:pStyle w:val="BodyText"/>
        <w:spacing w:line="357" w:lineRule="auto" w:before="29"/>
        <w:ind w:right="6619"/>
        <w:jc w:val="left"/>
      </w:pPr>
      <w:r>
        <w:rPr>
          <w:spacing w:val="-1"/>
        </w:rPr>
        <w:t>确定公司是代理人还是委托人的依据：</w:t>
      </w:r>
      <w:r>
        <w:rPr>
          <w:spacing w:val="-86"/>
        </w:rPr>
        <w:t> </w:t>
      </w:r>
      <w:r>
        <w:rPr>
          <w:spacing w:val="-86"/>
        </w:rPr>
      </w:r>
      <w:bookmarkStart w:name="（2）重要的非全资子公司 " w:id="342"/>
      <w:bookmarkEnd w:id="342"/>
      <w:r>
        <w:rPr/>
        <w:t>其</w:t>
      </w:r>
      <w:r>
        <w:rPr/>
        <w:t>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68"/>
              <w:ind w:left="772" w:right="47"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w:t>
            </w:r>
            <w:r>
              <w:rPr>
                <w:rFonts w:ascii="宋体" w:hAnsi="宋体" w:cs="宋体" w:eastAsia="宋体" w:hint="default"/>
                <w:w w:val="100"/>
                <w:sz w:val="18"/>
                <w:szCs w:val="18"/>
              </w:rPr>
              <w:t> </w:t>
            </w:r>
            <w:r>
              <w:rPr>
                <w:rFonts w:ascii="宋体" w:hAnsi="宋体" w:cs="宋体" w:eastAsia="宋体" w:hint="default"/>
                <w:sz w:val="18"/>
                <w:szCs w:val="18"/>
              </w:rPr>
              <w:t>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68"/>
              <w:ind w:left="594" w:right="45"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w:t>
            </w:r>
            <w:r>
              <w:rPr>
                <w:rFonts w:ascii="宋体" w:hAnsi="宋体" w:cs="宋体" w:eastAsia="宋体" w:hint="default"/>
                <w:w w:val="100"/>
                <w:sz w:val="18"/>
                <w:szCs w:val="18"/>
              </w:rPr>
              <w:t> </w:t>
            </w:r>
            <w:r>
              <w:rPr>
                <w:rFonts w:ascii="宋体" w:hAnsi="宋体" w:cs="宋体" w:eastAsia="宋体" w:hint="default"/>
                <w:sz w:val="18"/>
                <w:szCs w:val="18"/>
              </w:rPr>
              <w:t>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49"/>
        <w:ind w:right="5260"/>
        <w:jc w:val="left"/>
      </w:pPr>
      <w:r>
        <w:rPr>
          <w:spacing w:val="-1"/>
        </w:rPr>
        <w:t>子公司少数股东的持股比例不同于表决权比例的说明：</w:t>
      </w:r>
      <w:r>
        <w:rPr>
          <w:spacing w:val="-85"/>
        </w:rPr>
        <w:t> </w:t>
      </w:r>
      <w:r>
        <w:rPr>
          <w:spacing w:val="-85"/>
        </w:rPr>
      </w:r>
      <w:bookmarkStart w:name="（3）重要非全资子公司的主要财务信息 " w:id="343"/>
      <w:bookmarkEnd w:id="343"/>
      <w:r>
        <w:rPr/>
        <w:t>其</w:t>
      </w:r>
      <w:r>
        <w:rPr/>
        <w:t>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314"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w w:val="100"/>
                <w:sz w:val="18"/>
                <w:szCs w:val="18"/>
              </w:rPr>
              <w:t> </w:t>
            </w:r>
            <w:r>
              <w:rPr>
                <w:rFonts w:ascii="宋体" w:hAnsi="宋体" w:cs="宋体" w:eastAsia="宋体" w:hint="default"/>
                <w:sz w:val="18"/>
                <w:szCs w:val="18"/>
              </w:rPr>
              <w:t>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1" w:right="91" w:hanging="181"/>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w w:val="100"/>
                <w:sz w:val="18"/>
                <w:szCs w:val="18"/>
              </w:rPr>
              <w:t> </w:t>
            </w:r>
            <w:r>
              <w:rPr>
                <w:rFonts w:ascii="宋体" w:hAnsi="宋体" w:cs="宋体" w:eastAsia="宋体" w:hint="default"/>
                <w:sz w:val="18"/>
                <w:szCs w:val="18"/>
              </w:rPr>
              <w:t>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100"/>
                <w:sz w:val="18"/>
                <w:szCs w:val="18"/>
              </w:rPr>
              <w:t> </w:t>
            </w: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5" w:right="88" w:hanging="180"/>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w w:val="100"/>
                <w:sz w:val="18"/>
                <w:szCs w:val="18"/>
              </w:rPr>
              <w:t> </w:t>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1"/>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w w:val="100"/>
                <w:sz w:val="18"/>
                <w:szCs w:val="18"/>
              </w:rPr>
              <w:t> </w:t>
            </w:r>
            <w:r>
              <w:rPr>
                <w:rFonts w:ascii="宋体" w:hAnsi="宋体" w:cs="宋体" w:eastAsia="宋体" w:hint="default"/>
                <w:sz w:val="18"/>
                <w:szCs w:val="18"/>
              </w:rPr>
              <w:t>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100"/>
                <w:sz w:val="18"/>
                <w:szCs w:val="18"/>
              </w:rPr>
              <w:t> </w:t>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1"/>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w w:val="100"/>
                <w:sz w:val="18"/>
                <w:szCs w:val="18"/>
              </w:rPr>
              <w:t> </w:t>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1"/>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w w:val="100"/>
                <w:sz w:val="18"/>
                <w:szCs w:val="18"/>
              </w:rPr>
              <w:t> </w:t>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1" w:right="89" w:hanging="89"/>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100"/>
                <w:sz w:val="18"/>
                <w:szCs w:val="18"/>
              </w:rPr>
              <w:t> </w:t>
            </w: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1"/>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w w:val="100"/>
                <w:sz w:val="18"/>
                <w:szCs w:val="18"/>
              </w:rPr>
              <w:t> </w:t>
            </w:r>
            <w:r>
              <w:rPr>
                <w:rFonts w:ascii="宋体" w:hAnsi="宋体" w:cs="宋体" w:eastAsia="宋体" w:hint="default"/>
                <w:sz w:val="18"/>
                <w:szCs w:val="18"/>
              </w:rPr>
              <w:t>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w w:val="100"/>
                <w:sz w:val="18"/>
                <w:szCs w:val="18"/>
              </w:rPr>
              <w:t> </w:t>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9" w:right="91" w:hanging="89"/>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w w:val="100"/>
                <w:sz w:val="18"/>
                <w:szCs w:val="18"/>
              </w:rPr>
              <w:t> </w:t>
            </w:r>
            <w:r>
              <w:rPr>
                <w:rFonts w:ascii="宋体" w:hAnsi="宋体" w:cs="宋体" w:eastAsia="宋体" w:hint="default"/>
                <w:sz w:val="18"/>
                <w:szCs w:val="18"/>
              </w:rPr>
              <w:t>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5" w:right="89" w:hanging="181"/>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w w:val="100"/>
                <w:sz w:val="18"/>
                <w:szCs w:val="18"/>
              </w:rPr>
              <w:t> </w:t>
            </w:r>
            <w:r>
              <w:rPr>
                <w:rFonts w:ascii="宋体" w:hAnsi="宋体" w:cs="宋体" w:eastAsia="宋体" w:hint="default"/>
                <w:sz w:val="18"/>
                <w:szCs w:val="18"/>
              </w:rPr>
              <w:t>计</w:t>
            </w:r>
          </w:p>
        </w:tc>
      </w:tr>
    </w:tbl>
    <w:p>
      <w:pPr>
        <w:pStyle w:val="BodyText"/>
        <w:spacing w:line="240" w:lineRule="auto" w:before="49"/>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4"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2"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436" w:right="74" w:hanging="361"/>
              <w:jc w:val="left"/>
              <w:rPr>
                <w:rFonts w:ascii="宋体" w:hAnsi="宋体" w:cs="宋体" w:eastAsia="宋体" w:hint="default"/>
                <w:sz w:val="18"/>
                <w:szCs w:val="18"/>
              </w:rPr>
            </w:pPr>
            <w:r>
              <w:rPr>
                <w:rFonts w:ascii="宋体" w:hAnsi="宋体" w:cs="宋体" w:eastAsia="宋体" w:hint="default"/>
                <w:sz w:val="18"/>
                <w:szCs w:val="18"/>
              </w:rPr>
              <w:t>综合收益总</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258" w:right="74" w:hanging="181"/>
              <w:jc w:val="left"/>
              <w:rPr>
                <w:rFonts w:ascii="宋体" w:hAnsi="宋体" w:cs="宋体" w:eastAsia="宋体" w:hint="default"/>
                <w:sz w:val="18"/>
                <w:szCs w:val="18"/>
              </w:rPr>
            </w:pPr>
            <w:r>
              <w:rPr>
                <w:rFonts w:ascii="宋体" w:hAnsi="宋体" w:cs="宋体" w:eastAsia="宋体" w:hint="default"/>
                <w:sz w:val="18"/>
                <w:szCs w:val="18"/>
              </w:rPr>
              <w:t>经营活动现</w:t>
            </w:r>
            <w:r>
              <w:rPr>
                <w:rFonts w:ascii="宋体" w:hAnsi="宋体" w:cs="宋体" w:eastAsia="宋体" w:hint="default"/>
                <w:w w:val="100"/>
                <w:sz w:val="18"/>
                <w:szCs w:val="18"/>
              </w:rPr>
              <w:t> </w:t>
            </w:r>
            <w:r>
              <w:rPr>
                <w:rFonts w:ascii="宋体" w:hAnsi="宋体" w:cs="宋体" w:eastAsia="宋体" w:hint="default"/>
                <w:sz w:val="18"/>
                <w:szCs w:val="18"/>
              </w:rPr>
              <w:t>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w:t>
            </w:r>
            <w:r>
              <w:rPr>
                <w:rFonts w:ascii="宋体" w:hAnsi="宋体" w:cs="宋体" w:eastAsia="宋体" w:hint="default"/>
                <w:w w:val="100"/>
                <w:sz w:val="18"/>
                <w:szCs w:val="18"/>
              </w:rPr>
              <w:t> </w:t>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8"/>
              <w:ind w:left="261" w:right="72" w:hanging="180"/>
              <w:jc w:val="left"/>
              <w:rPr>
                <w:rFonts w:ascii="宋体" w:hAnsi="宋体" w:cs="宋体" w:eastAsia="宋体" w:hint="default"/>
                <w:sz w:val="18"/>
                <w:szCs w:val="18"/>
              </w:rPr>
            </w:pPr>
            <w:r>
              <w:rPr>
                <w:rFonts w:ascii="宋体" w:hAnsi="宋体" w:cs="宋体" w:eastAsia="宋体" w:hint="default"/>
                <w:sz w:val="18"/>
                <w:szCs w:val="18"/>
              </w:rPr>
              <w:t>经营活动现</w:t>
            </w:r>
            <w:r>
              <w:rPr>
                <w:rFonts w:ascii="宋体" w:hAnsi="宋体" w:cs="宋体" w:eastAsia="宋体" w:hint="default"/>
                <w:w w:val="100"/>
                <w:sz w:val="18"/>
                <w:szCs w:val="18"/>
              </w:rPr>
              <w:t> </w:t>
            </w:r>
            <w:r>
              <w:rPr>
                <w:rFonts w:ascii="宋体" w:hAnsi="宋体" w:cs="宋体" w:eastAsia="宋体" w:hint="default"/>
                <w:sz w:val="18"/>
                <w:szCs w:val="18"/>
              </w:rPr>
              <w:t>金流量</w:t>
            </w:r>
          </w:p>
        </w:tc>
      </w:tr>
    </w:tbl>
    <w:p>
      <w:pPr>
        <w:pStyle w:val="BodyText"/>
        <w:spacing w:line="240" w:lineRule="auto" w:before="49"/>
        <w:ind w:right="0"/>
        <w:jc w:val="left"/>
      </w:pPr>
      <w:bookmarkStart w:name="（4）使用企业集团资产和清偿企业集团债务的重大限制 " w:id="344"/>
      <w:bookmarkEnd w:id="344"/>
      <w:r>
        <w:rPr/>
      </w: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向纳入合并财务报表范围的结构化主体提供的财务支持或其他支持 " w:id="345"/>
      <w:bookmarkEnd w:id="34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873"/>
        <w:jc w:val="left"/>
      </w:pPr>
      <w:r>
        <w:rPr/>
        <w:t>无</w:t>
      </w:r>
      <w:r>
        <w:rPr>
          <w:w w:val="100"/>
        </w:rPr>
        <w:t> </w:t>
      </w:r>
      <w:r>
        <w:rPr/>
        <w:t>其他说明：</w:t>
      </w:r>
    </w:p>
    <w:p>
      <w:pPr>
        <w:spacing w:after="0" w:line="360" w:lineRule="auto"/>
        <w:jc w:val="left"/>
        <w:sectPr>
          <w:footerReference w:type="default" r:id="rId33"/>
          <w:pgSz w:w="11910" w:h="16840"/>
          <w:pgMar w:footer="981" w:header="745" w:top="1060" w:bottom="1180" w:left="980" w:right="980"/>
          <w:pgNumType w:start="140"/>
        </w:sectPr>
      </w:pPr>
    </w:p>
    <w:p>
      <w:pPr>
        <w:spacing w:line="240" w:lineRule="auto" w:before="10"/>
        <w:rPr>
          <w:rFonts w:ascii="宋体" w:hAnsi="宋体" w:cs="宋体" w:eastAsia="宋体" w:hint="default"/>
          <w:sz w:val="24"/>
          <w:szCs w:val="24"/>
        </w:rPr>
      </w:pPr>
    </w:p>
    <w:p>
      <w:pPr>
        <w:pStyle w:val="Heading3"/>
        <w:spacing w:line="240" w:lineRule="auto" w:before="36"/>
        <w:ind w:right="93"/>
        <w:jc w:val="left"/>
        <w:rPr>
          <w:b w:val="0"/>
          <w:bCs w:val="0"/>
        </w:rPr>
      </w:pPr>
      <w:bookmarkStart w:name="2、在子公司的所有者权益份额发生变化且仍控制子公司的交易 " w:id="346"/>
      <w:bookmarkEnd w:id="34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3"/>
        <w:jc w:val="left"/>
        <w:rPr>
          <w:b w:val="0"/>
          <w:bCs w:val="0"/>
        </w:rPr>
      </w:pPr>
      <w:bookmarkStart w:name="（1）在子公司所有者权益份额发生变化的情况说明 " w:id="347"/>
      <w:bookmarkEnd w:id="34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87" w:right="93"/>
        <w:jc w:val="left"/>
      </w:pPr>
      <w:r>
        <w:rPr/>
        <w:t>对潍坊瑞康药品配送有限公司的投资比例由</w:t>
      </w:r>
      <w:r>
        <w:rPr>
          <w:rFonts w:ascii="Times New Roman" w:hAnsi="Times New Roman" w:cs="Times New Roman" w:eastAsia="Times New Roman" w:hint="default"/>
        </w:rPr>
        <w:t>94.91%</w:t>
      </w:r>
      <w:r>
        <w:rPr/>
        <w:t>增加到</w:t>
      </w:r>
      <w:r>
        <w:rPr>
          <w:rFonts w:ascii="Times New Roman" w:hAnsi="Times New Roman" w:cs="Times New Roman" w:eastAsia="Times New Roman" w:hint="default"/>
        </w:rPr>
        <w:t>100.00%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Heading3"/>
        <w:spacing w:line="240" w:lineRule="auto"/>
        <w:ind w:right="93"/>
        <w:jc w:val="left"/>
        <w:rPr>
          <w:b w:val="0"/>
          <w:bCs w:val="0"/>
        </w:rPr>
      </w:pPr>
      <w:bookmarkStart w:name="（2）交易对于少数股东权益及归属于母公司所有者权益的影响 " w:id="348"/>
      <w:bookmarkEnd w:id="34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5"/>
          <w:szCs w:val="25"/>
        </w:rPr>
      </w:pPr>
    </w:p>
    <w:tbl>
      <w:tblPr>
        <w:tblW w:w="0" w:type="auto"/>
        <w:jc w:val="left"/>
        <w:tblInd w:w="412" w:type="dxa"/>
        <w:tblLayout w:type="fixed"/>
        <w:tblCellMar>
          <w:top w:w="0" w:type="dxa"/>
          <w:left w:w="0" w:type="dxa"/>
          <w:bottom w:w="0" w:type="dxa"/>
          <w:right w:w="0" w:type="dxa"/>
        </w:tblCellMar>
        <w:tblLook w:val="01E0"/>
      </w:tblPr>
      <w:tblGrid>
        <w:gridCol w:w="5232"/>
        <w:gridCol w:w="3230"/>
      </w:tblGrid>
      <w:tr>
        <w:trPr>
          <w:trHeight w:val="550" w:hRule="exact"/>
        </w:trPr>
        <w:tc>
          <w:tcPr>
            <w:tcW w:w="5232" w:type="dxa"/>
            <w:tcBorders>
              <w:top w:val="single" w:sz="6" w:space="0" w:color="000000"/>
              <w:left w:val="single" w:sz="6" w:space="0" w:color="000000"/>
              <w:bottom w:val="single" w:sz="8" w:space="0" w:color="000000"/>
              <w:right w:val="single" w:sz="6" w:space="0" w:color="000000"/>
            </w:tcBorders>
          </w:tcPr>
          <w:p>
            <w:pPr/>
          </w:p>
        </w:tc>
        <w:tc>
          <w:tcPr>
            <w:tcW w:w="3230"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18"/>
              <w:ind w:left="2" w:right="0"/>
              <w:jc w:val="left"/>
              <w:rPr>
                <w:rFonts w:ascii="宋体" w:hAnsi="宋体" w:cs="宋体" w:eastAsia="宋体" w:hint="default"/>
                <w:sz w:val="18"/>
                <w:szCs w:val="18"/>
              </w:rPr>
            </w:pPr>
            <w:r>
              <w:rPr>
                <w:rFonts w:ascii="宋体" w:hAnsi="宋体" w:cs="宋体" w:eastAsia="宋体" w:hint="default"/>
                <w:sz w:val="18"/>
                <w:szCs w:val="18"/>
              </w:rPr>
              <w:t>潍坊瑞康药品配送有限公司</w:t>
            </w:r>
          </w:p>
        </w:tc>
      </w:tr>
      <w:tr>
        <w:trPr>
          <w:trHeight w:val="547" w:hRule="exact"/>
        </w:trPr>
        <w:tc>
          <w:tcPr>
            <w:tcW w:w="5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3230" w:type="dxa"/>
            <w:tcBorders>
              <w:top w:val="single" w:sz="8" w:space="0" w:color="000000"/>
              <w:left w:val="single" w:sz="6" w:space="0" w:color="000000"/>
              <w:bottom w:val="single" w:sz="8" w:space="0" w:color="000000"/>
              <w:right w:val="nil" w:sz="6" w:space="0" w:color="auto"/>
            </w:tcBorders>
          </w:tcPr>
          <w:p>
            <w:pPr/>
          </w:p>
        </w:tc>
      </w:tr>
      <w:tr>
        <w:trPr>
          <w:trHeight w:val="547" w:hRule="exact"/>
        </w:trPr>
        <w:tc>
          <w:tcPr>
            <w:tcW w:w="5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2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547" w:hRule="exact"/>
        </w:trPr>
        <w:tc>
          <w:tcPr>
            <w:tcW w:w="5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购买成本合计</w:t>
            </w:r>
          </w:p>
        </w:tc>
        <w:tc>
          <w:tcPr>
            <w:tcW w:w="32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85,000.00</w:t>
            </w:r>
          </w:p>
        </w:tc>
      </w:tr>
      <w:tr>
        <w:trPr>
          <w:trHeight w:val="547" w:hRule="exact"/>
        </w:trPr>
        <w:tc>
          <w:tcPr>
            <w:tcW w:w="5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减：按取得的股权比例计算的子公司净资产份额</w:t>
            </w:r>
          </w:p>
        </w:tc>
        <w:tc>
          <w:tcPr>
            <w:tcW w:w="32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z w:val="18"/>
              </w:rPr>
              <w:t>8,149.36</w:t>
            </w:r>
          </w:p>
        </w:tc>
      </w:tr>
      <w:tr>
        <w:trPr>
          <w:trHeight w:val="545" w:hRule="exact"/>
        </w:trPr>
        <w:tc>
          <w:tcPr>
            <w:tcW w:w="5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2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76,850.64</w:t>
            </w:r>
          </w:p>
        </w:tc>
      </w:tr>
      <w:tr>
        <w:trPr>
          <w:trHeight w:val="550" w:hRule="exact"/>
        </w:trPr>
        <w:tc>
          <w:tcPr>
            <w:tcW w:w="523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13"/>
              <w:ind w:left="4"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23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56"/>
              <w:ind w:right="1"/>
              <w:jc w:val="right"/>
              <w:rPr>
                <w:rFonts w:ascii="Times New Roman" w:hAnsi="Times New Roman" w:cs="Times New Roman" w:eastAsia="Times New Roman" w:hint="default"/>
                <w:sz w:val="18"/>
                <w:szCs w:val="18"/>
              </w:rPr>
            </w:pPr>
            <w:r>
              <w:rPr>
                <w:rFonts w:ascii="Times New Roman"/>
                <w:spacing w:val="-1"/>
                <w:sz w:val="18"/>
              </w:rPr>
              <w:t>76,850.64</w:t>
            </w:r>
          </w:p>
        </w:tc>
      </w:tr>
    </w:tbl>
    <w:p>
      <w:pPr>
        <w:spacing w:line="240" w:lineRule="auto" w:before="3"/>
        <w:rPr>
          <w:rFonts w:ascii="宋体" w:hAnsi="宋体" w:cs="宋体" w:eastAsia="宋体" w:hint="default"/>
          <w:b/>
          <w:bCs/>
          <w:sz w:val="24"/>
          <w:szCs w:val="24"/>
        </w:rPr>
      </w:pPr>
    </w:p>
    <w:p>
      <w:pPr>
        <w:pStyle w:val="BodyText"/>
        <w:spacing w:line="240" w:lineRule="auto" w:before="44"/>
        <w:ind w:right="93"/>
        <w:jc w:val="left"/>
      </w:pPr>
      <w:bookmarkStart w:name="3、其他 " w:id="349"/>
      <w:bookmarkEnd w:id="349"/>
      <w:r>
        <w:rPr/>
      </w:r>
      <w:r>
        <w:rPr/>
        <w:t>其他说明</w:t>
      </w:r>
    </w:p>
    <w:p>
      <w:pPr>
        <w:spacing w:line="240" w:lineRule="auto" w:before="13"/>
        <w:rPr>
          <w:rFonts w:ascii="宋体" w:hAnsi="宋体" w:cs="宋体" w:eastAsia="宋体" w:hint="default"/>
          <w:sz w:val="26"/>
          <w:szCs w:val="26"/>
        </w:rPr>
      </w:pPr>
    </w:p>
    <w:p>
      <w:pPr>
        <w:pStyle w:val="Heading3"/>
        <w:spacing w:line="240" w:lineRule="auto"/>
        <w:ind w:right="9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93"/>
        <w:jc w:val="left"/>
        <w:rPr>
          <w:b w:val="0"/>
          <w:bCs w:val="0"/>
        </w:rPr>
      </w:pPr>
      <w:bookmarkStart w:name="十、与金融工具相关的风险 " w:id="350"/>
      <w:bookmarkEnd w:id="350"/>
      <w:r>
        <w:rPr>
          <w:b w:val="0"/>
          <w:bCs w:val="0"/>
        </w:rPr>
      </w: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59"/>
        <w:jc w:val="both"/>
      </w:pPr>
      <w:r>
        <w:rPr>
          <w:spacing w:val="-3"/>
        </w:rPr>
        <w:t>本公司的主要金融工具包括股权投资、借款、应收账款、其他应收款、应付账款等，各项金融工具的详细情况说明见本</w:t>
      </w:r>
      <w:r>
        <w:rPr>
          <w:w w:val="100"/>
        </w:rPr>
        <w:t> </w:t>
      </w:r>
      <w:r>
        <w:rPr>
          <w:spacing w:val="-3"/>
        </w:rPr>
        <w:t>附注五相关项目。与这些金融工具有关的风险，以及本公司为降低这些风险所采取的风险管理政策如下所述。本公司管理层</w:t>
      </w:r>
      <w:r>
        <w:rPr>
          <w:spacing w:val="-47"/>
        </w:rPr>
        <w:t> </w:t>
      </w:r>
      <w:r>
        <w:rPr>
          <w:spacing w:val="-47"/>
        </w:rPr>
      </w:r>
      <w:r>
        <w:rPr/>
        <w:t>对这些风险敞口进行管理和监控以确保将上述风险控制在限定的范围之内。</w:t>
      </w:r>
    </w:p>
    <w:p>
      <w:pPr>
        <w:pStyle w:val="BodyText"/>
        <w:spacing w:line="316" w:lineRule="auto" w:before="19"/>
        <w:ind w:right="192" w:firstLine="359"/>
        <w:jc w:val="both"/>
      </w:pPr>
      <w:r>
        <w:rPr>
          <w:spacing w:val="-3"/>
        </w:rPr>
        <w:t>本公司采用敏感性分析技术分析风险变量的合理、可能变化对当期损益或股东权益可能产生的影响。由于任何风险变量</w:t>
      </w:r>
      <w:r>
        <w:rPr>
          <w:w w:val="100"/>
        </w:rPr>
        <w:t> </w:t>
      </w:r>
      <w:r>
        <w:rPr>
          <w:spacing w:val="-3"/>
        </w:rPr>
        <w:t>很少孤立地发生变化，而变量之间存在的相关性对某一风险变量的变化的最终影响金额将产生重大作用，因此下述内容是在</w:t>
      </w:r>
      <w:r>
        <w:rPr>
          <w:spacing w:val="-50"/>
        </w:rPr>
        <w:t> </w:t>
      </w:r>
      <w:r>
        <w:rPr>
          <w:spacing w:val="-50"/>
        </w:rPr>
      </w:r>
      <w:r>
        <w:rPr/>
        <w:t>假设每一变量的变化是在独立的情况下进行的。</w:t>
      </w:r>
    </w:p>
    <w:p>
      <w:pPr>
        <w:pStyle w:val="BodyText"/>
        <w:spacing w:line="316" w:lineRule="auto" w:before="19"/>
        <w:ind w:left="512" w:right="93"/>
        <w:jc w:val="left"/>
      </w:pPr>
      <w:r>
        <w:rPr>
          <w:rFonts w:ascii="宋体" w:hAnsi="宋体" w:cs="宋体" w:eastAsia="宋体" w:hint="default"/>
          <w:b/>
          <w:bCs/>
        </w:rPr>
        <w:t>风险管理目标和政策</w:t>
      </w:r>
      <w:r>
        <w:rPr>
          <w:rFonts w:ascii="宋体" w:hAnsi="宋体" w:cs="宋体" w:eastAsia="宋体" w:hint="default"/>
          <w:b/>
          <w:bCs/>
          <w:w w:val="99"/>
        </w:rPr>
        <w:t> </w:t>
      </w:r>
      <w:r>
        <w:rPr>
          <w:spacing w:val="-1"/>
        </w:rPr>
        <w:t>本公司从事风险管理的目标是在风险和收益之间取得适当的平衡，将风险对本公司经营业绩的负面影响降低到最低水</w:t>
      </w:r>
    </w:p>
    <w:p>
      <w:pPr>
        <w:pStyle w:val="BodyText"/>
        <w:spacing w:line="319" w:lineRule="auto" w:before="18"/>
        <w:ind w:right="93"/>
        <w:jc w:val="left"/>
      </w:pPr>
      <w:r>
        <w:rPr>
          <w:spacing w:val="-3"/>
        </w:rPr>
        <w:t>平，使股东及其他权益投资者的利益最大化。基于该风险管理目标，本公司风险管理的基本策略是确定和分析本公司所面临</w:t>
      </w:r>
      <w:r>
        <w:rPr>
          <w:spacing w:val="-48"/>
        </w:rPr>
        <w:t> </w:t>
      </w:r>
      <w:r>
        <w:rPr>
          <w:spacing w:val="-48"/>
        </w:rPr>
      </w:r>
      <w:r>
        <w:rPr>
          <w:spacing w:val="-5"/>
        </w:rPr>
        <w:t>的各种风险，建立适当的风险承受底线和进行风险管理，并及时可靠地对各种风险进行监督，将风险控制在限定的范围之内。</w:t>
      </w:r>
    </w:p>
    <w:p>
      <w:pPr>
        <w:spacing w:line="300" w:lineRule="auto" w:before="17"/>
        <w:ind w:left="512" w:right="712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、市场风险</w:t>
      </w:r>
      <w:r>
        <w:rPr>
          <w:rFonts w:ascii="宋体" w:hAnsi="宋体" w:cs="宋体" w:eastAsia="宋体" w:hint="default"/>
          <w:b/>
          <w:bCs/>
          <w:w w:val="99"/>
          <w:sz w:val="18"/>
          <w:szCs w:val="18"/>
        </w:rPr>
        <w:t> </w:t>
      </w:r>
      <w:r>
        <w:rPr>
          <w:rFonts w:ascii="宋体" w:hAnsi="宋体" w:cs="宋体" w:eastAsia="宋体" w:hint="default"/>
          <w:spacing w:val="-1"/>
          <w:sz w:val="18"/>
          <w:szCs w:val="18"/>
        </w:rPr>
        <w:t>利率风险－现金流量变动风险</w:t>
      </w:r>
    </w:p>
    <w:p>
      <w:pPr>
        <w:pStyle w:val="BodyText"/>
        <w:spacing w:line="316" w:lineRule="auto" w:before="31"/>
        <w:ind w:right="189" w:firstLine="359"/>
        <w:jc w:val="both"/>
      </w:pPr>
      <w:r>
        <w:rPr>
          <w:spacing w:val="-3"/>
        </w:rPr>
        <w:t>利率风险，是指金融工具的公允价值或未来现金流量因市场利率变动而发生波动的风险。本公司面临的利率风险主要来</w:t>
      </w:r>
      <w:r>
        <w:rPr>
          <w:w w:val="100"/>
        </w:rPr>
        <w:t> </w:t>
      </w:r>
      <w:r>
        <w:rPr>
          <w:spacing w:val="-3"/>
        </w:rPr>
        <w:t>源于银行借款。公司通过建立良好的银企关系，对授信额度、授信品种以及授信期限进行合理的设计，保障银行授信额度充</w:t>
      </w:r>
      <w:r>
        <w:rPr>
          <w:spacing w:val="-43"/>
        </w:rPr>
        <w:t> </w:t>
      </w:r>
      <w:r>
        <w:rPr>
          <w:spacing w:val="-43"/>
        </w:rPr>
      </w:r>
      <w:r>
        <w:rPr/>
        <w:t>足，满足公司各类短期融资需求。并且通过缩短单笔借款的期限，特别约定提前还款条款，合理降低利率波动风险。</w:t>
      </w:r>
    </w:p>
    <w:p>
      <w:pPr>
        <w:spacing w:after="0" w:line="316" w:lineRule="auto"/>
        <w:jc w:val="both"/>
        <w:sectPr>
          <w:footerReference w:type="default" r:id="rId34"/>
          <w:pgSz w:w="11910" w:h="16840"/>
          <w:pgMar w:footer="981" w:header="745" w:top="1060" w:bottom="1180" w:left="980" w:right="940"/>
          <w:pgNumType w:start="141"/>
        </w:sectPr>
      </w:pPr>
    </w:p>
    <w:p>
      <w:pPr>
        <w:spacing w:line="240" w:lineRule="auto" w:before="9"/>
        <w:rPr>
          <w:rFonts w:ascii="宋体" w:hAnsi="宋体" w:cs="宋体" w:eastAsia="宋体" w:hint="default"/>
          <w:sz w:val="25"/>
          <w:szCs w:val="25"/>
        </w:rPr>
      </w:pPr>
    </w:p>
    <w:p>
      <w:pPr>
        <w:pStyle w:val="BodyText"/>
        <w:spacing w:line="300" w:lineRule="auto" w:before="44"/>
        <w:ind w:left="512" w:right="93"/>
        <w:jc w:val="left"/>
      </w:pPr>
      <w:r>
        <w:rPr>
          <w:rFonts w:ascii="Times New Roman" w:hAnsi="Times New Roman" w:cs="Times New Roman" w:eastAsia="Times New Roman" w:hint="default"/>
          <w:b/>
          <w:bCs/>
        </w:rPr>
        <w:t>2</w:t>
      </w:r>
      <w:r>
        <w:rPr>
          <w:rFonts w:ascii="宋体" w:hAnsi="宋体" w:cs="宋体" w:eastAsia="宋体" w:hint="default"/>
          <w:b/>
          <w:bCs/>
        </w:rPr>
        <w:t>、信用风险</w:t>
      </w:r>
      <w:r>
        <w:rPr>
          <w:rFonts w:ascii="宋体" w:hAnsi="宋体" w:cs="宋体" w:eastAsia="宋体" w:hint="default"/>
          <w:b/>
          <w:bCs/>
          <w:w w:val="99"/>
        </w:rPr>
        <w:t> </w:t>
      </w:r>
      <w:r>
        <w:rPr>
          <w:spacing w:val="-5"/>
          <w:w w:val="100"/>
        </w:rPr>
        <w:t>信用风险是指金融工具的一方不履行义务，造成另一方发生财务损失的风险。本公司主要面临赊销导致的客户信用风险。</w:t>
      </w:r>
    </w:p>
    <w:p>
      <w:pPr>
        <w:pStyle w:val="BodyText"/>
        <w:spacing w:line="316" w:lineRule="auto" w:before="31"/>
        <w:ind w:right="93"/>
        <w:jc w:val="left"/>
      </w:pPr>
      <w:r>
        <w:rPr>
          <w:spacing w:val="-3"/>
        </w:rPr>
        <w:t>在签订新合同之前，本公司会对新客户的信用风险进行评估，包括外部信用评级和在某些情况下的银行资信证明（当此信息</w:t>
      </w:r>
      <w:r>
        <w:rPr>
          <w:spacing w:val="-48"/>
        </w:rPr>
        <w:t> </w:t>
      </w:r>
      <w:r>
        <w:rPr>
          <w:spacing w:val="-48"/>
        </w:rPr>
      </w:r>
      <w:r>
        <w:rPr/>
        <w:t>可获取时）。公司对每一客户均设置了赊销限额，该限额为无需获得额外批准的最大额度。</w:t>
      </w:r>
    </w:p>
    <w:p>
      <w:pPr>
        <w:pStyle w:val="BodyText"/>
        <w:spacing w:line="309" w:lineRule="auto" w:before="18"/>
        <w:ind w:right="93" w:firstLine="359"/>
        <w:jc w:val="left"/>
      </w:pPr>
      <w:r>
        <w:rPr/>
        <w:t>公司通过对已有客户信用评级的季度监控以及应收账款账龄分析的月度审核来确保公司的整体信用风险在可控的范围</w:t>
      </w:r>
      <w:r>
        <w:rPr>
          <w:w w:val="100"/>
        </w:rPr>
        <w:t> </w:t>
      </w:r>
      <w:r>
        <w:rPr>
          <w:spacing w:val="-3"/>
        </w:rPr>
        <w:t>内。在监控客户的信用风险时，按照客户的信用特征对其分组。被评为</w:t>
      </w:r>
      <w:r>
        <w:rPr>
          <w:rFonts w:ascii="Times New Roman" w:hAnsi="Times New Roman" w:cs="Times New Roman" w:eastAsia="Times New Roman" w:hint="default"/>
          <w:spacing w:val="-3"/>
        </w:rPr>
        <w:t>“</w:t>
      </w:r>
      <w:r>
        <w:rPr>
          <w:spacing w:val="-3"/>
        </w:rPr>
        <w:t>高风险</w:t>
      </w:r>
      <w:r>
        <w:rPr>
          <w:rFonts w:ascii="Times New Roman" w:hAnsi="Times New Roman" w:cs="Times New Roman" w:eastAsia="Times New Roman" w:hint="default"/>
          <w:spacing w:val="-3"/>
        </w:rPr>
        <w:t>”</w:t>
      </w:r>
      <w:r>
        <w:rPr>
          <w:spacing w:val="-3"/>
        </w:rPr>
        <w:t>级别的客户会放在受限制客户名单里并且只</w:t>
      </w:r>
      <w:r>
        <w:rPr>
          <w:spacing w:val="-27"/>
        </w:rPr>
        <w:t> </w:t>
      </w:r>
      <w:r>
        <w:rPr>
          <w:spacing w:val="-27"/>
        </w:rPr>
      </w:r>
      <w:r>
        <w:rPr/>
        <w:t>有在额外批准的前提下，公司才可在未来期间内对其赊销，否则必须要求其提前支付相应款项。</w:t>
      </w:r>
    </w:p>
    <w:p>
      <w:pPr>
        <w:pStyle w:val="BodyText"/>
        <w:spacing w:line="300" w:lineRule="auto" w:before="24"/>
        <w:ind w:left="512" w:right="93"/>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3"/>
        </w:rPr>
        <w:t>流动风险，是指企业在履行以交付现金或其他金融资产的方式结算的义务时发生资金短缺的风险。本公司的政策是确保</w:t>
      </w:r>
    </w:p>
    <w:p>
      <w:pPr>
        <w:pStyle w:val="BodyText"/>
        <w:spacing w:line="316" w:lineRule="auto" w:before="31"/>
        <w:ind w:right="93"/>
        <w:jc w:val="left"/>
      </w:pPr>
      <w:r>
        <w:rPr>
          <w:spacing w:val="-3"/>
        </w:rPr>
        <w:t>拥有充足的现金以偿还到期债务。流动性风险由本公司的财务部门集中控制。财务部门通过监控现金余额、可随时变现的有</w:t>
      </w:r>
      <w:r>
        <w:rPr>
          <w:spacing w:val="-49"/>
        </w:rPr>
        <w:t> </w:t>
      </w:r>
      <w:r>
        <w:rPr>
          <w:spacing w:val="-49"/>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93"/>
        <w:jc w:val="left"/>
        <w:rPr>
          <w:b w:val="0"/>
          <w:bCs w:val="0"/>
        </w:rPr>
      </w:pPr>
      <w:bookmarkStart w:name="十一、关联方及关联交易 " w:id="351"/>
      <w:bookmarkEnd w:id="351"/>
      <w:r>
        <w:rPr>
          <w:b w:val="0"/>
          <w:bCs w:val="0"/>
        </w:rPr>
      </w: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3"/>
        <w:jc w:val="left"/>
        <w:rPr>
          <w:b w:val="0"/>
          <w:bCs w:val="0"/>
        </w:rPr>
      </w:pPr>
      <w:bookmarkStart w:name="1、本企业的母公司情况 " w:id="352"/>
      <w:bookmarkEnd w:id="35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85"/>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1" w:right="69" w:hanging="360"/>
              <w:jc w:val="left"/>
              <w:rPr>
                <w:rFonts w:ascii="宋体" w:hAnsi="宋体" w:cs="宋体" w:eastAsia="宋体" w:hint="default"/>
                <w:sz w:val="18"/>
                <w:szCs w:val="18"/>
              </w:rPr>
            </w:pPr>
            <w:r>
              <w:rPr>
                <w:rFonts w:ascii="宋体" w:hAnsi="宋体" w:cs="宋体" w:eastAsia="宋体" w:hint="default"/>
                <w:sz w:val="18"/>
                <w:szCs w:val="18"/>
              </w:rPr>
              <w:t>母公司对本企业的</w:t>
            </w:r>
            <w:r>
              <w:rPr>
                <w:rFonts w:ascii="宋体" w:hAnsi="宋体" w:cs="宋体" w:eastAsia="宋体" w:hint="default"/>
                <w:w w:val="100"/>
                <w:sz w:val="18"/>
                <w:szCs w:val="18"/>
              </w:rPr>
              <w:t> </w:t>
            </w:r>
            <w:r>
              <w:rPr>
                <w:rFonts w:ascii="宋体" w:hAnsi="宋体" w:cs="宋体" w:eastAsia="宋体" w:hint="default"/>
                <w:sz w:val="18"/>
                <w:szCs w:val="18"/>
              </w:rPr>
              <w:t>持股比例</w:t>
            </w:r>
          </w:p>
        </w:tc>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42" w:right="61" w:hanging="272"/>
              <w:jc w:val="left"/>
              <w:rPr>
                <w:rFonts w:ascii="宋体" w:hAnsi="宋体" w:cs="宋体" w:eastAsia="宋体" w:hint="default"/>
                <w:sz w:val="18"/>
                <w:szCs w:val="18"/>
              </w:rPr>
            </w:pPr>
            <w:r>
              <w:rPr>
                <w:rFonts w:ascii="宋体" w:hAnsi="宋体" w:cs="宋体" w:eastAsia="宋体" w:hint="default"/>
                <w:sz w:val="18"/>
                <w:szCs w:val="18"/>
              </w:rPr>
              <w:t>母公司对本企业的</w:t>
            </w:r>
            <w:r>
              <w:rPr>
                <w:rFonts w:ascii="宋体" w:hAnsi="宋体" w:cs="宋体" w:eastAsia="宋体" w:hint="default"/>
                <w:w w:val="100"/>
                <w:sz w:val="18"/>
                <w:szCs w:val="18"/>
              </w:rPr>
              <w:t> </w:t>
            </w:r>
            <w:r>
              <w:rPr>
                <w:rFonts w:ascii="宋体" w:hAnsi="宋体" w:cs="宋体" w:eastAsia="宋体" w:hint="default"/>
                <w:sz w:val="18"/>
                <w:szCs w:val="18"/>
              </w:rPr>
              <w:t>表决权比例</w:t>
            </w:r>
          </w:p>
        </w:tc>
      </w:tr>
    </w:tbl>
    <w:p>
      <w:pPr>
        <w:pStyle w:val="BodyText"/>
        <w:spacing w:line="357" w:lineRule="auto" w:before="49"/>
        <w:ind w:right="5819"/>
        <w:jc w:val="left"/>
      </w:pPr>
      <w:r>
        <w:rPr/>
        <w:t>本企业的母公司情况的说明</w:t>
      </w:r>
      <w:r>
        <w:rPr>
          <w:w w:val="100"/>
        </w:rPr>
        <w:t> </w:t>
      </w:r>
      <w:r>
        <w:rPr>
          <w:spacing w:val="-1"/>
        </w:rPr>
        <w:t>控制本公司的关联方为张仁华、韩旭夫妇。</w:t>
      </w:r>
      <w:r>
        <w:rPr>
          <w:spacing w:val="-86"/>
        </w:rPr>
        <w:t> </w:t>
      </w:r>
      <w:r>
        <w:rPr>
          <w:spacing w:val="-86"/>
        </w:rPr>
      </w:r>
      <w:r>
        <w:rPr/>
        <w:t>本企业最终控制方是张仁华、韩旭夫妇。</w:t>
      </w:r>
      <w:r>
        <w:rPr>
          <w:w w:val="100"/>
        </w:rPr>
        <w:t> </w:t>
      </w:r>
      <w:bookmarkStart w:name="2、本企业的子公司情况 " w:id="353"/>
      <w:bookmarkEnd w:id="353"/>
      <w:r>
        <w:rPr/>
        <w:t>其</w:t>
      </w:r>
      <w:r>
        <w:rPr/>
        <w:t>他说明：</w:t>
      </w:r>
    </w:p>
    <w:p>
      <w:pPr>
        <w:spacing w:line="240" w:lineRule="auto" w:before="6"/>
        <w:rPr>
          <w:rFonts w:ascii="宋体" w:hAnsi="宋体" w:cs="宋体" w:eastAsia="宋体" w:hint="default"/>
          <w:sz w:val="20"/>
          <w:szCs w:val="20"/>
        </w:rPr>
      </w:pPr>
    </w:p>
    <w:p>
      <w:pPr>
        <w:spacing w:line="547" w:lineRule="auto" w:before="0"/>
        <w:ind w:left="152" w:right="58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bookmarkStart w:name="3、其他关联方情况 " w:id="354"/>
      <w:bookmarkEnd w:id="354"/>
      <w:r>
        <w:rPr>
          <w:rFonts w:ascii="宋体" w:hAnsi="宋体" w:cs="宋体" w:eastAsia="宋体" w:hint="default"/>
          <w:b/>
          <w:bCs/>
          <w:w w:val="100"/>
          <w:sz w:val="21"/>
          <w:szCs w:val="21"/>
        </w:rPr>
      </w:r>
      <w:r>
        <w:rPr>
          <w:rFonts w:ascii="宋体" w:hAnsi="宋体" w:cs="宋体" w:eastAsia="宋体" w:hint="default"/>
          <w:spacing w:val="-1"/>
          <w:sz w:val="18"/>
          <w:szCs w:val="18"/>
        </w:rPr>
        <w:t>本企业子公司的情况详见附注九、</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84"/>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6"/>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96"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TB</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5"/>
                <w:sz w:val="18"/>
                <w:szCs w:val="18"/>
              </w:rPr>
              <w:t>NATURE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LIMITED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公司第三大股东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烟台诚厚投资有限公司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山东福颐养老投资有限公司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山东瑞祥口腔医院有限公司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受同一方控制</w:t>
            </w:r>
          </w:p>
        </w:tc>
      </w:tr>
    </w:tbl>
    <w:p>
      <w:pPr>
        <w:pStyle w:val="BodyText"/>
        <w:spacing w:line="240" w:lineRule="auto" w:before="49"/>
        <w:ind w:right="93"/>
        <w:jc w:val="left"/>
      </w:pPr>
      <w:r>
        <w:rPr/>
        <w:t>其他说明</w:t>
      </w:r>
    </w:p>
    <w:p>
      <w:pPr>
        <w:spacing w:after="0" w:line="240" w:lineRule="auto"/>
        <w:jc w:val="left"/>
        <w:sectPr>
          <w:pgSz w:w="11910" w:h="16840"/>
          <w:pgMar w:header="745" w:footer="981"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4、关联交易情况 " w:id="355"/>
      <w:bookmarkEnd w:id="35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 w:id="356"/>
      <w:bookmarkEnd w:id="35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8"/>
        <w:gridCol w:w="2258"/>
        <w:gridCol w:w="2654"/>
      </w:tblGrid>
      <w:tr>
        <w:trPr>
          <w:trHeight w:val="397"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5"/>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关联受托管理/承包及委托管理/出包情况 " w:id="357"/>
      <w:bookmarkEnd w:id="35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57"/>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19"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5" w:right="22" w:hanging="20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w:t>
            </w:r>
            <w:r>
              <w:rPr>
                <w:rFonts w:ascii="宋体" w:hAnsi="宋体" w:cs="宋体" w:eastAsia="宋体" w:hint="default"/>
                <w:w w:val="100"/>
                <w:sz w:val="18"/>
                <w:szCs w:val="18"/>
              </w:rPr>
              <w:t> </w:t>
            </w:r>
            <w:r>
              <w:rPr>
                <w:rFonts w:ascii="宋体" w:hAnsi="宋体" w:cs="宋体" w:eastAsia="宋体" w:hint="default"/>
                <w:sz w:val="18"/>
                <w:szCs w:val="18"/>
              </w:rPr>
              <w:t>益定价依据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114" w:right="35" w:hanging="65"/>
              <w:jc w:val="left"/>
              <w:rPr>
                <w:rFonts w:ascii="宋体" w:hAnsi="宋体" w:cs="宋体" w:eastAsia="宋体" w:hint="default"/>
                <w:sz w:val="18"/>
                <w:szCs w:val="18"/>
              </w:rPr>
            </w:pPr>
            <w:r>
              <w:rPr>
                <w:rFonts w:ascii="宋体" w:hAnsi="宋体" w:cs="宋体" w:eastAsia="宋体" w:hint="default"/>
                <w:sz w:val="18"/>
                <w:szCs w:val="18"/>
              </w:rPr>
              <w:t>本期确认的托管</w:t>
            </w:r>
            <w:r>
              <w:rPr>
                <w:rFonts w:ascii="宋体" w:hAnsi="宋体" w:cs="宋体" w:eastAsia="宋体" w:hint="default"/>
                <w:w w:val="100"/>
                <w:sz w:val="18"/>
                <w:szCs w:val="18"/>
              </w:rPr>
              <w:t> </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5" w:footer="981" w:top="1060" w:bottom="1180" w:left="980" w:right="980"/>
        </w:sectPr>
      </w:pPr>
    </w:p>
    <w:p>
      <w:pPr>
        <w:pStyle w:val="BodyText"/>
        <w:spacing w:line="338" w:lineRule="auto" w:before="49"/>
        <w:ind w:right="-5"/>
        <w:jc w:val="left"/>
      </w:pPr>
      <w:r>
        <w:rPr/>
        <w:t>关联托管</w:t>
      </w:r>
      <w:r>
        <w:rPr>
          <w:rFonts w:ascii="Times New Roman" w:hAnsi="Times New Roman" w:cs="Times New Roman" w:eastAsia="Times New Roman" w:hint="default"/>
        </w:rPr>
        <w:t>/</w:t>
      </w:r>
      <w:r>
        <w:rPr/>
        <w:t>承包情况说明</w:t>
      </w:r>
      <w:r>
        <w:rPr>
          <w:w w:val="100"/>
        </w:rPr>
        <w:t>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2544" w:space="6283"/>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57"/>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90" w:right="19"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w:t>
            </w:r>
            <w:r>
              <w:rPr>
                <w:rFonts w:ascii="宋体" w:hAnsi="宋体" w:cs="宋体" w:eastAsia="宋体" w:hint="default"/>
                <w:w w:val="100"/>
                <w:sz w:val="18"/>
                <w:szCs w:val="18"/>
              </w:rPr>
              <w:t> </w:t>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590" w:right="21"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w:t>
            </w:r>
            <w:r>
              <w:rPr>
                <w:rFonts w:ascii="宋体" w:hAnsi="宋体" w:cs="宋体" w:eastAsia="宋体" w:hint="default"/>
                <w:w w:val="100"/>
                <w:sz w:val="18"/>
                <w:szCs w:val="18"/>
              </w:rPr>
              <w:t> </w:t>
            </w:r>
            <w:r>
              <w:rPr>
                <w:rFonts w:ascii="宋体" w:hAnsi="宋体" w:cs="宋体" w:eastAsia="宋体" w:hint="default"/>
                <w:sz w:val="18"/>
                <w:szCs w:val="18"/>
              </w:rPr>
              <w:t>型</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405" w:right="21" w:hanging="385"/>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w:t>
            </w:r>
            <w:r>
              <w:rPr>
                <w:rFonts w:ascii="宋体" w:hAnsi="宋体" w:cs="宋体" w:eastAsia="宋体" w:hint="default"/>
                <w:w w:val="100"/>
                <w:sz w:val="18"/>
                <w:szCs w:val="18"/>
              </w:rPr>
              <w:t> </w:t>
            </w:r>
            <w:r>
              <w:rPr>
                <w:rFonts w:ascii="宋体" w:hAnsi="宋体" w:cs="宋体" w:eastAsia="宋体" w:hint="default"/>
                <w:sz w:val="18"/>
                <w:szCs w:val="18"/>
              </w:rPr>
              <w:t>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94" w:right="35" w:hanging="245"/>
              <w:jc w:val="left"/>
              <w:rPr>
                <w:rFonts w:ascii="宋体" w:hAnsi="宋体" w:cs="宋体" w:eastAsia="宋体" w:hint="default"/>
                <w:sz w:val="18"/>
                <w:szCs w:val="18"/>
              </w:rPr>
            </w:pPr>
            <w:r>
              <w:rPr>
                <w:rFonts w:ascii="宋体" w:hAnsi="宋体" w:cs="宋体" w:eastAsia="宋体" w:hint="default"/>
                <w:sz w:val="18"/>
                <w:szCs w:val="18"/>
              </w:rPr>
              <w:t>本期确认的托管</w:t>
            </w:r>
            <w:r>
              <w:rPr>
                <w:rFonts w:ascii="宋体" w:hAnsi="宋体" w:cs="宋体" w:eastAsia="宋体" w:hint="default"/>
                <w:w w:val="100"/>
                <w:sz w:val="18"/>
                <w:szCs w:val="18"/>
              </w:rPr>
              <w:t> </w:t>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3）关联租赁情况 " w:id="358"/>
      <w:bookmarkEnd w:id="35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8"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49"/>
        <w:ind w:right="0"/>
        <w:jc w:val="left"/>
      </w:pPr>
      <w:r>
        <w:rPr/>
        <w:t>本公司作为承租方：</w:t>
      </w:r>
    </w:p>
    <w:p>
      <w:pPr>
        <w:pStyle w:val="BodyText"/>
        <w:spacing w:line="240" w:lineRule="auto" w:before="117"/>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2"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0"/>
        <w:jc w:val="left"/>
      </w:pPr>
      <w:r>
        <w:rPr/>
        <w:t>关联租赁情况说明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bookmarkStart w:name="（4）关联担保情况 " w:id="359"/>
      <w:bookmarkEnd w:id="35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0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本公司作为被担保方</w:t>
      </w:r>
    </w:p>
    <w:p>
      <w:pPr>
        <w:pStyle w:val="BodyText"/>
        <w:spacing w:line="240" w:lineRule="auto" w:before="117"/>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韩旭、张仁华</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w w:val="100"/>
                <w:sz w:val="18"/>
                <w:szCs w:val="18"/>
              </w:rPr>
              <w:t>否</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5）关联方资金拆借 " w:id="360"/>
      <w:bookmarkEnd w:id="36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5"/>
        <w:gridCol w:w="1915"/>
        <w:gridCol w:w="1913"/>
        <w:gridCol w:w="1904"/>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关联方资产转让、债务重组情况 " w:id="361"/>
      <w:bookmarkEnd w:id="36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键管理人员报酬 " w:id="362"/>
      <w:bookmarkEnd w:id="36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396"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pacing w:val="-1"/>
                <w:sz w:val="18"/>
              </w:rPr>
              <w:t>2,435,090.00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pacing w:val="-1"/>
                <w:sz w:val="18"/>
              </w:rPr>
              <w:t>2,516,300.00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 w:id="363"/>
      <w:bookmarkEnd w:id="36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0"/>
        </w:rPr>
        <w:t>无</w:t>
      </w:r>
    </w:p>
    <w:p>
      <w:pPr>
        <w:spacing w:after="0" w:line="240" w:lineRule="auto"/>
        <w:jc w:val="left"/>
        <w:sectPr>
          <w:pgSz w:w="11910" w:h="16840"/>
          <w:pgMar w:header="745" w:footer="981"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bookmarkStart w:name="5、关联方承诺 " w:id="364"/>
      <w:bookmarkEnd w:id="364"/>
      <w:r>
        <w:rPr>
          <w:b w:val="0"/>
          <w:bCs w:val="0"/>
        </w:rPr>
      </w:r>
      <w:r>
        <w:rPr>
          <w:rFonts w:ascii="Times New Roman" w:hAnsi="Times New Roman" w:cs="Times New Roman" w:eastAsia="Times New Roman" w:hint="default"/>
        </w:rPr>
        <w:t>5</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6、其他 " w:id="365"/>
      <w:bookmarkEnd w:id="365"/>
      <w:r>
        <w:rPr/>
      </w:r>
      <w:r>
        <w:rPr>
          <w:w w:val="100"/>
        </w:rPr>
        <w:t>无</w:t>
      </w:r>
    </w:p>
    <w:p>
      <w:pPr>
        <w:spacing w:line="240" w:lineRule="auto" w:before="0"/>
        <w:rPr>
          <w:rFonts w:ascii="宋体" w:hAnsi="宋体" w:cs="宋体" w:eastAsia="宋体" w:hint="default"/>
          <w:sz w:val="18"/>
          <w:szCs w:val="18"/>
        </w:rPr>
      </w:pPr>
    </w:p>
    <w:p>
      <w:pPr>
        <w:spacing w:line="499" w:lineRule="auto" w:before="120"/>
        <w:ind w:left="152" w:right="736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承诺及或有事项 " w:id="366"/>
      <w:bookmarkEnd w:id="366"/>
      <w:r>
        <w:rPr>
          <w:rFonts w:ascii="宋体" w:hAnsi="宋体" w:cs="宋体" w:eastAsia="宋体" w:hint="default"/>
          <w:b/>
          <w:bCs/>
          <w:w w:val="100"/>
          <w:sz w:val="21"/>
          <w:szCs w:val="21"/>
        </w:rPr>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bookmarkStart w:name="1、重要承诺事项 " w:id="367"/>
      <w:bookmarkEnd w:id="36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100"/>
          <w:sz w:val="21"/>
          <w:szCs w:val="21"/>
        </w:rPr>
        <w:t> </w:t>
      </w:r>
      <w:r>
        <w:rPr>
          <w:rFonts w:ascii="宋体" w:hAnsi="宋体" w:cs="宋体" w:eastAsia="宋体" w:hint="default"/>
          <w:sz w:val="18"/>
          <w:szCs w:val="18"/>
        </w:rPr>
        <w:t>资产负债表日存在的重要承诺</w:t>
      </w:r>
    </w:p>
    <w:p>
      <w:pPr>
        <w:pStyle w:val="BodyText"/>
        <w:spacing w:line="218" w:lineRule="exact"/>
        <w:ind w:left="512" w:right="0"/>
        <w:jc w:val="left"/>
      </w:pPr>
      <w:r>
        <w:rPr/>
        <w:t>公司无重大承诺事项。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2、或有事项 " w:id="368"/>
      <w:bookmarkEnd w:id="36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 w:id="369"/>
      <w:bookmarkEnd w:id="36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w w:val="100"/>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bookmarkStart w:name="（2）公司没有需要披露的重要或有事项，也应予以说明 " w:id="370"/>
      <w:bookmarkEnd w:id="37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6619" w:firstLine="0"/>
        <w:jc w:val="left"/>
        <w:rPr>
          <w:rFonts w:ascii="宋体" w:hAnsi="宋体" w:cs="宋体" w:eastAsia="宋体" w:hint="default"/>
          <w:sz w:val="24"/>
          <w:szCs w:val="24"/>
        </w:rPr>
      </w:pPr>
      <w:bookmarkStart w:name="3、其他 " w:id="371"/>
      <w:bookmarkEnd w:id="371"/>
      <w:r>
        <w:rPr/>
      </w:r>
      <w:r>
        <w:rPr>
          <w:rFonts w:ascii="宋体" w:hAnsi="宋体" w:cs="宋体" w:eastAsia="宋体" w:hint="default"/>
          <w:spacing w:val="-1"/>
          <w:sz w:val="18"/>
          <w:szCs w:val="18"/>
        </w:rPr>
        <w:t>公司不存在需要披露的重要或有事项。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资产负债表日后事项 " w:id="372"/>
      <w:bookmarkEnd w:id="372"/>
      <w:r>
        <w:rPr>
          <w:rFonts w:ascii="宋体" w:hAnsi="宋体" w:cs="宋体" w:eastAsia="宋体" w:hint="default"/>
          <w:b/>
          <w:bCs/>
          <w:w w:val="100"/>
          <w:sz w:val="21"/>
          <w:szCs w:val="21"/>
        </w:rPr>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0"/>
        <w:jc w:val="left"/>
        <w:rPr>
          <w:b w:val="0"/>
          <w:bCs w:val="0"/>
        </w:rPr>
      </w:pPr>
      <w:bookmarkStart w:name="1、重要的非调整事项 " w:id="373"/>
      <w:bookmarkEnd w:id="37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160"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012"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r>
              <w:rPr>
                <w:rFonts w:ascii="宋体" w:hAnsi="宋体" w:cs="宋体" w:eastAsia="宋体" w:hint="default"/>
                <w:w w:val="100"/>
                <w:sz w:val="18"/>
                <w:szCs w:val="18"/>
              </w:rPr>
              <w:t> </w:t>
            </w:r>
            <w:r>
              <w:rPr>
                <w:rFonts w:ascii="宋体" w:hAnsi="宋体" w:cs="宋体" w:eastAsia="宋体" w:hint="default"/>
                <w:sz w:val="18"/>
                <w:szCs w:val="18"/>
              </w:rPr>
              <w:t>响数</w:t>
            </w:r>
          </w:p>
        </w:tc>
        <w:tc>
          <w:tcPr>
            <w:tcW w:w="239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vMerge/>
            <w:tcBorders>
              <w:left w:val="single" w:sz="4" w:space="0" w:color="000000"/>
              <w:right w:val="single" w:sz="4" w:space="0" w:color="000000"/>
            </w:tcBorders>
            <w:shd w:val="clear" w:color="auto" w:fill="D3D3D3"/>
          </w:tcPr>
          <w:p>
            <w:pPr/>
          </w:p>
        </w:tc>
        <w:tc>
          <w:tcPr>
            <w:tcW w:w="23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3"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9" w:hRule="exact"/>
        </w:trPr>
        <w:tc>
          <w:tcPr>
            <w:tcW w:w="2494" w:type="dxa"/>
            <w:vMerge w:val="restart"/>
            <w:tcBorders>
              <w:top w:val="single" w:sz="4" w:space="0" w:color="000000"/>
              <w:left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日，公司非</w:t>
            </w:r>
          </w:p>
        </w:tc>
        <w:tc>
          <w:tcPr>
            <w:tcW w:w="2390" w:type="dxa"/>
            <w:vMerge w:val="restart"/>
            <w:tcBorders>
              <w:top w:val="single" w:sz="5"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11"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公开发行股票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59,376,544</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股股份为有限售条件的流通</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00"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9" w:space="0" w:color="D3D3D3"/>
              <w:right w:val="single" w:sz="4"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股，上市日为</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217"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4" w:type="dxa"/>
            <w:vMerge/>
            <w:tcBorders>
              <w:left w:val="single" w:sz="9" w:space="0" w:color="D3D3D3"/>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75"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nil" w:sz="6" w:space="0" w:color="auto"/>
              <w:left w:val="single" w:sz="9" w:space="0" w:color="D3D3D3"/>
              <w:right w:val="single" w:sz="4" w:space="0" w:color="000000"/>
            </w:tcBorders>
          </w:tcPr>
          <w:p>
            <w:pPr>
              <w:pStyle w:val="TableParagraph"/>
              <w:spacing w:line="240" w:lineRule="auto" w:before="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日。根据《上市公司证券</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137" w:hRule="exact"/>
        </w:trPr>
        <w:tc>
          <w:tcPr>
            <w:tcW w:w="2494" w:type="dxa"/>
            <w:vMerge w:val="restart"/>
            <w:tcBorders>
              <w:top w:val="nil" w:sz="6" w:space="0" w:color="auto"/>
              <w:left w:val="single" w:sz="4" w:space="0" w:color="000000"/>
              <w:right w:val="single" w:sz="4" w:space="0" w:color="000000"/>
            </w:tcBorders>
            <w:shd w:val="clear" w:color="auto" w:fill="D3D3D3"/>
          </w:tcPr>
          <w:p>
            <w:pPr/>
          </w:p>
        </w:tc>
        <w:tc>
          <w:tcPr>
            <w:tcW w:w="2294" w:type="dxa"/>
            <w:vMerge/>
            <w:tcBorders>
              <w:left w:val="single" w:sz="9" w:space="0" w:color="D3D3D3"/>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发行管理办法》的规定，本</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次发行新增 </w:t>
            </w:r>
            <w:r>
              <w:rPr>
                <w:rFonts w:ascii="Times New Roman" w:hAnsi="Times New Roman" w:cs="Times New Roman" w:eastAsia="Times New Roman" w:hint="default"/>
                <w:sz w:val="18"/>
                <w:szCs w:val="18"/>
              </w:rPr>
              <w:t>59,376,544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份的限售期为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个月，预</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319" w:hRule="exact"/>
        </w:trPr>
        <w:tc>
          <w:tcPr>
            <w:tcW w:w="2494" w:type="dxa"/>
            <w:vMerge w:val="restart"/>
            <w:tcBorders>
              <w:top w:val="single" w:sz="4" w:space="0" w:color="000000"/>
              <w:left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计上市流通时间为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p>
        </w:tc>
        <w:tc>
          <w:tcPr>
            <w:tcW w:w="2390" w:type="dxa"/>
            <w:vMerge w:val="restart"/>
            <w:tcBorders>
              <w:top w:val="single" w:sz="4" w:space="0" w:color="000000"/>
              <w:left w:val="single" w:sz="4" w:space="0" w:color="000000"/>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日（如遇非交易日</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pacing w:val="-1"/>
                <w:w w:val="100"/>
                <w:sz w:val="18"/>
                <w:szCs w:val="18"/>
              </w:rPr>
              <w:t>顺延</w:t>
            </w:r>
            <w:r>
              <w:rPr>
                <w:rFonts w:ascii="宋体" w:hAnsi="宋体" w:cs="宋体" w:eastAsia="宋体" w:hint="default"/>
                <w:spacing w:val="-92"/>
                <w:w w:val="100"/>
                <w:sz w:val="18"/>
                <w:szCs w:val="18"/>
              </w:rPr>
              <w:t>）</w:t>
            </w:r>
            <w:r>
              <w:rPr>
                <w:rFonts w:ascii="宋体" w:hAnsi="宋体" w:cs="宋体" w:eastAsia="宋体" w:hint="default"/>
                <w:spacing w:val="-13"/>
                <w:w w:val="100"/>
                <w:sz w:val="18"/>
                <w:szCs w:val="18"/>
              </w:rPr>
              <w:t>。</w:t>
            </w:r>
            <w:r>
              <w:rPr>
                <w:rFonts w:ascii="宋体" w:hAnsi="宋体" w:cs="宋体" w:eastAsia="宋体" w:hint="default"/>
                <w:spacing w:val="-1"/>
                <w:w w:val="100"/>
                <w:sz w:val="18"/>
                <w:szCs w:val="18"/>
              </w:rPr>
              <w:t>根据深圳证券交易</w:t>
            </w:r>
            <w:r>
              <w:rPr>
                <w:rFonts w:ascii="宋体" w:hAnsi="宋体" w:cs="宋体" w:eastAsia="宋体" w:hint="default"/>
                <w:w w:val="100"/>
                <w:sz w:val="18"/>
                <w:szCs w:val="18"/>
              </w:rPr>
              <w:t>所</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2"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交易规则规定，公司股票在</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pacing w:val="-12"/>
                <w:sz w:val="18"/>
                <w:szCs w:val="18"/>
              </w:rPr>
              <w:t>日（即上市</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2494" w:type="dxa"/>
            <w:vMerge/>
            <w:tcBorders>
              <w:left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1" w:right="0"/>
              <w:jc w:val="left"/>
              <w:rPr>
                <w:rFonts w:ascii="宋体" w:hAnsi="宋体" w:cs="宋体" w:eastAsia="宋体" w:hint="default"/>
                <w:sz w:val="18"/>
                <w:szCs w:val="18"/>
              </w:rPr>
            </w:pPr>
            <w:r>
              <w:rPr>
                <w:rFonts w:ascii="宋体" w:hAnsi="宋体" w:cs="宋体" w:eastAsia="宋体" w:hint="default"/>
                <w:sz w:val="18"/>
                <w:szCs w:val="18"/>
              </w:rPr>
              <w:t>日）不除权，交易设涨跌幅</w:t>
            </w:r>
          </w:p>
        </w:tc>
        <w:tc>
          <w:tcPr>
            <w:tcW w:w="2390" w:type="dxa"/>
            <w:vMerge/>
            <w:tcBorders>
              <w:left w:val="single" w:sz="4" w:space="0" w:color="000000"/>
              <w:right w:val="single" w:sz="4" w:space="0" w:color="000000"/>
            </w:tcBorders>
          </w:tcPr>
          <w:p>
            <w:pPr/>
          </w:p>
        </w:tc>
        <w:tc>
          <w:tcPr>
            <w:tcW w:w="2390" w:type="dxa"/>
            <w:vMerge/>
            <w:tcBorders>
              <w:left w:val="single" w:sz="4" w:space="0" w:color="000000"/>
              <w:right w:val="single" w:sz="4" w:space="0" w:color="000000"/>
            </w:tcBorders>
          </w:tcPr>
          <w:p>
            <w:pPr/>
          </w:p>
        </w:tc>
      </w:tr>
      <w:tr>
        <w:trPr>
          <w:trHeight w:val="360"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bookmarkStart w:name="2、利润分配情况 " w:id="374"/>
            <w:bookmarkEnd w:id="374"/>
            <w:r>
              <w:rPr/>
            </w:r>
            <w:r>
              <w:rPr>
                <w:rFonts w:ascii="宋体" w:hAnsi="宋体" w:cs="宋体" w:eastAsia="宋体" w:hint="default"/>
                <w:sz w:val="18"/>
                <w:szCs w:val="18"/>
              </w:rPr>
              <w:t>限制。</w:t>
            </w:r>
          </w:p>
        </w:tc>
        <w:tc>
          <w:tcPr>
            <w:tcW w:w="2390" w:type="dxa"/>
            <w:vMerge/>
            <w:tcBorders>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72"/>
        <w:gridCol w:w="4597"/>
      </w:tblGrid>
      <w:tr>
        <w:trPr>
          <w:trHeight w:val="403"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9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18,299,935.10</w:t>
            </w:r>
          </w:p>
        </w:tc>
      </w:tr>
      <w:tr>
        <w:trPr>
          <w:trHeight w:val="401"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3、销售退回 " w:id="375"/>
            <w:bookmarkEnd w:id="375"/>
            <w:r>
              <w:rPr/>
            </w:r>
            <w:r>
              <w:rPr>
                <w:rFonts w:ascii="宋体" w:hAnsi="宋体" w:cs="宋体" w:eastAsia="宋体" w:hint="default"/>
                <w:sz w:val="18"/>
                <w:szCs w:val="18"/>
              </w:rPr>
              <w:t>经审议批准宣告发放的利润或股利</w:t>
            </w:r>
          </w:p>
        </w:tc>
        <w:tc>
          <w:tcPr>
            <w:tcW w:w="4597"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18,299,935.10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bookmarkStart w:name="4、其他资产负债表日后事项说明 " w:id="376"/>
      <w:bookmarkEnd w:id="376"/>
      <w:r>
        <w:rPr/>
      </w: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bookmarkStart w:name="十四、母公司财务报表主要项目注释 " w:id="377"/>
      <w:bookmarkEnd w:id="377"/>
      <w:r>
        <w:rPr/>
      </w:r>
      <w:r>
        <w:rPr>
          <w:w w:val="100"/>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 w:id="378"/>
      <w:bookmarkEnd w:id="378"/>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 w:id="379"/>
      <w:bookmarkEnd w:id="37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3D3D3"/>
          </w:tcPr>
          <w:p>
            <w:pPr/>
          </w:p>
        </w:tc>
        <w:tc>
          <w:tcPr>
            <w:tcW w:w="384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4" w:type="dxa"/>
            <w:vMerge/>
            <w:tcBorders>
              <w:left w:val="single" w:sz="4" w:space="0" w:color="000000"/>
              <w:bottom w:val="nil" w:sz="6" w:space="0" w:color="auto"/>
              <w:right w:val="single" w:sz="4" w:space="0" w:color="000000"/>
            </w:tcBorders>
            <w:shd w:val="clear" w:color="auto" w:fill="D3D3D3"/>
          </w:tcPr>
          <w:p>
            <w:pPr/>
          </w:p>
        </w:tc>
        <w:tc>
          <w:tcPr>
            <w:tcW w:w="15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3D3D3"/>
          </w:tcPr>
          <w:p>
            <w:pPr/>
          </w:p>
        </w:tc>
        <w:tc>
          <w:tcPr>
            <w:tcW w:w="14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3D3D3"/>
          </w:tcPr>
          <w:p>
            <w:pP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7" w:type="dxa"/>
            <w:gridSpan w:val="2"/>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24" w:type="dxa"/>
            <w:vMerge/>
            <w:tcBorders>
              <w:left w:val="single" w:sz="4" w:space="0" w:color="000000"/>
              <w:bottom w:val="single" w:sz="7" w:space="0" w:color="FFFFFF"/>
              <w:right w:val="single" w:sz="4" w:space="0" w:color="000000"/>
            </w:tcBorders>
            <w:shd w:val="clear" w:color="auto" w:fill="D3D3D3"/>
          </w:tcPr>
          <w:p>
            <w:pPr/>
          </w:p>
        </w:tc>
        <w:tc>
          <w:tcPr>
            <w:tcW w:w="774"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1"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auto" w:before="49"/>
              <w:ind w:left="285" w:right="105" w:hanging="180"/>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1"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7" w:space="0" w:color="FFFFFF"/>
              <w:left w:val="single" w:sz="4" w:space="0" w:color="000000"/>
              <w:right w:val="single" w:sz="4" w:space="0" w:color="000000"/>
            </w:tcBorders>
            <w:shd w:val="clear" w:color="auto" w:fill="D3D3D3"/>
          </w:tcPr>
          <w:p>
            <w:pPr/>
          </w:p>
        </w:tc>
        <w:tc>
          <w:tcPr>
            <w:tcW w:w="774"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6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204" w:hRule="exact"/>
        </w:trPr>
        <w:tc>
          <w:tcPr>
            <w:tcW w:w="1624" w:type="dxa"/>
            <w:vMerge/>
            <w:tcBorders>
              <w:left w:val="single" w:sz="4" w:space="0" w:color="000000"/>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right w:val="single" w:sz="4" w:space="0" w:color="000000"/>
            </w:tcBorders>
            <w:shd w:val="clear" w:color="auto" w:fill="D3D3D3"/>
          </w:tcPr>
          <w:p>
            <w:pPr/>
          </w:p>
        </w:tc>
        <w:tc>
          <w:tcPr>
            <w:tcW w:w="787" w:type="dxa"/>
            <w:vMerge w:val="restart"/>
            <w:tcBorders>
              <w:top w:val="nil" w:sz="6" w:space="0" w:color="auto"/>
              <w:left w:val="single" w:sz="4" w:space="0" w:color="000000"/>
              <w:right w:val="single" w:sz="4" w:space="0" w:color="000000"/>
            </w:tcBorders>
            <w:shd w:val="clear" w:color="auto" w:fill="D3D3D3"/>
          </w:tcPr>
          <w:p>
            <w:pPr/>
          </w:p>
        </w:tc>
        <w:tc>
          <w:tcPr>
            <w:tcW w:w="655"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24" w:type="dxa"/>
            <w:vMerge/>
            <w:tcBorders>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100"/>
                <w:sz w:val="18"/>
                <w:szCs w:val="18"/>
              </w:rPr>
              <w:t> </w:t>
            </w:r>
            <w:r>
              <w:rPr>
                <w:rFonts w:ascii="宋体" w:hAnsi="宋体" w:cs="宋体" w:eastAsia="宋体" w:hint="default"/>
                <w:sz w:val="18"/>
                <w:szCs w:val="18"/>
              </w:rPr>
              <w:t>合计提坏账准备的</w:t>
            </w:r>
            <w:r>
              <w:rPr>
                <w:rFonts w:ascii="宋体" w:hAnsi="宋体" w:cs="宋体" w:eastAsia="宋体" w:hint="default"/>
                <w:w w:val="100"/>
                <w:sz w:val="18"/>
                <w:szCs w:val="18"/>
              </w:rPr>
              <w:t> </w:t>
            </w:r>
            <w:r>
              <w:rPr>
                <w:rFonts w:ascii="宋体" w:hAnsi="宋体" w:cs="宋体" w:eastAsia="宋体" w:hint="default"/>
                <w:sz w:val="18"/>
                <w:szCs w:val="18"/>
              </w:rPr>
              <w:t>应收账款</w:t>
            </w:r>
          </w:p>
        </w:tc>
        <w:tc>
          <w:tcPr>
            <w:tcW w:w="7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2,343,62</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0,458.26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44,148,3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15.64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2,299,472</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,142.62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96,767.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35,016,44</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3.23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1,779,280,3</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24.60</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单项金额不重大但</w:t>
            </w:r>
            <w:r>
              <w:rPr>
                <w:rFonts w:ascii="宋体" w:hAnsi="宋体" w:cs="宋体" w:eastAsia="宋体" w:hint="default"/>
                <w:w w:val="100"/>
                <w:sz w:val="18"/>
                <w:szCs w:val="18"/>
              </w:rPr>
              <w:t> </w:t>
            </w:r>
            <w:r>
              <w:rPr>
                <w:rFonts w:ascii="宋体" w:hAnsi="宋体" w:cs="宋体" w:eastAsia="宋体" w:hint="default"/>
                <w:sz w:val="18"/>
                <w:szCs w:val="18"/>
              </w:rPr>
              <w:t>单独计提坏账准备</w:t>
            </w:r>
            <w:r>
              <w:rPr>
                <w:rFonts w:ascii="宋体" w:hAnsi="宋体" w:cs="宋体" w:eastAsia="宋体" w:hint="default"/>
                <w:w w:val="100"/>
                <w:sz w:val="18"/>
                <w:szCs w:val="18"/>
              </w:rPr>
              <w:t> </w:t>
            </w:r>
            <w:r>
              <w:rPr>
                <w:rFonts w:ascii="宋体" w:hAnsi="宋体" w:cs="宋体" w:eastAsia="宋体" w:hint="default"/>
                <w:sz w:val="18"/>
                <w:szCs w:val="18"/>
              </w:rPr>
              <w:t>的应收账款</w:t>
            </w:r>
          </w:p>
        </w:tc>
        <w:tc>
          <w:tcPr>
            <w:tcW w:w="7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1,082,89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1,082,893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4,781,8</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17.55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4,751,416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30,401.40</w:t>
            </w:r>
          </w:p>
        </w:tc>
      </w:tr>
      <w:tr>
        <w:trPr>
          <w:trHeight w:val="317" w:hRule="exact"/>
        </w:trPr>
        <w:tc>
          <w:tcPr>
            <w:tcW w:w="1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2,344,70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3,351.86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44,148,3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15.64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1.88%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2,300,555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,036.22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39,767,85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9.38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2.19%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1,779,310,7</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26.00</w:t>
            </w:r>
          </w:p>
        </w:tc>
      </w:tr>
      <w:tr>
        <w:trPr>
          <w:trHeight w:val="393" w:hRule="exact"/>
        </w:trPr>
        <w:tc>
          <w:tcPr>
            <w:tcW w:w="1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3D3D3"/>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vMerge/>
            <w:tcBorders>
              <w:left w:val="single" w:sz="9" w:space="0" w:color="D3D3D3"/>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1" w:top="1060" w:bottom="1180" w:left="980" w:right="980"/>
        </w:sectPr>
      </w:pPr>
    </w:p>
    <w:p>
      <w:pPr>
        <w:pStyle w:val="BodyText"/>
        <w:spacing w:line="240" w:lineRule="auto" w:before="44"/>
        <w:ind w:right="0"/>
        <w:jc w:val="left"/>
      </w:pPr>
      <w:r>
        <w:rPr>
          <w:spacing w:val="-1"/>
        </w:rPr>
        <w:t>期末单项金额重大并单项计提坏账准备的应收账款：</w:t>
      </w:r>
    </w:p>
    <w:p>
      <w:pPr>
        <w:pStyle w:val="BodyText"/>
        <w:spacing w:line="357" w:lineRule="auto" w:before="117"/>
        <w:ind w:right="0"/>
        <w:jc w:val="left"/>
      </w:pPr>
      <w:r>
        <w:rPr/>
        <w:t>□ 适用 √ 不适用</w:t>
      </w:r>
      <w:r>
        <w:rPr>
          <w:w w:val="100"/>
        </w:rPr>
        <w:t> </w:t>
      </w:r>
      <w:r>
        <w:rPr>
          <w:spacing w:val="-1"/>
        </w:rPr>
        <w:t>组合中，按账龄分析法计提坏账准备的应收账款：</w:t>
      </w:r>
    </w:p>
    <w:p>
      <w:pPr>
        <w:pStyle w:val="BodyText"/>
        <w:spacing w:line="240" w:lineRule="auto" w:before="29"/>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3"/>
            <w:col w:w="11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4"/>
        <w:gridCol w:w="2390"/>
        <w:gridCol w:w="2390"/>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2,155,837,840.06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21,558,378.40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160,481,817.24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8,024,090.86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25,469,909.16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12,734,954.58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1,830,891.80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1,830,891.80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2,343,620,458.26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44,148,315.64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1.88%</w:t>
            </w:r>
          </w:p>
        </w:tc>
      </w:tr>
    </w:tbl>
    <w:p>
      <w:pPr>
        <w:pStyle w:val="BodyText"/>
        <w:spacing w:line="360" w:lineRule="auto" w:before="49"/>
        <w:ind w:left="512" w:right="0" w:hanging="360"/>
        <w:jc w:val="left"/>
      </w:pPr>
      <w:r>
        <w:rPr/>
        <w:t>确定该组合依据的说明：</w:t>
      </w:r>
      <w:r>
        <w:rPr>
          <w:w w:val="100"/>
        </w:rPr>
        <w:t> </w:t>
      </w:r>
      <w:r>
        <w:rPr>
          <w:spacing w:val="-3"/>
        </w:rPr>
        <w:t>除单独计提减值准备的应收账款外，公司根据以前年度与之相同或相类似的、按账龄段划分的具有类似信用风险特征的</w:t>
      </w:r>
    </w:p>
    <w:p>
      <w:pPr>
        <w:pStyle w:val="BodyText"/>
        <w:spacing w:line="222" w:lineRule="exact"/>
        <w:ind w:right="0"/>
        <w:jc w:val="left"/>
      </w:pPr>
      <w:r>
        <w:rPr/>
        <w:t>应收账款组合的实际损失率为基础，结合现时情况分析确定坏账准备计提的比例。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组合中，采用余额百分比法计提坏账准备的应收账款：</w:t>
      </w:r>
    </w:p>
    <w:p>
      <w:pPr>
        <w:pStyle w:val="BodyText"/>
        <w:spacing w:line="360" w:lineRule="auto" w:before="114"/>
        <w:ind w:right="5260"/>
        <w:jc w:val="left"/>
      </w:pPr>
      <w:r>
        <w:rPr/>
        <w:t>□ 适用 √ 不适用</w:t>
      </w:r>
      <w:r>
        <w:rPr>
          <w:w w:val="100"/>
        </w:rPr>
        <w:t> </w:t>
      </w:r>
      <w:bookmarkStart w:name="（2）本期计提、收回或转回的坏账准备情况 " w:id="380"/>
      <w:bookmarkEnd w:id="380"/>
      <w:r>
        <w:rPr>
          <w:spacing w:val="-1"/>
        </w:rPr>
        <w:t>组</w:t>
      </w:r>
      <w:r>
        <w:rPr>
          <w:spacing w:val="-1"/>
        </w:rPr>
        <w:t>合中，采用其他方法计提坏账准备的应收账款：</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80" w:left="980" w:right="980"/>
        </w:sectPr>
      </w:pPr>
    </w:p>
    <w:p>
      <w:pPr>
        <w:pStyle w:val="BodyText"/>
        <w:spacing w:line="340" w:lineRule="auto" w:before="44"/>
        <w:ind w:right="0"/>
        <w:jc w:val="left"/>
      </w:pPr>
      <w:r>
        <w:rPr/>
        <w:t>本期计提坏账准备金额</w:t>
      </w:r>
      <w:r>
        <w:rPr>
          <w:spacing w:val="-55"/>
        </w:rPr>
        <w:t> </w:t>
      </w:r>
      <w:r>
        <w:rPr>
          <w:rFonts w:ascii="Times New Roman" w:hAnsi="Times New Roman" w:cs="Times New Roman" w:eastAsia="Times New Roman" w:hint="default"/>
        </w:rPr>
        <w:t>9,131,872.41</w:t>
      </w:r>
      <w:r>
        <w:rPr>
          <w:rFonts w:ascii="Times New Roman" w:hAnsi="Times New Roman" w:cs="Times New Roman" w:eastAsia="Times New Roman" w:hint="default"/>
          <w:spacing w:val="-8"/>
        </w:rPr>
        <w:t> </w:t>
      </w:r>
      <w:r>
        <w:rPr/>
        <w:t>元；本期收回或转回坏账准备金额元。</w:t>
      </w:r>
      <w:r>
        <w:rPr>
          <w:w w:val="100"/>
        </w:rPr>
        <w:t> </w:t>
      </w:r>
      <w:r>
        <w:rPr/>
        <w:t>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bookmarkStart w:name="（3）本期实际核销的应收账款情况 " w:id="381"/>
            <w:bookmarkEnd w:id="381"/>
            <w:r>
              <w:rPr/>
            </w: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2"/>
        <w:gridCol w:w="4586"/>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山东欣康祺医药有限公司</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4,751,416.15</w:t>
            </w:r>
          </w:p>
        </w:tc>
      </w:tr>
    </w:tbl>
    <w:p>
      <w:pPr>
        <w:pStyle w:val="BodyText"/>
        <w:spacing w:line="240" w:lineRule="auto" w:before="49"/>
        <w:ind w:right="0"/>
        <w:jc w:val="left"/>
      </w:pPr>
      <w:r>
        <w:rPr/>
        <w:t>其中重要的应收账款核销情况：</w:t>
      </w:r>
    </w:p>
    <w:p>
      <w:pPr>
        <w:pStyle w:val="BodyText"/>
        <w:spacing w:line="240" w:lineRule="auto" w:before="117"/>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34" w:right="77" w:hanging="449"/>
              <w:jc w:val="left"/>
              <w:rPr>
                <w:rFonts w:ascii="宋体" w:hAnsi="宋体" w:cs="宋体" w:eastAsia="宋体" w:hint="default"/>
                <w:sz w:val="18"/>
                <w:szCs w:val="18"/>
              </w:rPr>
            </w:pPr>
            <w:r>
              <w:rPr>
                <w:rFonts w:ascii="宋体" w:hAnsi="宋体" w:cs="宋体" w:eastAsia="宋体" w:hint="default"/>
                <w:sz w:val="18"/>
                <w:szCs w:val="18"/>
              </w:rPr>
              <w:t>款项是否由关联交</w:t>
            </w:r>
            <w:r>
              <w:rPr>
                <w:rFonts w:ascii="宋体" w:hAnsi="宋体" w:cs="宋体" w:eastAsia="宋体" w:hint="default"/>
                <w:w w:val="100"/>
                <w:sz w:val="18"/>
                <w:szCs w:val="18"/>
              </w:rPr>
              <w:t> </w:t>
            </w:r>
            <w:r>
              <w:rPr>
                <w:rFonts w:ascii="宋体" w:hAnsi="宋体" w:cs="宋体" w:eastAsia="宋体" w:hint="default"/>
                <w:sz w:val="18"/>
                <w:szCs w:val="18"/>
              </w:rPr>
              <w:t>易产生</w:t>
            </w:r>
          </w:p>
        </w:tc>
      </w:tr>
    </w:tbl>
    <w:p>
      <w:pPr>
        <w:pStyle w:val="BodyText"/>
        <w:spacing w:line="240" w:lineRule="auto" w:before="49"/>
        <w:ind w:right="0"/>
        <w:jc w:val="left"/>
      </w:pPr>
      <w:r>
        <w:rPr/>
        <w:t>应收账款核销说明：</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该公司工商营业执照已被吊销，无法收回。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bookmarkStart w:name="（4）按欠款方归集的期末余额前五名的应收账款情况 " w:id="382"/>
      <w:bookmarkEnd w:id="38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2"/>
        <w:jc w:val="right"/>
      </w:pPr>
      <w:r>
        <w:rPr>
          <w:spacing w:val="6"/>
        </w:rPr>
        <w:t>本报告期按欠款方归集的期末余额前五名应收账款汇总金额</w:t>
      </w:r>
      <w:r>
        <w:rPr>
          <w:rFonts w:ascii="Times New Roman" w:hAnsi="Times New Roman" w:cs="Times New Roman" w:eastAsia="Times New Roman" w:hint="default"/>
          <w:spacing w:val="6"/>
        </w:rPr>
        <w:t>274,759,988.29</w:t>
      </w:r>
      <w:r>
        <w:rPr>
          <w:spacing w:val="6"/>
        </w:rPr>
        <w:t>元，占应收账款期末余额合计数的比例</w:t>
      </w:r>
    </w:p>
    <w:p>
      <w:pPr>
        <w:pStyle w:val="BodyText"/>
        <w:spacing w:line="240" w:lineRule="auto" w:before="62"/>
        <w:ind w:right="0"/>
        <w:jc w:val="left"/>
      </w:pPr>
      <w:r>
        <w:rPr>
          <w:rFonts w:ascii="Times New Roman" w:hAnsi="Times New Roman" w:cs="Times New Roman" w:eastAsia="Times New Roman" w:hint="default"/>
        </w:rPr>
        <w:t>11.72%</w:t>
      </w:r>
      <w:r>
        <w:rPr/>
        <w:t>，相应计提的坏账准备期末余额汇总金额</w:t>
      </w:r>
      <w:r>
        <w:rPr>
          <w:rFonts w:ascii="Times New Roman" w:hAnsi="Times New Roman" w:cs="Times New Roman" w:eastAsia="Times New Roman" w:hint="default"/>
        </w:rPr>
        <w:t>2,747,599.87</w:t>
      </w:r>
      <w:r>
        <w:rPr>
          <w:rFonts w:ascii="Times New Roman" w:hAnsi="Times New Roman" w:cs="Times New Roman" w:eastAsia="Times New Roman" w:hint="default"/>
          <w:spacing w:val="7"/>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left"/>
        <w:rPr>
          <w:b w:val="0"/>
          <w:bCs w:val="0"/>
        </w:rPr>
      </w:pPr>
      <w:bookmarkStart w:name="（5）因金融资产转移而终止确认的应收账款 " w:id="383"/>
      <w:bookmarkEnd w:id="38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bookmarkStart w:name="（6）转移应收账款且继续涉入形成的资产、负债金额 " w:id="384"/>
      <w:bookmarkEnd w:id="384"/>
      <w:r>
        <w:rPr/>
      </w: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3"/>
        <w:jc w:val="left"/>
      </w:pPr>
      <w:r>
        <w:rPr/>
        <w:t>无</w:t>
      </w:r>
      <w:r>
        <w:rPr>
          <w:w w:val="100"/>
        </w:rPr>
        <w:t> </w:t>
      </w:r>
      <w:bookmarkStart w:name="2、其他应收款 " w:id="385"/>
      <w:bookmarkEnd w:id="385"/>
      <w:r>
        <w:rPr/>
        <w:t>其</w:t>
      </w:r>
      <w:r>
        <w:rPr/>
        <w:t>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 w:id="386"/>
      <w:bookmarkEnd w:id="38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7"/>
        <w:gridCol w:w="655"/>
        <w:gridCol w:w="761"/>
        <w:gridCol w:w="814"/>
        <w:gridCol w:w="934"/>
        <w:gridCol w:w="931"/>
      </w:tblGrid>
      <w:tr>
        <w:trPr>
          <w:trHeight w:val="397" w:hRule="exact"/>
        </w:trPr>
        <w:tc>
          <w:tcPr>
            <w:tcW w:w="1624" w:type="dxa"/>
            <w:vMerge w:val="restart"/>
            <w:tcBorders>
              <w:top w:val="single" w:sz="4" w:space="0" w:color="000000"/>
              <w:left w:val="single" w:sz="4" w:space="0" w:color="000000"/>
              <w:right w:val="single" w:sz="4" w:space="0" w:color="000000"/>
            </w:tcBorders>
            <w:shd w:val="clear" w:color="auto" w:fill="D3D3D3"/>
          </w:tcPr>
          <w:p>
            <w:pPr/>
          </w:p>
        </w:tc>
        <w:tc>
          <w:tcPr>
            <w:tcW w:w="3848" w:type="dxa"/>
            <w:gridSpan w:val="5"/>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1" w:space="0" w:color="FFFFFF"/>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9" w:hRule="exact"/>
        </w:trPr>
        <w:tc>
          <w:tcPr>
            <w:tcW w:w="1624" w:type="dxa"/>
            <w:vMerge/>
            <w:tcBorders>
              <w:left w:val="single" w:sz="4" w:space="0" w:color="000000"/>
              <w:bottom w:val="nil" w:sz="6" w:space="0" w:color="auto"/>
              <w:right w:val="single" w:sz="4" w:space="0" w:color="000000"/>
            </w:tcBorders>
            <w:shd w:val="clear" w:color="auto" w:fill="D3D3D3"/>
          </w:tcPr>
          <w:p>
            <w:pPr/>
          </w:p>
        </w:tc>
        <w:tc>
          <w:tcPr>
            <w:tcW w:w="1535" w:type="dxa"/>
            <w:gridSpan w:val="2"/>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1" w:space="0" w:color="FFFFFF"/>
              <w:left w:val="single" w:sz="4" w:space="0" w:color="000000"/>
              <w:right w:val="single" w:sz="4" w:space="0" w:color="000000"/>
            </w:tcBorders>
            <w:shd w:val="clear" w:color="auto" w:fill="D3D3D3"/>
          </w:tcPr>
          <w:p>
            <w:pPr/>
          </w:p>
        </w:tc>
        <w:tc>
          <w:tcPr>
            <w:tcW w:w="1416" w:type="dxa"/>
            <w:gridSpan w:val="2"/>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1" w:space="0" w:color="FFFFFF"/>
              <w:left w:val="single" w:sz="4" w:space="0" w:color="000000"/>
              <w:right w:val="single" w:sz="4" w:space="0" w:color="000000"/>
            </w:tcBorders>
            <w:shd w:val="clear" w:color="auto" w:fill="D3D3D3"/>
          </w:tcPr>
          <w:p>
            <w:pPr>
              <w:pStyle w:val="TableParagraph"/>
              <w:spacing w:line="240" w:lineRule="auto" w:before="58"/>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1" w:space="0" w:color="FFFFFF"/>
              <w:left w:val="single" w:sz="4" w:space="0" w:color="000000"/>
              <w:right w:val="single" w:sz="4" w:space="0" w:color="000000"/>
            </w:tcBorders>
            <w:shd w:val="clear" w:color="auto" w:fill="D3D3D3"/>
          </w:tcPr>
          <w:p>
            <w:pPr/>
          </w:p>
        </w:tc>
      </w:tr>
      <w:tr>
        <w:trPr>
          <w:trHeight w:val="247" w:hRule="exact"/>
        </w:trPr>
        <w:tc>
          <w:tcPr>
            <w:tcW w:w="162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3D3D3"/>
          </w:tcPr>
          <w:p>
            <w:pPr/>
          </w:p>
        </w:tc>
        <w:tc>
          <w:tcPr>
            <w:tcW w:w="1526" w:type="dxa"/>
            <w:gridSpan w:val="2"/>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1416" w:type="dxa"/>
            <w:gridSpan w:val="2"/>
            <w:vMerge/>
            <w:tcBorders>
              <w:left w:val="single" w:sz="4" w:space="0" w:color="000000"/>
              <w:bottom w:val="single" w:sz="4" w:space="0" w:color="000000"/>
              <w:right w:val="single" w:sz="4" w:space="0" w:color="000000"/>
            </w:tcBorders>
            <w:shd w:val="clear" w:color="auto" w:fill="D3D3D3"/>
          </w:tcPr>
          <w:p>
            <w:pPr/>
          </w:p>
        </w:tc>
        <w:tc>
          <w:tcPr>
            <w:tcW w:w="1747" w:type="dxa"/>
            <w:gridSpan w:val="2"/>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156" w:hRule="exact"/>
        </w:trPr>
        <w:tc>
          <w:tcPr>
            <w:tcW w:w="1624" w:type="dxa"/>
            <w:vMerge/>
            <w:tcBorders>
              <w:left w:val="single" w:sz="4" w:space="0" w:color="000000"/>
              <w:bottom w:val="single" w:sz="7" w:space="0" w:color="FFFFFF"/>
              <w:right w:val="single" w:sz="4" w:space="0" w:color="000000"/>
            </w:tcBorders>
            <w:shd w:val="clear" w:color="auto" w:fill="D3D3D3"/>
          </w:tcPr>
          <w:p>
            <w:pPr/>
          </w:p>
        </w:tc>
        <w:tc>
          <w:tcPr>
            <w:tcW w:w="774"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1"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49"/>
              <w:ind w:left="285" w:right="105" w:hanging="180"/>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w w:val="100"/>
                <w:sz w:val="18"/>
                <w:szCs w:val="18"/>
              </w:rPr>
              <w:t> </w:t>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3D3D3"/>
          </w:tcPr>
          <w:p>
            <w:pPr/>
          </w:p>
        </w:tc>
        <w:tc>
          <w:tcPr>
            <w:tcW w:w="761"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4" w:type="dxa"/>
            <w:tcBorders>
              <w:top w:val="single" w:sz="4" w:space="0" w:color="000000"/>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24" w:type="dxa"/>
            <w:vMerge w:val="restart"/>
            <w:tcBorders>
              <w:top w:val="single" w:sz="7" w:space="0" w:color="FFFFFF"/>
              <w:left w:val="single" w:sz="4" w:space="0" w:color="000000"/>
              <w:right w:val="single" w:sz="4" w:space="0" w:color="000000"/>
            </w:tcBorders>
            <w:shd w:val="clear" w:color="auto" w:fill="D3D3D3"/>
          </w:tcPr>
          <w:p>
            <w:pPr/>
          </w:p>
        </w:tc>
        <w:tc>
          <w:tcPr>
            <w:tcW w:w="774"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5"/>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5"/>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6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3D3D3"/>
          </w:tcPr>
          <w:p>
            <w:pPr/>
          </w:p>
        </w:tc>
      </w:tr>
      <w:tr>
        <w:trPr>
          <w:trHeight w:val="204" w:hRule="exact"/>
        </w:trPr>
        <w:tc>
          <w:tcPr>
            <w:tcW w:w="1624" w:type="dxa"/>
            <w:vMerge/>
            <w:tcBorders>
              <w:left w:val="single" w:sz="4" w:space="0" w:color="000000"/>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3" w:type="dxa"/>
            <w:vMerge/>
            <w:tcBorders>
              <w:left w:val="single" w:sz="4" w:space="0" w:color="000000"/>
              <w:right w:val="single" w:sz="4" w:space="0" w:color="000000"/>
            </w:tcBorders>
            <w:shd w:val="clear" w:color="auto" w:fill="D3D3D3"/>
          </w:tcPr>
          <w:p>
            <w:pPr/>
          </w:p>
        </w:tc>
        <w:tc>
          <w:tcPr>
            <w:tcW w:w="787" w:type="dxa"/>
            <w:vMerge w:val="restart"/>
            <w:tcBorders>
              <w:top w:val="nil" w:sz="6" w:space="0" w:color="auto"/>
              <w:left w:val="single" w:sz="4" w:space="0" w:color="000000"/>
              <w:right w:val="single" w:sz="4" w:space="0" w:color="000000"/>
            </w:tcBorders>
            <w:shd w:val="clear" w:color="auto" w:fill="D3D3D3"/>
          </w:tcPr>
          <w:p>
            <w:pPr/>
          </w:p>
        </w:tc>
        <w:tc>
          <w:tcPr>
            <w:tcW w:w="655" w:type="dxa"/>
            <w:vMerge/>
            <w:tcBorders>
              <w:left w:val="single" w:sz="4" w:space="0" w:color="000000"/>
              <w:bottom w:val="nil" w:sz="6" w:space="0" w:color="auto"/>
              <w:right w:val="single" w:sz="4" w:space="0" w:color="000000"/>
            </w:tcBorders>
            <w:shd w:val="clear" w:color="auto" w:fill="D3D3D3"/>
          </w:tcPr>
          <w:p>
            <w:pPr/>
          </w:p>
        </w:tc>
        <w:tc>
          <w:tcPr>
            <w:tcW w:w="761"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bottom w:val="nil" w:sz="6" w:space="0" w:color="auto"/>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r>
      <w:tr>
        <w:trPr>
          <w:trHeight w:val="163" w:hRule="exact"/>
        </w:trPr>
        <w:tc>
          <w:tcPr>
            <w:tcW w:w="1624" w:type="dxa"/>
            <w:vMerge/>
            <w:tcBorders>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3"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nil" w:sz="6" w:space="0" w:color="auto"/>
              <w:left w:val="single" w:sz="4" w:space="0" w:color="000000"/>
              <w:bottom w:val="single" w:sz="4" w:space="0" w:color="000000"/>
              <w:right w:val="single" w:sz="4" w:space="0" w:color="000000"/>
            </w:tcBorders>
            <w:shd w:val="clear" w:color="auto" w:fill="D3D3D3"/>
          </w:tcPr>
          <w:p>
            <w:pPr/>
          </w:p>
        </w:tc>
        <w:tc>
          <w:tcPr>
            <w:tcW w:w="761"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4" w:type="dxa"/>
            <w:tcBorders>
              <w:top w:val="nil" w:sz="6" w:space="0" w:color="auto"/>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单项金额重大并单</w:t>
            </w:r>
            <w:r>
              <w:rPr>
                <w:rFonts w:ascii="宋体" w:hAnsi="宋体" w:cs="宋体" w:eastAsia="宋体" w:hint="default"/>
                <w:w w:val="100"/>
                <w:sz w:val="18"/>
                <w:szCs w:val="18"/>
              </w:rPr>
              <w:t> </w:t>
            </w:r>
            <w:r>
              <w:rPr>
                <w:rFonts w:ascii="宋体" w:hAnsi="宋体" w:cs="宋体" w:eastAsia="宋体" w:hint="default"/>
                <w:sz w:val="18"/>
                <w:szCs w:val="18"/>
              </w:rPr>
              <w:t>独计提坏账准备的</w:t>
            </w:r>
            <w:r>
              <w:rPr>
                <w:rFonts w:ascii="宋体" w:hAnsi="宋体" w:cs="宋体" w:eastAsia="宋体" w:hint="default"/>
                <w:w w:val="100"/>
                <w:sz w:val="18"/>
                <w:szCs w:val="18"/>
              </w:rPr>
              <w:t> </w:t>
            </w:r>
            <w:r>
              <w:rPr>
                <w:rFonts w:ascii="宋体" w:hAnsi="宋体" w:cs="宋体" w:eastAsia="宋体" w:hint="default"/>
                <w:sz w:val="18"/>
                <w:szCs w:val="18"/>
              </w:rPr>
              <w:t>其他应收款</w:t>
            </w:r>
          </w:p>
        </w:tc>
        <w:tc>
          <w:tcPr>
            <w:tcW w:w="7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441,043,</w:t>
            </w:r>
          </w:p>
          <w:p>
            <w:pPr>
              <w:pStyle w:val="TableParagraph"/>
              <w:spacing w:line="240" w:lineRule="auto" w:before="102"/>
              <w:ind w:left="212" w:right="0"/>
              <w:jc w:val="center"/>
              <w:rPr>
                <w:rFonts w:ascii="Times New Roman" w:hAnsi="Times New Roman" w:cs="Times New Roman" w:eastAsia="Times New Roman" w:hint="default"/>
                <w:sz w:val="18"/>
                <w:szCs w:val="18"/>
              </w:rPr>
            </w:pPr>
            <w:r>
              <w:rPr>
                <w:rFonts w:ascii="Times New Roman"/>
                <w:sz w:val="18"/>
              </w:rPr>
              <w:t>643.44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92.58%</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441,043,6</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43.44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398,867</w:t>
            </w:r>
          </w:p>
          <w:p>
            <w:pPr>
              <w:pStyle w:val="TableParagraph"/>
              <w:spacing w:line="240" w:lineRule="auto" w:before="102"/>
              <w:ind w:left="78" w:right="0"/>
              <w:jc w:val="left"/>
              <w:rPr>
                <w:rFonts w:ascii="Times New Roman" w:hAnsi="Times New Roman" w:cs="Times New Roman" w:eastAsia="Times New Roman" w:hint="default"/>
                <w:sz w:val="18"/>
                <w:szCs w:val="18"/>
              </w:rPr>
            </w:pPr>
            <w:r>
              <w:rPr>
                <w:rFonts w:ascii="Times New Roman"/>
                <w:sz w:val="18"/>
              </w:rPr>
              <w:t>,803.72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97.05%</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398,867,80</w:t>
            </w:r>
          </w:p>
          <w:p>
            <w:pPr>
              <w:pStyle w:val="TableParagraph"/>
              <w:spacing w:line="240" w:lineRule="auto" w:before="102"/>
              <w:ind w:left="582" w:right="0"/>
              <w:jc w:val="left"/>
              <w:rPr>
                <w:rFonts w:ascii="Times New Roman" w:hAnsi="Times New Roman" w:cs="Times New Roman" w:eastAsia="Times New Roman" w:hint="default"/>
                <w:sz w:val="18"/>
                <w:szCs w:val="18"/>
              </w:rPr>
            </w:pPr>
            <w:r>
              <w:rPr>
                <w:rFonts w:ascii="Times New Roman"/>
                <w:sz w:val="18"/>
              </w:rPr>
              <w:t>3.72</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按信用风险特征组</w:t>
            </w:r>
            <w:r>
              <w:rPr>
                <w:rFonts w:ascii="宋体" w:hAnsi="宋体" w:cs="宋体" w:eastAsia="宋体" w:hint="default"/>
                <w:w w:val="100"/>
                <w:sz w:val="18"/>
                <w:szCs w:val="18"/>
              </w:rPr>
              <w:t> </w:t>
            </w:r>
            <w:r>
              <w:rPr>
                <w:rFonts w:ascii="宋体" w:hAnsi="宋体" w:cs="宋体" w:eastAsia="宋体" w:hint="default"/>
                <w:sz w:val="18"/>
                <w:szCs w:val="18"/>
              </w:rPr>
              <w:t>合计提坏账准备的</w:t>
            </w:r>
            <w:r>
              <w:rPr>
                <w:rFonts w:ascii="宋体" w:hAnsi="宋体" w:cs="宋体" w:eastAsia="宋体" w:hint="default"/>
                <w:w w:val="100"/>
                <w:sz w:val="18"/>
                <w:szCs w:val="18"/>
              </w:rPr>
              <w:t> </w:t>
            </w:r>
            <w:r>
              <w:rPr>
                <w:rFonts w:ascii="宋体" w:hAnsi="宋体" w:cs="宋体" w:eastAsia="宋体" w:hint="default"/>
                <w:sz w:val="18"/>
                <w:szCs w:val="18"/>
              </w:rPr>
              <w:t>其他应收款</w:t>
            </w:r>
          </w:p>
        </w:tc>
        <w:tc>
          <w:tcPr>
            <w:tcW w:w="7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35,212,0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2,877,09</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32,334,97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8.61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10,535,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038.50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926,146.0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8.79%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9,608,892.4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6</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3" w:right="147"/>
              <w:jc w:val="both"/>
              <w:rPr>
                <w:rFonts w:ascii="宋体" w:hAnsi="宋体" w:cs="宋体" w:eastAsia="宋体" w:hint="default"/>
                <w:sz w:val="18"/>
                <w:szCs w:val="18"/>
              </w:rPr>
            </w:pPr>
            <w:r>
              <w:rPr>
                <w:rFonts w:ascii="宋体" w:hAnsi="宋体" w:cs="宋体" w:eastAsia="宋体" w:hint="default"/>
                <w:sz w:val="18"/>
                <w:szCs w:val="18"/>
              </w:rPr>
              <w:t>单项金额不重大但</w:t>
            </w:r>
            <w:r>
              <w:rPr>
                <w:rFonts w:ascii="宋体" w:hAnsi="宋体" w:cs="宋体" w:eastAsia="宋体" w:hint="default"/>
                <w:w w:val="100"/>
                <w:sz w:val="18"/>
                <w:szCs w:val="18"/>
              </w:rPr>
              <w:t> </w:t>
            </w:r>
            <w:r>
              <w:rPr>
                <w:rFonts w:ascii="宋体" w:hAnsi="宋体" w:cs="宋体" w:eastAsia="宋体" w:hint="default"/>
                <w:sz w:val="18"/>
                <w:szCs w:val="18"/>
              </w:rPr>
              <w:t>单独计提坏账准备</w:t>
            </w:r>
            <w:r>
              <w:rPr>
                <w:rFonts w:ascii="宋体" w:hAnsi="宋体" w:cs="宋体" w:eastAsia="宋体" w:hint="default"/>
                <w:w w:val="100"/>
                <w:sz w:val="18"/>
                <w:szCs w:val="18"/>
              </w:rPr>
              <w:t> </w:t>
            </w:r>
            <w:r>
              <w:rPr>
                <w:rFonts w:ascii="宋体" w:hAnsi="宋体" w:cs="宋体" w:eastAsia="宋体" w:hint="default"/>
                <w:sz w:val="18"/>
                <w:szCs w:val="18"/>
              </w:rPr>
              <w:t>的其他应收款</w:t>
            </w:r>
          </w:p>
        </w:tc>
        <w:tc>
          <w:tcPr>
            <w:tcW w:w="774"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127,052.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127,052.5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1,609,6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07.88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0.39%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1,609,607.8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w w:val="100"/>
                <w:sz w:val="18"/>
              </w:rPr>
              <w:t>8</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vMerge w:val="restart"/>
            <w:tcBorders>
              <w:top w:val="single" w:sz="4" w:space="0" w:color="000000"/>
              <w:left w:val="single" w:sz="9" w:space="0" w:color="D3D3D3"/>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476,382,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766.28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2,877,09</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1.66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0.60%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473,505,6</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74.62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411,012</w:t>
            </w:r>
          </w:p>
          <w:p>
            <w:pPr>
              <w:pStyle w:val="TableParagraph"/>
              <w:spacing w:line="240" w:lineRule="auto" w:before="105"/>
              <w:ind w:left="78" w:right="0"/>
              <w:jc w:val="left"/>
              <w:rPr>
                <w:rFonts w:ascii="Times New Roman" w:hAnsi="Times New Roman" w:cs="Times New Roman" w:eastAsia="Times New Roman" w:hint="default"/>
                <w:sz w:val="18"/>
                <w:szCs w:val="18"/>
              </w:rPr>
            </w:pPr>
            <w:r>
              <w:rPr>
                <w:rFonts w:ascii="Times New Roman"/>
                <w:sz w:val="18"/>
              </w:rPr>
              <w:t>,450.10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926,146.0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w w:val="100"/>
                <w:sz w:val="18"/>
              </w:rPr>
              <w:t>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0.23%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410,086,30</w:t>
            </w:r>
          </w:p>
          <w:p>
            <w:pPr>
              <w:pStyle w:val="TableParagraph"/>
              <w:spacing w:line="240" w:lineRule="auto" w:before="105"/>
              <w:ind w:left="582" w:right="0"/>
              <w:jc w:val="left"/>
              <w:rPr>
                <w:rFonts w:ascii="Times New Roman" w:hAnsi="Times New Roman" w:cs="Times New Roman" w:eastAsia="Times New Roman" w:hint="default"/>
                <w:sz w:val="18"/>
                <w:szCs w:val="18"/>
              </w:rPr>
            </w:pPr>
            <w:r>
              <w:rPr>
                <w:rFonts w:ascii="Times New Roman"/>
                <w:sz w:val="18"/>
              </w:rPr>
              <w:t>4.06</w:t>
            </w:r>
          </w:p>
        </w:tc>
      </w:tr>
      <w:tr>
        <w:trPr>
          <w:trHeight w:val="392" w:hRule="exact"/>
        </w:trPr>
        <w:tc>
          <w:tcPr>
            <w:tcW w:w="1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3D3D3"/>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vMerge/>
            <w:tcBorders>
              <w:left w:val="single" w:sz="9" w:space="0" w:color="D3D3D3"/>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pStyle w:val="BodyText"/>
        <w:spacing w:line="240" w:lineRule="auto" w:before="49"/>
        <w:ind w:right="0"/>
        <w:jc w:val="left"/>
      </w:pPr>
      <w:r>
        <w:rPr>
          <w:spacing w:val="-1"/>
        </w:rPr>
        <w:t>期末单项金额重大并单项计提坏账准备的其他应收款：</w:t>
      </w:r>
    </w:p>
    <w:p>
      <w:pPr>
        <w:pStyle w:val="BodyText"/>
        <w:spacing w:line="240" w:lineRule="auto" w:before="115"/>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473" w:space="4353"/>
            <w:col w:w="1124"/>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淄博瑞康药品配送有限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140,644,942.36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泰安瑞康药品配送有限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82,082,219.56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尼木祥云医疗器械有限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53,936,366.00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西藏金岳医疗器械有限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45,836,825.23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东营瑞康药品配送有限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37,554,393.86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潍坊瑞康药品配送有限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24,749,717.10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青岛海誉泰德商贸有限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23,696,178.56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济南德一医疗器械有限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20,416,820.51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济宁瑞康医药有限公司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9,559,629.14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山东滨州瑞康医药有限</w:t>
            </w:r>
            <w:r>
              <w:rPr>
                <w:rFonts w:ascii="宋体" w:hAnsi="宋体" w:cs="宋体" w:eastAsia="宋体" w:hint="default"/>
                <w:w w:val="100"/>
                <w:sz w:val="18"/>
                <w:szCs w:val="18"/>
              </w:rPr>
              <w:t> </w:t>
            </w:r>
            <w:r>
              <w:rPr>
                <w:rFonts w:ascii="宋体" w:hAnsi="宋体" w:cs="宋体" w:eastAsia="宋体" w:hint="default"/>
                <w:sz w:val="18"/>
                <w:szCs w:val="18"/>
              </w:rPr>
              <w:t>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2,566,551.12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子公司往来款</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441,043,643.44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1" w:top="1060" w:bottom="1180" w:left="980" w:right="980"/>
        </w:sectPr>
      </w:pPr>
    </w:p>
    <w:p>
      <w:pPr>
        <w:pStyle w:val="BodyText"/>
        <w:spacing w:line="240" w:lineRule="auto" w:before="49"/>
        <w:ind w:right="0"/>
        <w:jc w:val="left"/>
      </w:pPr>
      <w:r>
        <w:rPr>
          <w:spacing w:val="-1"/>
        </w:rPr>
        <w:t>组合中，按账龄分析法计提坏账准备的其他应收款：</w:t>
      </w:r>
    </w:p>
    <w:p>
      <w:pPr>
        <w:pStyle w:val="BodyText"/>
        <w:spacing w:line="240" w:lineRule="auto" w:before="115"/>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4293" w:space="4533"/>
            <w:col w:w="1124"/>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89"/>
      </w:tblGrid>
      <w:tr>
        <w:trPr>
          <w:trHeight w:val="202" w:hRule="exact"/>
        </w:trPr>
        <w:tc>
          <w:tcPr>
            <w:tcW w:w="248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82" w:type="dxa"/>
            <w:vMerge/>
            <w:tcBorders>
              <w:left w:val="single" w:sz="4" w:space="0" w:color="000000"/>
              <w:bottom w:val="nil" w:sz="6" w:space="0" w:color="auto"/>
              <w:right w:val="single" w:sz="4" w:space="0" w:color="000000"/>
            </w:tcBorders>
            <w:shd w:val="clear" w:color="auto" w:fill="D3D3D3"/>
          </w:tcPr>
          <w:p>
            <w:pPr/>
          </w:p>
        </w:tc>
        <w:tc>
          <w:tcPr>
            <w:tcW w:w="22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3" w:hRule="exact"/>
        </w:trPr>
        <w:tc>
          <w:tcPr>
            <w:tcW w:w="248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5" w:type="dxa"/>
            <w:vMerge/>
            <w:tcBorders>
              <w:left w:val="single" w:sz="4" w:space="0" w:color="000000"/>
              <w:bottom w:val="single" w:sz="4" w:space="0" w:color="000000"/>
              <w:right w:val="single" w:sz="4" w:space="0" w:color="000000"/>
            </w:tcBorders>
            <w:shd w:val="clear" w:color="auto" w:fill="D3D3D3"/>
          </w:tcPr>
          <w:p>
            <w:pPr/>
          </w:p>
        </w:tc>
        <w:tc>
          <w:tcPr>
            <w:tcW w:w="2391"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24,840,707.28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1,242,035.36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7,657,062.99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765,706.30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1,088,300.00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544,150.00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35,212,070.27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2,877,091.66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8.17%</w:t>
            </w:r>
          </w:p>
        </w:tc>
      </w:tr>
    </w:tbl>
    <w:p>
      <w:pPr>
        <w:pStyle w:val="BodyText"/>
        <w:spacing w:line="360" w:lineRule="auto" w:before="49"/>
        <w:ind w:left="512" w:right="0" w:hanging="360"/>
        <w:jc w:val="left"/>
      </w:pPr>
      <w:r>
        <w:rPr/>
        <w:t>确定该组合依据的说明：</w:t>
      </w:r>
      <w:r>
        <w:rPr>
          <w:w w:val="100"/>
        </w:rPr>
        <w:t> </w:t>
      </w:r>
      <w:r>
        <w:rPr>
          <w:spacing w:val="-3"/>
        </w:rPr>
        <w:t>除单独计提减值准备的其他应收款外，公司根据以前年度与之相同或相类似的、按账龄段划分的具有类似信用风险特征</w:t>
      </w:r>
    </w:p>
    <w:p>
      <w:pPr>
        <w:pStyle w:val="BodyText"/>
        <w:spacing w:line="222" w:lineRule="exact"/>
        <w:ind w:right="0"/>
        <w:jc w:val="left"/>
      </w:pPr>
      <w:r>
        <w:rPr/>
        <w:t>的其他应收款组合的实际损失率为基础，结合现时情况分析确定坏账准备计提的比例。</w:t>
      </w:r>
    </w:p>
    <w:p>
      <w:pPr>
        <w:spacing w:after="0" w:line="222" w:lineRule="exact"/>
        <w:jc w:val="left"/>
        <w:sectPr>
          <w:type w:val="continuous"/>
          <w:pgSz w:w="11910" w:h="16840"/>
          <w:pgMar w:top="1060" w:bottom="118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组合中，采用余额百分比法计提坏账准备的其他应收款：</w:t>
      </w:r>
    </w:p>
    <w:p>
      <w:pPr>
        <w:pStyle w:val="BodyText"/>
        <w:spacing w:line="357" w:lineRule="auto" w:before="117"/>
        <w:ind w:right="5260"/>
        <w:jc w:val="left"/>
      </w:pPr>
      <w:r>
        <w:rPr/>
        <w:t>□ 适用 √ 不适用</w:t>
      </w:r>
      <w:r>
        <w:rPr>
          <w:w w:val="100"/>
        </w:rPr>
        <w:t> </w:t>
      </w:r>
      <w:r>
        <w:rPr>
          <w:spacing w:val="-1"/>
        </w:rPr>
        <w:t>组合中，采用其他方法计提坏账准备的其他应收款：</w:t>
      </w:r>
    </w:p>
    <w:p>
      <w:pPr>
        <w:pStyle w:val="BodyText"/>
        <w:spacing w:line="240" w:lineRule="auto" w:before="29"/>
        <w:ind w:right="0"/>
        <w:jc w:val="left"/>
      </w:pPr>
      <w:bookmarkStart w:name="（2）本期计提、收回或转回的坏账准备情况 " w:id="387"/>
      <w:bookmarkEnd w:id="387"/>
      <w:r>
        <w:rPr/>
      </w: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35"/>
          <w:pgSz w:w="11910" w:h="16840"/>
          <w:pgMar w:footer="981" w:header="745" w:top="1060" w:bottom="1180" w:left="980" w:right="980"/>
          <w:pgNumType w:start="150"/>
        </w:sectPr>
      </w:pPr>
    </w:p>
    <w:p>
      <w:pPr>
        <w:pStyle w:val="BodyText"/>
        <w:spacing w:line="338" w:lineRule="auto" w:before="44"/>
        <w:ind w:right="0"/>
        <w:jc w:val="left"/>
      </w:pPr>
      <w:r>
        <w:rPr/>
        <w:t>本期计提坏账准备金额</w:t>
      </w:r>
      <w:r>
        <w:rPr>
          <w:spacing w:val="-55"/>
        </w:rPr>
        <w:t> </w:t>
      </w:r>
      <w:r>
        <w:rPr>
          <w:rFonts w:ascii="Times New Roman" w:hAnsi="Times New Roman" w:cs="Times New Roman" w:eastAsia="Times New Roman" w:hint="default"/>
        </w:rPr>
        <w:t>1,950,945.62</w:t>
      </w:r>
      <w:r>
        <w:rPr>
          <w:rFonts w:ascii="Times New Roman" w:hAnsi="Times New Roman" w:cs="Times New Roman" w:eastAsia="Times New Roman" w:hint="default"/>
          <w:spacing w:val="-8"/>
        </w:rPr>
        <w:t> </w:t>
      </w:r>
      <w:r>
        <w:rPr/>
        <w:t>元；本期收回或转回坏账准备金额元。</w:t>
      </w:r>
      <w:r>
        <w:rPr>
          <w:w w:val="100"/>
        </w:rPr>
        <w:t> </w:t>
      </w:r>
      <w:r>
        <w:rPr/>
        <w:t>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80" w:left="980" w:right="980"/>
          <w:cols w:num="2" w:equalWidth="0">
            <w:col w:w="6050" w:space="2777"/>
            <w:col w:w="1123"/>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bookmarkStart w:name="（3）本期实际核销的其他应收款情况 " w:id="388"/>
            <w:bookmarkEnd w:id="388"/>
            <w:r>
              <w:rPr/>
            </w: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2;top:17;width:2;height:392" coordorigin="22,17" coordsize="2,392">
              <v:shape style="position:absolute;left:22;top:17;width:2;height:392" coordorigin="22,17" coordsize="0,392" path="m22,17l22,408e" filled="false" stroked="true" strokeweight="1.2pt" strokecolor="#d3d3d3">
                <v:path arrowok="t"/>
              </v:shape>
            </v:group>
            <v:group style="position:absolute;left:4972;top:17;width:2;height:392" coordorigin="4972,17" coordsize="2,392">
              <v:shape style="position:absolute;left:4972;top:17;width:2;height:392" coordorigin="4972,17" coordsize="0,392" path="m4972,17l4972,408e" filled="false" stroked="true" strokeweight="1.08pt" strokecolor="#d3d3d3">
                <v:path arrowok="t"/>
              </v:shape>
            </v:group>
            <v:group style="position:absolute;left:34;top:14;width:4928;height:394" coordorigin="34,14" coordsize="4928,394">
              <v:shape style="position:absolute;left:34;top:14;width:4928;height:394" coordorigin="34,14" coordsize="4928,394" path="m34,14l4961,14,4961,408,34,408,34,14xe" filled="true" fillcolor="#d3d3d3" stroked="false">
                <v:path arrowok="t"/>
                <v:fill type="solid"/>
              </v:shape>
            </v:group>
            <v:group style="position:absolute;left:5005;top:17;width:2;height:392" coordorigin="5005,17" coordsize="2,392">
              <v:shape style="position:absolute;left:5005;top:17;width:2;height:392" coordorigin="5005,17" coordsize="0,392" path="m5005,17l5005,408e" filled="false" stroked="true" strokeweight="1.32pt" strokecolor="#d3d3d3">
                <v:path arrowok="t"/>
              </v:shape>
            </v:group>
            <v:group style="position:absolute;left:9558;top:17;width:2;height:392" coordorigin="9558,17" coordsize="2,392">
              <v:shape style="position:absolute;left:9558;top:17;width:2;height:392" coordorigin="9558,17" coordsize="0,392" path="m9558,17l9558,408e" filled="false" stroked="true" strokeweight="1.08pt" strokecolor="#d3d3d3">
                <v:path arrowok="t"/>
              </v:shape>
            </v:group>
            <v:group style="position:absolute;left:5018;top:14;width:4529;height:394" coordorigin="5018,14" coordsize="4529,394">
              <v:shape style="position:absolute;left:5018;top:14;width:4529;height:394" coordorigin="5018,14" coordsize="4529,394" path="m5018,14l9547,14,9547,408,5018,408,5018,14xe" filled="true" fillcolor="#d3d3d3"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8pt" strokecolor="#000000">
                <v:path arrowok="t"/>
              </v:shape>
            </v:group>
            <v:group style="position:absolute;left:4992;top:10;width:4577;height:2" coordorigin="4992,10" coordsize="4577,2">
              <v:shape style="position:absolute;left:4992;top:10;width:4577;height:2" coordorigin="4992,10" coordsize="4577,0" path="m4992,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973;height:2" coordorigin="10,413" coordsize="4973,2">
              <v:shape style="position:absolute;left:10;top:413;width:4973;height:2" coordorigin="10,413" coordsize="4973,0" path="m10,413l4982,413e" filled="false" stroked="true" strokeweight=".48pt" strokecolor="#000000">
                <v:path arrowok="t"/>
              </v:shape>
            </v:group>
            <v:group style="position:absolute;left:4987;top:5;width:2;height:413" coordorigin="4987,5" coordsize="2,413">
              <v:shape style="position:absolute;left:4987;top:5;width:2;height:413" coordorigin="4987,5" coordsize="0,413" path="m4987,5l4987,418e" filled="false" stroked="true" strokeweight=".48pt" strokecolor="#000000">
                <v:path arrowok="t"/>
              </v:shape>
            </v:group>
            <v:group style="position:absolute;left:4992;top:413;width:4577;height:2" coordorigin="4992,413" coordsize="4577,2">
              <v:shape style="position:absolute;left:4992;top:413;width:4577;height:2" coordorigin="4992,413" coordsize="4577,0" path="m4992,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2316;top:119;width:36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0;top:10;width:4584;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4"/>
        <w:ind w:right="0"/>
        <w:jc w:val="left"/>
      </w:pPr>
      <w:r>
        <w:rPr/>
        <w:t>其中重要的其他应收款核销情况：</w:t>
      </w:r>
    </w:p>
    <w:p>
      <w:pPr>
        <w:pStyle w:val="BodyText"/>
        <w:spacing w:line="240" w:lineRule="auto" w:before="115"/>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34" w:right="77" w:hanging="449"/>
              <w:jc w:val="left"/>
              <w:rPr>
                <w:rFonts w:ascii="宋体" w:hAnsi="宋体" w:cs="宋体" w:eastAsia="宋体" w:hint="default"/>
                <w:sz w:val="18"/>
                <w:szCs w:val="18"/>
              </w:rPr>
            </w:pPr>
            <w:r>
              <w:rPr>
                <w:rFonts w:ascii="宋体" w:hAnsi="宋体" w:cs="宋体" w:eastAsia="宋体" w:hint="default"/>
                <w:sz w:val="18"/>
                <w:szCs w:val="18"/>
              </w:rPr>
              <w:t>款项是否由关联交</w:t>
            </w:r>
            <w:r>
              <w:rPr>
                <w:rFonts w:ascii="宋体" w:hAnsi="宋体" w:cs="宋体" w:eastAsia="宋体" w:hint="default"/>
                <w:w w:val="100"/>
                <w:sz w:val="18"/>
                <w:szCs w:val="18"/>
              </w:rPr>
              <w:t> </w:t>
            </w:r>
            <w:r>
              <w:rPr>
                <w:rFonts w:ascii="宋体" w:hAnsi="宋体" w:cs="宋体" w:eastAsia="宋体" w:hint="default"/>
                <w:sz w:val="18"/>
                <w:szCs w:val="18"/>
              </w:rPr>
              <w:t>易产生</w:t>
            </w:r>
          </w:p>
        </w:tc>
      </w:tr>
    </w:tbl>
    <w:p>
      <w:pPr>
        <w:pStyle w:val="BodyText"/>
        <w:spacing w:line="240" w:lineRule="auto" w:before="49"/>
        <w:ind w:right="0"/>
        <w:jc w:val="left"/>
      </w:pPr>
      <w:bookmarkStart w:name="（4）其他应收款按款项性质分类情况 " w:id="389"/>
      <w:bookmarkEnd w:id="389"/>
      <w:r>
        <w:rPr/>
      </w: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33,246,228.41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9,757,445.56</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1,439,951.46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644,415.87</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441,677,586.41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400,609,588.67</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5）按欠款方归集的期末余额前五名的其他应收款情况 " w:id="390"/>
            <w:bookmarkEnd w:id="390"/>
            <w:r>
              <w:rPr/>
            </w: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476,382,766.28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411,012,450.10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85" w:right="76"/>
              <w:jc w:val="left"/>
              <w:rPr>
                <w:rFonts w:ascii="宋体" w:hAnsi="宋体" w:cs="宋体" w:eastAsia="宋体" w:hint="default"/>
                <w:sz w:val="18"/>
                <w:szCs w:val="18"/>
              </w:rPr>
            </w:pPr>
            <w:r>
              <w:rPr>
                <w:rFonts w:ascii="宋体" w:hAnsi="宋体" w:cs="宋体" w:eastAsia="宋体" w:hint="default"/>
                <w:sz w:val="18"/>
                <w:szCs w:val="18"/>
              </w:rPr>
              <w:t>占其他应收款期末</w:t>
            </w:r>
            <w:r>
              <w:rPr>
                <w:rFonts w:ascii="宋体" w:hAnsi="宋体" w:cs="宋体" w:eastAsia="宋体" w:hint="default"/>
                <w:w w:val="100"/>
                <w:sz w:val="18"/>
                <w:szCs w:val="18"/>
              </w:rPr>
              <w:t> </w:t>
            </w: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淄博瑞康药品配送有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140,644,942.36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9" w:right="0"/>
              <w:jc w:val="left"/>
              <w:rPr>
                <w:rFonts w:ascii="Times New Roman" w:hAnsi="Times New Roman" w:cs="Times New Roman" w:eastAsia="Times New Roman" w:hint="default"/>
                <w:sz w:val="18"/>
                <w:szCs w:val="18"/>
              </w:rPr>
            </w:pPr>
            <w:r>
              <w:rPr>
                <w:rFonts w:ascii="Times New Roman"/>
                <w:sz w:val="18"/>
              </w:rPr>
              <w:t>29.52%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泰安瑞康药品配送有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82,082,219.56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尼木祥云医疗器械有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53,936,366.00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11.32%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西藏金岳医疗器械有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45,836,825.23</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8"/>
              <w:jc w:val="left"/>
              <w:rPr>
                <w:rFonts w:ascii="宋体" w:hAnsi="宋体" w:cs="宋体" w:eastAsia="宋体" w:hint="default"/>
                <w:sz w:val="18"/>
                <w:szCs w:val="18"/>
              </w:rPr>
            </w:pPr>
            <w:r>
              <w:rPr>
                <w:rFonts w:ascii="宋体" w:hAnsi="宋体" w:cs="宋体" w:eastAsia="宋体" w:hint="default"/>
                <w:sz w:val="18"/>
                <w:szCs w:val="18"/>
              </w:rPr>
              <w:t>东营瑞康药品配送有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37,554,393.86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6）因金融资产转移而终止确认的其他应收款 " w:id="391"/>
            <w:bookmarkEnd w:id="391"/>
            <w:r>
              <w:rPr/>
            </w: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360,054,747.01</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75.57%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bookmarkStart w:name="（7）转移其他应收款且继续涉入形成的资产、负债金额 " w:id="392"/>
      <w:bookmarkEnd w:id="392"/>
      <w:r>
        <w:rPr/>
      </w:r>
      <w:r>
        <w:rPr>
          <w:w w:val="100"/>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7</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3"/>
        <w:jc w:val="left"/>
      </w:pPr>
      <w:r>
        <w:rPr/>
        <w:t>无</w:t>
      </w:r>
      <w:r>
        <w:rPr>
          <w:w w:val="100"/>
        </w:rPr>
        <w:t> </w:t>
      </w:r>
      <w:bookmarkStart w:name="3、长期股权投资 " w:id="393"/>
      <w:bookmarkEnd w:id="393"/>
      <w:r>
        <w:rPr/>
        <w:t>其</w:t>
      </w:r>
      <w:r>
        <w:rPr/>
        <w:t>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0"/>
        <w:gridCol w:w="1366"/>
        <w:gridCol w:w="1368"/>
        <w:gridCol w:w="1366"/>
        <w:gridCol w:w="1368"/>
        <w:gridCol w:w="1366"/>
        <w:gridCol w:w="1368"/>
      </w:tblGrid>
      <w:tr>
        <w:trPr>
          <w:trHeight w:val="202" w:hRule="exact"/>
        </w:trPr>
        <w:tc>
          <w:tcPr>
            <w:tcW w:w="1370" w:type="dxa"/>
            <w:tcBorders>
              <w:top w:val="single" w:sz="4" w:space="0" w:color="000000"/>
              <w:left w:val="single" w:sz="4" w:space="0" w:color="000000"/>
              <w:bottom w:val="nil" w:sz="6" w:space="0" w:color="auto"/>
              <w:right w:val="single" w:sz="4" w:space="0" w:color="000000"/>
            </w:tcBorders>
            <w:shd w:val="clear" w:color="auto" w:fill="D3D3D3"/>
          </w:tcPr>
          <w:p>
            <w:pPr/>
          </w:p>
        </w:tc>
        <w:tc>
          <w:tcPr>
            <w:tcW w:w="409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4" w:hRule="exact"/>
        </w:trPr>
        <w:tc>
          <w:tcPr>
            <w:tcW w:w="13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099"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70" w:type="dxa"/>
            <w:vMerge/>
            <w:tcBorders>
              <w:left w:val="single" w:sz="4" w:space="0" w:color="000000"/>
              <w:bottom w:val="nil" w:sz="6" w:space="0" w:color="auto"/>
              <w:right w:val="single" w:sz="4" w:space="0" w:color="000000"/>
            </w:tcBorders>
            <w:shd w:val="clear" w:color="auto" w:fill="D3D3D3"/>
          </w:tcPr>
          <w:p>
            <w:pP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0" w:hRule="exact"/>
        </w:trPr>
        <w:tc>
          <w:tcPr>
            <w:tcW w:w="13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267,432,055.79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267,432,055.79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225,134,242.68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225,134,242.68</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bookmarkStart w:name="（1）对子公司投资 " w:id="394"/>
            <w:bookmarkEnd w:id="394"/>
            <w:r>
              <w:rPr/>
            </w:r>
            <w:r>
              <w:rPr>
                <w:rFonts w:ascii="宋体" w:hAnsi="宋体" w:cs="宋体" w:eastAsia="宋体" w:hint="default"/>
                <w:sz w:val="18"/>
                <w:szCs w:val="18"/>
              </w:rPr>
              <w:t>合计</w:t>
            </w:r>
          </w:p>
        </w:tc>
        <w:tc>
          <w:tcPr>
            <w:tcW w:w="136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267,432,055.79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267,432,055.79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225,134,242.68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225,134,242.68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601" w:right="55" w:hanging="540"/>
              <w:jc w:val="left"/>
              <w:rPr>
                <w:rFonts w:ascii="宋体" w:hAnsi="宋体" w:cs="宋体" w:eastAsia="宋体" w:hint="default"/>
                <w:sz w:val="18"/>
                <w:szCs w:val="18"/>
              </w:rPr>
            </w:pPr>
            <w:r>
              <w:rPr>
                <w:rFonts w:ascii="宋体" w:hAnsi="宋体" w:cs="宋体" w:eastAsia="宋体" w:hint="default"/>
                <w:sz w:val="18"/>
                <w:szCs w:val="18"/>
              </w:rPr>
              <w:t>本期计提减值准</w:t>
            </w:r>
            <w:r>
              <w:rPr>
                <w:rFonts w:ascii="宋体" w:hAnsi="宋体" w:cs="宋体" w:eastAsia="宋体" w:hint="default"/>
                <w:w w:val="100"/>
                <w:sz w:val="18"/>
                <w:szCs w:val="18"/>
              </w:rPr>
              <w:t> </w:t>
            </w: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49"/>
              <w:ind w:left="599" w:right="57" w:hanging="540"/>
              <w:jc w:val="left"/>
              <w:rPr>
                <w:rFonts w:ascii="宋体" w:hAnsi="宋体" w:cs="宋体" w:eastAsia="宋体" w:hint="default"/>
                <w:sz w:val="18"/>
                <w:szCs w:val="18"/>
              </w:rPr>
            </w:pPr>
            <w:r>
              <w:rPr>
                <w:rFonts w:ascii="宋体" w:hAnsi="宋体" w:cs="宋体" w:eastAsia="宋体" w:hint="default"/>
                <w:sz w:val="18"/>
                <w:szCs w:val="18"/>
              </w:rPr>
              <w:t>减值准备期末余</w:t>
            </w:r>
            <w:r>
              <w:rPr>
                <w:rFonts w:ascii="宋体" w:hAnsi="宋体" w:cs="宋体" w:eastAsia="宋体" w:hint="default"/>
                <w:w w:val="100"/>
                <w:sz w:val="18"/>
                <w:szCs w:val="18"/>
              </w:rPr>
              <w:t> </w:t>
            </w:r>
            <w:r>
              <w:rPr>
                <w:rFonts w:ascii="宋体" w:hAnsi="宋体" w:cs="宋体" w:eastAsia="宋体" w:hint="default"/>
                <w:sz w:val="18"/>
                <w:szCs w:val="18"/>
              </w:rPr>
              <w:t>额</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淄博瑞康药品配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10,610,137.96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10,610,137.96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青岛瑞康药品配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济南明康大药房</w:t>
            </w:r>
            <w:r>
              <w:rPr>
                <w:rFonts w:ascii="宋体" w:hAnsi="宋体" w:cs="宋体" w:eastAsia="宋体" w:hint="default"/>
                <w:w w:val="100"/>
                <w:sz w:val="18"/>
                <w:szCs w:val="18"/>
              </w:rPr>
              <w:t> </w:t>
            </w:r>
            <w:r>
              <w:rPr>
                <w:rFonts w:ascii="宋体" w:hAnsi="宋体" w:cs="宋体" w:eastAsia="宋体" w:hint="default"/>
                <w:sz w:val="18"/>
                <w:szCs w:val="18"/>
              </w:rPr>
              <w:t>有限责任公司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东营瑞康药品配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泰安瑞康药品配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10,051,063.09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10,051,063.09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山东瑞祥医疗器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烟台天际健康咨</w:t>
            </w:r>
            <w:r>
              <w:rPr>
                <w:rFonts w:ascii="宋体" w:hAnsi="宋体" w:cs="宋体" w:eastAsia="宋体" w:hint="default"/>
                <w:w w:val="100"/>
                <w:sz w:val="18"/>
                <w:szCs w:val="18"/>
              </w:rPr>
              <w:t> </w:t>
            </w:r>
            <w:r>
              <w:rPr>
                <w:rFonts w:ascii="宋体" w:hAnsi="宋体" w:cs="宋体" w:eastAsia="宋体" w:hint="default"/>
                <w:sz w:val="18"/>
                <w:szCs w:val="18"/>
              </w:rPr>
              <w:t>询服务有限公司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潍坊瑞康药品配</w:t>
            </w:r>
            <w:r>
              <w:rPr>
                <w:rFonts w:ascii="宋体" w:hAnsi="宋体" w:cs="宋体" w:eastAsia="宋体" w:hint="default"/>
                <w:w w:val="100"/>
                <w:sz w:val="18"/>
                <w:szCs w:val="18"/>
              </w:rPr>
              <w:t> </w:t>
            </w:r>
            <w:r>
              <w:rPr>
                <w:rFonts w:ascii="宋体" w:hAnsi="宋体" w:cs="宋体" w:eastAsia="宋体" w:hint="default"/>
                <w:sz w:val="18"/>
                <w:szCs w:val="18"/>
              </w:rPr>
              <w:t>送有限公司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济南德一医疗器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济南瑞康医药有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2,010,000.00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济宁瑞康医药有</w:t>
            </w:r>
            <w:r>
              <w:rPr>
                <w:rFonts w:ascii="宋体" w:hAnsi="宋体" w:cs="宋体" w:eastAsia="宋体" w:hint="default"/>
                <w:w w:val="100"/>
                <w:sz w:val="18"/>
                <w:szCs w:val="18"/>
              </w:rPr>
              <w:t> </w:t>
            </w:r>
            <w:r>
              <w:rPr>
                <w:rFonts w:ascii="宋体" w:hAnsi="宋体" w:cs="宋体" w:eastAsia="宋体" w:hint="default"/>
                <w:sz w:val="18"/>
                <w:szCs w:val="18"/>
              </w:rPr>
              <w:t>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both"/>
              <w:rPr>
                <w:rFonts w:ascii="宋体" w:hAnsi="宋体" w:cs="宋体" w:eastAsia="宋体" w:hint="default"/>
                <w:sz w:val="18"/>
                <w:szCs w:val="18"/>
              </w:rPr>
            </w:pPr>
            <w:r>
              <w:rPr>
                <w:rFonts w:ascii="宋体" w:hAnsi="宋体" w:cs="宋体" w:eastAsia="宋体" w:hint="default"/>
                <w:sz w:val="18"/>
                <w:szCs w:val="18"/>
              </w:rPr>
              <w:t>青岛康医堂医疗</w:t>
            </w:r>
            <w:r>
              <w:rPr>
                <w:rFonts w:ascii="宋体" w:hAnsi="宋体" w:cs="宋体" w:eastAsia="宋体" w:hint="default"/>
                <w:w w:val="100"/>
                <w:sz w:val="18"/>
                <w:szCs w:val="18"/>
              </w:rPr>
              <w:t> </w:t>
            </w:r>
            <w:r>
              <w:rPr>
                <w:rFonts w:ascii="宋体" w:hAnsi="宋体" w:cs="宋体" w:eastAsia="宋体" w:hint="default"/>
                <w:sz w:val="18"/>
                <w:szCs w:val="18"/>
              </w:rPr>
              <w:t>管理有限公司市</w:t>
            </w:r>
            <w:r>
              <w:rPr>
                <w:rFonts w:ascii="宋体" w:hAnsi="宋体" w:cs="宋体" w:eastAsia="宋体" w:hint="default"/>
                <w:w w:val="100"/>
                <w:sz w:val="18"/>
                <w:szCs w:val="18"/>
              </w:rPr>
              <w:t> </w:t>
            </w:r>
            <w:r>
              <w:rPr>
                <w:rFonts w:ascii="宋体" w:hAnsi="宋体" w:cs="宋体" w:eastAsia="宋体" w:hint="default"/>
                <w:sz w:val="18"/>
                <w:szCs w:val="18"/>
              </w:rPr>
              <w:t>北门诊部</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西藏金岳医疗器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北京天业爱博科</w:t>
            </w:r>
            <w:r>
              <w:rPr>
                <w:rFonts w:ascii="宋体" w:hAnsi="宋体" w:cs="宋体" w:eastAsia="宋体" w:hint="default"/>
                <w:w w:val="100"/>
                <w:sz w:val="18"/>
                <w:szCs w:val="18"/>
              </w:rPr>
              <w:t> </w:t>
            </w:r>
            <w:r>
              <w:rPr>
                <w:rFonts w:ascii="宋体" w:hAnsi="宋体" w:cs="宋体" w:eastAsia="宋体" w:hint="default"/>
                <w:sz w:val="18"/>
                <w:szCs w:val="18"/>
              </w:rPr>
              <w:t>贸有限公司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10,723,000.00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10,723,000.00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尼木祥云医疗器</w:t>
            </w:r>
            <w:r>
              <w:rPr>
                <w:rFonts w:ascii="宋体" w:hAnsi="宋体" w:cs="宋体" w:eastAsia="宋体" w:hint="default"/>
                <w:w w:val="100"/>
                <w:sz w:val="18"/>
                <w:szCs w:val="18"/>
              </w:rPr>
              <w:t> </w:t>
            </w:r>
            <w:r>
              <w:rPr>
                <w:rFonts w:ascii="宋体" w:hAnsi="宋体" w:cs="宋体" w:eastAsia="宋体" w:hint="default"/>
                <w:sz w:val="18"/>
                <w:szCs w:val="18"/>
              </w:rPr>
              <w:t>械有限公司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青岛海誉泰德商</w:t>
            </w:r>
            <w:r>
              <w:rPr>
                <w:rFonts w:ascii="宋体" w:hAnsi="宋体" w:cs="宋体" w:eastAsia="宋体" w:hint="default"/>
                <w:w w:val="100"/>
                <w:sz w:val="18"/>
                <w:szCs w:val="18"/>
              </w:rPr>
              <w:t> </w:t>
            </w:r>
            <w:r>
              <w:rPr>
                <w:rFonts w:ascii="宋体" w:hAnsi="宋体" w:cs="宋体" w:eastAsia="宋体" w:hint="default"/>
                <w:sz w:val="18"/>
                <w:szCs w:val="18"/>
              </w:rPr>
              <w:t>贸有限公司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聊城瑞康宏源医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菏泽金岳瑞康医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11,545,041.63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11,545,041.63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山东滨州瑞康医</w:t>
            </w:r>
            <w:r>
              <w:rPr>
                <w:rFonts w:ascii="宋体" w:hAnsi="宋体" w:cs="宋体" w:eastAsia="宋体" w:hint="default"/>
                <w:w w:val="100"/>
                <w:sz w:val="18"/>
                <w:szCs w:val="18"/>
              </w:rPr>
              <w:t> </w:t>
            </w:r>
            <w:r>
              <w:rPr>
                <w:rFonts w:ascii="宋体" w:hAnsi="宋体" w:cs="宋体" w:eastAsia="宋体" w:hint="default"/>
                <w:sz w:val="18"/>
                <w:szCs w:val="18"/>
              </w:rPr>
              <w:t>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11,035,813.11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18,435,813.11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荣成市业安医疗</w:t>
            </w:r>
            <w:r>
              <w:rPr>
                <w:rFonts w:ascii="宋体" w:hAnsi="宋体" w:cs="宋体" w:eastAsia="宋体" w:hint="default"/>
                <w:w w:val="100"/>
                <w:sz w:val="18"/>
                <w:szCs w:val="18"/>
              </w:rPr>
              <w:t> </w:t>
            </w:r>
            <w:r>
              <w:rPr>
                <w:rFonts w:ascii="宋体" w:hAnsi="宋体" w:cs="宋体" w:eastAsia="宋体" w:hint="default"/>
                <w:sz w:val="18"/>
                <w:szCs w:val="18"/>
              </w:rPr>
              <w:t>器械有限公司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青岛德新康医药</w:t>
            </w:r>
            <w:r>
              <w:rPr>
                <w:rFonts w:ascii="宋体" w:hAnsi="宋体" w:cs="宋体" w:eastAsia="宋体" w:hint="default"/>
                <w:w w:val="100"/>
                <w:sz w:val="18"/>
                <w:szCs w:val="18"/>
              </w:rPr>
              <w:t> </w:t>
            </w:r>
            <w:r>
              <w:rPr>
                <w:rFonts w:ascii="宋体" w:hAnsi="宋体" w:cs="宋体" w:eastAsia="宋体" w:hint="default"/>
                <w:sz w:val="18"/>
                <w:szCs w:val="18"/>
              </w:rPr>
              <w:t>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1"/>
              <w:jc w:val="left"/>
              <w:rPr>
                <w:rFonts w:ascii="宋体" w:hAnsi="宋体" w:cs="宋体" w:eastAsia="宋体" w:hint="default"/>
                <w:sz w:val="18"/>
                <w:szCs w:val="18"/>
              </w:rPr>
            </w:pPr>
            <w:r>
              <w:rPr>
                <w:rFonts w:ascii="宋体" w:hAnsi="宋体" w:cs="宋体" w:eastAsia="宋体" w:hint="default"/>
                <w:sz w:val="18"/>
                <w:szCs w:val="18"/>
              </w:rPr>
              <w:t>枣庄际安医疗器</w:t>
            </w:r>
            <w:r>
              <w:rPr>
                <w:rFonts w:ascii="宋体" w:hAnsi="宋体" w:cs="宋体" w:eastAsia="宋体" w:hint="default"/>
                <w:w w:val="100"/>
                <w:sz w:val="18"/>
                <w:szCs w:val="18"/>
              </w:rPr>
              <w:t> </w:t>
            </w:r>
            <w:r>
              <w:rPr>
                <w:rFonts w:ascii="宋体" w:hAnsi="宋体" w:cs="宋体" w:eastAsia="宋体" w:hint="default"/>
                <w:sz w:val="18"/>
                <w:szCs w:val="18"/>
              </w:rPr>
              <w:t>械有限责任公司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225,134,242.68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53,520,813.11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11,223,000.00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267,432,055.79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1"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bookmarkStart w:name="（2）对联营、合营企业投资 " w:id="395"/>
      <w:bookmarkEnd w:id="39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w w:val="100"/>
                <w:sz w:val="18"/>
                <w:szCs w:val="18"/>
              </w:rPr>
              <w:t> </w:t>
            </w:r>
            <w:r>
              <w:rPr>
                <w:rFonts w:ascii="宋体" w:hAnsi="宋体" w:cs="宋体" w:eastAsia="宋体" w:hint="default"/>
                <w:sz w:val="18"/>
                <w:szCs w:val="18"/>
              </w:rPr>
              <w:t>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5" w:right="31"/>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w w:val="100"/>
                <w:sz w:val="18"/>
                <w:szCs w:val="18"/>
              </w:rPr>
              <w:t> </w:t>
            </w:r>
            <w:r>
              <w:rPr>
                <w:rFonts w:ascii="宋体" w:hAnsi="宋体" w:cs="宋体" w:eastAsia="宋体" w:hint="default"/>
                <w:sz w:val="18"/>
                <w:szCs w:val="18"/>
              </w:rPr>
              <w:t>确认的投</w:t>
            </w:r>
            <w:r>
              <w:rPr>
                <w:rFonts w:ascii="宋体" w:hAnsi="宋体" w:cs="宋体" w:eastAsia="宋体" w:hint="default"/>
                <w:w w:val="100"/>
                <w:sz w:val="18"/>
                <w:szCs w:val="18"/>
              </w:rPr>
              <w:t> </w:t>
            </w: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w w:val="100"/>
                <w:sz w:val="18"/>
                <w:szCs w:val="18"/>
              </w:rPr>
              <w:t> </w:t>
            </w:r>
            <w:r>
              <w:rPr>
                <w:rFonts w:ascii="宋体" w:hAnsi="宋体" w:cs="宋体" w:eastAsia="宋体" w:hint="default"/>
                <w:sz w:val="18"/>
                <w:szCs w:val="18"/>
              </w:rPr>
              <w:t>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w w:val="100"/>
                <w:sz w:val="18"/>
                <w:szCs w:val="18"/>
              </w:rPr>
              <w:t> </w:t>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5" w:right="29"/>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w w:val="100"/>
                <w:sz w:val="18"/>
                <w:szCs w:val="18"/>
              </w:rPr>
              <w:t> </w:t>
            </w:r>
            <w:r>
              <w:rPr>
                <w:rFonts w:ascii="宋体" w:hAnsi="宋体" w:cs="宋体" w:eastAsia="宋体" w:hint="default"/>
                <w:sz w:val="18"/>
                <w:szCs w:val="18"/>
              </w:rPr>
              <w:t>现金股利</w:t>
            </w:r>
            <w:r>
              <w:rPr>
                <w:rFonts w:ascii="宋体" w:hAnsi="宋体" w:cs="宋体" w:eastAsia="宋体" w:hint="default"/>
                <w:w w:val="100"/>
                <w:sz w:val="18"/>
                <w:szCs w:val="18"/>
              </w:rPr>
              <w:t> </w:t>
            </w: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w w:val="100"/>
                <w:sz w:val="18"/>
                <w:szCs w:val="18"/>
              </w:rPr>
              <w:t> </w:t>
            </w:r>
            <w:r>
              <w:rPr>
                <w:rFonts w:ascii="宋体" w:hAnsi="宋体" w:cs="宋体" w:eastAsia="宋体" w:hint="default"/>
                <w:sz w:val="18"/>
                <w:szCs w:val="18"/>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 w:id="396"/>
      <w:bookmarkEnd w:id="39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 w:id="397"/>
      <w:bookmarkEnd w:id="39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5"/>
      </w:tblGrid>
      <w:tr>
        <w:trPr>
          <w:trHeight w:val="201" w:hRule="exact"/>
        </w:trPr>
        <w:tc>
          <w:tcPr>
            <w:tcW w:w="19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7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8" w:type="dxa"/>
            <w:gridSpan w:val="2"/>
            <w:vMerge/>
            <w:tcBorders>
              <w:left w:val="single" w:sz="4" w:space="0" w:color="000000"/>
              <w:bottom w:val="single" w:sz="2" w:space="0" w:color="FFFFFF"/>
              <w:right w:val="single" w:sz="4" w:space="0" w:color="000000"/>
            </w:tcBorders>
            <w:shd w:val="clear" w:color="auto" w:fill="D3D3D3"/>
          </w:tcPr>
          <w:p>
            <w:pPr/>
          </w:p>
        </w:tc>
        <w:tc>
          <w:tcPr>
            <w:tcW w:w="3828" w:type="dxa"/>
            <w:gridSpan w:val="2"/>
            <w:vMerge/>
            <w:tcBorders>
              <w:left w:val="single" w:sz="4" w:space="0" w:color="000000"/>
              <w:bottom w:val="single" w:sz="2" w:space="0" w:color="FFFFFF"/>
              <w:right w:val="single" w:sz="4" w:space="0" w:color="000000"/>
            </w:tcBorders>
            <w:shd w:val="clear" w:color="auto" w:fill="D3D3D3"/>
          </w:tcPr>
          <w:p>
            <w:pPr/>
          </w:p>
        </w:tc>
      </w:tr>
      <w:tr>
        <w:trPr>
          <w:trHeight w:val="196" w:hRule="exact"/>
        </w:trPr>
        <w:tc>
          <w:tcPr>
            <w:tcW w:w="1996" w:type="dxa"/>
            <w:vMerge/>
            <w:tcBorders>
              <w:left w:val="single" w:sz="4" w:space="0" w:color="000000"/>
              <w:bottom w:val="nil" w:sz="6" w:space="0" w:color="auto"/>
              <w:right w:val="single" w:sz="4" w:space="0" w:color="000000"/>
            </w:tcBorders>
            <w:shd w:val="clear" w:color="auto" w:fill="D3D3D3"/>
          </w:tcPr>
          <w:p>
            <w:pPr/>
          </w:p>
        </w:tc>
        <w:tc>
          <w:tcPr>
            <w:tcW w:w="1835"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left="6"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2" w:space="0" w:color="FFFFFF"/>
              <w:left w:val="single" w:sz="4" w:space="0" w:color="000000"/>
              <w:right w:val="single" w:sz="4" w:space="0" w:color="000000"/>
            </w:tcBorders>
            <w:shd w:val="clear" w:color="auto" w:fill="D3D3D3"/>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5"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6,497,857,452.31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6,021,076,551.55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5,371,622,954.41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4,956,515,784.52</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1,387,465.99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349,361.27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1,789,314.08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290,339.30</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6,499,244,918.30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6,021,425,912.82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5,373,412,268.49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4,956,806,123.82</w:t>
            </w:r>
          </w:p>
        </w:tc>
      </w:tr>
    </w:tbl>
    <w:p>
      <w:pPr>
        <w:pStyle w:val="BodyText"/>
        <w:spacing w:line="240" w:lineRule="auto" w:before="49"/>
        <w:ind w:right="0"/>
        <w:jc w:val="left"/>
      </w:pPr>
      <w:r>
        <w:rPr/>
        <w:t>其他说明：</w:t>
      </w:r>
    </w:p>
    <w:p>
      <w:pPr>
        <w:spacing w:line="240" w:lineRule="auto" w:before="13"/>
        <w:rPr>
          <w:rFonts w:ascii="宋体" w:hAnsi="宋体" w:cs="宋体" w:eastAsia="宋体" w:hint="default"/>
          <w:sz w:val="26"/>
          <w:szCs w:val="26"/>
        </w:rPr>
      </w:pPr>
    </w:p>
    <w:p>
      <w:pPr>
        <w:pStyle w:val="Heading3"/>
        <w:spacing w:line="240" w:lineRule="auto"/>
        <w:ind w:right="0"/>
        <w:jc w:val="left"/>
        <w:rPr>
          <w:b w:val="0"/>
          <w:bCs w:val="0"/>
        </w:rPr>
      </w:pPr>
      <w:bookmarkStart w:name="5、投资收益 " w:id="398"/>
      <w:bookmarkEnd w:id="39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911,828.51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-207,832.01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36"/>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w:t>
            </w:r>
            <w:r>
              <w:rPr>
                <w:rFonts w:ascii="宋体" w:hAnsi="宋体" w:cs="宋体" w:eastAsia="宋体" w:hint="default"/>
                <w:w w:val="100"/>
                <w:sz w:val="18"/>
                <w:szCs w:val="18"/>
              </w:rPr>
              <w:t> </w:t>
            </w:r>
            <w:r>
              <w:rPr>
                <w:rFonts w:ascii="宋体" w:hAnsi="宋体" w:cs="宋体" w:eastAsia="宋体" w:hint="default"/>
                <w:sz w:val="18"/>
                <w:szCs w:val="18"/>
              </w:rPr>
              <w:t>益的金融资产取得的投资收益</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1,156,496.11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1,860,492.61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其他 " w:id="399"/>
      <w:bookmarkEnd w:id="399"/>
      <w:r>
        <w:rPr>
          <w:b w:val="0"/>
          <w:bCs w:val="0"/>
        </w:rPr>
      </w: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bookmarkStart w:name="十五、补充资料 " w:id="400"/>
      <w:bookmarkEnd w:id="400"/>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 w:id="401"/>
      <w:bookmarkEnd w:id="40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1"/>
        </w:rPr>
        <w:t> </w:t>
      </w:r>
      <w:r>
        <w:rPr/>
        <w:t>不适用</w:t>
      </w:r>
    </w:p>
    <w:p>
      <w:pPr>
        <w:pStyle w:val="BodyText"/>
        <w:spacing w:line="240" w:lineRule="auto" w:before="117"/>
        <w:ind w:left="0" w:right="152"/>
        <w:jc w:val="right"/>
      </w:pPr>
      <w:r>
        <w:rPr/>
        <w:t>单位：</w:t>
      </w:r>
      <w:r>
        <w:rPr>
          <w:spacing w:val="-1"/>
        </w:rPr>
        <w:t> </w:t>
      </w:r>
      <w:r>
        <w:rPr/>
        <w:t>元</w:t>
      </w:r>
    </w:p>
    <w:p>
      <w:pPr>
        <w:spacing w:after="0" w:line="240" w:lineRule="auto"/>
        <w:jc w:val="right"/>
        <w:sectPr>
          <w:pgSz w:w="11910" w:h="16840"/>
          <w:pgMar w:header="745" w:footer="981"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5"/>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637,060.76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33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1" w:type="dxa"/>
            <w:tcBorders>
              <w:top w:val="single" w:sz="4" w:space="0" w:color="000000"/>
              <w:left w:val="single" w:sz="12" w:space="0" w:color="D3D3D3"/>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7"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71" w:type="dxa"/>
            <w:tcBorders>
              <w:top w:val="nil" w:sz="6" w:space="0" w:color="auto"/>
              <w:left w:val="single" w:sz="12" w:space="0" w:color="D3D3D3"/>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5,816,110.22</w:t>
            </w:r>
          </w:p>
        </w:tc>
        <w:tc>
          <w:tcPr>
            <w:tcW w:w="3185" w:type="dxa"/>
            <w:vMerge/>
            <w:tcBorders>
              <w:left w:val="single" w:sz="4" w:space="0" w:color="000000"/>
              <w:right w:val="single" w:sz="4" w:space="0" w:color="000000"/>
            </w:tcBorders>
          </w:tcPr>
          <w:p>
            <w:pPr/>
          </w:p>
        </w:tc>
      </w:tr>
      <w:tr>
        <w:trPr>
          <w:trHeight w:val="353" w:hRule="exact"/>
        </w:trPr>
        <w:tc>
          <w:tcPr>
            <w:tcW w:w="33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1" w:type="dxa"/>
            <w:tcBorders>
              <w:top w:val="nil" w:sz="6" w:space="0" w:color="auto"/>
              <w:left w:val="single" w:sz="12" w:space="0" w:color="D3D3D3"/>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355" w:hRule="exact"/>
        </w:trPr>
        <w:tc>
          <w:tcPr>
            <w:tcW w:w="33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1" w:type="dxa"/>
            <w:tcBorders>
              <w:top w:val="single" w:sz="4" w:space="0" w:color="000000"/>
              <w:left w:val="single" w:sz="12" w:space="0" w:color="D3D3D3"/>
              <w:bottom w:val="nil" w:sz="6" w:space="0" w:color="auto"/>
              <w:right w:val="single" w:sz="4" w:space="0" w:color="000000"/>
            </w:tcBorders>
          </w:tcPr>
          <w:p>
            <w:pPr/>
          </w:p>
        </w:tc>
        <w:tc>
          <w:tcPr>
            <w:tcW w:w="3185" w:type="dxa"/>
            <w:vMerge w:val="restart"/>
            <w:tcBorders>
              <w:top w:val="single" w:sz="4" w:space="0" w:color="000000"/>
              <w:left w:val="single" w:sz="4" w:space="0" w:color="000000"/>
              <w:right w:val="single" w:sz="4" w:space="0" w:color="000000"/>
            </w:tcBorders>
          </w:tcPr>
          <w:p>
            <w:pPr/>
          </w:p>
        </w:tc>
      </w:tr>
      <w:tr>
        <w:trPr>
          <w:trHeight w:val="312"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71" w:type="dxa"/>
            <w:tcBorders>
              <w:top w:val="nil" w:sz="6" w:space="0" w:color="auto"/>
              <w:left w:val="single" w:sz="12" w:space="0" w:color="D3D3D3"/>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17"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71" w:type="dxa"/>
            <w:tcBorders>
              <w:top w:val="nil" w:sz="6" w:space="0" w:color="auto"/>
              <w:left w:val="single" w:sz="12" w:space="0" w:color="D3D3D3"/>
              <w:bottom w:val="nil" w:sz="6" w:space="0" w:color="auto"/>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pacing w:val="-1"/>
                <w:sz w:val="18"/>
              </w:rPr>
              <w:t>1,156,496.11</w:t>
            </w:r>
          </w:p>
        </w:tc>
        <w:tc>
          <w:tcPr>
            <w:tcW w:w="3185" w:type="dxa"/>
            <w:vMerge/>
            <w:tcBorders>
              <w:left w:val="single" w:sz="4" w:space="0" w:color="000000"/>
              <w:right w:val="single" w:sz="4" w:space="0" w:color="000000"/>
            </w:tcBorders>
          </w:tcPr>
          <w:p>
            <w:pPr/>
          </w:p>
        </w:tc>
      </w:tr>
      <w:tr>
        <w:trPr>
          <w:trHeight w:val="307"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71" w:type="dxa"/>
            <w:tcBorders>
              <w:top w:val="nil" w:sz="6" w:space="0" w:color="auto"/>
              <w:left w:val="single" w:sz="12" w:space="0" w:color="D3D3D3"/>
              <w:bottom w:val="nil" w:sz="6" w:space="0" w:color="auto"/>
              <w:right w:val="single" w:sz="4" w:space="0" w:color="000000"/>
            </w:tcBorders>
          </w:tcPr>
          <w:p>
            <w:pPr/>
          </w:p>
        </w:tc>
        <w:tc>
          <w:tcPr>
            <w:tcW w:w="3185" w:type="dxa"/>
            <w:vMerge/>
            <w:tcBorders>
              <w:left w:val="single" w:sz="4" w:space="0" w:color="000000"/>
              <w:right w:val="single" w:sz="4" w:space="0" w:color="000000"/>
            </w:tcBorders>
          </w:tcPr>
          <w:p>
            <w:pPr/>
          </w:p>
        </w:tc>
      </w:tr>
      <w:tr>
        <w:trPr>
          <w:trHeight w:val="360" w:hRule="exact"/>
        </w:trPr>
        <w:tc>
          <w:tcPr>
            <w:tcW w:w="33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71" w:type="dxa"/>
            <w:tcBorders>
              <w:top w:val="nil" w:sz="6" w:space="0" w:color="auto"/>
              <w:left w:val="single" w:sz="12" w:space="0" w:color="D3D3D3"/>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-349,361.27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-463,364.50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1,117,428.58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2" w:space="0" w:color="D3D3D3"/>
              <w:bottom w:val="single" w:sz="4" w:space="0" w:color="000000"/>
              <w:right w:val="single" w:sz="9" w:space="0" w:color="D3D3D3"/>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5,679,331.32</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4"/>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8"/>
        </w:rPr>
        <w:t>号——非经常性损益》定义界定的非经常性损益项目，以及把《公</w:t>
      </w:r>
    </w:p>
    <w:p>
      <w:pPr>
        <w:pStyle w:val="BodyText"/>
        <w:spacing w:line="300" w:lineRule="auto" w:before="60"/>
        <w:ind w:right="0"/>
        <w:jc w:val="left"/>
      </w:pPr>
      <w:r>
        <w:rPr/>
        <w:t>开发行证券的公司信息披露解释性公告第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4"/>
        </w:rPr>
        <w:t>号——非经常性损益》中列举的非经常性损益项目界定为经常性损益的项目，应</w:t>
      </w:r>
      <w:r>
        <w:rPr>
          <w:spacing w:val="-84"/>
        </w:rPr>
        <w:t> </w:t>
      </w:r>
      <w:r>
        <w:rPr>
          <w:spacing w:val="-84"/>
        </w:rPr>
      </w:r>
      <w:r>
        <w:rPr/>
        <w:t>说明原因。</w:t>
      </w:r>
    </w:p>
    <w:p>
      <w:pPr>
        <w:pStyle w:val="BodyText"/>
        <w:spacing w:line="240" w:lineRule="auto" w:before="72"/>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2、净资产收益率及每股收益 " w:id="402"/>
      <w:bookmarkEnd w:id="40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3"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3"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8"/>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0"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10.55%</w:t>
            </w:r>
          </w:p>
        </w:tc>
        <w:tc>
          <w:tcPr>
            <w:tcW w:w="191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0.83</w:t>
            </w:r>
          </w:p>
        </w:tc>
        <w:tc>
          <w:tcPr>
            <w:tcW w:w="1913"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0.83</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1" w:right="10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r>
              <w:rPr>
                <w:rFonts w:ascii="宋体" w:hAnsi="宋体" w:cs="宋体" w:eastAsia="宋体" w:hint="default"/>
                <w:w w:val="100"/>
                <w:sz w:val="18"/>
                <w:szCs w:val="18"/>
              </w:rPr>
              <w:t> </w:t>
            </w:r>
            <w:r>
              <w:rPr>
                <w:rFonts w:ascii="宋体" w:hAnsi="宋体" w:cs="宋体" w:eastAsia="宋体" w:hint="default"/>
                <w:sz w:val="18"/>
                <w:szCs w:val="18"/>
              </w:rPr>
              <w:t>普通股股东的净利润</w:t>
            </w:r>
          </w:p>
        </w:tc>
        <w:tc>
          <w:tcPr>
            <w:tcW w:w="3082"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0.80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会计政策变更相关补充资料 " w:id="403"/>
      <w:bookmarkEnd w:id="403"/>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bookmarkStart w:name="4、其他 " w:id="404"/>
      <w:bookmarkEnd w:id="40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81"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4" w:right="0"/>
        <w:jc w:val="left"/>
        <w:rPr>
          <w:b w:val="0"/>
          <w:bCs w:val="0"/>
        </w:rPr>
      </w:pPr>
      <w:bookmarkStart w:name="第十二节 备查文件目录 " w:id="405"/>
      <w:bookmarkEnd w:id="405"/>
      <w:r>
        <w:rPr>
          <w:b w:val="0"/>
          <w:bCs w:val="0"/>
        </w:rPr>
      </w:r>
      <w:bookmarkStart w:name="_bookmark11" w:id="406"/>
      <w:bookmarkEnd w:id="406"/>
      <w:r>
        <w:rPr>
          <w:b w:val="0"/>
          <w:bCs w:val="0"/>
        </w:rPr>
      </w:r>
      <w:r>
        <w:rPr/>
        <w:t>第十二节</w:t>
      </w:r>
      <w:r>
        <w:rPr>
          <w:spacing w:val="-10"/>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316" w:lineRule="auto"/>
        <w:ind w:left="632" w:right="0"/>
        <w:jc w:val="left"/>
      </w:pPr>
      <w:r>
        <w:rPr>
          <w:spacing w:val="-1"/>
        </w:rPr>
        <w:t>一、载有公司法定代表人、主管会计工作负责人、会计机构负责人（会计主管人员）签名并盖章的财务报表。</w:t>
      </w:r>
      <w:r>
        <w:rPr>
          <w:spacing w:val="-78"/>
        </w:rPr>
        <w:t> </w:t>
      </w:r>
      <w:r>
        <w:rPr>
          <w:spacing w:val="-78"/>
        </w:rPr>
      </w:r>
      <w:r>
        <w:rPr/>
        <w:t>二、载有会计师事务所盖章、注册会计师签名并盖章的审计报告原件。</w:t>
      </w:r>
      <w:r>
        <w:rPr>
          <w:w w:val="100"/>
        </w:rPr>
        <w:t> </w:t>
      </w:r>
      <w:r>
        <w:rPr/>
        <w:t>三、报告期内在中国证监会指定网站上公开披露过的所有公司文件的正本及公告的原稿。</w:t>
      </w:r>
      <w:r>
        <w:rPr>
          <w:w w:val="100"/>
        </w:rPr>
        <w:t> </w:t>
      </w:r>
      <w:r>
        <w:rPr/>
        <w:t>四、载有董事长签名的</w:t>
      </w:r>
      <w:r>
        <w:rPr>
          <w:rFonts w:ascii="Times New Roman" w:hAnsi="Times New Roman" w:cs="Times New Roman" w:eastAsia="Times New Roman" w:hint="default"/>
        </w:rPr>
        <w:t>2014</w:t>
      </w:r>
      <w:r>
        <w:rPr/>
        <w:t>年度报告文本原件。</w:t>
      </w:r>
    </w:p>
    <w:p>
      <w:pPr>
        <w:pStyle w:val="BodyText"/>
        <w:spacing w:line="316" w:lineRule="auto"/>
        <w:ind w:left="632" w:right="5260"/>
        <w:jc w:val="left"/>
      </w:pPr>
      <w:r>
        <w:rPr/>
        <w:t>五、其他备查文件。</w:t>
      </w:r>
      <w:r>
        <w:rPr>
          <w:w w:val="100"/>
        </w:rPr>
        <w:t> </w:t>
      </w:r>
      <w:r>
        <w:rPr>
          <w:spacing w:val="-1"/>
        </w:rPr>
        <w:t>以上文件的备置地点：公司证券办公室。</w:t>
      </w:r>
    </w:p>
    <w:sectPr>
      <w:pgSz w:w="11910" w:h="16840"/>
      <w:pgMar w:header="745" w:footer="981"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970032pt;margin-top:795.514954pt;width:6.55pt;height:11pt;mso-position-horizontal-relative:page;mso-position-vertical-relative:page;z-index:-898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w w:val="100"/>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99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6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219360pt;margin-top:781.834961pt;width:17.3pt;height:11pt;mso-position-horizontal-relative:page;mso-position-vertical-relative:page;z-index:-898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141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1.970032pt;margin-top:781.834961pt;width:8.550pt;height:11pt;mso-position-horizontal-relative:page;mso-position-vertical-relative:page;z-index:-898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w w:val="100"/>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58887pt;margin-top:781.834961pt;width:17.650pt;height:11pt;mso-position-horizontal-relative:page;mso-position-vertical-relative:page;z-index:-898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150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18945pt;margin-top:781.834961pt;width:13.1pt;height:11pt;mso-position-horizontal-relative:page;mso-position-vertical-relative:page;z-index:-898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w w:val="100"/>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3.862213pt;margin-top:36.268639pt;width:195.75pt;height:11.5pt;mso-position-horizontal-relative:page;mso-position-vertical-relative:page;z-index:-898960" type="#_x0000_t202" filled="false" stroked="false">
          <v:textbox inset="0,0,0,0">
            <w:txbxContent>
              <w:p>
                <w:pPr>
                  <w:pStyle w:val="BodyText"/>
                  <w:spacing w:line="214" w:lineRule="exact"/>
                  <w:ind w:left="20" w:right="0"/>
                  <w:jc w:val="left"/>
                </w:pPr>
                <w:r>
                  <w:rPr/>
                  <w:t>山东瑞康医药股份有限公司</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spacing w:before="44"/>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realcan.cn/" TargetMode="External"/><Relationship Id="rId10" Type="http://schemas.openxmlformats.org/officeDocument/2006/relationships/hyperlink" Target="mailto:stock@realcan.cn" TargetMode="External"/><Relationship Id="rId11" Type="http://schemas.openxmlformats.org/officeDocument/2006/relationships/hyperlink" Target="mailto:zhouyun@realcan.cn"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2.jpeg"/><Relationship Id="rId18" Type="http://schemas.openxmlformats.org/officeDocument/2006/relationships/footer" Target="footer7.xml"/><Relationship Id="rId19" Type="http://schemas.openxmlformats.org/officeDocument/2006/relationships/image" Target="media/image3.jpe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footer" Target="footer8.xml"/><Relationship Id="rId23" Type="http://schemas.openxmlformats.org/officeDocument/2006/relationships/hyperlink" Target="http://www-cninfo-com-cn/" TargetMode="Externa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2020-05-06T17:54:32Z</dcterms:created>
  <dcterms:modified xsi:type="dcterms:W3CDTF">2020-05-06T17:54:32Z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LastSaved">
    <vt:filetime>2020-05-06T00:00:00Z</vt:filetime>
  </property>
</Properties>
</file>