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2.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13.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14.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6.xml" ContentType="application/vnd.openxmlformats-officedocument.wordprocessingml.header+xml"/>
  <Override PartName="/word/footer33.xml" ContentType="application/vnd.openxmlformats-officedocument.wordprocessingml.footer+xml"/>
  <Override PartName="/word/header17.xml" ContentType="application/vnd.openxmlformats-officedocument.wordprocessingml.header+xml"/>
  <Override PartName="/word/footer34.xml" ContentType="application/vnd.openxmlformats-officedocument.wordprocessingml.footer+xml"/>
  <Override PartName="/word/header18.xml" ContentType="application/vnd.openxmlformats-officedocument.wordprocessingml.header+xml"/>
  <Override PartName="/word/footer35.xml" ContentType="application/vnd.openxmlformats-officedocument.wordprocessingml.footer+xml"/>
  <Override PartName="/word/header1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8"/>
        <w:ind w:left="614" w:right="1598" w:firstLine="0"/>
        <w:jc w:val="center"/>
        <w:rPr>
          <w:rFonts w:ascii="黑体" w:hAnsi="黑体" w:cs="黑体" w:eastAsia="黑体" w:hint="default"/>
          <w:sz w:val="52"/>
          <w:szCs w:val="52"/>
        </w:rPr>
      </w:pPr>
      <w:r>
        <w:rPr/>
        <w:pict>
          <v:group style="position:absolute;margin-left:55.200001pt;margin-top:-50.272823pt;width:484.9pt;height:.1pt;mso-position-horizontal-relative:page;mso-position-vertical-relative:paragraph;z-index:0" coordorigin="1104,-1005" coordsize="9698,2">
            <v:shape style="position:absolute;left:1104;top:-1005;width:9698;height:2" coordorigin="1104,-1005" coordsize="9698,0" path="m1104,-1005l10802,-1005e" filled="false" stroked="true" strokeweight=".72pt" strokecolor="#000000">
              <v:path arrowok="t"/>
            </v:shape>
            <w10:wrap type="none"/>
          </v:group>
        </w:pict>
      </w:r>
      <w:r>
        <w:rPr>
          <w:rFonts w:ascii="黑体" w:hAnsi="黑体" w:cs="黑体" w:eastAsia="黑体" w:hint="default"/>
          <w:b/>
          <w:bCs/>
          <w:sz w:val="52"/>
          <w:szCs w:val="52"/>
        </w:rPr>
        <w:t>江苏爱康太阳能科技股份有限公司</w:t>
      </w:r>
      <w:r>
        <w:rPr>
          <w:rFonts w:ascii="黑体" w:hAnsi="黑体" w:cs="黑体" w:eastAsia="黑体" w:hint="default"/>
          <w:sz w:val="52"/>
          <w:szCs w:val="52"/>
        </w:rPr>
      </w:r>
    </w:p>
    <w:p>
      <w:pPr>
        <w:spacing w:before="114"/>
        <w:ind w:left="614" w:right="1597" w:firstLine="0"/>
        <w:jc w:val="center"/>
        <w:rPr>
          <w:rFonts w:ascii="Times New Roman" w:hAnsi="Times New Roman" w:cs="Times New Roman" w:eastAsia="Times New Roman" w:hint="default"/>
          <w:sz w:val="30"/>
          <w:szCs w:val="30"/>
        </w:rPr>
      </w:pPr>
      <w:r>
        <w:rPr>
          <w:rFonts w:ascii="Times New Roman"/>
          <w:sz w:val="30"/>
        </w:rPr>
        <w:t>Jiangsu Akcome Solar Science &amp; Technology</w:t>
      </w:r>
      <w:r>
        <w:rPr>
          <w:rFonts w:ascii="Times New Roman"/>
          <w:spacing w:val="-27"/>
          <w:sz w:val="30"/>
        </w:rPr>
        <w:t> </w:t>
      </w:r>
      <w:r>
        <w:rPr>
          <w:rFonts w:ascii="Times New Roman"/>
          <w:sz w:val="30"/>
        </w:rPr>
        <w:t>Co.,Ltd.</w: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3"/>
          <w:szCs w:val="13"/>
        </w:rPr>
      </w:pPr>
    </w:p>
    <w:p>
      <w:pPr>
        <w:spacing w:line="3795" w:lineRule="exact"/>
        <w:ind w:left="29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drawing>
          <wp:inline distT="0" distB="0" distL="0" distR="0">
            <wp:extent cx="2573723" cy="24098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573723" cy="2409825"/>
                    </a:xfrm>
                    <a:prstGeom prst="rect">
                      <a:avLst/>
                    </a:prstGeom>
                  </pic:spPr>
                </pic:pic>
              </a:graphicData>
            </a:graphic>
          </wp:inline>
        </w:drawing>
      </w:r>
      <w:r>
        <w:rPr>
          <w:rFonts w:ascii="Times New Roman" w:hAnsi="Times New Roman" w:cs="Times New Roman" w:eastAsia="Times New Roman" w:hint="default"/>
          <w:position w:val="-75"/>
          <w:sz w:val="20"/>
          <w:szCs w:val="20"/>
        </w:rPr>
      </w:r>
    </w:p>
    <w:p>
      <w:pPr>
        <w:spacing w:line="240" w:lineRule="auto" w:before="0"/>
        <w:rPr>
          <w:rFonts w:ascii="Times New Roman" w:hAnsi="Times New Roman" w:cs="Times New Roman" w:eastAsia="Times New Roman" w:hint="default"/>
          <w:sz w:val="30"/>
          <w:szCs w:val="30"/>
        </w:rPr>
      </w:pPr>
    </w:p>
    <w:p>
      <w:pPr>
        <w:spacing w:line="240" w:lineRule="auto" w:before="0"/>
        <w:rPr>
          <w:rFonts w:ascii="Times New Roman" w:hAnsi="Times New Roman" w:cs="Times New Roman" w:eastAsia="Times New Roman" w:hint="default"/>
          <w:sz w:val="30"/>
          <w:szCs w:val="30"/>
        </w:rPr>
      </w:pPr>
    </w:p>
    <w:p>
      <w:pPr>
        <w:spacing w:line="240" w:lineRule="auto" w:before="0"/>
        <w:rPr>
          <w:rFonts w:ascii="Times New Roman" w:hAnsi="Times New Roman" w:cs="Times New Roman" w:eastAsia="Times New Roman" w:hint="default"/>
          <w:sz w:val="30"/>
          <w:szCs w:val="30"/>
        </w:rPr>
      </w:pPr>
    </w:p>
    <w:p>
      <w:pPr>
        <w:spacing w:line="240" w:lineRule="auto" w:before="6"/>
        <w:rPr>
          <w:rFonts w:ascii="Times New Roman" w:hAnsi="Times New Roman" w:cs="Times New Roman" w:eastAsia="Times New Roman" w:hint="default"/>
          <w:sz w:val="35"/>
          <w:szCs w:val="35"/>
        </w:rPr>
      </w:pPr>
    </w:p>
    <w:p>
      <w:pPr>
        <w:spacing w:before="0"/>
        <w:ind w:left="614" w:right="1595" w:firstLine="0"/>
        <w:jc w:val="center"/>
        <w:rPr>
          <w:rFonts w:ascii="黑体" w:hAnsi="黑体" w:cs="黑体" w:eastAsia="黑体" w:hint="default"/>
          <w:sz w:val="52"/>
          <w:szCs w:val="52"/>
        </w:rPr>
      </w:pPr>
      <w:r>
        <w:rPr>
          <w:rFonts w:ascii="黑体" w:hAnsi="黑体" w:cs="黑体" w:eastAsia="黑体" w:hint="default"/>
          <w:b/>
          <w:bCs/>
          <w:sz w:val="52"/>
          <w:szCs w:val="52"/>
        </w:rPr>
        <w:t>2012</w:t>
      </w:r>
      <w:r>
        <w:rPr>
          <w:rFonts w:ascii="黑体" w:hAnsi="黑体" w:cs="黑体" w:eastAsia="黑体" w:hint="default"/>
          <w:b/>
          <w:bCs/>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1"/>
        <w:rPr>
          <w:rFonts w:ascii="黑体" w:hAnsi="黑体" w:cs="黑体" w:eastAsia="黑体" w:hint="default"/>
          <w:b/>
          <w:bCs/>
          <w:sz w:val="44"/>
          <w:szCs w:val="44"/>
        </w:rPr>
      </w:pPr>
    </w:p>
    <w:p>
      <w:pPr>
        <w:spacing w:line="381" w:lineRule="auto" w:before="0"/>
        <w:ind w:left="3247" w:right="4223" w:hanging="3"/>
        <w:jc w:val="center"/>
        <w:rPr>
          <w:rFonts w:ascii="黑体" w:hAnsi="黑体" w:cs="黑体" w:eastAsia="黑体" w:hint="default"/>
          <w:sz w:val="30"/>
          <w:szCs w:val="30"/>
        </w:rPr>
      </w:pPr>
      <w:r>
        <w:rPr>
          <w:rFonts w:ascii="黑体" w:hAnsi="黑体" w:cs="黑体" w:eastAsia="黑体" w:hint="default"/>
          <w:sz w:val="30"/>
          <w:szCs w:val="30"/>
        </w:rPr>
        <w:t>证券代码：</w:t>
      </w:r>
      <w:r>
        <w:rPr>
          <w:rFonts w:ascii="黑体" w:hAnsi="黑体" w:cs="黑体" w:eastAsia="黑体" w:hint="default"/>
          <w:sz w:val="30"/>
          <w:szCs w:val="30"/>
        </w:rPr>
        <w:t>002610 </w:t>
      </w:r>
      <w:r>
        <w:rPr>
          <w:rFonts w:ascii="黑体" w:hAnsi="黑体" w:cs="黑体" w:eastAsia="黑体" w:hint="default"/>
          <w:sz w:val="30"/>
          <w:szCs w:val="30"/>
        </w:rPr>
        <w:t>证券简称：爱康科技 披露日期：</w:t>
      </w:r>
      <w:r>
        <w:rPr>
          <w:rFonts w:ascii="黑体" w:hAnsi="黑体" w:cs="黑体" w:eastAsia="黑体" w:hint="default"/>
          <w:sz w:val="30"/>
          <w:szCs w:val="30"/>
        </w:rPr>
        <w:t>2013</w:t>
      </w:r>
      <w:r>
        <w:rPr>
          <w:rFonts w:ascii="黑体" w:hAnsi="黑体" w:cs="黑体" w:eastAsia="黑体" w:hint="default"/>
          <w:sz w:val="30"/>
          <w:szCs w:val="30"/>
        </w:rPr>
        <w:t>年</w:t>
      </w:r>
      <w:r>
        <w:rPr>
          <w:rFonts w:ascii="黑体" w:hAnsi="黑体" w:cs="黑体" w:eastAsia="黑体" w:hint="default"/>
          <w:sz w:val="30"/>
          <w:szCs w:val="30"/>
        </w:rPr>
        <w:t>4</w:t>
      </w:r>
      <w:r>
        <w:rPr>
          <w:rFonts w:ascii="黑体" w:hAnsi="黑体" w:cs="黑体" w:eastAsia="黑体" w:hint="default"/>
          <w:sz w:val="30"/>
          <w:szCs w:val="30"/>
        </w:rPr>
        <w:t>月</w:t>
      </w:r>
      <w:r>
        <w:rPr>
          <w:rFonts w:ascii="黑体" w:hAnsi="黑体" w:cs="黑体" w:eastAsia="黑体" w:hint="default"/>
          <w:sz w:val="30"/>
          <w:szCs w:val="30"/>
        </w:rPr>
        <w:t>24</w:t>
      </w:r>
      <w:r>
        <w:rPr>
          <w:rFonts w:ascii="黑体" w:hAnsi="黑体" w:cs="黑体" w:eastAsia="黑体" w:hint="default"/>
          <w:sz w:val="30"/>
          <w:szCs w:val="30"/>
        </w:rPr>
        <w:t>日</w:t>
      </w:r>
    </w:p>
    <w:p>
      <w:pPr>
        <w:spacing w:after="0" w:line="381" w:lineRule="auto"/>
        <w:jc w:val="center"/>
        <w:rPr>
          <w:rFonts w:ascii="黑体" w:hAnsi="黑体" w:cs="黑体" w:eastAsia="黑体" w:hint="default"/>
          <w:sz w:val="30"/>
          <w:szCs w:val="30"/>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黑体" w:hAnsi="黑体" w:cs="黑体" w:eastAsia="黑体" w:hint="default"/>
          <w:sz w:val="2"/>
          <w:szCs w:val="2"/>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8"/>
          <w:szCs w:val="18"/>
        </w:rPr>
      </w:pPr>
    </w:p>
    <w:p>
      <w:pPr>
        <w:pStyle w:val="Heading1"/>
        <w:spacing w:line="240" w:lineRule="auto"/>
        <w:ind w:left="2803" w:right="1115"/>
        <w:jc w:val="left"/>
        <w:rPr>
          <w:b w:val="0"/>
          <w:bCs w:val="0"/>
        </w:rPr>
      </w:pPr>
      <w:r>
        <w:rPr/>
        <w:t>第一节</w:t>
      </w:r>
      <w:r>
        <w:rPr>
          <w:spacing w:val="-6"/>
        </w:rPr>
        <w:t> </w:t>
      </w:r>
      <w:r>
        <w:rPr/>
        <w:t>重要提示、目录和释义</w:t>
      </w:r>
      <w:r>
        <w:rPr>
          <w:b w:val="0"/>
          <w:bCs w:val="0"/>
        </w:rPr>
      </w:r>
    </w:p>
    <w:p>
      <w:pPr>
        <w:spacing w:line="240" w:lineRule="auto" w:before="11"/>
        <w:rPr>
          <w:rFonts w:ascii="宋体" w:hAnsi="宋体" w:cs="宋体" w:eastAsia="宋体" w:hint="default"/>
          <w:b/>
          <w:bCs/>
          <w:sz w:val="44"/>
          <w:szCs w:val="44"/>
        </w:rPr>
      </w:pPr>
    </w:p>
    <w:p>
      <w:pPr>
        <w:pStyle w:val="Heading2"/>
        <w:spacing w:line="357" w:lineRule="auto"/>
        <w:ind w:right="1136" w:firstLine="482"/>
        <w:jc w:val="both"/>
        <w:rPr>
          <w:b w:val="0"/>
          <w:bCs w:val="0"/>
        </w:rPr>
      </w:pPr>
      <w:r>
        <w:rPr/>
        <w:t>本公司董事会、监事会及董事、监事、高级管理人员保证本报告所载资料不存在任何虚</w:t>
      </w:r>
      <w:r>
        <w:rPr>
          <w:w w:val="99"/>
        </w:rPr>
        <w:t> </w:t>
      </w:r>
      <w:r>
        <w:rPr/>
        <w:t>假记载、误导性陈述或者重大遗漏，并对其内容的真实性、准确性和完整性承担个别及连带</w:t>
      </w:r>
      <w:r>
        <w:rPr>
          <w:w w:val="99"/>
        </w:rPr>
        <w:t> </w:t>
      </w:r>
      <w:r>
        <w:rPr/>
        <w:t>责任。</w:t>
      </w:r>
      <w:r>
        <w:rPr>
          <w:b w:val="0"/>
          <w:bCs w:val="0"/>
        </w:rPr>
      </w:r>
    </w:p>
    <w:p>
      <w:pPr>
        <w:spacing w:line="338" w:lineRule="auto" w:before="137"/>
        <w:ind w:left="152" w:right="1124" w:firstLine="482"/>
        <w:jc w:val="both"/>
        <w:rPr>
          <w:rFonts w:ascii="宋体" w:hAnsi="宋体" w:cs="宋体" w:eastAsia="宋体" w:hint="default"/>
          <w:sz w:val="24"/>
          <w:szCs w:val="24"/>
        </w:rPr>
      </w:pPr>
      <w:r>
        <w:rPr>
          <w:rFonts w:ascii="宋体" w:hAnsi="宋体" w:cs="宋体" w:eastAsia="宋体" w:hint="default"/>
          <w:b/>
          <w:bCs/>
          <w:spacing w:val="2"/>
          <w:sz w:val="24"/>
          <w:szCs w:val="24"/>
        </w:rPr>
        <w:t>公司负责人邹承慧、主管会计工作负责人易美怀及会计机构负责人</w:t>
      </w:r>
      <w:r>
        <w:rPr>
          <w:rFonts w:ascii="Times New Roman" w:hAnsi="Times New Roman" w:cs="Times New Roman" w:eastAsia="Times New Roman" w:hint="default"/>
          <w:b/>
          <w:bCs/>
          <w:spacing w:val="2"/>
          <w:sz w:val="24"/>
          <w:szCs w:val="24"/>
        </w:rPr>
        <w:t>(</w:t>
      </w:r>
      <w:r>
        <w:rPr>
          <w:rFonts w:ascii="宋体" w:hAnsi="宋体" w:cs="宋体" w:eastAsia="宋体" w:hint="default"/>
          <w:b/>
          <w:bCs/>
          <w:spacing w:val="2"/>
          <w:sz w:val="24"/>
          <w:szCs w:val="24"/>
        </w:rPr>
        <w:t>会计主管人员</w:t>
      </w:r>
      <w:r>
        <w:rPr>
          <w:rFonts w:ascii="Times New Roman" w:hAnsi="Times New Roman" w:cs="Times New Roman" w:eastAsia="Times New Roman" w:hint="default"/>
          <w:b/>
          <w:bCs/>
          <w:spacing w:val="2"/>
          <w:sz w:val="24"/>
          <w:szCs w:val="24"/>
        </w:rPr>
        <w:t>)</w:t>
      </w:r>
      <w:r>
        <w:rPr>
          <w:rFonts w:ascii="宋体" w:hAnsi="宋体" w:cs="宋体" w:eastAsia="宋体" w:hint="default"/>
          <w:b/>
          <w:bCs/>
          <w:spacing w:val="2"/>
          <w:sz w:val="24"/>
          <w:szCs w:val="24"/>
        </w:rPr>
        <w:t>王能</w:t>
      </w:r>
      <w:r>
        <w:rPr>
          <w:rFonts w:ascii="宋体" w:hAnsi="宋体" w:cs="宋体" w:eastAsia="宋体" w:hint="default"/>
          <w:b/>
          <w:bCs/>
          <w:spacing w:val="4"/>
          <w:w w:val="99"/>
          <w:sz w:val="24"/>
          <w:szCs w:val="24"/>
        </w:rPr>
        <w:t> </w:t>
      </w:r>
      <w:r>
        <w:rPr>
          <w:rFonts w:ascii="宋体" w:hAnsi="宋体" w:cs="宋体" w:eastAsia="宋体" w:hint="default"/>
          <w:b/>
          <w:bCs/>
          <w:sz w:val="24"/>
          <w:szCs w:val="24"/>
        </w:rPr>
        <w:t>海声明：保证年度报告中财务报告的真实、准确、完整。</w:t>
      </w:r>
      <w:r>
        <w:rPr>
          <w:rFonts w:ascii="宋体" w:hAnsi="宋体" w:cs="宋体" w:eastAsia="宋体" w:hint="default"/>
          <w:sz w:val="24"/>
          <w:szCs w:val="24"/>
        </w:rPr>
      </w:r>
    </w:p>
    <w:p>
      <w:pPr>
        <w:spacing w:before="157"/>
        <w:ind w:left="635" w:right="1115" w:firstLine="0"/>
        <w:jc w:val="left"/>
        <w:rPr>
          <w:rFonts w:ascii="宋体" w:hAnsi="宋体" w:cs="宋体" w:eastAsia="宋体" w:hint="default"/>
          <w:sz w:val="24"/>
          <w:szCs w:val="24"/>
        </w:rPr>
      </w:pPr>
      <w:r>
        <w:rPr>
          <w:rFonts w:ascii="宋体" w:hAnsi="宋体" w:cs="宋体" w:eastAsia="宋体" w:hint="default"/>
          <w:b/>
          <w:bCs/>
          <w:sz w:val="24"/>
          <w:szCs w:val="24"/>
        </w:rPr>
        <w:t>除下列董事外，其他董事亲自出席了审议本次年报的董事会会议</w:t>
      </w:r>
      <w:r>
        <w:rPr>
          <w:rFonts w:ascii="宋体" w:hAnsi="宋体" w:cs="宋体" w:eastAsia="宋体" w:hint="default"/>
          <w:sz w:val="24"/>
          <w:szCs w:val="24"/>
        </w:rPr>
      </w:r>
    </w:p>
    <w:p>
      <w:pPr>
        <w:spacing w:line="240" w:lineRule="auto" w:before="4"/>
        <w:rPr>
          <w:rFonts w:ascii="宋体" w:hAnsi="宋体" w:cs="宋体" w:eastAsia="宋体" w:hint="default"/>
          <w:b/>
          <w:bCs/>
          <w:sz w:val="16"/>
          <w:szCs w:val="1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境外出差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季海瑜</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个人工作原因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刘丹萍</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个人工作原因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刘丹萍</w:t>
            </w:r>
          </w:p>
        </w:tc>
      </w:tr>
    </w:tbl>
    <w:p>
      <w:pPr>
        <w:spacing w:line="240" w:lineRule="auto" w:before="9"/>
        <w:rPr>
          <w:rFonts w:ascii="宋体" w:hAnsi="宋体" w:cs="宋体" w:eastAsia="宋体" w:hint="default"/>
          <w:b/>
          <w:bCs/>
          <w:sz w:val="8"/>
          <w:szCs w:val="8"/>
        </w:rPr>
      </w:pPr>
    </w:p>
    <w:p>
      <w:pPr>
        <w:spacing w:line="434" w:lineRule="auto" w:before="26"/>
        <w:ind w:left="635" w:right="1115" w:firstLine="0"/>
        <w:jc w:val="left"/>
        <w:rPr>
          <w:rFonts w:ascii="宋体" w:hAnsi="宋体" w:cs="宋体" w:eastAsia="宋体" w:hint="default"/>
          <w:sz w:val="24"/>
          <w:szCs w:val="24"/>
        </w:rPr>
      </w:pPr>
      <w:r>
        <w:rPr>
          <w:rFonts w:ascii="宋体" w:hAnsi="宋体" w:cs="宋体" w:eastAsia="宋体" w:hint="default"/>
          <w:b/>
          <w:bCs/>
          <w:sz w:val="24"/>
          <w:szCs w:val="24"/>
        </w:rPr>
        <w:t>公司计划不派发现金红利，不送红股，不以公积金转增股本。</w:t>
      </w:r>
      <w:r>
        <w:rPr>
          <w:rFonts w:ascii="宋体" w:hAnsi="宋体" w:cs="宋体" w:eastAsia="宋体" w:hint="default"/>
          <w:b/>
          <w:bCs/>
          <w:w w:val="99"/>
          <w:sz w:val="24"/>
          <w:szCs w:val="24"/>
        </w:rPr>
        <w:t> </w:t>
      </w:r>
      <w:r>
        <w:rPr>
          <w:rFonts w:ascii="宋体" w:hAnsi="宋体" w:cs="宋体" w:eastAsia="宋体" w:hint="default"/>
          <w:b/>
          <w:bCs/>
          <w:sz w:val="24"/>
          <w:szCs w:val="24"/>
        </w:rPr>
        <w:t>本报告中所涉及的未来计划、发展战略等前瞻性描述不构成公司对投资者的实质承诺，</w:t>
      </w:r>
      <w:r>
        <w:rPr>
          <w:rFonts w:ascii="宋体" w:hAnsi="宋体" w:cs="宋体" w:eastAsia="宋体" w:hint="default"/>
          <w:sz w:val="24"/>
          <w:szCs w:val="24"/>
        </w:rPr>
      </w:r>
    </w:p>
    <w:p>
      <w:pPr>
        <w:spacing w:line="274" w:lineRule="exact" w:before="0"/>
        <w:ind w:left="152" w:right="1115" w:firstLine="0"/>
        <w:jc w:val="left"/>
        <w:rPr>
          <w:rFonts w:ascii="宋体" w:hAnsi="宋体" w:cs="宋体" w:eastAsia="宋体" w:hint="default"/>
          <w:sz w:val="24"/>
          <w:szCs w:val="24"/>
        </w:rPr>
      </w:pPr>
      <w:r>
        <w:rPr>
          <w:rFonts w:ascii="宋体" w:hAnsi="宋体" w:cs="宋体" w:eastAsia="宋体" w:hint="default"/>
          <w:b/>
          <w:bCs/>
          <w:sz w:val="24"/>
          <w:szCs w:val="24"/>
        </w:rPr>
        <w:t>敬请投资者注意投资风险。</w:t>
      </w:r>
      <w:r>
        <w:rPr>
          <w:rFonts w:ascii="宋体" w:hAnsi="宋体" w:cs="宋体" w:eastAsia="宋体" w:hint="default"/>
          <w:sz w:val="24"/>
          <w:szCs w:val="24"/>
        </w:rPr>
      </w:r>
    </w:p>
    <w:p>
      <w:pPr>
        <w:spacing w:after="0" w:line="274" w:lineRule="exact"/>
        <w:jc w:val="left"/>
        <w:rPr>
          <w:rFonts w:ascii="宋体" w:hAnsi="宋体" w:cs="宋体" w:eastAsia="宋体" w:hint="default"/>
          <w:sz w:val="24"/>
          <w:szCs w:val="24"/>
        </w:rPr>
        <w:sectPr>
          <w:footerReference w:type="default" r:id="rId8"/>
          <w:pgSz w:w="11910" w:h="16840"/>
          <w:pgMar w:footer="1340" w:header="745" w:top="1060" w:bottom="15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614" w:right="159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p>
      <w:pPr>
        <w:pStyle w:val="Heading2"/>
        <w:tabs>
          <w:tab w:pos="9783" w:val="right" w:leader="dot"/>
        </w:tabs>
        <w:spacing w:line="240" w:lineRule="auto"/>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年度报告</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p>
    <w:p>
      <w:pPr>
        <w:pStyle w:val="Heading2"/>
        <w:tabs>
          <w:tab w:pos="9783" w:val="right" w:leader="dot"/>
        </w:tabs>
        <w:spacing w:line="240" w:lineRule="auto" w:before="160"/>
        <w:ind w:right="0"/>
        <w:jc w:val="left"/>
        <w:rPr>
          <w:rFonts w:ascii="Times New Roman" w:hAnsi="Times New Roman" w:cs="Times New Roman" w:eastAsia="Times New Roman" w:hint="default"/>
          <w:b w:val="0"/>
          <w:bCs w:val="0"/>
        </w:rPr>
      </w:pPr>
      <w:r>
        <w:rPr/>
        <w:t>一、重要提示、目录和释义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二、公司简介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三、会计数据和财务指标摘要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四、董事会报告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五、重要事项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六、股份变动及股东情况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七、董事、监事、高级管理人员和员工情况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p>
    <w:p>
      <w:pPr>
        <w:pStyle w:val="Heading2"/>
        <w:tabs>
          <w:tab w:pos="9783" w:val="right" w:leader="dot"/>
        </w:tabs>
        <w:spacing w:line="240" w:lineRule="auto" w:before="160"/>
        <w:ind w:right="0"/>
        <w:jc w:val="left"/>
        <w:rPr>
          <w:rFonts w:ascii="Times New Roman" w:hAnsi="Times New Roman" w:cs="Times New Roman" w:eastAsia="Times New Roman" w:hint="default"/>
          <w:b w:val="0"/>
          <w:bCs w:val="0"/>
        </w:rPr>
      </w:pPr>
      <w:r>
        <w:rPr/>
        <w:t>八、公司治理</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九、内部控制</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十、财务报告</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rPr>
        <w:tab/>
        <w:t>168</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pgSz w:w="11910" w:h="16840"/>
          <w:pgMar w:header="745" w:footer="1340" w:top="1060" w:bottom="1540" w:left="980" w:right="0"/>
        </w:sectPr>
      </w:pPr>
    </w:p>
    <w:p>
      <w:pPr>
        <w:pStyle w:val="Heading1"/>
        <w:spacing w:line="240" w:lineRule="auto" w:before="945"/>
        <w:ind w:right="1592"/>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爱康科技、母公司、公司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江苏爱康太阳能科技股份有限公司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双反</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反倾销、反补贴</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分布式发电</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小型模块化、分散式、布置在用户附近的高效、可靠的发电单元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爱康实业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江苏爱康实业有限责任公司，系本公司控股股东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爱康国际</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爱康国际控股有限公司，系本公司控股股东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爱康投资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江阴爱康投资有限公司，系本公司控股股东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spacing w:before="7"/>
        <w:ind w:left="614" w:right="1595" w:firstLine="0"/>
        <w:jc w:val="center"/>
        <w:rPr>
          <w:rFonts w:ascii="宋体" w:hAnsi="宋体" w:cs="宋体" w:eastAsia="宋体" w:hint="default"/>
          <w:sz w:val="30"/>
          <w:szCs w:val="30"/>
        </w:rPr>
      </w:pPr>
      <w:r>
        <w:rPr>
          <w:rFonts w:ascii="宋体" w:hAnsi="宋体" w:cs="宋体" w:eastAsia="宋体" w:hint="default"/>
          <w:b/>
          <w:bCs/>
          <w:sz w:val="30"/>
          <w:szCs w:val="30"/>
        </w:rPr>
        <w:t>重大风险提示</w:t>
      </w:r>
      <w:r>
        <w:rPr>
          <w:rFonts w:ascii="宋体" w:hAnsi="宋体" w:cs="宋体" w:eastAsia="宋体" w:hint="default"/>
          <w:sz w:val="30"/>
          <w:szCs w:val="30"/>
        </w:rPr>
      </w:r>
    </w:p>
    <w:p>
      <w:pPr>
        <w:pStyle w:val="Heading5"/>
        <w:spacing w:line="273" w:lineRule="auto" w:before="252"/>
        <w:ind w:right="1126"/>
        <w:jc w:val="both"/>
      </w:pPr>
      <w:r>
        <w:rPr>
          <w:spacing w:val="-2"/>
        </w:rPr>
        <w:t>（一）政策风险公司的太阳能电池铝边框产品主要销往国外，因此未来各国对光伏行业的补贴政策变</w:t>
      </w:r>
      <w:r>
        <w:rPr>
          <w:w w:val="100"/>
        </w:rPr>
        <w:t> </w:t>
      </w:r>
      <w:r>
        <w:rPr>
          <w:spacing w:val="-2"/>
        </w:rPr>
        <w:t>化情况将很大程度影响公司的经营状况和盈利能力；公司目前在国内进行太阳能电站的建设开发，如电站</w:t>
      </w:r>
      <w:r>
        <w:rPr>
          <w:spacing w:val="-44"/>
        </w:rPr>
        <w:t> </w:t>
      </w:r>
      <w:r>
        <w:rPr>
          <w:spacing w:val="-44"/>
        </w:rPr>
      </w:r>
      <w:r>
        <w:rPr>
          <w:spacing w:val="-2"/>
        </w:rPr>
        <w:t>的并网政策得不到地方政府的严格执行，电价补贴的下调以及补贴不能及时到位都会对公司的经营业绩产</w:t>
      </w:r>
      <w:r>
        <w:rPr>
          <w:spacing w:val="-43"/>
        </w:rPr>
        <w:t> </w:t>
      </w:r>
      <w:r>
        <w:rPr>
          <w:spacing w:val="-43"/>
        </w:rPr>
      </w:r>
      <w:r>
        <w:rPr>
          <w:spacing w:val="-2"/>
        </w:rPr>
        <w:t>生不利影响；公司出口产品定价采取与出口退税率联动的定价方式，因此出口退税率变动所带来的成本变</w:t>
      </w:r>
      <w:r>
        <w:rPr>
          <w:spacing w:val="-44"/>
        </w:rPr>
        <w:t> </w:t>
      </w:r>
      <w:r>
        <w:rPr>
          <w:spacing w:val="-44"/>
        </w:rPr>
      </w:r>
      <w:r>
        <w:rPr>
          <w:spacing w:val="-2"/>
        </w:rPr>
        <w:t>动将被价格变动所抵消，对公司毛利率影响较小。但若出口退税率大幅降低，则将引起公司产品出口价格</w:t>
      </w:r>
      <w:r>
        <w:rPr>
          <w:spacing w:val="-43"/>
        </w:rPr>
        <w:t> </w:t>
      </w:r>
      <w:r>
        <w:rPr>
          <w:spacing w:val="-43"/>
        </w:rPr>
      </w:r>
      <w:r>
        <w:rPr/>
        <w:t>大幅上升，进而削弱公司产品国外市场竞争力，给公司经营业绩带来不利影响。</w:t>
      </w:r>
    </w:p>
    <w:p>
      <w:pPr>
        <w:spacing w:line="271" w:lineRule="auto" w:before="106"/>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（二）太阳能配件领域竞争加剧风险太阳能光伏行业各类配件市场容量较大且增长迅速，公司产品优</w:t>
      </w:r>
      <w:r>
        <w:rPr>
          <w:rFonts w:ascii="宋体" w:hAnsi="宋体" w:cs="宋体" w:eastAsia="宋体" w:hint="default"/>
          <w:w w:val="100"/>
          <w:sz w:val="21"/>
          <w:szCs w:val="21"/>
        </w:rPr>
        <w:t> </w:t>
      </w:r>
      <w:r>
        <w:rPr>
          <w:rFonts w:ascii="宋体" w:hAnsi="宋体" w:cs="宋体" w:eastAsia="宋体" w:hint="default"/>
          <w:spacing w:val="-2"/>
          <w:sz w:val="21"/>
          <w:szCs w:val="21"/>
        </w:rPr>
        <w:t>势及行业地位突出，但由于公司主要产品太阳能边框生产技术比较成熟，投资额相对较低，众多中小厂商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进入此领域导致该行业竞争日渐激烈；此外，上游铝型材制造企业生产太阳能边框有一定的成本优势，这</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些企业的产业链向下延伸也将导致太阳能边框行业竞争加剧。公司坚持实施错位竞争战略，以高标准的产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品质量、大规模的供货能力以及综合服务优势为全球主要太阳能组件制造商提供产品。这些客户要求供应</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商只有在通过其审核后才能进入其供应商体系。在此基础上，公司通过提升产品品质、研发设计能力、为</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客户提供综合服务，不断强化公司的竞争优势；同时实施产品多元化战略，生产销售技术含量高、设备投</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入大的 </w:t>
      </w:r>
      <w:r>
        <w:rPr>
          <w:rFonts w:ascii="Times New Roman" w:hAnsi="Times New Roman" w:cs="Times New Roman" w:eastAsia="Times New Roman" w:hint="default"/>
          <w:spacing w:val="-10"/>
          <w:sz w:val="21"/>
          <w:szCs w:val="21"/>
        </w:rPr>
        <w:t>EVA </w:t>
      </w:r>
      <w:r>
        <w:rPr>
          <w:rFonts w:ascii="宋体" w:hAnsi="宋体" w:cs="宋体" w:eastAsia="宋体" w:hint="default"/>
          <w:sz w:val="21"/>
          <w:szCs w:val="21"/>
        </w:rPr>
        <w:t>胶膜，以及对设计能力要求较高的安装支架产品，</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年开始开拓其他金属产品和新材料等</w:t>
      </w:r>
      <w:r>
        <w:rPr>
          <w:rFonts w:ascii="宋体" w:hAnsi="宋体" w:cs="宋体" w:eastAsia="宋体" w:hint="default"/>
          <w:w w:val="100"/>
          <w:sz w:val="21"/>
          <w:szCs w:val="21"/>
        </w:rPr>
        <w:t> </w:t>
      </w:r>
      <w:r>
        <w:rPr>
          <w:rFonts w:ascii="宋体" w:hAnsi="宋体" w:cs="宋体" w:eastAsia="宋体" w:hint="default"/>
          <w:spacing w:val="-2"/>
          <w:sz w:val="21"/>
          <w:szCs w:val="21"/>
        </w:rPr>
        <w:t>新业务。同时公司逐步向产业链上下游延伸，随着上市募集资金到位，上游铝型材的生产将逐渐进入规模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化，降低边框生产成本，相应提高其毛利率水平；下游产业链方面，公司积极拓展光伏并网电站项目，增</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强竞争优势。</w:t>
      </w:r>
    </w:p>
    <w:p>
      <w:pPr>
        <w:spacing w:line="273" w:lineRule="auto" w:before="11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（三）客户退出市场或破产的风险。随着光伏行业持续低迷，部分光伏企业开始退出市场或者申请破</w:t>
      </w:r>
      <w:r>
        <w:rPr>
          <w:rFonts w:ascii="宋体" w:hAnsi="宋体" w:cs="宋体" w:eastAsia="宋体" w:hint="default"/>
          <w:w w:val="100"/>
          <w:sz w:val="21"/>
          <w:szCs w:val="21"/>
        </w:rPr>
        <w:t> </w:t>
      </w:r>
      <w:r>
        <w:rPr>
          <w:rFonts w:ascii="宋体" w:hAnsi="宋体" w:cs="宋体" w:eastAsia="宋体" w:hint="default"/>
          <w:spacing w:val="-7"/>
          <w:sz w:val="21"/>
          <w:szCs w:val="21"/>
        </w:rPr>
        <w:t>产，若公司的重要客户也存在上述情况，将对公司的销售收入和应收账款管理产生一定程度的影响。对此，</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公司将建立严格的风险评估及预警机制，对不同风险级别的客户采取不同的信用政策，同时加大新客户的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开发力度，以减少重要客户退出市场或破产对公司业绩的影响。</w:t>
      </w:r>
    </w:p>
    <w:p>
      <w:pPr>
        <w:spacing w:line="273" w:lineRule="auto" w:before="108"/>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（四）汇率波动风险。公司外销比例较高，且主要以美元、欧元、英镑、日元等为结算货币，而原材</w:t>
      </w:r>
      <w:r>
        <w:rPr>
          <w:rFonts w:ascii="宋体" w:hAnsi="宋体" w:cs="宋体" w:eastAsia="宋体" w:hint="default"/>
          <w:w w:val="100"/>
          <w:sz w:val="21"/>
          <w:szCs w:val="21"/>
        </w:rPr>
        <w:t> </w:t>
      </w:r>
      <w:r>
        <w:rPr>
          <w:rFonts w:ascii="宋体" w:hAnsi="宋体" w:cs="宋体" w:eastAsia="宋体" w:hint="default"/>
          <w:spacing w:val="-2"/>
          <w:sz w:val="21"/>
          <w:szCs w:val="21"/>
        </w:rPr>
        <w:t>料主要在境内采购，以人民币结算。如果未来人民币短期大幅升值，则将会给公司经营业绩带来一定不利</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影响。公司将通过加强应收账款管理，加速回款；扩大销售区域，采取多种货币结算方式；以外币结算方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式进口设备；采用人民币远期外汇交易金融工具等多种措施降低汇率波动对公司的影响。此外，若人民币</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持续升值，将削弱公司产品海外销售竞争力，也将会给公司经营业绩带来不利影响。</w:t>
      </w:r>
    </w:p>
    <w:p>
      <w:pPr>
        <w:spacing w:line="273" w:lineRule="auto" w:before="106"/>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（五）应收帐款和现金流的风险。由于当前光伏行业低迷，下游组件客户出现普遍亏损，因此，公司</w:t>
      </w:r>
      <w:r>
        <w:rPr>
          <w:rFonts w:ascii="宋体" w:hAnsi="宋体" w:cs="宋体" w:eastAsia="宋体" w:hint="default"/>
          <w:w w:val="100"/>
          <w:sz w:val="21"/>
          <w:szCs w:val="21"/>
        </w:rPr>
        <w:t> </w:t>
      </w:r>
      <w:r>
        <w:rPr>
          <w:rFonts w:ascii="宋体" w:hAnsi="宋体" w:cs="宋体" w:eastAsia="宋体" w:hint="default"/>
          <w:spacing w:val="-2"/>
          <w:sz w:val="21"/>
          <w:szCs w:val="21"/>
        </w:rPr>
        <w:t>在争夺有限市场的同时，需要面对下游企业对付款条件宽松的要求。公司在市场扩张的过程中，存在着扩</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大销售、争取市场份额和信用政策稳健的相对矛盾。同时，基于战略发展需要，公司对于资金需求较大的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电站项目的投资给公司现金流也带来一定的压力。为此，公司将灵活采取信用保险、调整信用政策以及采</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取多渠道的融资方式减小应收账款和现金流风险。</w:t>
      </w:r>
    </w:p>
    <w:p>
      <w:pPr>
        <w:spacing w:line="266" w:lineRule="auto" w:before="108"/>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（六）管理风险。近年来，随着公司核心竞争能力和盈利水平的提升，公司资产规模、销售规模和人</w:t>
      </w:r>
      <w:r>
        <w:rPr>
          <w:rFonts w:ascii="宋体" w:hAnsi="宋体" w:cs="宋体" w:eastAsia="宋体" w:hint="default"/>
          <w:w w:val="100"/>
          <w:sz w:val="21"/>
          <w:szCs w:val="21"/>
        </w:rPr>
        <w:t> </w:t>
      </w:r>
      <w:r>
        <w:rPr>
          <w:rFonts w:ascii="宋体" w:hAnsi="宋体" w:cs="宋体" w:eastAsia="宋体" w:hint="default"/>
          <w:spacing w:val="-2"/>
          <w:sz w:val="21"/>
          <w:szCs w:val="21"/>
        </w:rPr>
        <w:t>员规模均迅速扩大，公司在首次公开发行股票之后发展势头良好，逐步涉入上游的铝型材加工及下游的太</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阳能电站建设，公司的子公司也相应增加且经营场所较为分散，这对公司管理理念和管理能力提出更高的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要求，并将增加管理和运作的难度。虽然公司已形成了成熟的经营模式和管理制度，并引进 </w:t>
      </w:r>
      <w:r>
        <w:rPr>
          <w:rFonts w:ascii="Times New Roman" w:hAnsi="Times New Roman" w:cs="Times New Roman" w:eastAsia="Times New Roman" w:hint="default"/>
          <w:sz w:val="21"/>
          <w:szCs w:val="21"/>
        </w:rPr>
        <w:t>Oracle </w:t>
      </w:r>
      <w:r>
        <w:rPr>
          <w:rFonts w:ascii="宋体" w:hAnsi="宋体" w:cs="宋体" w:eastAsia="宋体" w:hint="default"/>
          <w:sz w:val="21"/>
          <w:szCs w:val="21"/>
        </w:rPr>
        <w:t>公司和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Times New Roman" w:hAnsi="Times New Roman" w:cs="Times New Roman" w:eastAsia="Times New Roman" w:hint="default"/>
          <w:sz w:val="21"/>
          <w:szCs w:val="21"/>
        </w:rPr>
        <w:t>IBM </w:t>
      </w:r>
      <w:r>
        <w:rPr>
          <w:rFonts w:ascii="宋体" w:hAnsi="宋体" w:cs="宋体" w:eastAsia="宋体" w:hint="default"/>
          <w:sz w:val="21"/>
          <w:szCs w:val="21"/>
        </w:rPr>
        <w:t>公司为公司建立 </w:t>
      </w:r>
      <w:r>
        <w:rPr>
          <w:rFonts w:ascii="Times New Roman" w:hAnsi="Times New Roman" w:cs="Times New Roman" w:eastAsia="Times New Roman" w:hint="default"/>
          <w:sz w:val="21"/>
          <w:szCs w:val="21"/>
        </w:rPr>
        <w:t>ERP</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系统和管理咨询服务，但在快速发展过程中若公司的生产管理、销售管理、质</w:t>
      </w:r>
      <w:r>
        <w:rPr>
          <w:rFonts w:ascii="宋体" w:hAnsi="宋体" w:cs="宋体" w:eastAsia="宋体" w:hint="default"/>
          <w:w w:val="100"/>
          <w:sz w:val="21"/>
          <w:szCs w:val="21"/>
        </w:rPr>
        <w:t> </w:t>
      </w:r>
      <w:r>
        <w:rPr>
          <w:rFonts w:ascii="宋体" w:hAnsi="宋体" w:cs="宋体" w:eastAsia="宋体" w:hint="default"/>
          <w:spacing w:val="-2"/>
          <w:sz w:val="21"/>
          <w:szCs w:val="21"/>
        </w:rPr>
        <w:t>量控制、风险管理等能力不能适应发公司规模迅速扩张的要求，人才培养、组织模式和管理制度不能进一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步健全和完善，将会引发相应的管理风险。</w:t>
      </w:r>
    </w:p>
    <w:p>
      <w:pPr>
        <w:spacing w:after="0" w:line="266" w:lineRule="auto"/>
        <w:jc w:val="both"/>
        <w:rPr>
          <w:rFonts w:ascii="宋体" w:hAnsi="宋体" w:cs="宋体" w:eastAsia="宋体" w:hint="default"/>
          <w:sz w:val="21"/>
          <w:szCs w:val="21"/>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137.883011pt;margin-top:269.809998pt;width:396pt;height:19.6pt;mso-position-horizontal-relative:page;mso-position-vertical-relative:page;z-index:-967840" type="#_x0000_t202" filled="false" stroked="false">
            <v:textbox inset="0,0,0,0">
              <w:txbxContent>
                <w:p>
                  <w:pPr>
                    <w:pStyle w:val="BodyText"/>
                    <w:spacing w:line="240" w:lineRule="auto" w:before="49"/>
                    <w:ind w:left="0" w:right="0"/>
                    <w:jc w:val="left"/>
                  </w:pPr>
                  <w:r>
                    <w:rPr/>
                    <w:t>（如有）</w:t>
                  </w:r>
                </w:p>
              </w:txbxContent>
            </v:textbox>
            <w10:wrap type="none"/>
          </v:shape>
        </w:pict>
      </w:r>
      <w:r>
        <w:rPr/>
        <w:pict>
          <v:group style="position:absolute;margin-left:171.020004pt;margin-top:269.209991pt;width:362.85pt;height:20.8pt;mso-position-horizontal-relative:page;mso-position-vertical-relative:page;z-index:-967816"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240" w:lineRule="auto"/>
        <w:ind w:right="1590"/>
        <w:jc w:val="center"/>
        <w:rPr>
          <w:b w:val="0"/>
          <w:bCs w:val="0"/>
        </w:rPr>
      </w:pPr>
      <w:r>
        <w:rPr/>
        <w:t>第二节</w:t>
      </w:r>
      <w:r>
        <w:rPr>
          <w:spacing w:val="-2"/>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5"/>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爱康科技</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002610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江苏爱康太阳能科技股份有限公司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爱康科技</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Jiangsu</w:t>
            </w:r>
            <w:r>
              <w:rPr>
                <w:rFonts w:ascii="Times New Roman"/>
                <w:spacing w:val="-13"/>
                <w:sz w:val="18"/>
              </w:rPr>
              <w:t> </w:t>
            </w:r>
            <w:r>
              <w:rPr>
                <w:rFonts w:ascii="Times New Roman"/>
                <w:sz w:val="18"/>
              </w:rPr>
              <w:t>Akcome</w:t>
            </w:r>
            <w:r>
              <w:rPr>
                <w:rFonts w:ascii="Times New Roman"/>
                <w:spacing w:val="-5"/>
                <w:sz w:val="18"/>
              </w:rPr>
              <w:t> </w:t>
            </w:r>
            <w:r>
              <w:rPr>
                <w:rFonts w:ascii="Times New Roman"/>
                <w:sz w:val="18"/>
              </w:rPr>
              <w:t>Solar</w:t>
            </w:r>
            <w:r>
              <w:rPr>
                <w:rFonts w:ascii="Times New Roman"/>
                <w:spacing w:val="-4"/>
                <w:sz w:val="18"/>
              </w:rPr>
              <w:t> </w:t>
            </w:r>
            <w:r>
              <w:rPr>
                <w:rFonts w:ascii="Times New Roman"/>
                <w:sz w:val="18"/>
              </w:rPr>
              <w:t>Science</w:t>
            </w:r>
            <w:r>
              <w:rPr>
                <w:rFonts w:ascii="Times New Roman"/>
                <w:spacing w:val="-5"/>
                <w:sz w:val="18"/>
              </w:rPr>
              <w:t> </w:t>
            </w:r>
            <w:r>
              <w:rPr>
                <w:rFonts w:ascii="Times New Roman"/>
                <w:sz w:val="18"/>
              </w:rPr>
              <w:t>&amp;</w:t>
            </w:r>
            <w:r>
              <w:rPr>
                <w:rFonts w:ascii="Times New Roman"/>
                <w:spacing w:val="-9"/>
                <w:sz w:val="18"/>
              </w:rPr>
              <w:t> </w:t>
            </w:r>
            <w:r>
              <w:rPr>
                <w:rFonts w:ascii="Times New Roman"/>
                <w:sz w:val="18"/>
              </w:rPr>
              <w:t>Technology</w:t>
            </w:r>
            <w:r>
              <w:rPr>
                <w:rFonts w:ascii="Times New Roman"/>
                <w:spacing w:val="-8"/>
                <w:sz w:val="18"/>
              </w:rPr>
              <w:t> </w:t>
            </w:r>
            <w:r>
              <w:rPr>
                <w:rFonts w:ascii="Times New Roman"/>
                <w:sz w:val="18"/>
              </w:rPr>
              <w:t>Co.,Ltd.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Akcome</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邹承慧</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江苏省江阴市华士工业集中区红苗园区勤丰路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214425</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江苏省张家港市经济开发区金塘路</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215600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http://www.akcome.com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zhengquanbu@akcome.com</w:t>
              </w:r>
            </w:hyperlink>
          </w:p>
        </w:tc>
      </w:tr>
    </w:tbl>
    <w:p>
      <w:pPr>
        <w:spacing w:line="240" w:lineRule="auto" w:before="1"/>
        <w:rPr>
          <w:rFonts w:ascii="宋体" w:hAnsi="宋体" w:cs="宋体" w:eastAsia="宋体" w:hint="default"/>
          <w:b/>
          <w:bCs/>
          <w:sz w:val="18"/>
          <w:szCs w:val="18"/>
        </w:rPr>
      </w:pPr>
    </w:p>
    <w:p>
      <w:pPr>
        <w:spacing w:before="26"/>
        <w:ind w:left="152" w:right="1115"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季海瑜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江苏省张家港市经济开发区金塘路</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0512-82557563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0512-82557644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zhengquanbu@akcome.com</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spacing w:before="26"/>
        <w:ind w:left="152" w:right="1115"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p>
    <w:p>
      <w:pPr>
        <w:spacing w:before="26"/>
        <w:ind w:left="152" w:right="1115"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江苏省江阴市工商 行政管理局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320281400010819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苏地税字</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320281785557086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78555708-6</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19"/>
              <w:jc w:val="left"/>
              <w:rPr>
                <w:rFonts w:ascii="宋体" w:hAnsi="宋体" w:cs="宋体" w:eastAsia="宋体" w:hint="default"/>
                <w:sz w:val="18"/>
                <w:szCs w:val="18"/>
              </w:rPr>
            </w:pPr>
            <w:r>
              <w:rPr>
                <w:rFonts w:ascii="宋体" w:hAnsi="宋体" w:cs="宋体" w:eastAsia="宋体" w:hint="default"/>
                <w:sz w:val="18"/>
                <w:szCs w:val="18"/>
              </w:rPr>
              <w:t>江苏省无锡市工商 行政管理局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320281400010819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苏地税字</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320281785557086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78555708-6</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6"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公司上市以来主营业务未发生变化</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公司上市以来控股股东未发生变化</w:t>
            </w:r>
          </w:p>
        </w:tc>
      </w:tr>
    </w:tbl>
    <w:p>
      <w:pPr>
        <w:spacing w:line="240" w:lineRule="auto" w:before="1"/>
        <w:rPr>
          <w:rFonts w:ascii="宋体" w:hAnsi="宋体" w:cs="宋体" w:eastAsia="宋体" w:hint="default"/>
          <w:b/>
          <w:bCs/>
          <w:sz w:val="18"/>
          <w:szCs w:val="18"/>
        </w:rPr>
      </w:pPr>
    </w:p>
    <w:p>
      <w:pPr>
        <w:spacing w:before="26"/>
        <w:ind w:left="152" w:right="1115"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号楼中海地产广场西塔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何前</w:t>
            </w:r>
            <w:r>
              <w:rPr>
                <w:rFonts w:ascii="宋体" w:hAnsi="宋体" w:cs="宋体" w:eastAsia="宋体" w:hint="default"/>
                <w:spacing w:val="1"/>
                <w:sz w:val="18"/>
                <w:szCs w:val="18"/>
              </w:rPr>
              <w:t> </w:t>
            </w:r>
            <w:r>
              <w:rPr>
                <w:rFonts w:ascii="宋体" w:hAnsi="宋体" w:cs="宋体" w:eastAsia="宋体" w:hint="default"/>
                <w:sz w:val="18"/>
                <w:szCs w:val="18"/>
              </w:rPr>
              <w:t>秦松涛</w:t>
            </w:r>
          </w:p>
        </w:tc>
      </w:tr>
    </w:tbl>
    <w:p>
      <w:pPr>
        <w:pStyle w:val="BodyText"/>
        <w:spacing w:line="240" w:lineRule="auto" w:before="49"/>
        <w:ind w:right="1115"/>
        <w:jc w:val="left"/>
      </w:pPr>
      <w:r>
        <w:rPr/>
        <w:t>公司聘请的报告期内履行持续督导职责的保荐机构</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深圳市福田区金田南路大中 华国际交易广场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吕佳、叶贤萍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日至</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115"/>
        <w:jc w:val="left"/>
      </w:pPr>
      <w:r>
        <w:rPr/>
        <w:t>公司聘请的报告期内履行持续督导职责的财务顾问</w:t>
      </w:r>
    </w:p>
    <w:p>
      <w:pPr>
        <w:pStyle w:val="BodyText"/>
        <w:spacing w:line="240" w:lineRule="auto" w:before="117"/>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15"/>
        <w:jc w:val="left"/>
        <w:rPr>
          <w:b w:val="0"/>
          <w:bCs w:val="0"/>
        </w:rPr>
      </w:pP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15"/>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公司是否因会计政策变更及会计差错更正等追溯调整或重述以前年度会计数据</w:t>
      </w:r>
    </w:p>
    <w:p>
      <w:pPr>
        <w:pStyle w:val="BodyText"/>
        <w:spacing w:line="240" w:lineRule="auto" w:before="117"/>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1,362,435,009.36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1,524,113,975.03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1,247,954,726.81</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-56,039,723.85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197,263,945.56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101,467,327.77</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-84,452,524.15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45,462,778.09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107,805,092.77</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147,162,056.32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-253,463,728.45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57,396,705.23</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0.74</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0.74</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35.41%</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3,514,396,838.23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2,711,010,978.43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866,220,207.15</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1,227,760,780.10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1,387,713,917.73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431,798,879.48</w:t>
            </w:r>
          </w:p>
        </w:tc>
      </w:tr>
    </w:tbl>
    <w:p>
      <w:pPr>
        <w:spacing w:line="240" w:lineRule="auto" w:before="1"/>
        <w:rPr>
          <w:rFonts w:ascii="宋体" w:hAnsi="宋体" w:cs="宋体" w:eastAsia="宋体" w:hint="default"/>
          <w:sz w:val="18"/>
          <w:szCs w:val="18"/>
        </w:rPr>
      </w:pPr>
    </w:p>
    <w:p>
      <w:pPr>
        <w:pStyle w:val="Heading2"/>
        <w:spacing w:line="240" w:lineRule="auto" w:before="26"/>
        <w:ind w:right="1115"/>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7"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06" w:right="0"/>
              <w:jc w:val="left"/>
              <w:rPr>
                <w:rFonts w:ascii="Times New Roman" w:hAnsi="Times New Roman" w:cs="Times New Roman" w:eastAsia="Times New Roman" w:hint="default"/>
                <w:sz w:val="18"/>
                <w:szCs w:val="18"/>
              </w:rPr>
            </w:pPr>
            <w:r>
              <w:rPr>
                <w:rFonts w:ascii="Times New Roman"/>
                <w:sz w:val="18"/>
              </w:rPr>
              <w:t>-56,039,723.85</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197,263,945.56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1,227,760,780.10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1,387,713,917.73</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6"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06" w:right="0"/>
              <w:jc w:val="left"/>
              <w:rPr>
                <w:rFonts w:ascii="Times New Roman" w:hAnsi="Times New Roman" w:cs="Times New Roman" w:eastAsia="Times New Roman" w:hint="default"/>
                <w:sz w:val="18"/>
                <w:szCs w:val="18"/>
              </w:rPr>
            </w:pPr>
            <w:r>
              <w:rPr>
                <w:rFonts w:ascii="Times New Roman"/>
                <w:sz w:val="18"/>
              </w:rPr>
              <w:t>-56,039,723.85</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197,263,945.56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1,227,760,780.10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1,387,713,917.73</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10"/>
        <w:rPr>
          <w:rFonts w:ascii="宋体" w:hAnsi="宋体" w:cs="宋体" w:eastAsia="宋体" w:hint="default"/>
          <w:b/>
          <w:bCs/>
          <w:sz w:val="22"/>
          <w:szCs w:val="22"/>
        </w:rPr>
      </w:pPr>
    </w:p>
    <w:p>
      <w:pPr>
        <w:spacing w:before="0"/>
        <w:ind w:left="152" w:right="1115" w:firstLine="0"/>
        <w:jc w:val="left"/>
        <w:rPr>
          <w:rFonts w:ascii="宋体" w:hAnsi="宋体" w:cs="宋体" w:eastAsia="宋体" w:hint="default"/>
          <w:sz w:val="24"/>
          <w:szCs w:val="24"/>
        </w:rPr>
      </w:pPr>
      <w:r>
        <w:rPr>
          <w:rFonts w:ascii="宋体" w:hAnsi="宋体" w:cs="宋体" w:eastAsia="宋体" w:hint="default"/>
          <w:b/>
          <w:bCs/>
          <w:sz w:val="24"/>
          <w:szCs w:val="24"/>
        </w:rPr>
        <w:t>三、非经常性损益项目及金额</w:t>
      </w:r>
      <w:r>
        <w:rPr>
          <w:rFonts w:ascii="宋体" w:hAnsi="宋体" w:cs="宋体" w:eastAsia="宋体" w:hint="default"/>
          <w:sz w:val="24"/>
          <w:szCs w:val="24"/>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-1,095,325.61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162,850,817.24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52,372.00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36,364,160.70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10,308,773.85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163,100.00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1,402,160.00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-941,070.00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-7,444,290.45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535,100.48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1,050,249.66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-5,117.09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8,264,012.10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21,433,273.85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-898,063.14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529,283.17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34,329.43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1,892.60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28,412,800.30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151,801,167.47</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-6,337,765.00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15"/>
        <w:jc w:val="left"/>
        <w:rPr>
          <w:b w:val="0"/>
          <w:bCs w:val="0"/>
        </w:rPr>
      </w:pP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5"/>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044" w:firstLine="240"/>
        <w:jc w:val="left"/>
      </w:pPr>
      <w:r>
        <w:rPr>
          <w:rFonts w:ascii="Times New Roman" w:hAnsi="Times New Roman" w:cs="Times New Roman" w:eastAsia="Times New Roman" w:hint="default"/>
        </w:rPr>
        <w:t>2012</w:t>
      </w:r>
      <w:r>
        <w:rPr/>
        <w:t>年全球经济低速运行，光伏太阳能行业由于债务危机、</w:t>
      </w:r>
      <w:r>
        <w:rPr>
          <w:rFonts w:ascii="Times New Roman" w:hAnsi="Times New Roman" w:cs="Times New Roman" w:eastAsia="Times New Roman" w:hint="default"/>
        </w:rPr>
        <w:t>“</w:t>
      </w:r>
      <w:r>
        <w:rPr/>
        <w:t>双反</w:t>
      </w:r>
      <w:r>
        <w:rPr>
          <w:rFonts w:ascii="Times New Roman" w:hAnsi="Times New Roman" w:cs="Times New Roman" w:eastAsia="Times New Roman" w:hint="default"/>
        </w:rPr>
        <w:t>”</w:t>
      </w:r>
      <w:r>
        <w:rPr/>
        <w:t>、产能过剩等原因，进入阶段性调整期。</w:t>
      </w:r>
      <w:r>
        <w:rPr>
          <w:rFonts w:ascii="Times New Roman" w:hAnsi="Times New Roman" w:cs="Times New Roman" w:eastAsia="Times New Roman" w:hint="default"/>
        </w:rPr>
        <w:t>2012</w:t>
      </w:r>
      <w:r>
        <w:rPr/>
        <w:t>年公司 也面临非常严峻的经营环境，销售额、毛利率下降明显。报告期内，实现营业收入</w:t>
      </w:r>
      <w:r>
        <w:rPr>
          <w:rFonts w:ascii="Times New Roman" w:hAnsi="Times New Roman" w:cs="Times New Roman" w:eastAsia="Times New Roman" w:hint="default"/>
        </w:rPr>
        <w:t>1,362,435,009.36 </w:t>
      </w:r>
      <w:r>
        <w:rPr/>
        <w:t>元，同比减少</w:t>
      </w:r>
      <w:r>
        <w:rPr>
          <w:rFonts w:ascii="Times New Roman" w:hAnsi="Times New Roman" w:cs="Times New Roman" w:eastAsia="Times New Roman" w:hint="default"/>
        </w:rPr>
        <w:t>10.61%</w:t>
      </w:r>
      <w:r>
        <w:rPr>
          <w:rFonts w:ascii="Times New Roman" w:hAnsi="Times New Roman" w:cs="Times New Roman" w:eastAsia="Times New Roman" w:hint="default"/>
          <w:spacing w:val="27"/>
        </w:rPr>
        <w:t> </w:t>
      </w:r>
      <w:r>
        <w:rPr/>
        <w:t>； 营业利润</w:t>
      </w:r>
      <w:r>
        <w:rPr>
          <w:rFonts w:ascii="Times New Roman" w:hAnsi="Times New Roman" w:cs="Times New Roman" w:eastAsia="Times New Roman" w:hint="default"/>
        </w:rPr>
        <w:t>-125,984,402.99</w:t>
      </w:r>
      <w:r>
        <w:rPr/>
        <w:t>元，同比减少</w:t>
      </w:r>
      <w:r>
        <w:rPr>
          <w:rFonts w:ascii="Times New Roman" w:hAnsi="Times New Roman" w:cs="Times New Roman" w:eastAsia="Times New Roman" w:hint="default"/>
        </w:rPr>
        <w:t>160.36%</w:t>
      </w:r>
      <w:r>
        <w:rPr>
          <w:rFonts w:ascii="Times New Roman" w:hAnsi="Times New Roman" w:cs="Times New Roman" w:eastAsia="Times New Roman" w:hint="default"/>
          <w:spacing w:val="23"/>
        </w:rPr>
        <w:t> </w:t>
      </w:r>
      <w:r>
        <w:rPr/>
        <w:t>；归属于上市公司股东的净利润</w:t>
      </w:r>
      <w:r>
        <w:rPr>
          <w:rFonts w:ascii="Times New Roman" w:hAnsi="Times New Roman" w:cs="Times New Roman" w:eastAsia="Times New Roman" w:hint="default"/>
        </w:rPr>
        <w:t>-56,039,723.85</w:t>
      </w:r>
      <w:r>
        <w:rPr/>
        <w:t>元，同比减少</w:t>
      </w:r>
      <w:r>
        <w:rPr>
          <w:rFonts w:ascii="Times New Roman" w:hAnsi="Times New Roman" w:cs="Times New Roman" w:eastAsia="Times New Roman" w:hint="default"/>
        </w:rPr>
        <w:t>128.73%</w:t>
      </w:r>
      <w:r>
        <w:rPr/>
        <w:t>。虽然 </w:t>
      </w:r>
      <w:r>
        <w:rPr>
          <w:rFonts w:ascii="Times New Roman" w:hAnsi="Times New Roman" w:cs="Times New Roman" w:eastAsia="Times New Roman" w:hint="default"/>
          <w:spacing w:val="-2"/>
        </w:rPr>
        <w:t>2012</w:t>
      </w:r>
      <w:r>
        <w:rPr>
          <w:spacing w:val="-2"/>
        </w:rPr>
        <w:t>年因系统性原因，公司经营亏损，但在董事会的指导下，全体员工众志成城，克服难关，依然较好地执行了</w:t>
      </w:r>
      <w:r>
        <w:rPr>
          <w:rFonts w:ascii="Times New Roman" w:hAnsi="Times New Roman" w:cs="Times New Roman" w:eastAsia="Times New Roman" w:hint="default"/>
          <w:spacing w:val="-2"/>
        </w:rPr>
        <w:t>2012</w:t>
      </w:r>
      <w:r>
        <w:rPr>
          <w:spacing w:val="-2"/>
        </w:rPr>
        <w:t>年的经</w:t>
      </w:r>
      <w:r>
        <w:rPr>
          <w:spacing w:val="-62"/>
        </w:rPr>
        <w:t> </w:t>
      </w:r>
      <w:r>
        <w:rPr>
          <w:spacing w:val="-62"/>
        </w:rPr>
      </w:r>
      <w:r>
        <w:rPr/>
        <w:t>营目标和计划，并初步建立以电站为主导，以配件为支撑，以金融为循环的企业生态。</w:t>
      </w:r>
    </w:p>
    <w:p>
      <w:pPr>
        <w:pStyle w:val="BodyText"/>
        <w:spacing w:line="300" w:lineRule="auto" w:before="72"/>
        <w:ind w:right="1127" w:firstLine="329"/>
        <w:jc w:val="both"/>
      </w:pPr>
      <w:r>
        <w:rPr>
          <w:spacing w:val="-4"/>
        </w:rPr>
        <w:t>（</w:t>
      </w:r>
      <w:r>
        <w:rPr>
          <w:rFonts w:ascii="Times New Roman" w:hAnsi="Times New Roman" w:cs="Times New Roman" w:eastAsia="Times New Roman" w:hint="default"/>
          <w:spacing w:val="-4"/>
        </w:rPr>
        <w:t>1</w:t>
      </w:r>
      <w:r>
        <w:rPr>
          <w:spacing w:val="-4"/>
        </w:rPr>
        <w:t>）稳步推进企业转型。基于行业和企业发展现状，公司提出要实现从</w:t>
      </w:r>
      <w:r>
        <w:rPr>
          <w:rFonts w:ascii="Times New Roman" w:hAnsi="Times New Roman" w:cs="Times New Roman" w:eastAsia="Times New Roman" w:hint="default"/>
          <w:spacing w:val="-4"/>
        </w:rPr>
        <w:t>“</w:t>
      </w:r>
      <w:r>
        <w:rPr>
          <w:spacing w:val="-4"/>
        </w:rPr>
        <w:t>太阳能配件专业供货商</w:t>
      </w:r>
      <w:r>
        <w:rPr>
          <w:rFonts w:ascii="Times New Roman" w:hAnsi="Times New Roman" w:cs="Times New Roman" w:eastAsia="Times New Roman" w:hint="default"/>
          <w:spacing w:val="-4"/>
        </w:rPr>
        <w:t>”</w:t>
      </w:r>
      <w:r>
        <w:rPr>
          <w:spacing w:val="-4"/>
        </w:rPr>
        <w:t>到</w:t>
      </w:r>
      <w:r>
        <w:rPr>
          <w:rFonts w:ascii="Times New Roman" w:hAnsi="Times New Roman" w:cs="Times New Roman" w:eastAsia="Times New Roman" w:hint="default"/>
          <w:spacing w:val="-4"/>
        </w:rPr>
        <w:t>“</w:t>
      </w:r>
      <w:r>
        <w:rPr>
          <w:spacing w:val="-4"/>
        </w:rPr>
        <w:t>金属加工、新材料、</w:t>
      </w:r>
      <w:r>
        <w:rPr/>
        <w:t> 太阳能电站一体化经营</w:t>
      </w:r>
      <w:r>
        <w:rPr>
          <w:rFonts w:ascii="Times New Roman" w:hAnsi="Times New Roman" w:cs="Times New Roman" w:eastAsia="Times New Roman" w:hint="default"/>
        </w:rPr>
        <w:t>”</w:t>
      </w:r>
      <w:r>
        <w:rPr/>
        <w:t>的重大战略转型。公司向太阳能电站领域的拓展，未来既能给公司带来稳定的现金流入，同时也能 </w:t>
      </w:r>
      <w:r>
        <w:rPr>
          <w:spacing w:val="-5"/>
        </w:rPr>
        <w:t>带动公司太阳能电池配件的生产，电站作为光伏领域的终端需求方，能较为迅速地提高公司在行业内的地位和议价能力。</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1"/>
        </w:rPr>
        <w:t>年公司在太阳能电站领域继续寻求发展机会，全年建成大型地面太阳能电站</w:t>
      </w:r>
      <w:r>
        <w:rPr>
          <w:rFonts w:ascii="Times New Roman" w:hAnsi="Times New Roman" w:cs="Times New Roman" w:eastAsia="Times New Roman" w:hint="default"/>
          <w:spacing w:val="-1"/>
        </w:rPr>
        <w:t>40MW</w:t>
      </w:r>
      <w:r>
        <w:rPr>
          <w:spacing w:val="-1"/>
        </w:rPr>
        <w:t>，并已具备并网条件。截止报告期末，公</w:t>
      </w:r>
      <w:r>
        <w:rPr/>
        <w:t> 司已累计建成大型地面太阳能电站</w:t>
      </w:r>
      <w:r>
        <w:rPr>
          <w:rFonts w:ascii="Times New Roman" w:hAnsi="Times New Roman" w:cs="Times New Roman" w:eastAsia="Times New Roman" w:hint="default"/>
        </w:rPr>
        <w:t>65MW</w:t>
      </w:r>
      <w:r>
        <w:rPr/>
        <w:t>，另有</w:t>
      </w:r>
      <w:r>
        <w:rPr>
          <w:rFonts w:ascii="Times New Roman" w:hAnsi="Times New Roman" w:cs="Times New Roman" w:eastAsia="Times New Roman" w:hint="default"/>
        </w:rPr>
        <w:t>20MW</w:t>
      </w:r>
      <w:r>
        <w:rPr/>
        <w:t>取得政府部门允许开展前期工作的函。</w:t>
      </w:r>
    </w:p>
    <w:p>
      <w:pPr>
        <w:pStyle w:val="BodyText"/>
        <w:spacing w:line="307" w:lineRule="auto" w:before="51"/>
        <w:ind w:right="1130" w:firstLine="384"/>
        <w:jc w:val="both"/>
      </w:pPr>
      <w:r>
        <w:rPr>
          <w:rFonts w:ascii="Times New Roman" w:hAnsi="Times New Roman" w:cs="Times New Roman" w:eastAsia="Times New Roman" w:hint="default"/>
        </w:rPr>
        <w:t>2012</w:t>
      </w:r>
      <w:r>
        <w:rPr/>
        <w:t>年下半年，随着光伏分布式发电逐步成为行业新的亮点以及分布式发电补贴政策的呼之欲出，公司也开始进行这 一领域的探索，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日，公司同比亚迪股份有限公司就分布式光伏发电解决方案、微电网综合解决方案及智能电网</w:t>
      </w:r>
      <w:r>
        <w:rPr>
          <w:spacing w:val="-86"/>
        </w:rPr>
        <w:t> </w:t>
      </w:r>
      <w:r>
        <w:rPr>
          <w:spacing w:val="-86"/>
        </w:rPr>
      </w:r>
      <w:r>
        <w:rPr>
          <w:spacing w:val="-2"/>
        </w:rPr>
        <w:t>解决方案等方面的全面合作达成战略合作协议。目前公司正积极寻求合适的屋顶（分布式发电建设载体）并同当地政府保持</w:t>
      </w:r>
      <w:r>
        <w:rPr>
          <w:spacing w:val="-63"/>
        </w:rPr>
        <w:t> </w:t>
      </w:r>
      <w:r>
        <w:rPr>
          <w:spacing w:val="-63"/>
        </w:rPr>
      </w:r>
      <w:r>
        <w:rPr/>
        <w:t>积极的沟通，力图在分布式发电补贴政策明朗后率先启动。</w:t>
      </w:r>
    </w:p>
    <w:p>
      <w:pPr>
        <w:pStyle w:val="BodyText"/>
        <w:spacing w:line="302" w:lineRule="auto" w:before="67"/>
        <w:ind w:right="1129" w:firstLine="360"/>
        <w:jc w:val="both"/>
      </w:pPr>
      <w:r>
        <w:rPr/>
        <w:t>（</w:t>
      </w:r>
      <w:r>
        <w:rPr>
          <w:rFonts w:ascii="Times New Roman" w:hAnsi="Times New Roman" w:cs="Times New Roman" w:eastAsia="Times New Roman" w:hint="default"/>
        </w:rPr>
        <w:t>2</w:t>
      </w:r>
      <w:r>
        <w:rPr/>
        <w:t>）全力稳定现有的光伏业务。公司原有的光伏配套产品业务尤其是太阳能电池铝边框一直保持行业领先优势。随着 </w:t>
      </w:r>
      <w:r>
        <w:rPr>
          <w:spacing w:val="-2"/>
        </w:rPr>
        <w:t>募投项目的陆续完工，原有金属加工、新材料业务更加具有产能和品质竞争力。</w:t>
      </w:r>
      <w:r>
        <w:rPr>
          <w:rFonts w:ascii="Times New Roman" w:hAnsi="Times New Roman" w:cs="Times New Roman" w:eastAsia="Times New Roman" w:hint="default"/>
          <w:spacing w:val="-2"/>
        </w:rPr>
        <w:t>2012</w:t>
      </w:r>
      <w:r>
        <w:rPr>
          <w:spacing w:val="-2"/>
        </w:rPr>
        <w:t>年受益于国内市场装机容量的扩大，安</w:t>
      </w:r>
      <w:r>
        <w:rPr>
          <w:spacing w:val="-59"/>
        </w:rPr>
        <w:t> </w:t>
      </w:r>
      <w:r>
        <w:rPr>
          <w:spacing w:val="-59"/>
        </w:rPr>
      </w:r>
      <w:r>
        <w:rPr>
          <w:spacing w:val="-1"/>
        </w:rPr>
        <w:t>装系统业务取得突破性进展，全年实现营业收入</w:t>
      </w:r>
      <w:r>
        <w:rPr>
          <w:rFonts w:ascii="Times New Roman" w:hAnsi="Times New Roman" w:cs="Times New Roman" w:eastAsia="Times New Roman" w:hint="default"/>
          <w:spacing w:val="-1"/>
        </w:rPr>
        <w:t>204,313,772.49</w:t>
      </w:r>
      <w:r>
        <w:rPr>
          <w:spacing w:val="-1"/>
        </w:rPr>
        <w:t>元，同比增长</w:t>
      </w:r>
      <w:r>
        <w:rPr>
          <w:rFonts w:ascii="Times New Roman" w:hAnsi="Times New Roman" w:cs="Times New Roman" w:eastAsia="Times New Roman" w:hint="default"/>
          <w:spacing w:val="-1"/>
        </w:rPr>
        <w:t>454.16%</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w:t>
      </w:r>
      <w:r>
        <w:rPr>
          <w:spacing w:val="-1"/>
        </w:rPr>
        <w:t>日公司全资子公司苏州</w:t>
      </w:r>
      <w:r>
        <w:rPr>
          <w:spacing w:val="-84"/>
        </w:rPr>
        <w:t> </w:t>
      </w:r>
      <w:r>
        <w:rPr>
          <w:spacing w:val="-84"/>
        </w:rPr>
      </w:r>
      <w:r>
        <w:rPr>
          <w:spacing w:val="-2"/>
        </w:rPr>
        <w:t>爱康金属科技有限公司（原苏州爱康光伏安装系统有限公司，以下简称</w:t>
      </w:r>
      <w:r>
        <w:rPr>
          <w:rFonts w:ascii="Times New Roman" w:hAnsi="Times New Roman" w:cs="Times New Roman" w:eastAsia="Times New Roman" w:hint="default"/>
          <w:spacing w:val="-2"/>
        </w:rPr>
        <w:t>“</w:t>
      </w:r>
      <w:r>
        <w:rPr>
          <w:spacing w:val="-2"/>
        </w:rPr>
        <w:t>苏州爱康金属</w:t>
      </w:r>
      <w:r>
        <w:rPr>
          <w:rFonts w:ascii="Times New Roman" w:hAnsi="Times New Roman" w:cs="Times New Roman" w:eastAsia="Times New Roman" w:hint="default"/>
          <w:spacing w:val="-2"/>
        </w:rPr>
        <w:t>”</w:t>
      </w:r>
      <w:r>
        <w:rPr>
          <w:spacing w:val="-2"/>
        </w:rPr>
        <w:t>）通知，苏州爱康金属与中建材集团</w:t>
      </w:r>
      <w:r>
        <w:rPr>
          <w:spacing w:val="-41"/>
        </w:rPr>
        <w:t> </w:t>
      </w:r>
      <w:r>
        <w:rPr>
          <w:spacing w:val="-41"/>
        </w:rPr>
      </w:r>
      <w:r>
        <w:rPr>
          <w:spacing w:val="-2"/>
        </w:rPr>
        <w:t>进出口公司签署关于销售地面光伏支架的《购销合同》，合同总金额</w:t>
      </w:r>
      <w:r>
        <w:rPr>
          <w:rFonts w:ascii="Times New Roman" w:hAnsi="Times New Roman" w:cs="Times New Roman" w:eastAsia="Times New Roman" w:hint="default"/>
          <w:spacing w:val="-2"/>
        </w:rPr>
        <w:t>103,289,550</w:t>
      </w:r>
      <w:r>
        <w:rPr>
          <w:spacing w:val="-2"/>
        </w:rPr>
        <w:t>元。这是安装系统项目的首次亿元大单，该</w:t>
      </w:r>
      <w:r>
        <w:rPr>
          <w:spacing w:val="-56"/>
        </w:rPr>
        <w:t> </w:t>
      </w:r>
      <w:r>
        <w:rPr>
          <w:spacing w:val="-56"/>
        </w:rPr>
      </w:r>
      <w:r>
        <w:rPr>
          <w:spacing w:val="-2"/>
        </w:rPr>
        <w:t>合同目前已履行完毕，较好地建立起公司安装系统产品的行业美誉度。报告期内，太阳能电池铝边框产品继续保持行业领先</w:t>
      </w:r>
      <w:r>
        <w:rPr>
          <w:spacing w:val="-66"/>
        </w:rPr>
        <w:t> </w:t>
      </w:r>
      <w:r>
        <w:rPr>
          <w:spacing w:val="-66"/>
        </w:rPr>
      </w:r>
      <w:r>
        <w:rPr/>
        <w:t>地位，全年实现营业收入</w:t>
      </w:r>
      <w:r>
        <w:rPr>
          <w:rFonts w:ascii="Times New Roman" w:hAnsi="Times New Roman" w:cs="Times New Roman" w:eastAsia="Times New Roman" w:hint="default"/>
        </w:rPr>
        <w:t>899,681,647.56</w:t>
      </w:r>
      <w:r>
        <w:rPr/>
        <w:t>元，同比下降</w:t>
      </w:r>
      <w:r>
        <w:rPr>
          <w:rFonts w:ascii="Times New Roman" w:hAnsi="Times New Roman" w:cs="Times New Roman" w:eastAsia="Times New Roman" w:hint="default"/>
        </w:rPr>
        <w:t>27.94%</w:t>
      </w:r>
      <w:r>
        <w:rPr/>
        <w:t>。随着太阳能电池铝边框前端铝型材项目的逐步达产和成熟，</w:t>
      </w:r>
      <w:r>
        <w:rPr>
          <w:spacing w:val="-60"/>
        </w:rPr>
        <w:t> </w:t>
      </w:r>
      <w:r>
        <w:rPr>
          <w:spacing w:val="-60"/>
        </w:rPr>
      </w:r>
      <w:r>
        <w:rPr/>
        <w:t>该产品将在客户反应和交期方面进一步提升竞争力。报告期内，</w:t>
      </w:r>
      <w:r>
        <w:rPr>
          <w:rFonts w:ascii="Times New Roman" w:hAnsi="Times New Roman" w:cs="Times New Roman" w:eastAsia="Times New Roman" w:hint="default"/>
        </w:rPr>
        <w:t>EVA</w:t>
      </w:r>
      <w:r>
        <w:rPr/>
        <w:t>胶膜产品主要着力于工艺改进和市场开拓，全年实现</w:t>
      </w:r>
      <w:r>
        <w:rPr>
          <w:spacing w:val="-15"/>
        </w:rPr>
        <w:t> </w:t>
      </w:r>
      <w:r>
        <w:rPr>
          <w:spacing w:val="-15"/>
        </w:rPr>
      </w:r>
      <w:r>
        <w:rPr>
          <w:spacing w:val="-1"/>
        </w:rPr>
        <w:t>营业收入</w:t>
      </w:r>
      <w:r>
        <w:rPr>
          <w:rFonts w:ascii="Times New Roman" w:hAnsi="Times New Roman" w:cs="Times New Roman" w:eastAsia="Times New Roman" w:hint="default"/>
          <w:spacing w:val="-1"/>
        </w:rPr>
        <w:t>44,731,022.49</w:t>
      </w:r>
      <w:r>
        <w:rPr>
          <w:spacing w:val="-1"/>
        </w:rPr>
        <w:t>元，同比上涨</w:t>
      </w:r>
      <w:r>
        <w:rPr>
          <w:rFonts w:ascii="Times New Roman" w:hAnsi="Times New Roman" w:cs="Times New Roman" w:eastAsia="Times New Roman" w:hint="default"/>
          <w:spacing w:val="-1"/>
        </w:rPr>
        <w:t>47.53%</w:t>
      </w:r>
      <w:r>
        <w:rPr>
          <w:spacing w:val="-1"/>
        </w:rPr>
        <w:t>。报告期内成功进入</w:t>
      </w:r>
      <w:r>
        <w:rPr>
          <w:rFonts w:ascii="Times New Roman" w:hAnsi="Times New Roman" w:cs="Times New Roman" w:eastAsia="Times New Roman" w:hint="default"/>
          <w:spacing w:val="-1"/>
        </w:rPr>
        <w:t>BYD</w:t>
      </w:r>
      <w:r>
        <w:rPr>
          <w:spacing w:val="-1"/>
        </w:rPr>
        <w:t>、</w:t>
      </w:r>
      <w:r>
        <w:rPr>
          <w:rFonts w:ascii="Times New Roman" w:hAnsi="Times New Roman" w:cs="Times New Roman" w:eastAsia="Times New Roman" w:hint="default"/>
          <w:spacing w:val="-1"/>
        </w:rPr>
        <w:t>REC</w:t>
      </w:r>
      <w:r>
        <w:rPr>
          <w:spacing w:val="-1"/>
        </w:rPr>
        <w:t>、</w:t>
      </w:r>
      <w:r>
        <w:rPr>
          <w:rFonts w:ascii="Times New Roman" w:hAnsi="Times New Roman" w:cs="Times New Roman" w:eastAsia="Times New Roman" w:hint="default"/>
          <w:spacing w:val="-1"/>
        </w:rPr>
        <w:t>CSI</w:t>
      </w:r>
      <w:r>
        <w:rPr>
          <w:spacing w:val="-1"/>
        </w:rPr>
        <w:t>、</w:t>
      </w:r>
      <w:r>
        <w:rPr>
          <w:rFonts w:ascii="Times New Roman" w:hAnsi="Times New Roman" w:cs="Times New Roman" w:eastAsia="Times New Roman" w:hint="default"/>
          <w:spacing w:val="-1"/>
        </w:rPr>
        <w:t>ET</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1"/>
        </w:rPr>
        <w:t>solar</w:t>
      </w:r>
      <w:r>
        <w:rPr>
          <w:spacing w:val="-1"/>
        </w:rPr>
        <w:t>等大客户的供应商名单。单位生</w:t>
      </w:r>
      <w:r>
        <w:rPr>
          <w:spacing w:val="-86"/>
        </w:rPr>
        <w:t> </w:t>
      </w:r>
      <w:r>
        <w:rPr>
          <w:spacing w:val="-86"/>
        </w:rPr>
      </w:r>
      <w:r>
        <w:rPr/>
        <w:t>产成本、成品率、生产效率等均得到稳步提升。</w:t>
      </w:r>
    </w:p>
    <w:p>
      <w:pPr>
        <w:pStyle w:val="BodyText"/>
        <w:spacing w:line="300" w:lineRule="auto" w:before="70"/>
        <w:ind w:right="1131" w:firstLine="360"/>
        <w:jc w:val="both"/>
      </w:pPr>
      <w:r>
        <w:rPr>
          <w:spacing w:val="-2"/>
        </w:rPr>
        <w:t>虽然</w:t>
      </w:r>
      <w:r>
        <w:rPr>
          <w:rFonts w:ascii="Times New Roman" w:hAnsi="Times New Roman" w:cs="Times New Roman" w:eastAsia="Times New Roman" w:hint="default"/>
          <w:spacing w:val="-2"/>
        </w:rPr>
        <w:t>2012</w:t>
      </w:r>
      <w:r>
        <w:rPr>
          <w:spacing w:val="-2"/>
        </w:rPr>
        <w:t>年美国和欧洲先后启动对中国的光伏产品的反倾销、反补贴调查，但公司主营光伏太阳能配件，不涉及电池片</w:t>
      </w:r>
      <w:r>
        <w:rPr/>
        <w:t> </w:t>
      </w:r>
      <w:r>
        <w:rPr>
          <w:spacing w:val="-2"/>
        </w:rPr>
        <w:t>和组件，美国和欧洲的</w:t>
      </w:r>
      <w:r>
        <w:rPr>
          <w:rFonts w:ascii="Times New Roman" w:hAnsi="Times New Roman" w:cs="Times New Roman" w:eastAsia="Times New Roman" w:hint="default"/>
          <w:spacing w:val="-2"/>
        </w:rPr>
        <w:t>“</w:t>
      </w:r>
      <w:r>
        <w:rPr>
          <w:spacing w:val="-2"/>
        </w:rPr>
        <w:t>双反</w:t>
      </w:r>
      <w:r>
        <w:rPr>
          <w:rFonts w:ascii="Times New Roman" w:hAnsi="Times New Roman" w:cs="Times New Roman" w:eastAsia="Times New Roman" w:hint="default"/>
          <w:spacing w:val="-2"/>
        </w:rPr>
        <w:t>”</w:t>
      </w:r>
      <w:r>
        <w:rPr>
          <w:spacing w:val="-2"/>
        </w:rPr>
        <w:t>不影响公司产品的直接出口，同时公司在美国、欧洲和日本的客户因减少了中国组件厂商的竞</w:t>
      </w:r>
      <w:r>
        <w:rPr>
          <w:spacing w:val="-46"/>
        </w:rPr>
        <w:t> </w:t>
      </w:r>
      <w:r>
        <w:rPr>
          <w:spacing w:val="-46"/>
        </w:rPr>
      </w:r>
      <w:r>
        <w:rPr>
          <w:spacing w:val="-2"/>
        </w:rPr>
        <w:t>争，市场份额有所上升部分弥补了因</w:t>
      </w:r>
      <w:r>
        <w:rPr>
          <w:rFonts w:ascii="Times New Roman" w:hAnsi="Times New Roman" w:cs="Times New Roman" w:eastAsia="Times New Roman" w:hint="default"/>
          <w:spacing w:val="-2"/>
        </w:rPr>
        <w:t>“</w:t>
      </w:r>
      <w:r>
        <w:rPr>
          <w:spacing w:val="-2"/>
        </w:rPr>
        <w:t>双反</w:t>
      </w:r>
      <w:r>
        <w:rPr>
          <w:rFonts w:ascii="Times New Roman" w:hAnsi="Times New Roman" w:cs="Times New Roman" w:eastAsia="Times New Roman" w:hint="default"/>
          <w:spacing w:val="-2"/>
        </w:rPr>
        <w:t>”</w:t>
      </w:r>
      <w:r>
        <w:rPr>
          <w:spacing w:val="-2"/>
        </w:rPr>
        <w:t>导致公司国内客户采购量下降给公司造成的损失，所以</w:t>
      </w:r>
      <w:r>
        <w:rPr>
          <w:rFonts w:ascii="Times New Roman" w:hAnsi="Times New Roman" w:cs="Times New Roman" w:eastAsia="Times New Roman" w:hint="default"/>
          <w:spacing w:val="-2"/>
        </w:rPr>
        <w:t>2012</w:t>
      </w:r>
      <w:r>
        <w:rPr>
          <w:spacing w:val="-2"/>
        </w:rPr>
        <w:t>年现有光伏业务的市</w:t>
      </w:r>
      <w:r>
        <w:rPr>
          <w:spacing w:val="-41"/>
        </w:rPr>
        <w:t> </w:t>
      </w:r>
      <w:r>
        <w:rPr>
          <w:spacing w:val="-41"/>
        </w:rPr>
      </w:r>
      <w:r>
        <w:rPr/>
        <w:t>场份额仍得以保持，但因产品价格下降，运营费用上升，报告期内现有光伏配件业务整体呈亏损状态。</w:t>
      </w:r>
    </w:p>
    <w:p>
      <w:pPr>
        <w:pStyle w:val="BodyText"/>
        <w:spacing w:line="316" w:lineRule="auto" w:before="70"/>
        <w:ind w:right="1133" w:firstLine="360"/>
        <w:jc w:val="both"/>
      </w:pPr>
      <w:r>
        <w:rPr>
          <w:spacing w:val="-2"/>
        </w:rPr>
        <w:t>除现有光伏配件业务外，报告期内公司在建筑型材、金属模具、家电类五金加工等领域拓展业务，此举有效利用公司现</w:t>
      </w:r>
      <w:r>
        <w:rPr/>
        <w:t> 有设备产能，提高公司利润增长点，降低了市场环境变化对公司的负面影响。</w:t>
      </w:r>
    </w:p>
    <w:p>
      <w:pPr>
        <w:pStyle w:val="BodyText"/>
        <w:spacing w:line="307" w:lineRule="auto" w:before="59"/>
        <w:ind w:right="1126" w:firstLine="240"/>
        <w:jc w:val="both"/>
      </w:pPr>
      <w:r>
        <w:rPr>
          <w:spacing w:val="-1"/>
        </w:rPr>
        <w:t>（</w:t>
      </w:r>
      <w:r>
        <w:rPr>
          <w:rFonts w:ascii="Times New Roman" w:hAnsi="Times New Roman" w:cs="Times New Roman" w:eastAsia="Times New Roman" w:hint="default"/>
          <w:spacing w:val="-1"/>
        </w:rPr>
        <w:t>3</w:t>
      </w:r>
      <w:r>
        <w:rPr>
          <w:spacing w:val="-1"/>
        </w:rPr>
        <w:t>）金融支持，提升动力。报告期内，根据公司发展需要，公司筹备发行</w:t>
      </w:r>
      <w:r>
        <w:rPr>
          <w:rFonts w:ascii="Times New Roman" w:hAnsi="Times New Roman" w:cs="Times New Roman" w:eastAsia="Times New Roman" w:hint="default"/>
          <w:spacing w:val="-1"/>
        </w:rPr>
        <w:t>5</w:t>
      </w:r>
      <w:r>
        <w:rPr>
          <w:spacing w:val="-1"/>
        </w:rPr>
        <w:t>亿元公司债券，发行申请于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7</w:t>
      </w:r>
      <w:r>
        <w:rPr>
          <w:spacing w:val="-1"/>
        </w:rPr>
        <w:t>日获</w:t>
      </w:r>
      <w:r>
        <w:rPr/>
        <w:t> </w:t>
      </w:r>
      <w:r>
        <w:rPr>
          <w:spacing w:val="-2"/>
        </w:rPr>
        <w:t>得中国证券监督管理委员会发行审核委员会审核通过，该笔公司债券将主要用于偿还银行贷款和补充流动资金，公司债券的</w:t>
      </w:r>
      <w:r>
        <w:rPr>
          <w:spacing w:val="-64"/>
        </w:rPr>
        <w:t> </w:t>
      </w:r>
      <w:r>
        <w:rPr>
          <w:spacing w:val="-64"/>
        </w:rPr>
      </w:r>
      <w:r>
        <w:rPr>
          <w:spacing w:val="-2"/>
        </w:rPr>
        <w:t>发行将对未来公司生产运营和业务拓展带来有益的帮助。</w:t>
      </w:r>
      <w:r>
        <w:rPr>
          <w:rFonts w:ascii="Times New Roman" w:hAnsi="Times New Roman" w:cs="Times New Roman" w:eastAsia="Times New Roman" w:hint="default"/>
          <w:spacing w:val="-2"/>
        </w:rPr>
        <w:t>2012</w:t>
      </w:r>
      <w:r>
        <w:rPr>
          <w:spacing w:val="-2"/>
        </w:rPr>
        <w:t>年公司及子公司累计获得近</w:t>
      </w:r>
      <w:r>
        <w:rPr>
          <w:rFonts w:ascii="Times New Roman" w:hAnsi="Times New Roman" w:cs="Times New Roman" w:eastAsia="Times New Roman" w:hint="default"/>
          <w:spacing w:val="-2"/>
        </w:rPr>
        <w:t>20</w:t>
      </w:r>
      <w:r>
        <w:rPr>
          <w:spacing w:val="-2"/>
        </w:rPr>
        <w:t>亿元的银行授信。未来公司将秉</w:t>
      </w:r>
      <w:r>
        <w:rPr>
          <w:spacing w:val="-60"/>
        </w:rPr>
        <w:t> </w:t>
      </w:r>
      <w:r>
        <w:rPr>
          <w:spacing w:val="-60"/>
        </w:rPr>
      </w:r>
      <w:r>
        <w:rPr/>
        <w:t>持稳健经营原则，利用金融工具，寻求资本支持，并用好用活每一分钱，为公司生产经营提供辅助动力。</w:t>
      </w:r>
    </w:p>
    <w:p>
      <w:pPr>
        <w:pStyle w:val="BodyText"/>
        <w:spacing w:line="300" w:lineRule="auto" w:before="67"/>
        <w:ind w:right="1128" w:firstLine="240"/>
        <w:jc w:val="both"/>
      </w:pPr>
      <w:r>
        <w:rPr>
          <w:spacing w:val="-5"/>
        </w:rPr>
        <w:t>（</w:t>
      </w:r>
      <w:r>
        <w:rPr>
          <w:rFonts w:ascii="Times New Roman" w:hAnsi="Times New Roman" w:cs="Times New Roman" w:eastAsia="Times New Roman" w:hint="default"/>
          <w:spacing w:val="-5"/>
        </w:rPr>
        <w:t>4</w:t>
      </w:r>
      <w:r>
        <w:rPr>
          <w:spacing w:val="-5"/>
        </w:rPr>
        <w:t>）优化组织结构，打造节约型企业。</w:t>
      </w:r>
      <w:r>
        <w:rPr>
          <w:rFonts w:ascii="Times New Roman" w:hAnsi="Times New Roman" w:cs="Times New Roman" w:eastAsia="Times New Roman" w:hint="default"/>
          <w:spacing w:val="-5"/>
        </w:rPr>
        <w:t>2012</w:t>
      </w:r>
      <w:r>
        <w:rPr>
          <w:spacing w:val="-5"/>
        </w:rPr>
        <w:t>年公司继续推进系统优化和管理升级工作，各单位职责更清晰，岗位更明确，</w:t>
      </w:r>
      <w:r>
        <w:rPr/>
        <w:t> </w:t>
      </w:r>
      <w:r>
        <w:rPr>
          <w:spacing w:val="-4"/>
        </w:rPr>
        <w:t>协作更顺畅。报告期内，结合公司现状，管理层提出开展</w:t>
      </w:r>
      <w:r>
        <w:rPr>
          <w:rFonts w:ascii="Times New Roman" w:hAnsi="Times New Roman" w:cs="Times New Roman" w:eastAsia="Times New Roman" w:hint="default"/>
          <w:spacing w:val="-4"/>
        </w:rPr>
        <w:t>“</w:t>
      </w:r>
      <w:r>
        <w:rPr>
          <w:spacing w:val="-4"/>
        </w:rPr>
        <w:t>节约每一分钱</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用好每一个人</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做好每一件事</w:t>
      </w:r>
      <w:r>
        <w:rPr>
          <w:rFonts w:ascii="Times New Roman" w:hAnsi="Times New Roman" w:cs="Times New Roman" w:eastAsia="Times New Roman" w:hint="default"/>
          <w:spacing w:val="-4"/>
        </w:rPr>
        <w:t>”</w:t>
      </w:r>
      <w:r>
        <w:rPr>
          <w:spacing w:val="-4"/>
        </w:rPr>
        <w:t>的</w:t>
      </w:r>
      <w:r>
        <w:rPr>
          <w:rFonts w:ascii="Times New Roman" w:hAnsi="Times New Roman" w:cs="Times New Roman" w:eastAsia="Times New Roman" w:hint="default"/>
          <w:spacing w:val="-4"/>
        </w:rPr>
        <w:t>“</w:t>
      </w:r>
      <w:r>
        <w:rPr>
          <w:spacing w:val="-4"/>
        </w:rPr>
        <w:t>三省</w:t>
      </w:r>
      <w:r>
        <w:rPr>
          <w:rFonts w:ascii="Times New Roman" w:hAnsi="Times New Roman" w:cs="Times New Roman" w:eastAsia="Times New Roman" w:hint="default"/>
          <w:spacing w:val="-4"/>
        </w:rPr>
        <w:t>”</w:t>
      </w:r>
      <w:r>
        <w:rPr>
          <w:spacing w:val="-4"/>
        </w:rPr>
        <w:t>活动，</w:t>
      </w:r>
      <w:r>
        <w:rPr>
          <w:spacing w:val="-39"/>
        </w:rPr>
        <w:t> </w:t>
      </w:r>
      <w:r>
        <w:rPr>
          <w:spacing w:val="-1"/>
        </w:rPr>
        <w:t>并提出</w:t>
      </w:r>
      <w:r>
        <w:rPr>
          <w:rFonts w:ascii="Times New Roman" w:hAnsi="Times New Roman" w:cs="Times New Roman" w:eastAsia="Times New Roman" w:hint="default"/>
          <w:spacing w:val="-1"/>
        </w:rPr>
        <w:t>“</w:t>
      </w:r>
      <w:r>
        <w:rPr>
          <w:spacing w:val="-1"/>
        </w:rPr>
        <w:t>以市场为导向，持续优化创新，集全员之力满足客户需求</w:t>
      </w:r>
      <w:r>
        <w:rPr>
          <w:rFonts w:ascii="Times New Roman" w:hAnsi="Times New Roman" w:cs="Times New Roman" w:eastAsia="Times New Roman" w:hint="default"/>
          <w:spacing w:val="-1"/>
        </w:rPr>
        <w:t>”</w:t>
      </w:r>
      <w:r>
        <w:rPr>
          <w:spacing w:val="-1"/>
        </w:rPr>
        <w:t>的企业使命和</w:t>
      </w:r>
      <w:r>
        <w:rPr>
          <w:rFonts w:ascii="Times New Roman" w:hAnsi="Times New Roman" w:cs="Times New Roman" w:eastAsia="Times New Roman" w:hint="default"/>
          <w:spacing w:val="-1"/>
        </w:rPr>
        <w:t>“</w:t>
      </w:r>
      <w:r>
        <w:rPr>
          <w:spacing w:val="-1"/>
        </w:rPr>
        <w:t>客户至上，贡献为本</w:t>
      </w:r>
      <w:r>
        <w:rPr>
          <w:rFonts w:ascii="Times New Roman" w:hAnsi="Times New Roman" w:cs="Times New Roman" w:eastAsia="Times New Roman" w:hint="default"/>
          <w:spacing w:val="-1"/>
        </w:rPr>
        <w:t>”</w:t>
      </w:r>
      <w:r>
        <w:rPr>
          <w:spacing w:val="-1"/>
        </w:rPr>
        <w:t>的企业价值观。通过</w:t>
      </w:r>
    </w:p>
    <w:p>
      <w:pPr>
        <w:spacing w:after="0" w:line="300" w:lineRule="auto"/>
        <w:jc w:val="both"/>
        <w:sectPr>
          <w:pgSz w:w="11910" w:h="16840"/>
          <w:pgMar w:header="745"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15"/>
        <w:jc w:val="left"/>
      </w:pPr>
      <w:r>
        <w:rPr/>
        <w:t>在内部进行一系列的宣讲和主题活动，三省理念和贡献为本的风气正在形成。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Heading2"/>
        <w:spacing w:line="240" w:lineRule="auto"/>
        <w:ind w:right="1115"/>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271"/>
        <w:jc w:val="left"/>
      </w:pPr>
      <w:r>
        <w:rPr/>
        <w:t>公司经营范围为：研究、开发、生产、加工太阳能器材专用高档五金件、太阳能发电安装系统、太阳能发电板封装膜； 太阳能发电系统的设计、施工；从事铝锭的批发及进出口业务（不涉及国营贸易管理商品，涉及配额、许可证管理商品的，</w:t>
      </w:r>
      <w:r>
        <w:rPr>
          <w:spacing w:val="-86"/>
        </w:rPr>
        <w:t> </w:t>
      </w:r>
      <w:r>
        <w:rPr>
          <w:spacing w:val="-86"/>
        </w:rPr>
      </w:r>
      <w:r>
        <w:rPr/>
        <w:t>按国家有关规定办理申请）（涉及专项审批的经批准后方可经营）。</w:t>
      </w:r>
    </w:p>
    <w:p>
      <w:pPr>
        <w:pStyle w:val="BodyText"/>
        <w:spacing w:line="300" w:lineRule="auto" w:before="19"/>
        <w:ind w:right="1113" w:firstLine="271"/>
        <w:jc w:val="left"/>
      </w:pPr>
      <w:r>
        <w:rPr/>
        <w:t>目前公司致力于太阳能电池铝边框、安装支架、铝型材、金属模具、</w:t>
      </w:r>
      <w:r>
        <w:rPr>
          <w:rFonts w:ascii="Times New Roman" w:hAnsi="Times New Roman" w:cs="Times New Roman" w:eastAsia="Times New Roman" w:hint="default"/>
        </w:rPr>
        <w:t>EVA</w:t>
      </w:r>
      <w:r>
        <w:rPr/>
        <w:t>胶膜产品的研发、生产和销售，同时进行太阳 能电站的投资、建设。</w:t>
      </w:r>
    </w:p>
    <w:p>
      <w:pPr>
        <w:spacing w:line="357" w:lineRule="auto" w:before="73"/>
        <w:ind w:left="424" w:right="1115" w:hanging="272"/>
        <w:jc w:val="left"/>
        <w:rPr>
          <w:rFonts w:ascii="宋体" w:hAnsi="宋体" w:cs="宋体" w:eastAsia="宋体" w:hint="default"/>
          <w:sz w:val="18"/>
          <w:szCs w:val="18"/>
        </w:rPr>
      </w:pPr>
      <w:r>
        <w:rPr>
          <w:rFonts w:ascii="宋体" w:hAnsi="宋体" w:cs="宋体" w:eastAsia="宋体" w:hint="default"/>
          <w:b/>
          <w:bCs/>
          <w:sz w:val="18"/>
          <w:szCs w:val="18"/>
        </w:rPr>
        <w:t>公司回顾总结前期披露的发展战略和经营计划在报告期内的进展情况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报告期内管理层紧紧围绕董事会年初制定的</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年战略经营计划开展工作：</w:t>
      </w:r>
      <w:r>
        <w:rPr>
          <w:rFonts w:ascii="Times New Roman" w:hAnsi="Times New Roman" w:cs="Times New Roman" w:eastAsia="Times New Roman" w:hint="default"/>
          <w:spacing w:val="-2"/>
          <w:sz w:val="18"/>
          <w:szCs w:val="18"/>
        </w:rPr>
        <w:t>“</w:t>
      </w:r>
      <w:r>
        <w:rPr>
          <w:rFonts w:ascii="宋体" w:hAnsi="宋体" w:cs="宋体" w:eastAsia="宋体" w:hint="default"/>
          <w:color w:val="333333"/>
          <w:spacing w:val="-2"/>
          <w:sz w:val="18"/>
          <w:szCs w:val="18"/>
        </w:rPr>
        <w:t>力争保持太阳能配件领域的领先地位；稳步</w:t>
      </w:r>
      <w:r>
        <w:rPr>
          <w:rFonts w:ascii="宋体" w:hAnsi="宋体" w:cs="宋体" w:eastAsia="宋体" w:hint="default"/>
          <w:spacing w:val="-2"/>
          <w:sz w:val="18"/>
          <w:szCs w:val="18"/>
        </w:rPr>
      </w:r>
    </w:p>
    <w:p>
      <w:pPr>
        <w:pStyle w:val="BodyText"/>
        <w:spacing w:line="214" w:lineRule="exact"/>
        <w:ind w:right="0"/>
        <w:jc w:val="left"/>
      </w:pPr>
      <w:r>
        <w:rPr>
          <w:color w:val="333333"/>
        </w:rPr>
        <w:t>推进企业产品结构和管理模式的转型</w:t>
      </w:r>
      <w:r>
        <w:rPr>
          <w:rFonts w:ascii="Times New Roman" w:hAnsi="Times New Roman" w:cs="Times New Roman" w:eastAsia="Times New Roman" w:hint="default"/>
          <w:color w:val="333333"/>
        </w:rPr>
        <w:t>”</w:t>
      </w:r>
      <w:r>
        <w:rPr>
          <w:color w:val="333333"/>
        </w:rPr>
        <w:t>。</w:t>
      </w:r>
      <w:r>
        <w:rPr>
          <w:rFonts w:ascii="Times New Roman" w:hAnsi="Times New Roman" w:cs="Times New Roman" w:eastAsia="Times New Roman" w:hint="default"/>
        </w:rPr>
        <w:t>2012</w:t>
      </w:r>
      <w:r>
        <w:rPr/>
        <w:t>年受益于国内市场装机容量的扩大，安装系统业务取得突破性进展，全年实现</w:t>
      </w:r>
    </w:p>
    <w:p>
      <w:pPr>
        <w:pStyle w:val="BodyText"/>
        <w:spacing w:line="302" w:lineRule="auto" w:before="63"/>
        <w:ind w:right="1129"/>
        <w:jc w:val="left"/>
      </w:pPr>
      <w:r>
        <w:rPr>
          <w:spacing w:val="-1"/>
        </w:rPr>
        <w:t>营业收入</w:t>
      </w:r>
      <w:r>
        <w:rPr>
          <w:rFonts w:ascii="Times New Roman" w:hAnsi="Times New Roman" w:cs="Times New Roman" w:eastAsia="Times New Roman" w:hint="default"/>
          <w:spacing w:val="-1"/>
        </w:rPr>
        <w:t>204,313,772.49</w:t>
      </w:r>
      <w:r>
        <w:rPr>
          <w:spacing w:val="-1"/>
        </w:rPr>
        <w:t>元，同比增长</w:t>
      </w:r>
      <w:r>
        <w:rPr>
          <w:rFonts w:ascii="Times New Roman" w:hAnsi="Times New Roman" w:cs="Times New Roman" w:eastAsia="Times New Roman" w:hint="default"/>
          <w:spacing w:val="-1"/>
        </w:rPr>
        <w:t>454.16%</w:t>
      </w:r>
      <w:r>
        <w:rPr>
          <w:spacing w:val="-1"/>
        </w:rPr>
        <w:t>；报告期内，太阳能电池铝边框产品继续保持行业领先地位，全年实现营业收</w:t>
      </w:r>
      <w:r>
        <w:rPr/>
        <w:t> 入</w:t>
      </w:r>
      <w:r>
        <w:rPr>
          <w:rFonts w:ascii="Times New Roman" w:hAnsi="Times New Roman" w:cs="Times New Roman" w:eastAsia="Times New Roman" w:hint="default"/>
        </w:rPr>
        <w:t>899,681,647.56</w:t>
      </w:r>
      <w:r>
        <w:rPr/>
        <w:t>元，同比下降</w:t>
      </w:r>
      <w:r>
        <w:rPr>
          <w:rFonts w:ascii="Times New Roman" w:hAnsi="Times New Roman" w:cs="Times New Roman" w:eastAsia="Times New Roman" w:hint="default"/>
        </w:rPr>
        <w:t>27.94%</w:t>
      </w:r>
      <w:r>
        <w:rPr/>
        <w:t>。随着太阳能电池铝边框前端铝型材项目的逐步达产和成熟，该产品将在客户反应和 交期方面进一步提升竞争力。报告期内，</w:t>
      </w:r>
      <w:r>
        <w:rPr>
          <w:rFonts w:ascii="Times New Roman" w:hAnsi="Times New Roman" w:cs="Times New Roman" w:eastAsia="Times New Roman" w:hint="default"/>
        </w:rPr>
        <w:t>EVA</w:t>
      </w:r>
      <w:r>
        <w:rPr/>
        <w:t>胶膜产品主要着力于工艺改进和市场开拓，全年实现营业收入</w:t>
      </w:r>
      <w:r>
        <w:rPr>
          <w:rFonts w:ascii="Times New Roman" w:hAnsi="Times New Roman" w:cs="Times New Roman" w:eastAsia="Times New Roman" w:hint="default"/>
        </w:rPr>
        <w:t>44,731,022.49 </w:t>
      </w:r>
      <w:r>
        <w:rPr>
          <w:spacing w:val="-2"/>
        </w:rPr>
        <w:t>元，同比上涨</w:t>
      </w:r>
      <w:r>
        <w:rPr>
          <w:rFonts w:ascii="Times New Roman" w:hAnsi="Times New Roman" w:cs="Times New Roman" w:eastAsia="Times New Roman" w:hint="default"/>
          <w:spacing w:val="-2"/>
        </w:rPr>
        <w:t>47.53%</w:t>
      </w:r>
      <w:r>
        <w:rPr>
          <w:spacing w:val="-2"/>
        </w:rPr>
        <w:t>；</w:t>
      </w:r>
      <w:r>
        <w:rPr>
          <w:rFonts w:ascii="Times New Roman" w:hAnsi="Times New Roman" w:cs="Times New Roman" w:eastAsia="Times New Roman" w:hint="default"/>
          <w:spacing w:val="-2"/>
        </w:rPr>
        <w:t>2012</w:t>
      </w:r>
      <w:r>
        <w:rPr>
          <w:spacing w:val="-2"/>
        </w:rPr>
        <w:t>年公司在太阳能电站领域继续寻求发展机会，全年建成大型地面太阳能电站</w:t>
      </w:r>
      <w:r>
        <w:rPr>
          <w:rFonts w:ascii="Times New Roman" w:hAnsi="Times New Roman" w:cs="Times New Roman" w:eastAsia="Times New Roman" w:hint="default"/>
          <w:spacing w:val="-2"/>
        </w:rPr>
        <w:t>40MW</w:t>
      </w:r>
      <w:r>
        <w:rPr>
          <w:spacing w:val="-2"/>
        </w:rPr>
        <w:t>，并已具备并</w:t>
      </w:r>
      <w:r>
        <w:rPr>
          <w:spacing w:val="-41"/>
        </w:rPr>
        <w:t> </w:t>
      </w:r>
      <w:r>
        <w:rPr>
          <w:spacing w:val="-41"/>
        </w:rPr>
      </w:r>
      <w:r>
        <w:rPr/>
        <w:t>网条件。截止报告期末，公司已累计建成大型地面太阳能电站</w:t>
      </w:r>
      <w:r>
        <w:rPr>
          <w:rFonts w:ascii="Times New Roman" w:hAnsi="Times New Roman" w:cs="Times New Roman" w:eastAsia="Times New Roman" w:hint="default"/>
        </w:rPr>
        <w:t>65MW</w:t>
      </w:r>
      <w:r>
        <w:rPr/>
        <w:t>，另有</w:t>
      </w:r>
      <w:r>
        <w:rPr>
          <w:rFonts w:ascii="Times New Roman" w:hAnsi="Times New Roman" w:cs="Times New Roman" w:eastAsia="Times New Roman" w:hint="default"/>
        </w:rPr>
        <w:t>20MW</w:t>
      </w:r>
      <w:r>
        <w:rPr/>
        <w:t>取得政府部门允许开展前期工作的函。 </w:t>
      </w:r>
      <w:r>
        <w:rPr>
          <w:spacing w:val="-2"/>
        </w:rPr>
        <w:t>未来公司将继续努力保持在光伏配件领域的领先优势，进行金属和新材料延伸产品的研发，继续扩大在光伏电站领域的市场</w:t>
      </w:r>
      <w:r>
        <w:rPr>
          <w:spacing w:val="-63"/>
        </w:rPr>
        <w:t> </w:t>
      </w:r>
      <w:r>
        <w:rPr>
          <w:spacing w:val="-63"/>
        </w:rPr>
      </w:r>
      <w:r>
        <w:rPr/>
        <w:t>份额。</w:t>
      </w:r>
    </w:p>
    <w:p>
      <w:pPr>
        <w:spacing w:line="240" w:lineRule="auto" w:before="0"/>
        <w:rPr>
          <w:rFonts w:ascii="宋体" w:hAnsi="宋体" w:cs="宋体" w:eastAsia="宋体" w:hint="default"/>
          <w:sz w:val="18"/>
          <w:szCs w:val="18"/>
        </w:rPr>
      </w:pPr>
    </w:p>
    <w:p>
      <w:pPr>
        <w:pStyle w:val="Heading6"/>
        <w:spacing w:line="240" w:lineRule="auto" w:before="147"/>
        <w:ind w:right="1115"/>
        <w:jc w:val="left"/>
        <w:rPr>
          <w:b w:val="0"/>
          <w:bCs w:val="0"/>
        </w:rPr>
      </w:pPr>
      <w:r>
        <w:rPr/>
        <w:t>公司实际经营业绩较曾公开披露过的本年度盈利预测低于或高于</w:t>
      </w:r>
      <w:r>
        <w:rPr>
          <w:spacing w:val="-47"/>
        </w:rPr>
        <w:t> </w:t>
      </w:r>
      <w:r>
        <w:rPr>
          <w:rFonts w:ascii="Times New Roman" w:hAnsi="Times New Roman" w:cs="Times New Roman" w:eastAsia="Times New Roman" w:hint="default"/>
        </w:rPr>
        <w:t>20%</w:t>
      </w:r>
      <w:r>
        <w:rPr/>
        <w:t>以上的差异原因</w:t>
      </w:r>
      <w:r>
        <w:rPr>
          <w:b w:val="0"/>
          <w:bCs w:val="0"/>
        </w:rPr>
      </w:r>
    </w:p>
    <w:p>
      <w:pPr>
        <w:pStyle w:val="BodyText"/>
        <w:spacing w:line="240" w:lineRule="auto" w:before="10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说明</w:t>
      </w:r>
    </w:p>
    <w:p>
      <w:pPr>
        <w:pStyle w:val="BodyText"/>
        <w:spacing w:line="300" w:lineRule="auto" w:before="117"/>
        <w:ind w:right="0"/>
        <w:jc w:val="left"/>
      </w:pPr>
      <w:r>
        <w:rPr>
          <w:spacing w:val="-5"/>
        </w:rPr>
        <w:t>报告期内受行业调整影响，公司实现主营业务收入</w:t>
      </w:r>
      <w:r>
        <w:rPr>
          <w:rFonts w:ascii="Times New Roman" w:hAnsi="Times New Roman" w:cs="Times New Roman" w:eastAsia="Times New Roman" w:hint="default"/>
          <w:spacing w:val="-5"/>
        </w:rPr>
        <w:t>1293359649.51</w:t>
      </w:r>
      <w:r>
        <w:rPr>
          <w:spacing w:val="-5"/>
        </w:rPr>
        <w:t>元，同比下降</w:t>
      </w:r>
      <w:r>
        <w:rPr>
          <w:rFonts w:ascii="Times New Roman" w:hAnsi="Times New Roman" w:cs="Times New Roman" w:eastAsia="Times New Roman" w:hint="default"/>
          <w:spacing w:val="-5"/>
        </w:rPr>
        <w:t>11.64</w:t>
      </w:r>
      <w:r>
        <w:rPr>
          <w:spacing w:val="-5"/>
        </w:rPr>
        <w:t>个百分点。如下表，其中边框下降</w:t>
      </w:r>
      <w:r>
        <w:rPr>
          <w:rFonts w:ascii="Times New Roman" w:hAnsi="Times New Roman" w:cs="Times New Roman" w:eastAsia="Times New Roman" w:hint="default"/>
          <w:spacing w:val="-5"/>
        </w:rPr>
        <w:t>27.94%</w:t>
      </w:r>
      <w:r>
        <w:rPr>
          <w:spacing w:val="-5"/>
        </w:rPr>
        <w:t>。</w:t>
      </w:r>
      <w:r>
        <w:rPr>
          <w:spacing w:val="-32"/>
        </w:rPr>
        <w:t> </w:t>
      </w:r>
      <w:r>
        <w:rPr/>
        <w:t>募投项目安装支架销售增长</w:t>
      </w:r>
      <w:r>
        <w:rPr>
          <w:rFonts w:ascii="Times New Roman" w:hAnsi="Times New Roman" w:cs="Times New Roman" w:eastAsia="Times New Roman" w:hint="default"/>
        </w:rPr>
        <w:t>454.16%</w:t>
      </w:r>
      <w:r>
        <w:rPr/>
        <w:t>，</w:t>
      </w:r>
      <w:r>
        <w:rPr>
          <w:rFonts w:ascii="Times New Roman" w:hAnsi="Times New Roman" w:cs="Times New Roman" w:eastAsia="Times New Roman" w:hint="default"/>
        </w:rPr>
        <w:t>EVA</w:t>
      </w:r>
      <w:r>
        <w:rPr/>
        <w:t>销售增长</w:t>
      </w:r>
      <w:r>
        <w:rPr>
          <w:rFonts w:ascii="Times New Roman" w:hAnsi="Times New Roman" w:cs="Times New Roman" w:eastAsia="Times New Roman" w:hint="default"/>
        </w:rPr>
        <w:t>47.53%</w:t>
      </w:r>
      <w:r>
        <w:rPr/>
        <w:t>。</w:t>
      </w:r>
    </w:p>
    <w:p>
      <w:pPr>
        <w:spacing w:line="240" w:lineRule="auto" w:before="2"/>
        <w:rPr>
          <w:rFonts w:ascii="宋体" w:hAnsi="宋体" w:cs="宋体" w:eastAsia="宋体" w:hint="default"/>
          <w:sz w:val="3"/>
          <w:szCs w:val="3"/>
        </w:rPr>
      </w:pPr>
    </w:p>
    <w:p>
      <w:pPr>
        <w:spacing w:line="2730" w:lineRule="exact"/>
        <w:ind w:left="184"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3781425" cy="17335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3781425" cy="1733550"/>
                    </a:xfrm>
                    <a:prstGeom prst="rect">
                      <a:avLst/>
                    </a:prstGeom>
                  </pic:spPr>
                </pic:pic>
              </a:graphicData>
            </a:graphic>
          </wp:inline>
        </w:drawing>
      </w:r>
      <w:r>
        <w:rPr>
          <w:rFonts w:ascii="宋体" w:hAnsi="宋体" w:cs="宋体" w:eastAsia="宋体" w:hint="default"/>
          <w:position w:val="-54"/>
          <w:sz w:val="20"/>
          <w:szCs w:val="20"/>
        </w:rPr>
      </w:r>
    </w:p>
    <w:p>
      <w:pPr>
        <w:pStyle w:val="BodyText"/>
        <w:spacing w:line="240" w:lineRule="auto" w:before="91"/>
        <w:ind w:right="1115"/>
        <w:jc w:val="left"/>
      </w:pPr>
      <w:r>
        <w:rPr/>
        <w:t>公司实物销售收入是否大于劳务收入</w:t>
      </w:r>
    </w:p>
    <w:p>
      <w:pPr>
        <w:pStyle w:val="BodyText"/>
        <w:spacing w:line="240" w:lineRule="auto" w:before="115"/>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r>
        <w:rPr/>
        <w:pict>
          <v:shape style="position:absolute;margin-left:146.419998pt;margin-top:152.899979pt;width:100.35pt;height:19.6pt;mso-position-horizontal-relative:page;mso-position-vertical-relative:page;z-index:-967792" type="#_x0000_t202" filled="false" stroked="false">
            <v:textbox inset="0,0,0,0">
              <w:txbxContent>
                <w:p>
                  <w:pPr>
                    <w:pStyle w:val="BodyText"/>
                    <w:spacing w:line="240" w:lineRule="auto" w:before="49"/>
                    <w:ind w:left="0" w:right="0"/>
                    <w:jc w:val="left"/>
                  </w:pPr>
                  <w:r>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太阳能电池边框</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1,276.25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1,600.73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-20.27%</w:t>
            </w:r>
          </w:p>
        </w:tc>
      </w:tr>
      <w:tr>
        <w:trPr>
          <w:trHeight w:val="403"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1,207.67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1,599.85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-24.51%</w:t>
            </w:r>
          </w:p>
        </w:tc>
      </w:tr>
      <w:tr>
        <w:trPr>
          <w:trHeight w:val="401"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太阳能安装支架（</w:t>
            </w:r>
            <w:r>
              <w:rPr>
                <w:rFonts w:ascii="Times New Roman" w:hAnsi="Times New Roman" w:cs="Times New Roman" w:eastAsia="Times New Roman" w:hint="default"/>
                <w:spacing w:val="-6"/>
                <w:sz w:val="18"/>
                <w:szCs w:val="18"/>
              </w:rPr>
              <w:t>MW)</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167.35%</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158.76%</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24.38%</w:t>
            </w:r>
          </w:p>
        </w:tc>
      </w:tr>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胶膜</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r>
              <w:rPr>
                <w:rFonts w:ascii="Times New Roman" w:hAnsi="Times New Roman" w:cs="Times New Roman" w:eastAsia="Times New Roman"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3,742,200.1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1,842,501.3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103.1%</w:t>
            </w:r>
          </w:p>
        </w:tc>
      </w:tr>
      <w:tr>
        <w:trPr>
          <w:trHeight w:val="403"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4,688,418.41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1,951,534.38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140.24%</w:t>
            </w:r>
          </w:p>
        </w:tc>
      </w:tr>
      <w:tr>
        <w:trPr>
          <w:trHeight w:val="401"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746,219.87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97,245.29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667.36%</w:t>
            </w:r>
          </w:p>
        </w:tc>
      </w:tr>
      <w:tr>
        <w:trPr>
          <w:trHeight w:val="404"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电力销售（</w:t>
            </w:r>
            <w:r>
              <w:rPr>
                <w:rFonts w:ascii="Times New Roman" w:hAnsi="Times New Roman" w:cs="Times New Roman" w:eastAsia="Times New Roman" w:hint="default"/>
                <w:sz w:val="18"/>
                <w:szCs w:val="18"/>
              </w:rPr>
              <w:t>KWH</w:t>
            </w:r>
            <w:r>
              <w:rPr>
                <w:rFonts w:ascii="宋体" w:hAnsi="宋体" w:cs="宋体" w:eastAsia="宋体" w:hint="default"/>
                <w:sz w:val="18"/>
                <w:szCs w:val="18"/>
              </w:rPr>
              <w:t>）</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31,161,400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31,161,400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5"/>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19" w:lineRule="auto" w:before="101"/>
        <w:ind w:right="47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公司募投项目安装支架销售增长</w:t>
      </w:r>
      <w:r>
        <w:rPr>
          <w:rFonts w:ascii="Times New Roman" w:hAnsi="Times New Roman" w:cs="Times New Roman" w:eastAsia="Times New Roman" w:hint="default"/>
        </w:rPr>
        <w:t>454.16%</w:t>
      </w:r>
      <w:r>
        <w:rPr/>
        <w:t>，主要系销售量的大幅度增加所致； 募投项目</w:t>
      </w:r>
      <w:r>
        <w:rPr>
          <w:rFonts w:ascii="Times New Roman" w:hAnsi="Times New Roman" w:cs="Times New Roman" w:eastAsia="Times New Roman" w:hint="default"/>
        </w:rPr>
        <w:t>EVA</w:t>
      </w:r>
      <w:r>
        <w:rPr/>
        <w:t>销售增长</w:t>
      </w:r>
      <w:r>
        <w:rPr>
          <w:rFonts w:ascii="Times New Roman" w:hAnsi="Times New Roman" w:cs="Times New Roman" w:eastAsia="Times New Roman" w:hint="default"/>
        </w:rPr>
        <w:t>47.53%</w:t>
      </w:r>
      <w:r>
        <w:rPr/>
        <w:t>，主要系报告期销售量增加所致。</w:t>
      </w:r>
    </w:p>
    <w:p>
      <w:pPr>
        <w:pStyle w:val="BodyText"/>
        <w:spacing w:line="240" w:lineRule="auto" w:before="38"/>
        <w:ind w:right="1115"/>
        <w:jc w:val="left"/>
      </w:pPr>
      <w:r>
        <w:rPr/>
        <w:t>公司重大的在手订单情况</w:t>
      </w:r>
    </w:p>
    <w:p>
      <w:pPr>
        <w:pStyle w:val="BodyText"/>
        <w:spacing w:line="340" w:lineRule="auto" w:before="115"/>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340" w:lineRule="auto" w:before="39"/>
        <w:ind w:right="8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公司主要销售客户情况</w:t>
      </w:r>
    </w:p>
    <w:p>
      <w:pPr>
        <w:spacing w:line="240" w:lineRule="auto" w:before="8"/>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724,932,980.09</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53.21%</w:t>
            </w:r>
          </w:p>
        </w:tc>
      </w:tr>
    </w:tbl>
    <w:p>
      <w:pPr>
        <w:pStyle w:val="BodyText"/>
        <w:spacing w:line="240" w:lineRule="auto" w:before="49"/>
        <w:ind w:right="1115"/>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90"/>
        <w:gridCol w:w="3303"/>
        <w:gridCol w:w="2321"/>
        <w:gridCol w:w="3145"/>
      </w:tblGrid>
      <w:tr>
        <w:trPr>
          <w:trHeight w:val="401" w:hRule="exact"/>
        </w:trPr>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61" w:hRule="exact"/>
        </w:trPr>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3" w:type="dxa"/>
            <w:vMerge w:val="restart"/>
            <w:tcBorders>
              <w:top w:val="single" w:sz="4" w:space="0" w:color="000000"/>
              <w:left w:val="single" w:sz="10" w:space="0" w:color="D2D2D2"/>
              <w:right w:val="single" w:sz="4" w:space="0" w:color="000000"/>
            </w:tcBorders>
          </w:tcPr>
          <w:p>
            <w:pPr>
              <w:pStyle w:val="TableParagraph"/>
              <w:spacing w:line="362" w:lineRule="auto" w:before="91"/>
              <w:ind w:left="16" w:right="987"/>
              <w:jc w:val="left"/>
              <w:rPr>
                <w:rFonts w:ascii="Times New Roman" w:hAnsi="Times New Roman" w:cs="Times New Roman" w:eastAsia="Times New Roman" w:hint="default"/>
                <w:sz w:val="18"/>
                <w:szCs w:val="18"/>
              </w:rPr>
            </w:pPr>
            <w:r>
              <w:rPr>
                <w:rFonts w:ascii="Times New Roman"/>
                <w:sz w:val="18"/>
              </w:rPr>
              <w:t>SUMITOMO</w:t>
            </w:r>
            <w:r>
              <w:rPr>
                <w:rFonts w:ascii="Times New Roman"/>
                <w:spacing w:val="3"/>
                <w:sz w:val="18"/>
              </w:rPr>
              <w:t> </w:t>
            </w:r>
            <w:r>
              <w:rPr>
                <w:rFonts w:ascii="Times New Roman"/>
                <w:spacing w:val="-3"/>
                <w:sz w:val="18"/>
              </w:rPr>
              <w:t>CORPORATION</w:t>
            </w:r>
            <w:r>
              <w:rPr>
                <w:rFonts w:ascii="Times New Roman"/>
                <w:w w:val="99"/>
                <w:sz w:val="18"/>
              </w:rPr>
              <w:t> </w:t>
            </w:r>
            <w:r>
              <w:rPr>
                <w:rFonts w:ascii="Times New Roman"/>
                <w:sz w:val="18"/>
              </w:rPr>
              <w:t>(SHANGHAI )</w:t>
            </w:r>
            <w:r>
              <w:rPr>
                <w:rFonts w:ascii="Times New Roman"/>
                <w:spacing w:val="-4"/>
                <w:sz w:val="18"/>
              </w:rPr>
              <w:t> </w:t>
            </w:r>
            <w:r>
              <w:rPr>
                <w:rFonts w:ascii="Times New Roman"/>
                <w:spacing w:val="-7"/>
                <w:sz w:val="18"/>
              </w:rPr>
              <w:t>LTD</w:t>
            </w:r>
          </w:p>
        </w:tc>
        <w:tc>
          <w:tcPr>
            <w:tcW w:w="23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4" w:right="0"/>
              <w:jc w:val="left"/>
              <w:rPr>
                <w:rFonts w:ascii="Times New Roman" w:hAnsi="Times New Roman" w:cs="Times New Roman" w:eastAsia="Times New Roman" w:hint="default"/>
                <w:sz w:val="18"/>
                <w:szCs w:val="18"/>
              </w:rPr>
            </w:pPr>
            <w:r>
              <w:rPr>
                <w:rFonts w:ascii="Times New Roman"/>
                <w:sz w:val="18"/>
              </w:rPr>
              <w:t>415,542,335.33</w:t>
            </w:r>
          </w:p>
        </w:tc>
        <w:tc>
          <w:tcPr>
            <w:tcW w:w="31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w:t>
            </w:r>
          </w:p>
        </w:tc>
      </w:tr>
      <w:tr>
        <w:trPr>
          <w:trHeight w:val="394" w:hRule="exact"/>
        </w:trPr>
        <w:tc>
          <w:tcPr>
            <w:tcW w:w="7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1</w:t>
            </w:r>
          </w:p>
        </w:tc>
        <w:tc>
          <w:tcPr>
            <w:tcW w:w="3303" w:type="dxa"/>
            <w:vMerge/>
            <w:tcBorders>
              <w:left w:val="single" w:sz="10" w:space="0" w:color="D2D2D2"/>
              <w:right w:val="single" w:sz="4" w:space="0" w:color="000000"/>
            </w:tcBorders>
          </w:tcPr>
          <w:p>
            <w:pPr/>
          </w:p>
        </w:tc>
        <w:tc>
          <w:tcPr>
            <w:tcW w:w="2321" w:type="dxa"/>
            <w:vMerge/>
            <w:tcBorders>
              <w:left w:val="single" w:sz="4" w:space="0" w:color="000000"/>
              <w:right w:val="single" w:sz="4" w:space="0" w:color="000000"/>
            </w:tcBorders>
          </w:tcPr>
          <w:p>
            <w:pPr/>
          </w:p>
        </w:tc>
        <w:tc>
          <w:tcPr>
            <w:tcW w:w="3145" w:type="dxa"/>
            <w:vMerge/>
            <w:tcBorders>
              <w:left w:val="single" w:sz="4" w:space="0" w:color="000000"/>
              <w:right w:val="single" w:sz="4" w:space="0" w:color="000000"/>
            </w:tcBorders>
          </w:tcPr>
          <w:p>
            <w:pPr/>
          </w:p>
        </w:tc>
      </w:tr>
      <w:tr>
        <w:trPr>
          <w:trHeight w:val="161" w:hRule="exact"/>
        </w:trPr>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03" w:type="dxa"/>
            <w:vMerge/>
            <w:tcBorders>
              <w:left w:val="single" w:sz="10" w:space="0" w:color="D2D2D2"/>
              <w:bottom w:val="single" w:sz="4" w:space="0" w:color="000000"/>
              <w:right w:val="single" w:sz="4" w:space="0" w:color="000000"/>
            </w:tcBorders>
          </w:tcPr>
          <w:p>
            <w:pPr/>
          </w:p>
        </w:tc>
        <w:tc>
          <w:tcPr>
            <w:tcW w:w="2321" w:type="dxa"/>
            <w:vMerge/>
            <w:tcBorders>
              <w:left w:val="single" w:sz="4" w:space="0" w:color="000000"/>
              <w:bottom w:val="single" w:sz="4" w:space="0" w:color="000000"/>
              <w:right w:val="single" w:sz="4" w:space="0" w:color="000000"/>
            </w:tcBorders>
          </w:tcPr>
          <w:p>
            <w:pPr/>
          </w:p>
        </w:tc>
        <w:tc>
          <w:tcPr>
            <w:tcW w:w="3145" w:type="dxa"/>
            <w:vMerge/>
            <w:tcBorders>
              <w:left w:val="single" w:sz="4" w:space="0" w:color="000000"/>
              <w:bottom w:val="single" w:sz="4" w:space="0" w:color="000000"/>
              <w:right w:val="single" w:sz="4" w:space="0" w:color="000000"/>
            </w:tcBorders>
          </w:tcPr>
          <w:p>
            <w:pPr/>
          </w:p>
        </w:tc>
      </w:tr>
      <w:tr>
        <w:trPr>
          <w:trHeight w:val="161" w:hRule="exact"/>
        </w:trPr>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3" w:type="dxa"/>
            <w:vMerge w:val="restart"/>
            <w:tcBorders>
              <w:top w:val="single" w:sz="4" w:space="0" w:color="000000"/>
              <w:left w:val="single" w:sz="10" w:space="0" w:color="D2D2D2"/>
              <w:right w:val="single" w:sz="4" w:space="0" w:color="000000"/>
            </w:tcBorders>
          </w:tcPr>
          <w:p>
            <w:pPr>
              <w:pStyle w:val="TableParagraph"/>
              <w:spacing w:line="362" w:lineRule="auto" w:before="91"/>
              <w:ind w:left="16" w:right="987"/>
              <w:jc w:val="left"/>
              <w:rPr>
                <w:rFonts w:ascii="Times New Roman" w:hAnsi="Times New Roman" w:cs="Times New Roman" w:eastAsia="Times New Roman" w:hint="default"/>
                <w:sz w:val="18"/>
                <w:szCs w:val="18"/>
              </w:rPr>
            </w:pPr>
            <w:r>
              <w:rPr>
                <w:rFonts w:ascii="Times New Roman"/>
                <w:sz w:val="18"/>
              </w:rPr>
              <w:t>SUMITOMO</w:t>
            </w:r>
            <w:r>
              <w:rPr>
                <w:rFonts w:ascii="Times New Roman"/>
                <w:spacing w:val="3"/>
                <w:sz w:val="18"/>
              </w:rPr>
              <w:t> </w:t>
            </w:r>
            <w:r>
              <w:rPr>
                <w:rFonts w:ascii="Times New Roman"/>
                <w:spacing w:val="-3"/>
                <w:sz w:val="18"/>
              </w:rPr>
              <w:t>CORPORATION</w:t>
            </w:r>
            <w:r>
              <w:rPr>
                <w:rFonts w:ascii="Times New Roman"/>
                <w:w w:val="99"/>
                <w:sz w:val="18"/>
              </w:rPr>
              <w:t> </w:t>
            </w:r>
            <w:r>
              <w:rPr>
                <w:rFonts w:ascii="Times New Roman"/>
                <w:sz w:val="18"/>
              </w:rPr>
              <w:t>(HONGKONG)</w:t>
            </w:r>
            <w:r>
              <w:rPr>
                <w:rFonts w:ascii="Times New Roman"/>
                <w:spacing w:val="-3"/>
                <w:sz w:val="18"/>
              </w:rPr>
              <w:t> </w:t>
            </w:r>
            <w:r>
              <w:rPr>
                <w:rFonts w:ascii="Times New Roman"/>
                <w:spacing w:val="-7"/>
                <w:sz w:val="18"/>
              </w:rPr>
              <w:t>LTD</w:t>
            </w:r>
          </w:p>
        </w:tc>
        <w:tc>
          <w:tcPr>
            <w:tcW w:w="23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4" w:right="0"/>
              <w:jc w:val="left"/>
              <w:rPr>
                <w:rFonts w:ascii="Times New Roman" w:hAnsi="Times New Roman" w:cs="Times New Roman" w:eastAsia="Times New Roman" w:hint="default"/>
                <w:sz w:val="18"/>
                <w:szCs w:val="18"/>
              </w:rPr>
            </w:pPr>
            <w:r>
              <w:rPr>
                <w:rFonts w:ascii="Times New Roman"/>
                <w:sz w:val="18"/>
              </w:rPr>
              <w:t>102,625,343.06</w:t>
            </w:r>
          </w:p>
        </w:tc>
        <w:tc>
          <w:tcPr>
            <w:tcW w:w="31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w:t>
            </w:r>
          </w:p>
        </w:tc>
      </w:tr>
      <w:tr>
        <w:trPr>
          <w:trHeight w:val="391" w:hRule="exact"/>
        </w:trPr>
        <w:tc>
          <w:tcPr>
            <w:tcW w:w="7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2</w:t>
            </w:r>
          </w:p>
        </w:tc>
        <w:tc>
          <w:tcPr>
            <w:tcW w:w="3303" w:type="dxa"/>
            <w:vMerge/>
            <w:tcBorders>
              <w:left w:val="single" w:sz="10" w:space="0" w:color="D2D2D2"/>
              <w:right w:val="single" w:sz="4" w:space="0" w:color="000000"/>
            </w:tcBorders>
          </w:tcPr>
          <w:p>
            <w:pPr/>
          </w:p>
        </w:tc>
        <w:tc>
          <w:tcPr>
            <w:tcW w:w="2321" w:type="dxa"/>
            <w:vMerge/>
            <w:tcBorders>
              <w:left w:val="single" w:sz="4" w:space="0" w:color="000000"/>
              <w:right w:val="single" w:sz="4" w:space="0" w:color="000000"/>
            </w:tcBorders>
          </w:tcPr>
          <w:p>
            <w:pPr/>
          </w:p>
        </w:tc>
        <w:tc>
          <w:tcPr>
            <w:tcW w:w="3145" w:type="dxa"/>
            <w:vMerge/>
            <w:tcBorders>
              <w:left w:val="single" w:sz="4" w:space="0" w:color="000000"/>
              <w:right w:val="single" w:sz="4" w:space="0" w:color="000000"/>
            </w:tcBorders>
          </w:tcPr>
          <w:p>
            <w:pPr/>
          </w:p>
        </w:tc>
      </w:tr>
      <w:tr>
        <w:trPr>
          <w:trHeight w:val="161" w:hRule="exact"/>
        </w:trPr>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03" w:type="dxa"/>
            <w:vMerge/>
            <w:tcBorders>
              <w:left w:val="single" w:sz="10" w:space="0" w:color="D2D2D2"/>
              <w:bottom w:val="single" w:sz="4" w:space="0" w:color="000000"/>
              <w:right w:val="single" w:sz="4" w:space="0" w:color="000000"/>
            </w:tcBorders>
          </w:tcPr>
          <w:p>
            <w:pPr/>
          </w:p>
        </w:tc>
        <w:tc>
          <w:tcPr>
            <w:tcW w:w="2321" w:type="dxa"/>
            <w:vMerge/>
            <w:tcBorders>
              <w:left w:val="single" w:sz="4" w:space="0" w:color="000000"/>
              <w:bottom w:val="single" w:sz="4" w:space="0" w:color="000000"/>
              <w:right w:val="single" w:sz="4" w:space="0" w:color="000000"/>
            </w:tcBorders>
          </w:tcPr>
          <w:p>
            <w:pPr/>
          </w:p>
        </w:tc>
        <w:tc>
          <w:tcPr>
            <w:tcW w:w="3145" w:type="dxa"/>
            <w:vMerge/>
            <w:tcBorders>
              <w:left w:val="single" w:sz="4" w:space="0" w:color="000000"/>
              <w:bottom w:val="single" w:sz="4" w:space="0" w:color="000000"/>
              <w:right w:val="single" w:sz="4" w:space="0" w:color="000000"/>
            </w:tcBorders>
          </w:tcPr>
          <w:p>
            <w:pPr/>
          </w:p>
        </w:tc>
      </w:tr>
      <w:tr>
        <w:trPr>
          <w:trHeight w:val="161" w:hRule="exact"/>
        </w:trPr>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03" w:type="dxa"/>
            <w:vMerge w:val="restart"/>
            <w:tcBorders>
              <w:top w:val="single" w:sz="4" w:space="0" w:color="000000"/>
              <w:left w:val="single" w:sz="10" w:space="0" w:color="D2D2D2"/>
              <w:right w:val="single" w:sz="4" w:space="0" w:color="000000"/>
            </w:tcBorders>
          </w:tcPr>
          <w:p>
            <w:pPr>
              <w:pStyle w:val="TableParagraph"/>
              <w:spacing w:line="362" w:lineRule="auto" w:before="91"/>
              <w:ind w:left="16" w:right="776"/>
              <w:jc w:val="left"/>
              <w:rPr>
                <w:rFonts w:ascii="Times New Roman" w:hAnsi="Times New Roman" w:cs="Times New Roman" w:eastAsia="Times New Roman" w:hint="default"/>
                <w:sz w:val="18"/>
                <w:szCs w:val="18"/>
              </w:rPr>
            </w:pPr>
            <w:r>
              <w:rPr>
                <w:rFonts w:ascii="Times New Roman"/>
                <w:sz w:val="18"/>
              </w:rPr>
              <w:t>FLEXTRONICS</w:t>
            </w:r>
            <w:r>
              <w:rPr>
                <w:rFonts w:ascii="Times New Roman"/>
                <w:spacing w:val="-6"/>
                <w:sz w:val="18"/>
              </w:rPr>
              <w:t> </w:t>
            </w:r>
            <w:r>
              <w:rPr>
                <w:rFonts w:ascii="Times New Roman"/>
                <w:sz w:val="18"/>
              </w:rPr>
              <w:t>TECHNOLOGY</w:t>
            </w:r>
            <w:r>
              <w:rPr>
                <w:rFonts w:ascii="Times New Roman"/>
                <w:w w:val="99"/>
                <w:sz w:val="18"/>
              </w:rPr>
              <w:t> </w:t>
            </w:r>
            <w:r>
              <w:rPr>
                <w:rFonts w:ascii="Times New Roman"/>
                <w:spacing w:val="-3"/>
                <w:sz w:val="18"/>
              </w:rPr>
              <w:t>(MALAYSIA) </w:t>
            </w:r>
            <w:r>
              <w:rPr>
                <w:rFonts w:ascii="Times New Roman"/>
                <w:sz w:val="18"/>
              </w:rPr>
              <w:t>SDN</w:t>
            </w:r>
            <w:r>
              <w:rPr>
                <w:rFonts w:ascii="Times New Roman"/>
                <w:spacing w:val="10"/>
                <w:sz w:val="18"/>
              </w:rPr>
              <w:t> </w:t>
            </w:r>
            <w:r>
              <w:rPr>
                <w:rFonts w:ascii="Times New Roman"/>
                <w:sz w:val="18"/>
              </w:rPr>
              <w:t>BHD</w:t>
            </w:r>
          </w:p>
        </w:tc>
        <w:tc>
          <w:tcPr>
            <w:tcW w:w="23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5" w:right="0"/>
              <w:jc w:val="left"/>
              <w:rPr>
                <w:rFonts w:ascii="Times New Roman" w:hAnsi="Times New Roman" w:cs="Times New Roman" w:eastAsia="Times New Roman" w:hint="default"/>
                <w:sz w:val="18"/>
                <w:szCs w:val="18"/>
              </w:rPr>
            </w:pPr>
            <w:r>
              <w:rPr>
                <w:rFonts w:ascii="Times New Roman"/>
                <w:sz w:val="18"/>
              </w:rPr>
              <w:t>82,842,075.99</w:t>
            </w:r>
          </w:p>
        </w:tc>
        <w:tc>
          <w:tcPr>
            <w:tcW w:w="31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w:t>
            </w:r>
          </w:p>
        </w:tc>
      </w:tr>
      <w:tr>
        <w:trPr>
          <w:trHeight w:val="394" w:hRule="exact"/>
        </w:trPr>
        <w:tc>
          <w:tcPr>
            <w:tcW w:w="7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3</w:t>
            </w:r>
          </w:p>
        </w:tc>
        <w:tc>
          <w:tcPr>
            <w:tcW w:w="3303" w:type="dxa"/>
            <w:vMerge/>
            <w:tcBorders>
              <w:left w:val="single" w:sz="10" w:space="0" w:color="D2D2D2"/>
              <w:right w:val="single" w:sz="4" w:space="0" w:color="000000"/>
            </w:tcBorders>
          </w:tcPr>
          <w:p>
            <w:pPr/>
          </w:p>
        </w:tc>
        <w:tc>
          <w:tcPr>
            <w:tcW w:w="2321" w:type="dxa"/>
            <w:vMerge/>
            <w:tcBorders>
              <w:left w:val="single" w:sz="4" w:space="0" w:color="000000"/>
              <w:right w:val="single" w:sz="4" w:space="0" w:color="000000"/>
            </w:tcBorders>
          </w:tcPr>
          <w:p>
            <w:pPr/>
          </w:p>
        </w:tc>
        <w:tc>
          <w:tcPr>
            <w:tcW w:w="3145" w:type="dxa"/>
            <w:vMerge/>
            <w:tcBorders>
              <w:left w:val="single" w:sz="4" w:space="0" w:color="000000"/>
              <w:right w:val="single" w:sz="4" w:space="0" w:color="000000"/>
            </w:tcBorders>
          </w:tcPr>
          <w:p>
            <w:pPr/>
          </w:p>
        </w:tc>
      </w:tr>
      <w:tr>
        <w:trPr>
          <w:trHeight w:val="161" w:hRule="exact"/>
        </w:trPr>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03" w:type="dxa"/>
            <w:vMerge/>
            <w:tcBorders>
              <w:left w:val="single" w:sz="10" w:space="0" w:color="D2D2D2"/>
              <w:bottom w:val="single" w:sz="4" w:space="0" w:color="000000"/>
              <w:right w:val="single" w:sz="4" w:space="0" w:color="000000"/>
            </w:tcBorders>
          </w:tcPr>
          <w:p>
            <w:pPr/>
          </w:p>
        </w:tc>
        <w:tc>
          <w:tcPr>
            <w:tcW w:w="2321" w:type="dxa"/>
            <w:vMerge/>
            <w:tcBorders>
              <w:left w:val="single" w:sz="4" w:space="0" w:color="000000"/>
              <w:bottom w:val="single" w:sz="4" w:space="0" w:color="000000"/>
              <w:right w:val="single" w:sz="4" w:space="0" w:color="000000"/>
            </w:tcBorders>
          </w:tcPr>
          <w:p>
            <w:pPr/>
          </w:p>
        </w:tc>
        <w:tc>
          <w:tcPr>
            <w:tcW w:w="3145" w:type="dxa"/>
            <w:vMerge/>
            <w:tcBorders>
              <w:left w:val="single" w:sz="4" w:space="0" w:color="000000"/>
              <w:bottom w:val="single" w:sz="4" w:space="0" w:color="000000"/>
              <w:right w:val="single" w:sz="4" w:space="0" w:color="000000"/>
            </w:tcBorders>
          </w:tcPr>
          <w:p>
            <w:pPr/>
          </w:p>
        </w:tc>
      </w:tr>
      <w:tr>
        <w:trPr>
          <w:trHeight w:val="401" w:hRule="exact"/>
        </w:trPr>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常州天合光能有限公司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65,670,488.09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w:t>
            </w:r>
          </w:p>
        </w:tc>
      </w:tr>
      <w:tr>
        <w:trPr>
          <w:trHeight w:val="403" w:hRule="exact"/>
        </w:trPr>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REC Modules Pte</w:t>
            </w:r>
            <w:r>
              <w:rPr>
                <w:rFonts w:ascii="Times New Roman"/>
                <w:spacing w:val="-6"/>
                <w:sz w:val="18"/>
              </w:rPr>
              <w:t> </w:t>
            </w:r>
            <w:r>
              <w:rPr>
                <w:rFonts w:ascii="Times New Roman"/>
                <w:sz w:val="18"/>
              </w:rPr>
              <w:t>Ltd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58,252,737.62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w:t>
            </w:r>
          </w:p>
        </w:tc>
      </w:tr>
      <w:tr>
        <w:trPr>
          <w:trHeight w:val="401" w:hRule="exact"/>
        </w:trPr>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724,932,980.09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行业分类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太阳能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1,157,328,649.51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1,206,410,450.41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8" w:right="0"/>
              <w:jc w:val="left"/>
              <w:rPr>
                <w:rFonts w:ascii="Times New Roman" w:hAnsi="Times New Roman" w:cs="Times New Roman" w:eastAsia="Times New Roman" w:hint="default"/>
                <w:sz w:val="18"/>
                <w:szCs w:val="18"/>
              </w:rPr>
            </w:pPr>
            <w:r>
              <w:rPr>
                <w:rFonts w:ascii="Times New Roman"/>
                <w:sz w:val="18"/>
              </w:rPr>
              <w:t>-4.07%</w:t>
            </w:r>
          </w:p>
        </w:tc>
      </w:tr>
    </w:tbl>
    <w:p>
      <w:pPr>
        <w:pStyle w:val="BodyText"/>
        <w:spacing w:line="240" w:lineRule="auto" w:before="49"/>
        <w:ind w:right="1115"/>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810,517,243.37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1,009,019,041.32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164,035,275.97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31,921,874.30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胶膜</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41,242,008.50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26,694,657.94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太阳能电池板</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96,195,556.46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109,750,704.79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14,459,348.10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30,879,217.11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29,024,172.06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w:t>
            </w:r>
          </w:p>
        </w:tc>
      </w:tr>
    </w:tbl>
    <w:p>
      <w:pPr>
        <w:pStyle w:val="BodyText"/>
        <w:spacing w:line="357" w:lineRule="auto" w:before="49"/>
        <w:ind w:right="10394"/>
        <w:jc w:val="left"/>
      </w:pPr>
      <w:r>
        <w:rPr/>
        <w:t>说明 无</w:t>
      </w:r>
    </w:p>
    <w:p>
      <w:pPr>
        <w:pStyle w:val="BodyText"/>
        <w:spacing w:line="240" w:lineRule="auto" w:before="29"/>
        <w:ind w:right="1115"/>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749,714,906.03</w:t>
            </w:r>
          </w:p>
        </w:tc>
      </w:tr>
      <w:tr>
        <w:trPr>
          <w:trHeight w:val="403"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63.92%</w:t>
            </w:r>
          </w:p>
        </w:tc>
      </w:tr>
    </w:tbl>
    <w:p>
      <w:pPr>
        <w:pStyle w:val="BodyText"/>
        <w:spacing w:line="240" w:lineRule="auto" w:before="49"/>
        <w:ind w:right="1115"/>
        <w:jc w:val="left"/>
      </w:pPr>
      <w:r>
        <w:rPr/>
        <w:pict>
          <v:shape style="position:absolute;margin-left:263.570007pt;margin-top:-20.158279pt;width:270.2pt;height:19.6pt;mso-position-horizontal-relative:page;mso-position-vertical-relative:paragraph;z-index:-967768"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158279pt;width:262.75pt;height:19.6pt;mso-position-horizontal-relative:page;mso-position-vertical-relative:paragraph;z-index:-967744" coordorigin="5420,-403" coordsize="5255,392">
            <v:shape style="position:absolute;left:5420;top:-403;width:5255;height:392" coordorigin="5420,-403" coordsize="5255,392" path="m5420,-12l10675,-12,10675,-403,5420,-403,5420,-12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江阴东华铝材科技有限公司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385,503,498.43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32.87%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南京云海特种金属股份有限公司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118,170,611.29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10.08%</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苏州盛康光伏科技有限公司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104,124,721.48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佛山市广成铝业有限公司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75,582,960.48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广东豪美铝业有限公司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66,333,114.35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749,714,906.03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2"/>
        <w:rPr>
          <w:rFonts w:ascii="宋体" w:hAnsi="宋体" w:cs="宋体" w:eastAsia="宋体" w:hint="default"/>
          <w:b/>
          <w:bCs/>
          <w:sz w:val="29"/>
          <w:szCs w:val="29"/>
        </w:rPr>
      </w:pPr>
    </w:p>
    <w:p>
      <w:pPr>
        <w:spacing w:line="1155" w:lineRule="exact"/>
        <w:ind w:left="184"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6010275" cy="73342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6010275" cy="733425"/>
                    </a:xfrm>
                    <a:prstGeom prst="rect">
                      <a:avLst/>
                    </a:prstGeom>
                  </pic:spPr>
                </pic:pic>
              </a:graphicData>
            </a:graphic>
          </wp:inline>
        </w:drawing>
      </w:r>
      <w:r>
        <w:rPr>
          <w:rFonts w:ascii="宋体" w:hAnsi="宋体" w:cs="宋体" w:eastAsia="宋体" w:hint="default"/>
          <w:position w:val="-22"/>
          <w:sz w:val="20"/>
          <w:szCs w:val="20"/>
        </w:rPr>
      </w:r>
    </w:p>
    <w:p>
      <w:pPr>
        <w:spacing w:line="240" w:lineRule="auto" w:before="8"/>
        <w:rPr>
          <w:rFonts w:ascii="宋体" w:hAnsi="宋体" w:cs="宋体" w:eastAsia="宋体" w:hint="default"/>
          <w:b/>
          <w:bCs/>
          <w:sz w:val="25"/>
          <w:szCs w:val="25"/>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spacing w:line="643" w:lineRule="exact"/>
        <w:ind w:left="184" w:right="0" w:firstLine="0"/>
        <w:rPr>
          <w:rFonts w:ascii="宋体" w:hAnsi="宋体" w:cs="宋体" w:eastAsia="宋体" w:hint="default"/>
          <w:sz w:val="20"/>
          <w:szCs w:val="20"/>
        </w:rPr>
      </w:pPr>
      <w:r>
        <w:rPr>
          <w:rFonts w:ascii="宋体" w:hAnsi="宋体" w:cs="宋体" w:eastAsia="宋体" w:hint="default"/>
          <w:position w:val="-12"/>
          <w:sz w:val="20"/>
          <w:szCs w:val="20"/>
        </w:rPr>
        <w:drawing>
          <wp:inline distT="0" distB="0" distL="0" distR="0">
            <wp:extent cx="5958286" cy="408622"/>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5958286" cy="408622"/>
                    </a:xfrm>
                    <a:prstGeom prst="rect">
                      <a:avLst/>
                    </a:prstGeom>
                  </pic:spPr>
                </pic:pic>
              </a:graphicData>
            </a:graphic>
          </wp:inline>
        </w:drawing>
      </w:r>
      <w:r>
        <w:rPr>
          <w:rFonts w:ascii="宋体" w:hAnsi="宋体" w:cs="宋体" w:eastAsia="宋体" w:hint="default"/>
          <w:position w:val="-12"/>
          <w:sz w:val="20"/>
          <w:szCs w:val="20"/>
        </w:rPr>
      </w:r>
    </w:p>
    <w:p>
      <w:pPr>
        <w:spacing w:line="240" w:lineRule="auto" w:before="0"/>
        <w:rPr>
          <w:rFonts w:ascii="宋体" w:hAnsi="宋体" w:cs="宋体" w:eastAsia="宋体" w:hint="default"/>
          <w:b/>
          <w:bCs/>
          <w:sz w:val="22"/>
          <w:szCs w:val="22"/>
        </w:rPr>
      </w:pPr>
    </w:p>
    <w:p>
      <w:pPr>
        <w:spacing w:before="148"/>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1,387,068,530.25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1,542,742,660.82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1,239,906,473.93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1,796,206,389.27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-30.97%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147,162,056.32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-253,463,728.45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-158.06%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8,271,891.01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185,432,596.63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-95.54%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767,257,182.96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586,616,153.47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30.79%</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-758,985,291.95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-401,183,556.84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89.19%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1,546,160,081.00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1,974,175,300.49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1,469,644,513.84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618,084,341.18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76,515,567.16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1,356,090,959.31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-94.36%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-539,063,848.30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697,415,761.95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-177.29%</w:t>
            </w:r>
          </w:p>
        </w:tc>
      </w:tr>
    </w:tbl>
    <w:p>
      <w:pPr>
        <w:pStyle w:val="Heading6"/>
        <w:spacing w:line="240" w:lineRule="auto" w:before="49"/>
        <w:ind w:right="1115"/>
        <w:jc w:val="left"/>
        <w:rPr>
          <w:b w:val="0"/>
          <w:bCs w:val="0"/>
        </w:rPr>
      </w:pPr>
      <w:r>
        <w:rPr/>
        <w:t>相关数据同比发生变动</w:t>
      </w:r>
      <w:r>
        <w:rPr>
          <w:spacing w:val="-47"/>
        </w:rPr>
        <w:t> </w:t>
      </w:r>
      <w:r>
        <w:rPr>
          <w:rFonts w:ascii="Times New Roman" w:hAnsi="Times New Roman" w:cs="Times New Roman" w:eastAsia="Times New Roman" w:hint="default"/>
        </w:rPr>
        <w:t>30%</w:t>
      </w:r>
      <w:r>
        <w:rPr/>
        <w:t>以上的原因说明</w:t>
      </w:r>
      <w:r>
        <w:rPr>
          <w:b w:val="0"/>
          <w:bCs w:val="0"/>
        </w:rPr>
      </w:r>
    </w:p>
    <w:p>
      <w:pPr>
        <w:pStyle w:val="BodyText"/>
        <w:spacing w:line="240" w:lineRule="auto" w:before="10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97" w:lineRule="auto" w:before="126"/>
        <w:ind w:right="0" w:firstLine="480"/>
        <w:jc w:val="left"/>
      </w:pPr>
      <w:r>
        <w:rPr>
          <w:spacing w:val="-1"/>
        </w:rPr>
        <w:t>经营活动产生的现金流经营活动产生的现金流量净额本年金额为</w:t>
      </w:r>
      <w:r>
        <w:rPr>
          <w:rFonts w:ascii="Times New Roman" w:hAnsi="Times New Roman" w:cs="Times New Roman" w:eastAsia="Times New Roman" w:hint="default"/>
          <w:spacing w:val="-1"/>
        </w:rPr>
        <w:t>147,162,056.32</w:t>
      </w:r>
      <w:r>
        <w:rPr>
          <w:spacing w:val="-1"/>
        </w:rPr>
        <w:t>元，比上期金额增加</w:t>
      </w:r>
      <w:r>
        <w:rPr>
          <w:rFonts w:ascii="Times New Roman" w:hAnsi="Times New Roman" w:cs="Times New Roman" w:eastAsia="Times New Roman" w:hint="default"/>
          <w:spacing w:val="-1"/>
        </w:rPr>
        <w:t>400,625,784.77</w:t>
      </w:r>
      <w:r>
        <w:rPr>
          <w:spacing w:val="-1"/>
        </w:rPr>
        <w:t>元，</w:t>
      </w:r>
      <w:r>
        <w:rPr/>
        <w:t> 其主要原因系本年采购材料采用票据结算增加所致；</w:t>
      </w:r>
    </w:p>
    <w:p>
      <w:pPr>
        <w:pStyle w:val="BodyText"/>
        <w:spacing w:line="300" w:lineRule="auto" w:before="93"/>
        <w:ind w:right="1124" w:firstLine="480"/>
        <w:jc w:val="left"/>
      </w:pPr>
      <w:r>
        <w:rPr/>
        <w:t>投资活动产生的现金流量净额本年金额为</w:t>
      </w:r>
      <w:r>
        <w:rPr>
          <w:rFonts w:ascii="Times New Roman" w:hAnsi="Times New Roman" w:cs="Times New Roman" w:eastAsia="Times New Roman" w:hint="default"/>
        </w:rPr>
        <w:t>-758,985,291.95</w:t>
      </w:r>
      <w:r>
        <w:rPr/>
        <w:t>元，比上期金额减少</w:t>
      </w:r>
      <w:r>
        <w:rPr>
          <w:rFonts w:ascii="Times New Roman" w:hAnsi="Times New Roman" w:cs="Times New Roman" w:eastAsia="Times New Roman" w:hint="default"/>
        </w:rPr>
        <w:t>357,801,735.11</w:t>
      </w:r>
      <w:r>
        <w:rPr/>
        <w:t>元，其主要原因系本年购 建固定资产、无形资产和其他长期资产支付的现金增加所致；</w:t>
      </w:r>
    </w:p>
    <w:p>
      <w:pPr>
        <w:pStyle w:val="BodyText"/>
        <w:spacing w:line="254" w:lineRule="auto" w:before="91"/>
        <w:ind w:right="1115" w:firstLine="480"/>
        <w:jc w:val="left"/>
        <w:rPr>
          <w:sz w:val="24"/>
          <w:szCs w:val="24"/>
        </w:rPr>
      </w:pPr>
      <w:r>
        <w:rPr/>
        <w:t>筹资活动产生的现金流量净额本年金额为</w:t>
      </w:r>
      <w:r>
        <w:rPr>
          <w:rFonts w:ascii="Times New Roman" w:hAnsi="Times New Roman" w:cs="Times New Roman" w:eastAsia="Times New Roman" w:hint="default"/>
        </w:rPr>
        <w:t>76,515,567.16</w:t>
      </w:r>
      <w:r>
        <w:rPr/>
        <w:t>元，比上期金额减少</w:t>
      </w:r>
      <w:r>
        <w:rPr>
          <w:rFonts w:ascii="Times New Roman" w:hAnsi="Times New Roman" w:cs="Times New Roman" w:eastAsia="Times New Roman" w:hint="default"/>
        </w:rPr>
        <w:t>1,279,575,392.15</w:t>
      </w:r>
      <w:r>
        <w:rPr/>
        <w:t>元，其主要原因系公司上 年上市募集资金到位所致</w:t>
      </w:r>
      <w:r>
        <w:rPr>
          <w:sz w:val="24"/>
          <w:szCs w:val="24"/>
        </w:rPr>
        <w:t>。</w:t>
      </w:r>
    </w:p>
    <w:p>
      <w:pPr>
        <w:pStyle w:val="Heading6"/>
        <w:spacing w:line="240" w:lineRule="auto" w:before="73"/>
        <w:ind w:right="1115"/>
        <w:jc w:val="left"/>
        <w:rPr>
          <w:b w:val="0"/>
          <w:bCs w:val="0"/>
        </w:rPr>
      </w:pPr>
      <w:r>
        <w:rPr/>
        <w:t>报告期内公司经营活动的现金流量与本年度净利润存在重大差异的原因说明</w:t>
      </w:r>
      <w:r>
        <w:rPr>
          <w:b w:val="0"/>
          <w:bCs w:val="0"/>
        </w:rPr>
      </w:r>
    </w:p>
    <w:p>
      <w:pPr>
        <w:pStyle w:val="BodyText"/>
        <w:spacing w:line="240" w:lineRule="auto" w:before="117"/>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5"/>
        <w:jc w:val="left"/>
        <w:rPr>
          <w:b w:val="0"/>
          <w:bCs w:val="0"/>
        </w:rPr>
      </w:pPr>
      <w:r>
        <w:rPr/>
        <w:t>三、主营业务构成情况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1,293,359,649.51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1,157,328,649.51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899,681,647.56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810,517,243.37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204,313,772.49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164,035,275.97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胶膜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44,731,022.49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41,242,008.50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太阳能电池板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102,625,343.06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96,195,556.46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9,269,375.27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14,459,348.10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32,738,488.64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30,879,217.11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483,879,783.89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434,946,900.91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809,479,865.62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722,381,748.60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-10.14%</w:t>
            </w:r>
          </w:p>
        </w:tc>
      </w:tr>
    </w:tbl>
    <w:p>
      <w:pPr>
        <w:pStyle w:val="BodyText"/>
        <w:spacing w:line="300" w:lineRule="auto" w:before="49"/>
        <w:ind w:right="1120"/>
        <w:jc w:val="left"/>
      </w:pPr>
      <w:r>
        <w:rPr/>
        <w:t>注：本期电力销售毛利率为</w:t>
      </w:r>
      <w:r>
        <w:rPr>
          <w:rFonts w:ascii="宋体" w:hAnsi="宋体" w:cs="宋体" w:eastAsia="宋体" w:hint="default"/>
        </w:rPr>
        <w:t>-</w:t>
      </w:r>
      <w:r>
        <w:rPr>
          <w:rFonts w:ascii="Times New Roman" w:hAnsi="Times New Roman" w:cs="Times New Roman" w:eastAsia="Times New Roman" w:hint="default"/>
        </w:rPr>
        <w:t>55.99%</w:t>
      </w:r>
      <w:r>
        <w:rPr/>
        <w:t>，原因为本公司青海</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期光伏电站并网含税电价每瓦电价</w:t>
      </w:r>
      <w:r>
        <w:rPr>
          <w:spacing w:val="-42"/>
        </w:rPr>
        <w:t> </w:t>
      </w:r>
      <w:r>
        <w:rPr>
          <w:rFonts w:ascii="Times New Roman" w:hAnsi="Times New Roman" w:cs="Times New Roman" w:eastAsia="Times New Roman" w:hint="default"/>
        </w:rPr>
        <w:t>1.15</w:t>
      </w:r>
      <w:r>
        <w:rPr>
          <w:rFonts w:ascii="Times New Roman" w:hAnsi="Times New Roman" w:cs="Times New Roman" w:eastAsia="Times New Roman" w:hint="default"/>
          <w:spacing w:val="5"/>
        </w:rPr>
        <w:t> </w:t>
      </w:r>
      <w:r>
        <w:rPr/>
        <w:t>元中的</w:t>
      </w:r>
      <w:r>
        <w:rPr>
          <w:spacing w:val="-42"/>
        </w:rPr>
        <w:t> </w:t>
      </w:r>
      <w:r>
        <w:rPr>
          <w:rFonts w:ascii="Times New Roman" w:hAnsi="Times New Roman" w:cs="Times New Roman" w:eastAsia="Times New Roman" w:hint="default"/>
        </w:rPr>
        <w:t>0.354</w:t>
      </w:r>
      <w:r>
        <w:rPr>
          <w:rFonts w:ascii="Times New Roman" w:hAnsi="Times New Roman" w:cs="Times New Roman" w:eastAsia="Times New Roman" w:hint="default"/>
          <w:spacing w:val="4"/>
        </w:rPr>
        <w:t> </w:t>
      </w:r>
      <w:r>
        <w:rPr/>
        <w:t>元为国家 电网支付，计入主营业务收入，余款为财政补贴，计入营业外收入。</w:t>
      </w:r>
    </w:p>
    <w:p>
      <w:pPr>
        <w:pStyle w:val="Heading6"/>
        <w:spacing w:line="240" w:lineRule="auto" w:before="70"/>
        <w:ind w:right="1115"/>
        <w:jc w:val="left"/>
        <w:rPr>
          <w:b w:val="0"/>
          <w:bCs w:val="0"/>
        </w:rPr>
      </w:pPr>
      <w:r>
        <w:rPr/>
        <w:t>公司主营业务数据统计口径在报告期发生调整的情况下，公司最近</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年按报告期末口径调整后的主营业务数据。</w:t>
      </w:r>
      <w:r>
        <w:rPr>
          <w:b w:val="0"/>
          <w:bCs w:val="0"/>
        </w:rPr>
      </w:r>
    </w:p>
    <w:p>
      <w:pPr>
        <w:pStyle w:val="BodyText"/>
        <w:spacing w:line="240" w:lineRule="auto" w:before="10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3"/>
        <w:gridCol w:w="1064"/>
        <w:gridCol w:w="799"/>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691,433,729.3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19.67%</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894,117,843.09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32.98%</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-13.31%</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319,878,488.2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8" w:right="0"/>
              <w:jc w:val="left"/>
              <w:rPr>
                <w:rFonts w:ascii="Times New Roman" w:hAnsi="Times New Roman" w:cs="Times New Roman" w:eastAsia="Times New Roman" w:hint="default"/>
                <w:sz w:val="18"/>
                <w:szCs w:val="18"/>
              </w:rPr>
            </w:pPr>
            <w:r>
              <w:rPr>
                <w:rFonts w:ascii="Times New Roman"/>
                <w:sz w:val="18"/>
              </w:rPr>
              <w:t>9.1%</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200,997,071.46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7.41%</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1.69%</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240,796,402.6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6.85%</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206,873,093.48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7.63%</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-0.78%</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0"/>
              <w:ind w:left="85" w:right="0"/>
              <w:jc w:val="left"/>
              <w:rPr>
                <w:rFonts w:ascii="Times New Roman" w:hAnsi="Times New Roman" w:cs="Times New Roman" w:eastAsia="Times New Roman" w:hint="default"/>
                <w:sz w:val="18"/>
                <w:szCs w:val="18"/>
              </w:rPr>
            </w:pPr>
            <w:r>
              <w:rPr>
                <w:rFonts w:ascii="Times New Roman"/>
                <w:sz w:val="18"/>
              </w:rPr>
              <w:t>101,283,805.0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95,157,985.70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3"/>
        <w:gridCol w:w="1064"/>
        <w:gridCol w:w="799"/>
        <w:gridCol w:w="2919"/>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1,005,486,310.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28.61%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666,210,492.46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24.57%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405,972,429.9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11.55%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270,560,869.19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3"/>
        <w:gridCol w:w="1064"/>
        <w:gridCol w:w="799"/>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818,687,655.0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23.3%</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616,201,689.99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22.73%</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0.57%</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10.29%</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254,700,000.00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9.4%</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0.89%</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5"/>
        <w:gridCol w:w="1214"/>
        <w:gridCol w:w="1190"/>
        <w:gridCol w:w="1195"/>
        <w:gridCol w:w="1191"/>
        <w:gridCol w:w="1201"/>
        <w:gridCol w:w="1196"/>
        <w:gridCol w:w="1195"/>
      </w:tblGrid>
      <w:tr>
        <w:trPr>
          <w:trHeight w:val="161" w:hRule="exact"/>
        </w:trPr>
        <w:tc>
          <w:tcPr>
            <w:tcW w:w="1175" w:type="dxa"/>
            <w:vMerge w:val="restart"/>
            <w:tcBorders>
              <w:top w:val="single" w:sz="4" w:space="0" w:color="000000"/>
              <w:left w:val="single" w:sz="4" w:space="0" w:color="000000"/>
              <w:right w:val="single" w:sz="4" w:space="0" w:color="000000"/>
            </w:tcBorders>
            <w:shd w:val="clear" w:color="auto" w:fill="D2D2D2"/>
          </w:tcPr>
          <w:p>
            <w:pPr/>
          </w:p>
        </w:tc>
        <w:tc>
          <w:tcPr>
            <w:tcW w:w="1214"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75" w:type="dxa"/>
            <w:vMerge/>
            <w:tcBorders>
              <w:left w:val="single" w:sz="4" w:space="0" w:color="000000"/>
              <w:bottom w:val="nil" w:sz="6" w:space="0" w:color="auto"/>
              <w:right w:val="single" w:sz="4" w:space="0" w:color="000000"/>
            </w:tcBorders>
            <w:shd w:val="clear" w:color="auto" w:fill="D2D2D2"/>
          </w:tcPr>
          <w:p>
            <w:pPr/>
          </w:p>
        </w:tc>
        <w:tc>
          <w:tcPr>
            <w:tcW w:w="1214"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6"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5"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03" w:right="47"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5" w:type="dxa"/>
            <w:vMerge w:val="restart"/>
            <w:tcBorders>
              <w:top w:val="nil" w:sz="6" w:space="0" w:color="auto"/>
              <w:left w:val="single" w:sz="4" w:space="0" w:color="000000"/>
              <w:right w:val="single" w:sz="4" w:space="0" w:color="000000"/>
            </w:tcBorders>
            <w:shd w:val="clear" w:color="auto" w:fill="D2D2D2"/>
          </w:tcPr>
          <w:p>
            <w:pPr/>
          </w:p>
        </w:tc>
        <w:tc>
          <w:tcPr>
            <w:tcW w:w="1214"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75"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8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6" w:lineRule="auto" w:before="22"/>
              <w:ind w:left="12" w:right="71"/>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368,000.00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368,000.00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368,000.00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Heading6"/>
        <w:spacing w:line="240" w:lineRule="auto" w:before="49"/>
        <w:ind w:right="1115"/>
        <w:jc w:val="left"/>
        <w:rPr>
          <w:b w:val="0"/>
          <w:bCs w:val="0"/>
        </w:rPr>
      </w:pPr>
      <w:r>
        <w:rPr/>
        <w:t>报告期内公司主要资产计量属性是否发生重大变化</w:t>
      </w:r>
      <w:r>
        <w:rPr>
          <w:b w:val="0"/>
          <w:bCs w:val="0"/>
        </w:rPr>
      </w:r>
    </w:p>
    <w:p>
      <w:pPr>
        <w:pStyle w:val="BodyText"/>
        <w:spacing w:line="240" w:lineRule="auto" w:before="115"/>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3" w:firstLine="451"/>
        <w:jc w:val="left"/>
      </w:pPr>
      <w:r>
        <w:rPr/>
        <w:t>报告期内，虽然光伏行业整体低迷，光伏类企业陷入大面积亏损，但公司仍秉持客户至上，贡献为本的价值观努力保 持发展动力和竞争优势，具体而言：</w:t>
      </w:r>
    </w:p>
    <w:p>
      <w:pPr>
        <w:spacing w:after="0" w:line="316" w:lineRule="auto"/>
        <w:jc w:val="left"/>
        <w:sectPr>
          <w:pgSz w:w="11910" w:h="16840"/>
          <w:pgMar w:header="745" w:footer="1340" w:top="1060" w:bottom="154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1034" w:firstLine="360"/>
        <w:jc w:val="left"/>
      </w:pPr>
      <w:r>
        <w:rPr>
          <w:rFonts w:ascii="Times New Roman" w:hAnsi="Times New Roman" w:cs="Times New Roman" w:eastAsia="Times New Roman" w:hint="default"/>
        </w:rPr>
        <w:t>1</w:t>
      </w:r>
      <w:r>
        <w:rPr/>
        <w:t>、客户资源优势。公司太阳能电池铝边框产品仍然保持全球领先的行业地位，根据公司</w:t>
      </w:r>
      <w:r>
        <w:rPr>
          <w:rFonts w:ascii="Times New Roman" w:hAnsi="Times New Roman" w:cs="Times New Roman" w:eastAsia="Times New Roman" w:hint="default"/>
        </w:rPr>
        <w:t>“</w:t>
      </w:r>
      <w:r>
        <w:rPr/>
        <w:t>高举高打</w:t>
      </w:r>
      <w:r>
        <w:rPr>
          <w:rFonts w:ascii="Times New Roman" w:hAnsi="Times New Roman" w:cs="Times New Roman" w:eastAsia="Times New Roman" w:hint="default"/>
        </w:rPr>
        <w:t>”</w:t>
      </w:r>
      <w:r>
        <w:rPr/>
        <w:t>的业务发展策略， </w:t>
      </w:r>
      <w:r>
        <w:rPr>
          <w:spacing w:val="-2"/>
        </w:rPr>
        <w:t>公司客户主要为全球领先的太阳能组件提供商和系统集成商，如夏普、三菱、昭和壳牌、</w:t>
      </w:r>
      <w:r>
        <w:rPr>
          <w:rFonts w:ascii="Times New Roman" w:hAnsi="Times New Roman" w:cs="Times New Roman" w:eastAsia="Times New Roman" w:hint="default"/>
          <w:spacing w:val="-2"/>
        </w:rPr>
        <w:t>REC</w:t>
      </w:r>
      <w:r>
        <w:rPr>
          <w:spacing w:val="-2"/>
        </w:rPr>
        <w:t>、中建材等。这些大客户信誉</w:t>
      </w:r>
      <w:r>
        <w:rPr>
          <w:spacing w:val="-56"/>
        </w:rPr>
        <w:t> </w:t>
      </w:r>
      <w:r>
        <w:rPr>
          <w:spacing w:val="-56"/>
        </w:rPr>
      </w:r>
      <w:r>
        <w:rPr/>
        <w:t>良好，需求稳定，抵御行业风险能力相对较强。同时，此类企业对供应商认定较为严格，通常要考虑生产规模、信用情况、</w:t>
      </w:r>
      <w:r>
        <w:rPr>
          <w:spacing w:val="-86"/>
        </w:rPr>
        <w:t> </w:t>
      </w:r>
      <w:r>
        <w:rPr>
          <w:spacing w:val="-86"/>
        </w:rPr>
      </w:r>
      <w:r>
        <w:rPr>
          <w:spacing w:val="-2"/>
        </w:rPr>
        <w:t>品质体系、生产与技术能力、成本控制力、物流能力及应急能力、是否有与其他大客户合作的经验等，只有综合实力较强的</w:t>
      </w:r>
      <w:r>
        <w:rPr>
          <w:spacing w:val="-67"/>
        </w:rPr>
        <w:t> </w:t>
      </w:r>
      <w:r>
        <w:rPr>
          <w:spacing w:val="-67"/>
        </w:rPr>
      </w:r>
      <w:r>
        <w:rPr>
          <w:spacing w:val="-2"/>
        </w:rPr>
        <w:t>企业才能进入其备选供应商体系，准入门槛较高，认真周期较长。通过长期的合作，公司目前已经较为稳定地拥有此类优质</w:t>
      </w:r>
      <w:r>
        <w:rPr>
          <w:spacing w:val="-66"/>
        </w:rPr>
        <w:t> </w:t>
      </w:r>
      <w:r>
        <w:rPr>
          <w:spacing w:val="-66"/>
        </w:rPr>
      </w:r>
      <w:r>
        <w:rPr/>
        <w:t>客户。因公司主要制造类产品为光伏配件领域，其客户具有同一性，优质的客户资源对于新产品的推广将提供有益的帮助。</w:t>
      </w:r>
    </w:p>
    <w:p>
      <w:pPr>
        <w:pStyle w:val="BodyText"/>
        <w:spacing w:line="307" w:lineRule="auto" w:before="63"/>
        <w:ind w:right="1130" w:firstLine="480"/>
        <w:jc w:val="both"/>
      </w:pPr>
      <w:r>
        <w:rPr>
          <w:rFonts w:ascii="Times New Roman" w:hAnsi="Times New Roman" w:cs="Times New Roman" w:eastAsia="Times New Roman" w:hint="default"/>
        </w:rPr>
        <w:t>2</w:t>
      </w:r>
      <w:r>
        <w:rPr/>
        <w:t>、产品组合优势。公司目前主要业务涉及金属制造、新材料、电子、光伏电站，产品包括太阳能电池铝边框、安装 支架、铝型材、金属模具、</w:t>
      </w:r>
      <w:r>
        <w:rPr>
          <w:rFonts w:ascii="Times New Roman" w:hAnsi="Times New Roman" w:cs="Times New Roman" w:eastAsia="Times New Roman" w:hint="default"/>
        </w:rPr>
        <w:t>EVA</w:t>
      </w:r>
      <w:r>
        <w:rPr/>
        <w:t>胶膜、光伏接线盒、光伏焊带，大型地面电站等。丰富的产品结构有利于提高公司的议价</w:t>
      </w:r>
      <w:r>
        <w:rPr>
          <w:spacing w:val="-16"/>
        </w:rPr>
        <w:t> </w:t>
      </w:r>
      <w:r>
        <w:rPr>
          <w:spacing w:val="-16"/>
        </w:rPr>
      </w:r>
      <w:r>
        <w:rPr>
          <w:spacing w:val="-2"/>
        </w:rPr>
        <w:t>能力，降低客户的采购成本。</w:t>
      </w:r>
      <w:r>
        <w:rPr>
          <w:rFonts w:ascii="Times New Roman" w:hAnsi="Times New Roman" w:cs="Times New Roman" w:eastAsia="Times New Roman" w:hint="default"/>
          <w:spacing w:val="-2"/>
        </w:rPr>
        <w:t>2011</w:t>
      </w:r>
      <w:r>
        <w:rPr>
          <w:spacing w:val="-2"/>
        </w:rPr>
        <w:t>年底，公司涉足太阳能电站领域后，电站的建设拉动了配件的生产，提高了话语权和竞争</w:t>
      </w:r>
      <w:r>
        <w:rPr>
          <w:spacing w:val="-62"/>
        </w:rPr>
        <w:t> </w:t>
      </w:r>
      <w:r>
        <w:rPr>
          <w:spacing w:val="-62"/>
        </w:rPr>
      </w:r>
      <w:r>
        <w:rPr>
          <w:spacing w:val="-5"/>
        </w:rPr>
        <w:t>力。同时完整的产业链使公司能获得各环节的利润，同时降低了中间产品流转成本、销售费用等，提升了公司综合盈利能力；</w:t>
      </w:r>
      <w:r>
        <w:rPr>
          <w:spacing w:val="-75"/>
        </w:rPr>
        <w:t> </w:t>
      </w:r>
      <w:r>
        <w:rPr>
          <w:spacing w:val="-75"/>
        </w:rPr>
      </w:r>
      <w:r>
        <w:rPr>
          <w:spacing w:val="-2"/>
        </w:rPr>
        <w:t>产业链完整有利于优化生产管理流程，加强产品质量控制，提高产品质量稳定性和综合竞争力；产业链延伸使公司更接近终</w:t>
      </w:r>
      <w:r>
        <w:rPr>
          <w:spacing w:val="-65"/>
        </w:rPr>
        <w:t> </w:t>
      </w:r>
      <w:r>
        <w:rPr>
          <w:spacing w:val="-65"/>
        </w:rPr>
      </w:r>
      <w:r>
        <w:rPr/>
        <w:t>端用户，更加及时、准确地获取终端客户需求与最新的市场动态，进行产品研发设计与技术更新。</w:t>
      </w:r>
    </w:p>
    <w:p>
      <w:pPr>
        <w:pStyle w:val="BodyText"/>
        <w:spacing w:line="302" w:lineRule="auto" w:before="65"/>
        <w:ind w:right="1129" w:firstLine="358"/>
        <w:jc w:val="both"/>
      </w:pPr>
      <w:r>
        <w:rPr>
          <w:rFonts w:ascii="Times New Roman" w:hAnsi="Times New Roman" w:cs="Times New Roman" w:eastAsia="Times New Roman" w:hint="default"/>
        </w:rPr>
        <w:t>3</w:t>
      </w:r>
      <w:r>
        <w:rPr/>
        <w:t>、技术研发及品牌优势。科学技术是第一生产力，公司高度重视技术的研发和储备。公司是高新技术企业，拥有江苏 省光伏系统远程监测工程研究技术中心，无锡市院士工作站，公司的高性能光伏用</w:t>
      </w:r>
      <w:r>
        <w:rPr>
          <w:rFonts w:ascii="Times New Roman" w:hAnsi="Times New Roman" w:cs="Times New Roman" w:eastAsia="Times New Roman" w:hint="default"/>
        </w:rPr>
        <w:t>EVA</w:t>
      </w:r>
      <w:r>
        <w:rPr/>
        <w:t>封装胶膜的研发及产业化项目被评</w:t>
      </w:r>
      <w:r>
        <w:rPr>
          <w:spacing w:val="-14"/>
        </w:rPr>
        <w:t> </w:t>
      </w:r>
      <w:r>
        <w:rPr>
          <w:spacing w:val="-14"/>
        </w:rPr>
      </w:r>
      <w:r>
        <w:rPr>
          <w:spacing w:val="-3"/>
        </w:rPr>
        <w:t>为无锡市科技技术进步二等奖，江苏省认定企业技术中心。公司高度重视研发投入，本报告期累计研发投入为</w:t>
      </w:r>
      <w:r>
        <w:rPr>
          <w:rFonts w:ascii="Times New Roman" w:hAnsi="Times New Roman" w:cs="Times New Roman" w:eastAsia="Times New Roman" w:hint="default"/>
          <w:spacing w:val="-3"/>
        </w:rPr>
        <w:t>42653313.24</w:t>
      </w:r>
      <w:r>
        <w:rPr>
          <w:spacing w:val="-3"/>
        </w:rPr>
        <w:t>，</w:t>
      </w:r>
      <w:r>
        <w:rPr>
          <w:spacing w:val="-41"/>
        </w:rPr>
        <w:t> </w:t>
      </w:r>
      <w:r>
        <w:rPr>
          <w:spacing w:val="-1"/>
        </w:rPr>
        <w:t>占收入的比例为</w:t>
      </w:r>
      <w:r>
        <w:rPr>
          <w:rFonts w:ascii="Times New Roman" w:hAnsi="Times New Roman" w:cs="Times New Roman" w:eastAsia="Times New Roman" w:hint="default"/>
          <w:spacing w:val="-1"/>
        </w:rPr>
        <w:t>3.13%</w:t>
      </w:r>
      <w:r>
        <w:rPr>
          <w:spacing w:val="-1"/>
        </w:rPr>
        <w:t>。截止报告期末，公司已累计获得发明专利</w:t>
      </w:r>
      <w:r>
        <w:rPr>
          <w:rFonts w:ascii="Times New Roman" w:hAnsi="Times New Roman" w:cs="Times New Roman" w:eastAsia="Times New Roman" w:hint="default"/>
          <w:spacing w:val="-1"/>
        </w:rPr>
        <w:t>5</w:t>
      </w:r>
      <w:r>
        <w:rPr>
          <w:spacing w:val="-1"/>
        </w:rPr>
        <w:t>项，实用新型专利</w:t>
      </w:r>
      <w:r>
        <w:rPr>
          <w:rFonts w:ascii="Times New Roman" w:hAnsi="Times New Roman" w:cs="Times New Roman" w:eastAsia="Times New Roman" w:hint="default"/>
          <w:spacing w:val="-1"/>
        </w:rPr>
        <w:t>71</w:t>
      </w:r>
      <w:r>
        <w:rPr>
          <w:spacing w:val="-1"/>
        </w:rPr>
        <w:t>项，外观设计专利</w:t>
      </w:r>
      <w:r>
        <w:rPr>
          <w:rFonts w:ascii="Times New Roman" w:hAnsi="Times New Roman" w:cs="Times New Roman" w:eastAsia="Times New Roman" w:hint="default"/>
          <w:spacing w:val="-1"/>
        </w:rPr>
        <w:t>109</w:t>
      </w:r>
      <w:r>
        <w:rPr>
          <w:spacing w:val="-1"/>
        </w:rPr>
        <w:t>项，尚有多项</w:t>
      </w:r>
      <w:r>
        <w:rPr>
          <w:spacing w:val="-43"/>
        </w:rPr>
        <w:t> </w:t>
      </w:r>
      <w:r>
        <w:rPr>
          <w:spacing w:val="-43"/>
        </w:rPr>
      </w:r>
      <w:r>
        <w:rPr>
          <w:spacing w:val="-2"/>
        </w:rPr>
        <w:t>专利正在申请中。作为主要起草单位负责起草的《太阳能电池框架用铝合金型材》行业标准已报国家轻金属协会批准；公司</w:t>
      </w:r>
      <w:r>
        <w:rPr>
          <w:spacing w:val="-65"/>
        </w:rPr>
        <w:t> </w:t>
      </w:r>
      <w:r>
        <w:rPr>
          <w:spacing w:val="-65"/>
        </w:rPr>
      </w:r>
      <w:r>
        <w:rPr/>
        <w:t>参与起草的国家标准《便携式铝合金梯》（</w:t>
      </w:r>
      <w:r>
        <w:rPr>
          <w:rFonts w:ascii="Times New Roman" w:hAnsi="Times New Roman" w:cs="Times New Roman" w:eastAsia="Times New Roman" w:hint="default"/>
        </w:rPr>
        <w:t>GB/T</w:t>
      </w:r>
      <w:r>
        <w:rPr>
          <w:rFonts w:ascii="Times New Roman" w:hAnsi="Times New Roman" w:cs="Times New Roman" w:eastAsia="Times New Roman" w:hint="default"/>
          <w:spacing w:val="28"/>
        </w:rPr>
        <w:t> </w:t>
      </w:r>
      <w:r>
        <w:rPr>
          <w:rFonts w:ascii="Times New Roman" w:hAnsi="Times New Roman" w:cs="Times New Roman" w:eastAsia="Times New Roman" w:hint="default"/>
        </w:rPr>
        <w:t>27685-2011</w:t>
      </w:r>
      <w:r>
        <w:rPr/>
        <w:t>）已于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日由质检总局和国家标准化委员会联合发 布，并于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日执行。</w:t>
      </w:r>
    </w:p>
    <w:p>
      <w:pPr>
        <w:pStyle w:val="BodyText"/>
        <w:spacing w:line="240" w:lineRule="auto" w:before="52"/>
        <w:ind w:right="0" w:firstLine="360"/>
        <w:jc w:val="left"/>
      </w:pPr>
      <w:r>
        <w:rPr/>
        <w:t>品牌是提高公司影响力和产品附加值的隐形的力量。公司高度重视品牌建设和推广，目前在行业内具有一定的知名度和</w:t>
      </w:r>
    </w:p>
    <w:p>
      <w:pPr>
        <w:pStyle w:val="BodyText"/>
        <w:spacing w:line="276" w:lineRule="auto" w:before="120"/>
        <w:ind w:right="1132"/>
        <w:jc w:val="left"/>
      </w:pPr>
      <w:r>
        <w:rPr/>
        <w:t>美誉度。公司是江苏省商务厅认定的</w:t>
      </w:r>
      <w:r>
        <w:rPr>
          <w:rFonts w:ascii="Times New Roman" w:hAnsi="Times New Roman" w:cs="Times New Roman" w:eastAsia="Times New Roman" w:hint="default"/>
        </w:rPr>
        <w:t>“</w:t>
      </w:r>
      <w:r>
        <w:rPr/>
        <w:t>江苏省重点培育和发展的国际知名品牌</w:t>
      </w:r>
      <w:r>
        <w:rPr>
          <w:rFonts w:ascii="Times New Roman" w:hAnsi="Times New Roman" w:cs="Times New Roman" w:eastAsia="Times New Roman" w:hint="default"/>
        </w:rPr>
        <w:t>”</w:t>
      </w:r>
      <w:r>
        <w:rPr/>
        <w:t>，公司主推品牌</w:t>
      </w:r>
      <w:r>
        <w:rPr>
          <w:spacing w:val="-18"/>
        </w:rPr>
        <w:t> </w:t>
      </w:r>
      <w:r>
        <w:rPr>
          <w:spacing w:val="-59"/>
        </w:rPr>
        <w:drawing>
          <wp:inline distT="0" distB="0" distL="0" distR="0">
            <wp:extent cx="361950" cy="295275"/>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5" cstate="print"/>
                    <a:stretch>
                      <a:fillRect/>
                    </a:stretch>
                  </pic:blipFill>
                  <pic:spPr>
                    <a:xfrm>
                      <a:off x="0" y="0"/>
                      <a:ext cx="361950" cy="295275"/>
                    </a:xfrm>
                    <a:prstGeom prst="rect">
                      <a:avLst/>
                    </a:prstGeom>
                  </pic:spPr>
                </pic:pic>
              </a:graphicData>
            </a:graphic>
          </wp:inline>
        </w:drawing>
      </w:r>
      <w:r>
        <w:rPr>
          <w:spacing w:val="-59"/>
        </w:rPr>
      </w:r>
      <w:r>
        <w:rPr/>
        <w:t>被江苏省工商行政管</w:t>
      </w:r>
      <w:r>
        <w:rPr>
          <w:spacing w:val="-85"/>
        </w:rPr>
        <w:t> </w:t>
      </w:r>
      <w:r>
        <w:rPr>
          <w:spacing w:val="-85"/>
        </w:rPr>
      </w:r>
      <w:r>
        <w:rPr/>
        <w:t>理局认定为</w:t>
      </w:r>
      <w:r>
        <w:rPr>
          <w:rFonts w:ascii="Times New Roman" w:hAnsi="Times New Roman" w:cs="Times New Roman" w:eastAsia="Times New Roman" w:hint="default"/>
        </w:rPr>
        <w:t>“</w:t>
      </w:r>
      <w:r>
        <w:rPr/>
        <w:t>江苏省著名商标</w:t>
      </w:r>
      <w:r>
        <w:rPr>
          <w:rFonts w:ascii="Times New Roman" w:hAnsi="Times New Roman" w:cs="Times New Roman" w:eastAsia="Times New Roman" w:hint="default"/>
        </w:rPr>
        <w:t>”</w:t>
      </w:r>
      <w:r>
        <w:rPr/>
        <w:t>。</w:t>
      </w:r>
    </w:p>
    <w:p>
      <w:pPr>
        <w:pStyle w:val="BodyText"/>
        <w:spacing w:line="309" w:lineRule="auto" w:before="155"/>
        <w:ind w:right="1130" w:firstLine="480"/>
        <w:jc w:val="both"/>
      </w:pPr>
      <w:r>
        <w:rPr>
          <w:rFonts w:ascii="Times New Roman" w:hAnsi="Times New Roman" w:cs="Times New Roman" w:eastAsia="Times New Roman" w:hint="default"/>
        </w:rPr>
        <w:t>4</w:t>
      </w:r>
      <w:r>
        <w:rPr/>
        <w:t>、快速响应客户需求能力优势。公司客户主要为大型组件制造商，这些企业对产品质量及交付及时性要求较高。通 </w:t>
      </w:r>
      <w:r>
        <w:rPr>
          <w:spacing w:val="-2"/>
        </w:rPr>
        <w:t>过多年业务实践，尤其是与大型组件制造商多年合作，公司针对不同环节建立了精细化的管理制度，实现了整个流程的有效</w:t>
      </w:r>
      <w:r>
        <w:rPr>
          <w:spacing w:val="-63"/>
        </w:rPr>
        <w:t> </w:t>
      </w:r>
      <w:r>
        <w:rPr>
          <w:spacing w:val="-63"/>
        </w:rPr>
      </w:r>
      <w:r>
        <w:rPr>
          <w:spacing w:val="-5"/>
        </w:rPr>
        <w:t>协同运作，快速响应客户需求。随着募投项目的逐渐达产，产能将进一步释放，满足客户紧急、批量需求的能力进一步增强。</w:t>
      </w:r>
      <w:r>
        <w:rPr>
          <w:spacing w:val="-80"/>
        </w:rPr>
        <w:t> </w:t>
      </w:r>
      <w:r>
        <w:rPr>
          <w:spacing w:val="-80"/>
        </w:rPr>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日子公司苏州爱康金属同中建材国际贸易有限公司签订逾一亿元的安装支架购销合同，在不到一个月的时间内</w:t>
      </w:r>
      <w:r>
        <w:rPr>
          <w:spacing w:val="-60"/>
        </w:rPr>
        <w:t> </w:t>
      </w:r>
      <w:r>
        <w:rPr>
          <w:spacing w:val="-60"/>
        </w:rPr>
      </w:r>
      <w:r>
        <w:rPr/>
        <w:t>出货完毕，为公司快速响应客户需求能力提供完美注脚。</w:t>
      </w:r>
    </w:p>
    <w:p>
      <w:pPr>
        <w:pStyle w:val="BodyText"/>
        <w:spacing w:line="307" w:lineRule="auto" w:before="146"/>
        <w:ind w:right="1133" w:firstLine="480"/>
        <w:jc w:val="both"/>
      </w:pPr>
      <w:r>
        <w:rPr>
          <w:rFonts w:ascii="Times New Roman" w:hAnsi="Times New Roman" w:cs="Times New Roman" w:eastAsia="Times New Roman" w:hint="default"/>
        </w:rPr>
        <w:t>5</w:t>
      </w:r>
      <w:r>
        <w:rPr/>
        <w:t>、产品质量控制优势。公司高度重视产品质量，通过全流程的质量控制措施保证产品出货质量，控制不良率，完整 </w:t>
      </w:r>
      <w:r>
        <w:rPr>
          <w:spacing w:val="-2"/>
        </w:rPr>
        <w:t>的质量控制体系保证产品的专业化生产和质量稳定，能够大批量地为客户提供各种型号的太阳能边框。公司质量体系已通过</w:t>
      </w:r>
      <w:r>
        <w:rPr>
          <w:spacing w:val="-64"/>
        </w:rPr>
        <w:t> </w:t>
      </w:r>
      <w:r>
        <w:rPr>
          <w:spacing w:val="-64"/>
        </w:rPr>
      </w:r>
      <w:r>
        <w:rPr>
          <w:rFonts w:ascii="Times New Roman" w:hAnsi="Times New Roman" w:cs="Times New Roman" w:eastAsia="Times New Roman" w:hint="default"/>
        </w:rPr>
        <w:t>TUV</w:t>
      </w:r>
      <w:r>
        <w:rPr/>
        <w:t>认证，达到</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2008</w:t>
      </w:r>
      <w:r>
        <w:rPr/>
        <w:t>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2"/>
        <w:ind w:right="1115"/>
        <w:jc w:val="left"/>
        <w:rPr>
          <w:b w:val="0"/>
          <w:bCs w:val="0"/>
        </w:rPr>
      </w:pPr>
      <w:r>
        <w:rPr/>
        <w:t>六、投资状况分析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131987773.85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478,956,000.00</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-72.44%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香港爱康电力国际控股有限公司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投资、贸易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新能源投资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r>
        <w:trPr>
          <w:trHeight w:val="164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江苏爱通新能源科技有限公司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从事太阳能，风能，光热能等新能源建 筑集成产品的研究、开发及相关技术转 让；从事新能源建筑集成产品的设计咨 询、施工咨询、管理；从事新能源应用 产品的进出口业务。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江阴爱康光伏焊带有限公司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光伏焊带的研发、生产、销售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无锡爱康太阳能电子科技有限公司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光伏接线盒的研发、生产、销售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b/>
          <w:bCs/>
          <w:sz w:val="19"/>
          <w:szCs w:val="19"/>
        </w:rPr>
      </w:pPr>
    </w:p>
    <w:p>
      <w:pPr>
        <w:spacing w:before="36"/>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t>（</w:t>
      </w:r>
      <w:r>
        <w:rPr>
          <w:rFonts w:ascii="Times New Roman" w:hAnsi="Times New Roman" w:cs="Times New Roman" w:eastAsia="Times New Roman" w:hint="default"/>
        </w:rPr>
        <w:t>3</w:t>
      </w:r>
      <w:r>
        <w:rPr/>
        <w:t>）证券投资情况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报告期末衍生品投资的持仓情况</w:t>
      </w:r>
    </w:p>
    <w:p>
      <w:pPr>
        <w:pStyle w:val="BodyText"/>
        <w:spacing w:line="340" w:lineRule="auto" w:before="117"/>
        <w:ind w:right="91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说明</w:t>
      </w:r>
    </w:p>
    <w:p>
      <w:pPr>
        <w:spacing w:line="240" w:lineRule="auto" w:before="3"/>
        <w:rPr>
          <w:rFonts w:ascii="宋体" w:hAnsi="宋体" w:cs="宋体" w:eastAsia="宋体" w:hint="default"/>
          <w:sz w:val="21"/>
          <w:szCs w:val="21"/>
        </w:rPr>
      </w:pPr>
    </w:p>
    <w:p>
      <w:pPr>
        <w:pStyle w:val="Heading4"/>
        <w:spacing w:line="240" w:lineRule="auto"/>
        <w:ind w:right="1115"/>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99"/>
        <w:gridCol w:w="5471"/>
      </w:tblGrid>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75,865.07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089"/>
        <w:gridCol w:w="5481"/>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15,696.4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67,951.39</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17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截止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日募集资金使用情况及余额：</w:t>
            </w:r>
          </w:p>
          <w:p>
            <w:pPr>
              <w:pStyle w:val="TableParagraph"/>
              <w:spacing w:line="240" w:lineRule="auto" w:before="101"/>
              <w:ind w:left="29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日第一届董事会第一次临时会议审议通过了《关于使用超募资金归还银行贷款和永久性补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充流动资金的议案</w:t>
            </w:r>
            <w:r>
              <w:rPr>
                <w:rFonts w:ascii="宋体" w:hAnsi="宋体" w:cs="宋体" w:eastAsia="宋体" w:hint="default"/>
                <w:spacing w:val="-92"/>
                <w:sz w:val="18"/>
                <w:szCs w:val="18"/>
              </w:rPr>
              <w:t>》</w:t>
            </w:r>
            <w:r>
              <w:rPr>
                <w:rFonts w:ascii="宋体" w:hAnsi="宋体" w:cs="宋体" w:eastAsia="宋体" w:hint="default"/>
                <w:sz w:val="18"/>
                <w:szCs w:val="18"/>
              </w:rPr>
              <w:t>，拟使用</w:t>
            </w:r>
            <w:r>
              <w:rPr>
                <w:rFonts w:ascii="宋体" w:hAnsi="宋体" w:cs="宋体" w:eastAsia="宋体" w:hint="default"/>
                <w:spacing w:val="2"/>
                <w:sz w:val="18"/>
                <w:szCs w:val="18"/>
              </w:rPr>
              <w:t>超</w:t>
            </w:r>
            <w:r>
              <w:rPr>
                <w:rFonts w:ascii="宋体" w:hAnsi="宋体" w:cs="宋体" w:eastAsia="宋体" w:hint="default"/>
                <w:sz w:val="18"/>
                <w:szCs w:val="18"/>
              </w:rPr>
              <w:t>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万元用于归</w:t>
            </w:r>
            <w:r>
              <w:rPr>
                <w:rFonts w:ascii="宋体" w:hAnsi="宋体" w:cs="宋体" w:eastAsia="宋体" w:hint="default"/>
                <w:spacing w:val="-3"/>
                <w:sz w:val="18"/>
                <w:szCs w:val="18"/>
              </w:rPr>
              <w:t>还</w:t>
            </w:r>
            <w:r>
              <w:rPr>
                <w:rFonts w:ascii="宋体" w:hAnsi="宋体" w:cs="宋体" w:eastAsia="宋体" w:hint="default"/>
                <w:sz w:val="18"/>
                <w:szCs w:val="18"/>
              </w:rPr>
              <w:t>银行贷款和永久性补充流动资金，其中</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归还银行贷款，</w:t>
            </w:r>
            <w:r>
              <w:rPr>
                <w:rFonts w:ascii="Times New Roman" w:hAnsi="Times New Roman" w:cs="Times New Roman" w:eastAsia="Times New Roman" w:hint="default"/>
                <w:sz w:val="18"/>
                <w:szCs w:val="18"/>
              </w:rPr>
              <w:t>2,569.47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万元用于永久性补充流动资金，并于</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日进行了公告。于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日第一届</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董事会第三次临时会议审议通过</w:t>
            </w:r>
            <w:r>
              <w:rPr>
                <w:rFonts w:ascii="宋体" w:hAnsi="宋体" w:cs="宋体" w:eastAsia="宋体" w:hint="default"/>
                <w:spacing w:val="-15"/>
                <w:sz w:val="18"/>
                <w:szCs w:val="18"/>
              </w:rPr>
              <w:t>了</w:t>
            </w:r>
            <w:r>
              <w:rPr>
                <w:rFonts w:ascii="宋体" w:hAnsi="宋体" w:cs="宋体" w:eastAsia="宋体" w:hint="default"/>
                <w:sz w:val="18"/>
                <w:szCs w:val="18"/>
              </w:rPr>
              <w:t>《关于修正部分超募资金使用计划的议</w:t>
            </w:r>
            <w:r>
              <w:rPr>
                <w:rFonts w:ascii="宋体" w:hAnsi="宋体" w:cs="宋体" w:eastAsia="宋体" w:hint="default"/>
                <w:spacing w:val="1"/>
                <w:sz w:val="18"/>
                <w:szCs w:val="18"/>
              </w:rPr>
              <w:t>案</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同意拟修</w:t>
            </w:r>
            <w:r>
              <w:rPr>
                <w:rFonts w:ascii="宋体" w:hAnsi="宋体" w:cs="宋体" w:eastAsia="宋体" w:hint="default"/>
                <w:spacing w:val="2"/>
                <w:sz w:val="18"/>
                <w:szCs w:val="18"/>
              </w:rPr>
              <w:t>正</w:t>
            </w:r>
            <w:r>
              <w:rPr>
                <w:rFonts w:ascii="宋体" w:hAnsi="宋体" w:cs="宋体" w:eastAsia="宋体" w:hint="default"/>
                <w:sz w:val="18"/>
                <w:szCs w:val="18"/>
              </w:rPr>
              <w:t>超募资金总计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w:t>
            </w:r>
          </w:p>
          <w:p>
            <w:pPr>
              <w:pStyle w:val="TableParagraph"/>
              <w:spacing w:line="300" w:lineRule="auto" w:before="63"/>
              <w:ind w:left="24" w:right="38"/>
              <w:jc w:val="left"/>
              <w:rPr>
                <w:rFonts w:ascii="宋体" w:hAnsi="宋体" w:cs="宋体" w:eastAsia="宋体" w:hint="default"/>
                <w:sz w:val="18"/>
                <w:szCs w:val="18"/>
              </w:rPr>
            </w:pPr>
            <w:r>
              <w:rPr>
                <w:rFonts w:ascii="宋体" w:hAnsi="宋体" w:cs="宋体" w:eastAsia="宋体" w:hint="default"/>
                <w:sz w:val="18"/>
                <w:szCs w:val="18"/>
              </w:rPr>
              <w:t>民币的使用计划，其中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万元用于归还银行贷款，</w:t>
            </w:r>
            <w:r>
              <w:rPr>
                <w:rFonts w:ascii="Times New Roman" w:hAnsi="Times New Roman" w:cs="Times New Roman" w:eastAsia="Times New Roman" w:hint="default"/>
                <w:sz w:val="18"/>
                <w:szCs w:val="18"/>
              </w:rPr>
              <w:t>19,569.47 </w:t>
            </w:r>
            <w:r>
              <w:rPr>
                <w:rFonts w:ascii="宋体" w:hAnsi="宋体" w:cs="宋体" w:eastAsia="宋体" w:hint="default"/>
                <w:sz w:val="18"/>
                <w:szCs w:val="18"/>
              </w:rPr>
              <w:t>万元用于永久补充流动资金，并于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进行了公告。目前，超募资金已按照公告内容划出专户并投入使用。</w:t>
            </w:r>
          </w:p>
          <w:p>
            <w:pPr>
              <w:pStyle w:val="TableParagraph"/>
              <w:spacing w:line="240" w:lineRule="auto" w:before="72"/>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日，公司第一届董事会第四次临时会议审议通过了《江苏爱康太阳能科技股份有限公司关于以募集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资金置换预先已投入募投项目的自筹资金的议案</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决定用</w:t>
            </w:r>
            <w:r>
              <w:rPr>
                <w:rFonts w:ascii="宋体" w:hAnsi="宋体" w:cs="宋体" w:eastAsia="宋体" w:hint="default"/>
                <w:spacing w:val="2"/>
                <w:sz w:val="18"/>
                <w:szCs w:val="18"/>
              </w:rPr>
              <w:t>募</w:t>
            </w:r>
            <w:r>
              <w:rPr>
                <w:rFonts w:ascii="宋体" w:hAnsi="宋体" w:cs="宋体" w:eastAsia="宋体" w:hint="default"/>
                <w:sz w:val="18"/>
                <w:szCs w:val="18"/>
              </w:rPr>
              <w:t>集资金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万元置换预</w:t>
            </w:r>
            <w:r>
              <w:rPr>
                <w:rFonts w:ascii="宋体" w:hAnsi="宋体" w:cs="宋体" w:eastAsia="宋体" w:hint="default"/>
                <w:spacing w:val="-3"/>
                <w:sz w:val="18"/>
                <w:szCs w:val="18"/>
              </w:rPr>
              <w:t>先</w:t>
            </w:r>
            <w:r>
              <w:rPr>
                <w:rFonts w:ascii="宋体" w:hAnsi="宋体" w:cs="宋体" w:eastAsia="宋体" w:hint="default"/>
                <w:sz w:val="18"/>
                <w:szCs w:val="18"/>
              </w:rPr>
              <w:t>已投入募集资金项目的自筹资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日进行了公告。公司于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年置换金额为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17,547.63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万元，于本年置换金额为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1,430.03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日，公司总应置换金额为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18,977.66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总实际置换金额为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18,977.66 </w:t>
            </w:r>
            <w:r>
              <w:rPr>
                <w:rFonts w:ascii="宋体" w:hAnsi="宋体" w:cs="宋体" w:eastAsia="宋体" w:hint="default"/>
                <w:sz w:val="18"/>
                <w:szCs w:val="18"/>
              </w:rPr>
              <w:t>万元。</w:t>
            </w:r>
          </w:p>
          <w:p>
            <w:pPr>
              <w:pStyle w:val="TableParagraph"/>
              <w:spacing w:line="300" w:lineRule="auto" w:before="103"/>
              <w:ind w:left="24" w:right="-17" w:firstLine="27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日召开的第一届董事会第十三次临时会议审议通过了《关于使用部分闲置募集资金暂时补充流动资 金的议案》的议案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同意将</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2220 </w:t>
            </w:r>
            <w:r>
              <w:rPr>
                <w:rFonts w:ascii="宋体" w:hAnsi="宋体" w:cs="宋体" w:eastAsia="宋体" w:hint="default"/>
                <w:sz w:val="18"/>
                <w:szCs w:val="18"/>
              </w:rPr>
              <w:t>万平方米</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太阳能电池胶膜扩建项目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闲置资金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5,800.00 </w:t>
            </w:r>
            <w:r>
              <w:rPr>
                <w:rFonts w:ascii="宋体" w:hAnsi="宋体" w:cs="宋体" w:eastAsia="宋体" w:hint="default"/>
                <w:sz w:val="18"/>
                <w:szCs w:val="18"/>
              </w:rPr>
              <w:t>万元暂时补充流动资金。 使用期限不超过六个月</w:t>
            </w:r>
            <w:r>
              <w:rPr>
                <w:rFonts w:ascii="Times New Roman" w:hAnsi="Times New Roman" w:cs="Times New Roman" w:eastAsia="Times New Roman" w:hint="default"/>
                <w:sz w:val="18"/>
                <w:szCs w:val="18"/>
              </w:rPr>
              <w:t>,</w:t>
            </w:r>
            <w:r>
              <w:rPr>
                <w:rFonts w:ascii="宋体" w:hAnsi="宋体" w:cs="宋体" w:eastAsia="宋体" w:hint="default"/>
                <w:sz w:val="18"/>
                <w:szCs w:val="18"/>
              </w:rPr>
              <w:t>到期期限为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日到期归还了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5,800.00 </w:t>
            </w:r>
            <w:r>
              <w:rPr>
                <w:rFonts w:ascii="宋体" w:hAnsi="宋体" w:cs="宋体" w:eastAsia="宋体" w:hint="default"/>
                <w:sz w:val="18"/>
                <w:szCs w:val="18"/>
              </w:rPr>
              <w:t>万元暂时补充流动资金。</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日召开的第一届董事会第二十一次临时会议审议通过了《关于再次使用闲置募集资金暂时补充流动资金的</w:t>
            </w:r>
          </w:p>
          <w:p>
            <w:pPr>
              <w:pStyle w:val="TableParagraph"/>
              <w:spacing w:line="300" w:lineRule="auto" w:before="63"/>
              <w:ind w:left="24" w:right="79"/>
              <w:jc w:val="left"/>
              <w:rPr>
                <w:rFonts w:ascii="宋体" w:hAnsi="宋体" w:cs="宋体" w:eastAsia="宋体" w:hint="default"/>
                <w:sz w:val="18"/>
                <w:szCs w:val="18"/>
              </w:rPr>
            </w:pPr>
            <w:r>
              <w:rPr>
                <w:rFonts w:ascii="宋体" w:hAnsi="宋体" w:cs="宋体" w:eastAsia="宋体" w:hint="default"/>
                <w:sz w:val="18"/>
                <w:szCs w:val="18"/>
              </w:rPr>
              <w:t>议案》的议案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同意将该项目闲置资金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5,800.00 </w:t>
            </w:r>
            <w:r>
              <w:rPr>
                <w:rFonts w:ascii="宋体" w:hAnsi="宋体" w:cs="宋体" w:eastAsia="宋体" w:hint="default"/>
                <w:sz w:val="18"/>
                <w:szCs w:val="18"/>
              </w:rPr>
              <w:t>万元再次用于补充流动资金。截止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5,800.00 </w:t>
            </w:r>
            <w:r>
              <w:rPr>
                <w:rFonts w:ascii="宋体" w:hAnsi="宋体" w:cs="宋体" w:eastAsia="宋体" w:hint="default"/>
                <w:sz w:val="18"/>
                <w:szCs w:val="18"/>
              </w:rPr>
              <w:t>万元资金 已经从募集资金专户划出并投入使用。</w:t>
            </w:r>
          </w:p>
          <w:p>
            <w:pPr>
              <w:pStyle w:val="TableParagraph"/>
              <w:spacing w:line="240" w:lineRule="auto" w:before="70"/>
              <w:ind w:left="17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、截止报告期末，承诺投资项目已累计投入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39,381.92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万元，募集资金专户余额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2455.433316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万元。加上暂时补充流动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资金的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5800 </w:t>
            </w:r>
            <w:r>
              <w:rPr>
                <w:rFonts w:ascii="宋体" w:hAnsi="宋体" w:cs="宋体" w:eastAsia="宋体" w:hint="default"/>
                <w:sz w:val="18"/>
                <w:szCs w:val="18"/>
              </w:rPr>
              <w:t>万元及利息收入，截止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8255.43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2"/>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113"/>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 </w:t>
            </w:r>
            <w:r>
              <w:rPr>
                <w:rFonts w:ascii="宋体" w:hAnsi="宋体" w:cs="宋体" w:eastAsia="宋体" w:hint="default"/>
                <w:sz w:val="18"/>
                <w:szCs w:val="18"/>
              </w:rPr>
              <w:t>万套太阳能 电池边框扩建项目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17,930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17,930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6,643.17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17,295.54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-2,602.98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万平方米 </w:t>
            </w: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太阳能电池胶膜 扩建项目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18,660.8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18,660.8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5,327.64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12,531.16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-1,298.22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57pt;margin-top:71.999985pt;width:478.7pt;height:683.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0"/>
                    <w:gridCol w:w="772"/>
                    <w:gridCol w:w="786"/>
                    <w:gridCol w:w="780"/>
                    <w:gridCol w:w="780"/>
                    <w:gridCol w:w="780"/>
                    <w:gridCol w:w="786"/>
                    <w:gridCol w:w="768"/>
                    <w:gridCol w:w="793"/>
                    <w:gridCol w:w="774"/>
                    <w:gridCol w:w="780"/>
                  </w:tblGrid>
                  <w:tr>
                    <w:trPr>
                      <w:trHeight w:val="1025"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2" w:right="117"/>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300MW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光伏发 电系统安装支架扩建 项目</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10,704.8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10,704.8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3,725.59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9,555.22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89.26%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729.86</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47,295.6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center"/>
                          <w:rPr>
                            <w:rFonts w:ascii="Times New Roman" w:hAnsi="Times New Roman" w:cs="Times New Roman" w:eastAsia="Times New Roman" w:hint="default"/>
                            <w:sz w:val="18"/>
                            <w:szCs w:val="18"/>
                          </w:rPr>
                        </w:pPr>
                        <w:r>
                          <w:rPr>
                            <w:rFonts w:ascii="Times New Roman"/>
                            <w:sz w:val="18"/>
                          </w:rPr>
                          <w:t>47,295.6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15,696.4</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39,381.92</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-3,171.34</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5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9,000</w:t>
                        </w:r>
                      </w:p>
                    </w:tc>
                    <w:tc>
                      <w:tcPr>
                        <w:tcW w:w="786" w:type="dxa"/>
                        <w:tcBorders>
                          <w:top w:val="single" w:sz="4" w:space="0" w:color="000000"/>
                          <w:left w:val="single" w:sz="4" w:space="0" w:color="000000"/>
                          <w:bottom w:val="single" w:sz="4" w:space="0" w:color="000000"/>
                          <w:right w:val="single" w:sz="10" w:space="0" w:color="D2D2D2"/>
                        </w:tcBorders>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19,569.47</w:t>
                        </w:r>
                      </w:p>
                    </w:tc>
                    <w:tc>
                      <w:tcPr>
                        <w:tcW w:w="786" w:type="dxa"/>
                        <w:tcBorders>
                          <w:top w:val="single" w:sz="4" w:space="0" w:color="000000"/>
                          <w:left w:val="single" w:sz="4" w:space="0" w:color="000000"/>
                          <w:bottom w:val="single" w:sz="4" w:space="0" w:color="000000"/>
                          <w:right w:val="single" w:sz="10" w:space="0" w:color="D2D2D2"/>
                        </w:tcBorders>
                      </w:tcPr>
                      <w:p>
                        <w:pP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28,569.47</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6"/>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47,295.6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47,295.6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15,696.4</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67,951.39</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-3,171.34</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8"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1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300" w:lineRule="auto" w:before="51"/>
                          <w:ind w:left="16" w:right="34"/>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 </w:t>
                        </w:r>
                        <w:r>
                          <w:rPr>
                            <w:rFonts w:ascii="宋体" w:hAnsi="宋体" w:cs="宋体" w:eastAsia="宋体" w:hint="default"/>
                            <w:sz w:val="18"/>
                            <w:szCs w:val="18"/>
                          </w:rPr>
                          <w:t>万套太阳能电池边框扩建项目和年产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光伏发电系统安装支架扩建项目按计划在报 告期内达到可使用状态。年产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万平方米</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太阳能电池胶膜扩建项目已部分达产，因市场需 </w:t>
                        </w:r>
                        <w:r>
                          <w:rPr>
                            <w:rFonts w:ascii="宋体" w:hAnsi="宋体" w:cs="宋体" w:eastAsia="宋体" w:hint="default"/>
                            <w:spacing w:val="-3"/>
                            <w:sz w:val="18"/>
                            <w:szCs w:val="18"/>
                          </w:rPr>
                          <w:t>求不景气，暂停该项目后续投入。同时因光伏市场行情的变化，需求量萎缩，导致未达到预期收益</w:t>
                        </w:r>
                      </w:p>
                    </w:tc>
                  </w:tr>
                  <w:tr>
                    <w:trPr>
                      <w:trHeight w:val="161"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9" w:lineRule="auto" w:before="49"/>
                          <w:ind w:left="16" w:right="23"/>
                          <w:jc w:val="both"/>
                          <w:rPr>
                            <w:rFonts w:ascii="宋体" w:hAnsi="宋体" w:cs="宋体" w:eastAsia="宋体" w:hint="default"/>
                            <w:sz w:val="18"/>
                            <w:szCs w:val="18"/>
                          </w:rPr>
                        </w:pPr>
                        <w:r>
                          <w:rPr>
                            <w:rFonts w:ascii="宋体" w:hAnsi="宋体" w:cs="宋体" w:eastAsia="宋体" w:hint="default"/>
                            <w:sz w:val="18"/>
                            <w:szCs w:val="18"/>
                          </w:rPr>
                          <w:t>因光伏市场行情的变化，需求量萎缩，公司暂停年产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太阳能电池胶膜扩建项目 的后期设备投入，未来管理层将视市场情况决定该项目后期投入进度。除此之外，其他项目可行性 未发生重大变化。</w:t>
                        </w:r>
                      </w:p>
                    </w:tc>
                  </w:tr>
                  <w:tr>
                    <w:trPr>
                      <w:trHeight w:val="703"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vMerge/>
                        <w:tcBorders>
                          <w:left w:val="single" w:sz="10" w:space="0" w:color="D2D2D2"/>
                          <w:right w:val="single" w:sz="4" w:space="0" w:color="000000"/>
                        </w:tcBorders>
                      </w:tcPr>
                      <w:p>
                        <w:pPr/>
                      </w:p>
                    </w:tc>
                  </w:tr>
                  <w:tr>
                    <w:trPr>
                      <w:trHeight w:val="161"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3" w:hRule="exact"/>
                    </w:trPr>
                    <w:tc>
                      <w:tcPr>
                        <w:tcW w:w="1760"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3"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日第一届董事第一次临时会议审议通过了《关于使用超募资金归还银行贷款</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和永久性补充流动资金的议案</w:t>
                        </w:r>
                        <w:r>
                          <w:rPr>
                            <w:rFonts w:ascii="宋体" w:hAnsi="宋体" w:cs="宋体" w:eastAsia="宋体" w:hint="default"/>
                            <w:spacing w:val="-89"/>
                            <w:sz w:val="18"/>
                            <w:szCs w:val="18"/>
                          </w:rPr>
                          <w:t>》</w:t>
                        </w:r>
                        <w:r>
                          <w:rPr>
                            <w:rFonts w:ascii="宋体" w:hAnsi="宋体" w:cs="宋体" w:eastAsia="宋体" w:hint="default"/>
                            <w:sz w:val="18"/>
                            <w:szCs w:val="18"/>
                          </w:rPr>
                          <w:t>，拟使用超募资金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元用于归还银行贷款和永久性补充流</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动资金，其中</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26,000.00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万元用于归还银行贷款，</w:t>
                        </w:r>
                        <w:r>
                          <w:rPr>
                            <w:rFonts w:ascii="Times New Roman" w:hAnsi="Times New Roman" w:cs="Times New Roman" w:eastAsia="Times New Roman" w:hint="default"/>
                            <w:sz w:val="18"/>
                            <w:szCs w:val="18"/>
                          </w:rPr>
                          <w:t>2,569.47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万元用于永久性补充流动资金，并于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2011</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日进行了公告。于</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日第一届董事会第三次临时会议审议通过了《关于修</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正部分超募资金使用计划的议案</w:t>
                        </w:r>
                        <w:r>
                          <w:rPr>
                            <w:rFonts w:ascii="宋体" w:hAnsi="宋体" w:cs="宋体" w:eastAsia="宋体" w:hint="default"/>
                            <w:spacing w:val="-92"/>
                            <w:sz w:val="18"/>
                            <w:szCs w:val="18"/>
                          </w:rPr>
                          <w:t>》</w:t>
                        </w:r>
                        <w:r>
                          <w:rPr>
                            <w:rFonts w:ascii="宋体" w:hAnsi="宋体" w:cs="宋体" w:eastAsia="宋体" w:hint="default"/>
                            <w:sz w:val="18"/>
                            <w:szCs w:val="18"/>
                          </w:rPr>
                          <w:t>，同意拟修正超募资金</w:t>
                        </w:r>
                        <w:r>
                          <w:rPr>
                            <w:rFonts w:ascii="宋体" w:hAnsi="宋体" w:cs="宋体" w:eastAsia="宋体" w:hint="default"/>
                            <w:spacing w:val="2"/>
                            <w:sz w:val="18"/>
                            <w:szCs w:val="18"/>
                          </w:rPr>
                          <w:t>总</w:t>
                        </w:r>
                        <w:r>
                          <w:rPr>
                            <w:rFonts w:ascii="宋体" w:hAnsi="宋体" w:cs="宋体" w:eastAsia="宋体" w:hint="default"/>
                            <w:sz w:val="18"/>
                            <w:szCs w:val="18"/>
                          </w:rPr>
                          <w:t>计</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万元人民币的使</w:t>
                        </w:r>
                        <w:r>
                          <w:rPr>
                            <w:rFonts w:ascii="宋体" w:hAnsi="宋体" w:cs="宋体" w:eastAsia="宋体" w:hint="default"/>
                            <w:spacing w:val="-3"/>
                            <w:sz w:val="18"/>
                            <w:szCs w:val="18"/>
                          </w:rPr>
                          <w:t>用</w:t>
                        </w:r>
                        <w:r>
                          <w:rPr>
                            <w:rFonts w:ascii="宋体" w:hAnsi="宋体" w:cs="宋体" w:eastAsia="宋体" w:hint="default"/>
                            <w:sz w:val="18"/>
                            <w:szCs w:val="18"/>
                          </w:rPr>
                          <w:t>计划，其</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万元用于归还银行贷款，</w:t>
                        </w:r>
                        <w:r>
                          <w:rPr>
                            <w:rFonts w:ascii="Times New Roman" w:hAnsi="Times New Roman" w:cs="Times New Roman" w:eastAsia="Times New Roman" w:hint="default"/>
                            <w:sz w:val="18"/>
                            <w:szCs w:val="18"/>
                          </w:rPr>
                          <w:t>19,569.47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万元用于永久补充流动资金，并于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日进行了公告。目前，超募资金已按照公告内容划出专户并投入使用。</w:t>
                        </w:r>
                      </w:p>
                    </w:tc>
                  </w:tr>
                  <w:tr>
                    <w:trPr>
                      <w:trHeight w:val="706"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tcBorders>
                          <w:left w:val="single" w:sz="10" w:space="0" w:color="D2D2D2"/>
                          <w:right w:val="single" w:sz="4" w:space="0" w:color="000000"/>
                        </w:tcBorders>
                      </w:tcPr>
                      <w:p>
                        <w:pPr/>
                      </w:p>
                    </w:tc>
                  </w:tr>
                  <w:tr>
                    <w:trPr>
                      <w:trHeight w:val="984"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715"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60"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39"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日，公司第一届董事会第四次临时会议审议通过了《江苏爱康太阳能科技股份有限</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公司关于以募集资金置换预先已投入募投项目的自筹资金的议案</w:t>
                        </w:r>
                        <w:r>
                          <w:rPr>
                            <w:rFonts w:ascii="宋体" w:hAnsi="宋体" w:cs="宋体" w:eastAsia="宋体" w:hint="default"/>
                            <w:spacing w:val="-92"/>
                            <w:sz w:val="18"/>
                            <w:szCs w:val="18"/>
                          </w:rPr>
                          <w:t>》</w:t>
                        </w:r>
                        <w:r>
                          <w:rPr>
                            <w:rFonts w:ascii="宋体" w:hAnsi="宋体" w:cs="宋体" w:eastAsia="宋体" w:hint="default"/>
                            <w:sz w:val="18"/>
                            <w:szCs w:val="18"/>
                          </w:rPr>
                          <w:t>，决定用募集资金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置换预先已投入募集资金项目的自筹资金，并于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日进行了公告。公司于</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年置换</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17,547.63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万元，于本年置换金额为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1,430.03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日，公司总应置换</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18,977.66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总实际置换金额为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18,977.66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万元。置换自筹资金具体情况如下：账户</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641401040008554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中应置换金额为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8,327.30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万元，实际置换金额为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8,327.30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万元；账户</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32201986236051508756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中应置换金额为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6,252.73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万元，实际置换金额为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6,252.73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万元；账户</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458558718678 </w:t>
                        </w:r>
                        <w:r>
                          <w:rPr>
                            <w:rFonts w:ascii="宋体" w:hAnsi="宋体" w:cs="宋体" w:eastAsia="宋体" w:hint="default"/>
                            <w:sz w:val="18"/>
                            <w:szCs w:val="18"/>
                          </w:rPr>
                          <w:t>中应置换金额为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4,397.63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万元，实际置换金额为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4,397.63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06" w:hRule="exact"/>
                    </w:trPr>
                    <w:tc>
                      <w:tcPr>
                        <w:tcW w:w="17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vMerge/>
                        <w:tcBorders>
                          <w:left w:val="single" w:sz="10" w:space="0" w:color="D2D2D2"/>
                          <w:right w:val="single" w:sz="4" w:space="0" w:color="000000"/>
                        </w:tcBorders>
                      </w:tcPr>
                      <w:p>
                        <w:pPr/>
                      </w:p>
                    </w:tc>
                  </w:tr>
                  <w:tr>
                    <w:trPr>
                      <w:trHeight w:val="1140"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187" w:hRule="exact"/>
                    </w:trPr>
                    <w:tc>
                      <w:tcPr>
                        <w:tcW w:w="17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16" w:hRule="exact"/>
                    </w:trPr>
                    <w:tc>
                      <w:tcPr>
                        <w:tcW w:w="17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87" w:hRule="exact"/>
                    </w:trPr>
                    <w:tc>
                      <w:tcPr>
                        <w:tcW w:w="1760"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日召开的第一届董事会第十三次临时会议审议通过了《关于使用部分闲置募集资金 暂时补充流动资金的议案》的议案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同意将</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万平方米</w:t>
                        </w:r>
                        <w:r>
                          <w:rPr>
                            <w:rFonts w:ascii="宋体" w:hAnsi="宋体" w:cs="宋体" w:eastAsia="宋体" w:hint="default"/>
                            <w:spacing w:val="-49"/>
                            <w:sz w:val="18"/>
                            <w:szCs w:val="18"/>
                          </w:rPr>
                          <w:t> </w:t>
                        </w: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太阳能电池胶膜扩建项目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闲置</w:t>
                        </w:r>
                      </w:p>
                    </w:tc>
                  </w:tr>
                  <w:tr>
                    <w:trPr>
                      <w:trHeight w:val="187" w:hRule="exact"/>
                    </w:trPr>
                    <w:tc>
                      <w:tcPr>
                        <w:tcW w:w="17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44"/>
        <w:ind w:left="0" w:right="1137"/>
        <w:jc w:val="right"/>
      </w:pPr>
      <w:r>
        <w:rPr/>
        <w:pict>
          <v:shape style="position:absolute;margin-left:58.080002pt;margin-top:-111.75827pt;width:124.7pt;height:19.6pt;mso-position-horizontal-relative:page;mso-position-vertical-relative:paragraph;z-index:-967720" type="#_x0000_t202" filled="false" stroked="false">
            <v:textbox inset="0,0,0,0">
              <w:txbxContent>
                <w:p>
                  <w:pPr>
                    <w:pStyle w:val="BodyText"/>
                    <w:spacing w:line="240" w:lineRule="auto" w:before="49"/>
                    <w:ind w:left="0" w:right="0"/>
                    <w:jc w:val="left"/>
                  </w:pPr>
                  <w:r>
                    <w:rPr/>
                    <w:t>归还银行贷款（如有）</w:t>
                  </w:r>
                </w:p>
              </w:txbxContent>
            </v:textbox>
            <w10:wrap type="none"/>
          </v:shape>
        </w:pict>
      </w:r>
      <w:r>
        <w:rPr/>
        <w:pict>
          <v:shape style="position:absolute;margin-left:58.080002pt;margin-top:-91.718269pt;width:124.7pt;height:19.6pt;mso-position-horizontal-relative:page;mso-position-vertical-relative:paragraph;z-index:-967696" type="#_x0000_t202" filled="false" stroked="false">
            <v:textbox inset="0,0,0,0">
              <w:txbxContent>
                <w:p>
                  <w:pPr>
                    <w:pStyle w:val="BodyText"/>
                    <w:spacing w:line="240" w:lineRule="auto" w:before="49"/>
                    <w:ind w:left="0" w:right="0"/>
                    <w:jc w:val="left"/>
                  </w:pPr>
                  <w:r>
                    <w:rPr/>
                    <w:t>补充流动资金（如有）</w:t>
                  </w:r>
                </w:p>
              </w:txbxContent>
            </v:textbox>
            <w10:wrap type="none"/>
          </v:shape>
        </w:pict>
      </w:r>
      <w:r>
        <w:rPr/>
        <w:t>。</w:t>
      </w:r>
    </w:p>
    <w:p>
      <w:pPr>
        <w:spacing w:after="0" w:line="240" w:lineRule="auto"/>
        <w:jc w:val="right"/>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161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5,800.00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万元暂时补充流动资金。使用期限不超过六个月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到期期限为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日。</w:t>
            </w:r>
            <w:r>
              <w:rPr>
                <w:rFonts w:ascii="Times New Roman" w:hAnsi="Times New Roman" w:cs="Times New Roman" w:eastAsia="Times New Roman" w:hint="default"/>
                <w:spacing w:val="-11"/>
                <w:sz w:val="18"/>
                <w:szCs w:val="18"/>
              </w:rPr>
              <w:t>2012</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日到期归还了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万元暂时补充流动资金。</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日召开的第一届董事会 第二十一次临时会议审议通过了《关于再次使用闲置募集资金暂时补充流动资金的议案》的议案</w:t>
            </w:r>
            <w:r>
              <w:rPr>
                <w:rFonts w:ascii="Times New Roman" w:hAnsi="Times New Roman" w:cs="Times New Roman" w:eastAsia="Times New Roman" w:hint="default"/>
                <w:sz w:val="18"/>
                <w:szCs w:val="18"/>
              </w:rPr>
              <w:t>, </w:t>
            </w:r>
            <w:r>
              <w:rPr>
                <w:rFonts w:ascii="宋体" w:hAnsi="宋体" w:cs="宋体" w:eastAsia="宋体" w:hint="default"/>
                <w:sz w:val="18"/>
                <w:szCs w:val="18"/>
              </w:rPr>
              <w:t>同意将该项目闲置资金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万元再次用于补充流动资金。截止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5,800.00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元资金已经从募集资金专户划出并投入使用。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尚未使用的募集资金在募集资金专户存储或根据上述决议用于补充流动资金。</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未有异常</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主要子公司、参股公司情况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9"/>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南通爱康 金属科技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pacing w:val="-3"/>
                <w:sz w:val="18"/>
                <w:szCs w:val="18"/>
              </w:rPr>
              <w:t>型材、边框</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27930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646,409,33</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6.56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249,169,70</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0.02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329,134,74</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7.97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-35,238,4</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96.39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-26,029,803.8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苏州爱康 薄膜新材 料有限公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8"/>
                <w:sz w:val="18"/>
              </w:rPr>
              <w:t>EVA</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28660.8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383,392,54</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5.19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267,463,19</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9.63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48,146,987.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-19,249,5</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85.97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-12,982,222.3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苏州爱康 金属科技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安装支架</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18704.8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412,188,38</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2.81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188,413,69</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0.42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207,532,09</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5.89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9,197,206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7,298,596.11</w:t>
            </w:r>
          </w:p>
        </w:tc>
      </w:tr>
      <w:tr>
        <w:trPr>
          <w:trHeight w:val="134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佛山市同 兴太阳能 器材有限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边框</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5,971,284.7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5,971,284.7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275,714.96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-1,894,40</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0.19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-3,031,986.03</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无锡爱康 太阳能电 子科技有 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接线盒</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21,516,989.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-696,227.44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14,274,099.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-5,688,95</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1.57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-5,614,940.72</w:t>
            </w:r>
          </w:p>
        </w:tc>
      </w:tr>
      <w:tr>
        <w:trPr>
          <w:trHeight w:val="40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江阴爱康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焊带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9" w:right="0"/>
              <w:jc w:val="left"/>
              <w:rPr>
                <w:rFonts w:ascii="Times New Roman" w:hAnsi="Times New Roman" w:cs="Times New Roman" w:eastAsia="Times New Roman" w:hint="default"/>
                <w:sz w:val="18"/>
                <w:szCs w:val="18"/>
              </w:rPr>
            </w:pPr>
            <w:r>
              <w:rPr>
                <w:rFonts w:ascii="Times New Roman"/>
                <w:sz w:val="18"/>
              </w:rPr>
              <w:t>18,248,372.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center"/>
              <w:rPr>
                <w:rFonts w:ascii="Times New Roman" w:hAnsi="Times New Roman" w:cs="Times New Roman" w:eastAsia="Times New Roman" w:hint="default"/>
                <w:sz w:val="18"/>
                <w:szCs w:val="18"/>
              </w:rPr>
            </w:pPr>
            <w:r>
              <w:rPr>
                <w:rFonts w:ascii="Times New Roman"/>
                <w:sz w:val="18"/>
              </w:rPr>
              <w:t>10,311,635.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15,749,199.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7" w:right="0"/>
              <w:jc w:val="left"/>
              <w:rPr>
                <w:rFonts w:ascii="Times New Roman" w:hAnsi="Times New Roman" w:cs="Times New Roman" w:eastAsia="Times New Roman" w:hint="default"/>
                <w:sz w:val="18"/>
                <w:szCs w:val="18"/>
              </w:rPr>
            </w:pPr>
            <w:r>
              <w:rPr>
                <w:rFonts w:ascii="Times New Roman"/>
                <w:sz w:val="18"/>
              </w:rPr>
              <w:t>435,605.7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327,443.72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67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0"/>
              <w:jc w:val="left"/>
              <w:rPr>
                <w:rFonts w:ascii="宋体" w:hAnsi="宋体" w:cs="宋体" w:eastAsia="宋体" w:hint="default"/>
                <w:sz w:val="18"/>
                <w:szCs w:val="18"/>
              </w:rPr>
            </w:pPr>
            <w:r>
              <w:rPr>
                <w:rFonts w:ascii="宋体" w:hAnsi="宋体" w:cs="宋体" w:eastAsia="宋体" w:hint="default"/>
                <w:sz w:val="18"/>
                <w:szCs w:val="18"/>
              </w:rPr>
              <w:t>光伏焊带 有限公司</w:t>
            </w:r>
          </w:p>
        </w:tc>
        <w:tc>
          <w:tcPr>
            <w:tcW w:w="1075"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63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苏州爱康 电力开发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88"/>
              <w:jc w:val="left"/>
              <w:rPr>
                <w:rFonts w:ascii="宋体" w:hAnsi="宋体" w:cs="宋体" w:eastAsia="宋体" w:hint="default"/>
                <w:sz w:val="18"/>
                <w:szCs w:val="18"/>
              </w:rPr>
            </w:pPr>
            <w:r>
              <w:rPr>
                <w:rFonts w:ascii="宋体" w:hAnsi="宋体" w:cs="宋体" w:eastAsia="宋体" w:hint="default"/>
                <w:sz w:val="18"/>
                <w:szCs w:val="18"/>
              </w:rPr>
              <w:t>投资和贸 易</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光伏光热 电站投资 和贸易</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461,415,63</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6.05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71,116,439.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336,866,02</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3.80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4,698,985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21,116,439.3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香港爱康 电力国际 控股有限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87"/>
              <w:jc w:val="left"/>
              <w:rPr>
                <w:rFonts w:ascii="宋体" w:hAnsi="宋体" w:cs="宋体" w:eastAsia="宋体" w:hint="default"/>
                <w:sz w:val="18"/>
                <w:szCs w:val="18"/>
              </w:rPr>
            </w:pPr>
            <w:r>
              <w:rPr>
                <w:rFonts w:ascii="宋体" w:hAnsi="宋体" w:cs="宋体" w:eastAsia="宋体" w:hint="default"/>
                <w:sz w:val="18"/>
                <w:szCs w:val="18"/>
              </w:rPr>
              <w:t>投资和贸 易</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65,039,455.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65,039,455.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68,790.15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68,790.15</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张家港保 税区爱康 商贸有限 责任公司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15,663,453.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15,607,265.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15,243,600.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-1,208,57</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9.49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-953,443.19</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广东爱康 太阳能科 技有限公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87"/>
              <w:jc w:val="left"/>
              <w:rPr>
                <w:rFonts w:ascii="宋体" w:hAnsi="宋体" w:cs="宋体" w:eastAsia="宋体" w:hint="default"/>
                <w:sz w:val="18"/>
                <w:szCs w:val="18"/>
              </w:rPr>
            </w:pPr>
            <w:r>
              <w:rPr>
                <w:rFonts w:ascii="宋体" w:hAnsi="宋体" w:cs="宋体" w:eastAsia="宋体" w:hint="default"/>
                <w:sz w:val="18"/>
                <w:szCs w:val="18"/>
              </w:rPr>
              <w:t>太阳能电 池片</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2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11111.12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 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1,986,147,3</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47.24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504,953,69</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2.29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1,029,669,8</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23.73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-8,804,41</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9.12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29,163,763.7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江苏爱通 新能源科 技有限公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87"/>
              <w:jc w:val="both"/>
              <w:rPr>
                <w:rFonts w:ascii="宋体" w:hAnsi="宋体" w:cs="宋体" w:eastAsia="宋体" w:hint="default"/>
                <w:sz w:val="18"/>
                <w:szCs w:val="18"/>
              </w:rPr>
            </w:pPr>
            <w:r>
              <w:rPr>
                <w:rFonts w:ascii="宋体" w:hAnsi="宋体" w:cs="宋体" w:eastAsia="宋体" w:hint="default"/>
                <w:sz w:val="18"/>
                <w:szCs w:val="18"/>
              </w:rPr>
              <w:t>新能源建 筑研究开 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1,198,589.1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748,556.93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41,153.85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-1,767,33</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3.56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-1,767,333.56</w:t>
            </w:r>
          </w:p>
        </w:tc>
      </w:tr>
    </w:tbl>
    <w:p>
      <w:pPr>
        <w:spacing w:line="360" w:lineRule="auto" w:before="49"/>
        <w:ind w:left="152" w:right="8043"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w:t>
      </w:r>
      <w:r>
        <w:rPr>
          <w:rFonts w:ascii="宋体" w:hAnsi="宋体" w:cs="宋体" w:eastAsia="宋体" w:hint="default"/>
          <w:b/>
          <w:bCs/>
          <w:sz w:val="18"/>
          <w:szCs w:val="18"/>
        </w:rPr>
        <w:t>报告期内取得和处置子公司的情况</w:t>
      </w:r>
      <w:r>
        <w:rPr>
          <w:rFonts w:ascii="宋体" w:hAnsi="宋体" w:cs="宋体" w:eastAsia="宋体" w:hint="default"/>
          <w:sz w:val="18"/>
          <w:szCs w:val="18"/>
        </w:rPr>
      </w:r>
    </w:p>
    <w:p>
      <w:pPr>
        <w:pStyle w:val="BodyText"/>
        <w:spacing w:line="240" w:lineRule="auto" w:before="2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青海电厂一二期项 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1,972.16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39,489.83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1,546.89</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青海电厂三期</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 </w:t>
            </w: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16,778.23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16,778.23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92.94%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新疆电厂一期</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 </w:t>
            </w: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22,343.61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22,343.61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90.41%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青海公共租赁房项 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青海支架厂房项目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47.28%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91,020.65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42,112.16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79,629.83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11"/>
        <w:rPr>
          <w:rFonts w:ascii="宋体" w:hAnsi="宋体" w:cs="宋体" w:eastAsia="宋体" w:hint="default"/>
          <w:sz w:val="28"/>
          <w:szCs w:val="28"/>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pt;height:20.150pt;mso-position-horizontal-relative:char;mso-position-vertical-relative:line" type="#_x0000_t202" filled="true" fillcolor="#d2d2d2" stroked="true" strokeweight=".48pt" strokecolor="#000000">
            <w10:anchorlock/>
            <v:textbox inset="0,0,0,0">
              <w:txbxContent>
                <w:p>
                  <w:pPr>
                    <w:pStyle w:val="BodyText"/>
                    <w:spacing w:line="240" w:lineRule="auto" w:before="49"/>
                    <w:ind w:left="0" w:right="1"/>
                    <w:jc w:val="center"/>
                  </w:pPr>
                  <w:r>
                    <w:rPr/>
                    <w:t>非募集资金投资的重大项目情况说明</w:t>
                  </w:r>
                </w:p>
              </w:txbxContent>
            </v:textbox>
            <v:fill type="solid"/>
          </v:shape>
        </w:pict>
      </w:r>
      <w:r>
        <w:rPr>
          <w:rFonts w:ascii="宋体" w:hAnsi="宋体" w:cs="宋体" w:eastAsia="宋体" w:hint="default"/>
          <w:position w:val="-7"/>
          <w:sz w:val="20"/>
          <w:szCs w:val="20"/>
        </w:rPr>
      </w:r>
    </w:p>
    <w:p>
      <w:pPr>
        <w:spacing w:line="240" w:lineRule="auto" w:before="7"/>
        <w:rPr>
          <w:rFonts w:ascii="宋体" w:hAnsi="宋体" w:cs="宋体" w:eastAsia="宋体" w:hint="default"/>
          <w:sz w:val="18"/>
          <w:szCs w:val="18"/>
        </w:rPr>
      </w:pPr>
    </w:p>
    <w:p>
      <w:pPr>
        <w:pStyle w:val="Heading2"/>
        <w:spacing w:line="240" w:lineRule="auto" w:before="26"/>
        <w:ind w:right="1115"/>
        <w:jc w:val="left"/>
        <w:rPr>
          <w:b w:val="0"/>
          <w:bCs w:val="0"/>
        </w:rPr>
      </w:pPr>
      <w:r>
        <w:rPr/>
        <w:t>七、公司控制的特殊目的主体情况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公司不存在控制的特殊目的实体情况</w:t>
      </w:r>
    </w:p>
    <w:p>
      <w:pPr>
        <w:spacing w:line="240" w:lineRule="auto" w:before="3"/>
        <w:rPr>
          <w:rFonts w:ascii="宋体" w:hAnsi="宋体" w:cs="宋体" w:eastAsia="宋体" w:hint="default"/>
          <w:sz w:val="25"/>
          <w:szCs w:val="25"/>
        </w:rPr>
      </w:pPr>
    </w:p>
    <w:p>
      <w:pPr>
        <w:pStyle w:val="Heading2"/>
        <w:spacing w:line="240" w:lineRule="auto"/>
        <w:ind w:right="1115"/>
        <w:jc w:val="left"/>
        <w:rPr>
          <w:b w:val="0"/>
          <w:bCs w:val="0"/>
        </w:rPr>
      </w:pPr>
      <w:r>
        <w:rPr/>
        <w:t>八、公司未来发展的展望</w:t>
      </w:r>
      <w:r>
        <w:rPr>
          <w:b w:val="0"/>
          <w:bCs w:val="0"/>
        </w:rPr>
      </w:r>
    </w:p>
    <w:p>
      <w:pPr>
        <w:spacing w:line="240" w:lineRule="auto" w:before="10"/>
        <w:rPr>
          <w:rFonts w:ascii="宋体" w:hAnsi="宋体" w:cs="宋体" w:eastAsia="宋体" w:hint="default"/>
          <w:b/>
          <w:bCs/>
          <w:sz w:val="22"/>
          <w:szCs w:val="22"/>
        </w:rPr>
      </w:pPr>
    </w:p>
    <w:p>
      <w:pPr>
        <w:spacing w:before="0"/>
        <w:ind w:left="633" w:right="1115" w:firstLine="0"/>
        <w:jc w:val="left"/>
        <w:rPr>
          <w:rFonts w:ascii="宋体" w:hAnsi="宋体" w:cs="宋体" w:eastAsia="宋体" w:hint="default"/>
          <w:sz w:val="24"/>
          <w:szCs w:val="24"/>
        </w:rPr>
      </w:pPr>
      <w:r>
        <w:rPr>
          <w:rFonts w:ascii="宋体" w:hAnsi="宋体" w:cs="宋体" w:eastAsia="宋体" w:hint="default"/>
          <w:b/>
          <w:bCs/>
          <w:sz w:val="24"/>
          <w:szCs w:val="24"/>
        </w:rPr>
        <w:t>（一）行业竞争格局和发展趋势。</w:t>
      </w:r>
      <w:r>
        <w:rPr>
          <w:rFonts w:ascii="宋体" w:hAnsi="宋体" w:cs="宋体" w:eastAsia="宋体" w:hint="default"/>
          <w:sz w:val="24"/>
          <w:szCs w:val="24"/>
        </w:rPr>
      </w:r>
    </w:p>
    <w:p>
      <w:pPr>
        <w:pStyle w:val="BodyText"/>
        <w:spacing w:line="316" w:lineRule="auto" w:before="85"/>
        <w:ind w:right="1135" w:firstLine="480"/>
        <w:jc w:val="both"/>
      </w:pPr>
      <w:r>
        <w:rPr>
          <w:spacing w:val="-1"/>
        </w:rPr>
        <w:t>公司主营产品属光伏太阳能配件，目前也正在涉足太阳能电站等终端应用产品。公司经营状况和光伏太阳能行业发展</w:t>
      </w:r>
      <w:r>
        <w:rPr/>
        <w:t> 强相关。</w:t>
      </w:r>
    </w:p>
    <w:p>
      <w:pPr>
        <w:pStyle w:val="BodyText"/>
        <w:spacing w:line="304" w:lineRule="auto" w:before="59"/>
        <w:ind w:right="0" w:firstLine="480"/>
        <w:jc w:val="left"/>
      </w:pPr>
      <w:r>
        <w:rPr>
          <w:rFonts w:ascii="Times New Roman" w:hAnsi="Times New Roman" w:cs="Times New Roman" w:eastAsia="Times New Roman" w:hint="default"/>
        </w:rPr>
        <w:t>1</w:t>
      </w:r>
      <w:r>
        <w:rPr/>
        <w:t>、行业仍处于阶段性低迷阶段。报告期内国内光伏企业面临困境的主要原因在于一方面受西方债务危机及全球经济 不景气的影响，光伏安装量增幅下降，需求呈阶段性萎缩，同时因美国和欧洲的</w:t>
      </w:r>
      <w:r>
        <w:rPr>
          <w:rFonts w:ascii="Times New Roman" w:hAnsi="Times New Roman" w:cs="Times New Roman" w:eastAsia="Times New Roman" w:hint="default"/>
        </w:rPr>
        <w:t>“</w:t>
      </w:r>
      <w:r>
        <w:rPr/>
        <w:t>双反</w:t>
      </w:r>
      <w:r>
        <w:rPr>
          <w:rFonts w:ascii="Times New Roman" w:hAnsi="Times New Roman" w:cs="Times New Roman" w:eastAsia="Times New Roman" w:hint="default"/>
        </w:rPr>
        <w:t>”</w:t>
      </w:r>
      <w:r>
        <w:rPr/>
        <w:t>政策，国内光伏企业处境更显艰难；</w:t>
      </w:r>
      <w:r>
        <w:rPr>
          <w:spacing w:val="-64"/>
        </w:rPr>
        <w:t> </w:t>
      </w:r>
      <w:r>
        <w:rPr>
          <w:spacing w:val="-64"/>
        </w:rPr>
      </w:r>
      <w:r>
        <w:rPr>
          <w:spacing w:val="-2"/>
        </w:rPr>
        <w:t>另一方面，因政策和利益驱动，国内光伏投资过热，产能过剩严重，导致产品价格下降，利润下滑明显，光伏企业的资产负</w:t>
      </w:r>
      <w:r>
        <w:rPr>
          <w:spacing w:val="-68"/>
        </w:rPr>
        <w:t> </w:t>
      </w:r>
      <w:r>
        <w:rPr>
          <w:spacing w:val="-68"/>
        </w:rPr>
      </w:r>
      <w:r>
        <w:rPr>
          <w:spacing w:val="-2"/>
        </w:rPr>
        <w:t>债率不断增长，部分企业甚至面临现金链断裂的风险，同时部分光伏企业开始退出市场竞争，中国光伏产业联盟表示，</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11"/>
        </w:rPr>
        <w:t> </w:t>
      </w:r>
      <w:r>
        <w:rPr/>
        <w:t>年底已有近</w:t>
      </w:r>
      <w:r>
        <w:rPr>
          <w:rFonts w:ascii="Times New Roman" w:hAnsi="Times New Roman" w:cs="Times New Roman" w:eastAsia="Times New Roman" w:hint="default"/>
        </w:rPr>
        <w:t>90%</w:t>
      </w:r>
      <w:r>
        <w:rPr/>
        <w:t>的多晶硅企业停产。中国光伏企业整体生存环境较为恶劣。</w:t>
      </w:r>
    </w:p>
    <w:p>
      <w:pPr>
        <w:pStyle w:val="BodyText"/>
        <w:spacing w:line="300" w:lineRule="auto" w:before="50"/>
        <w:ind w:right="1130" w:firstLine="480"/>
        <w:jc w:val="both"/>
      </w:pPr>
      <w:r>
        <w:rPr>
          <w:rFonts w:ascii="Times New Roman" w:hAnsi="Times New Roman" w:cs="Times New Roman" w:eastAsia="Times New Roman" w:hint="default"/>
        </w:rPr>
        <w:t>2</w:t>
      </w:r>
      <w:r>
        <w:rPr/>
        <w:t>、国内市场需求增加带来发展机会。虽然行业面临阶段性困难，但光伏太阳能作为解决能源危机和节能减排的战略 意义仍然是存在的。</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月，国家能源局发布了《太阳能发电发展</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规划》，具体发展目标为：到</w:t>
      </w:r>
      <w:r>
        <w:rPr>
          <w:rFonts w:ascii="Times New Roman" w:hAnsi="Times New Roman" w:cs="Times New Roman" w:eastAsia="Times New Roman" w:hint="default"/>
        </w:rPr>
        <w:t>2015</w:t>
      </w:r>
      <w:r>
        <w:rPr/>
        <w:t>年底，太</w:t>
      </w:r>
      <w:r>
        <w:rPr>
          <w:spacing w:val="-55"/>
        </w:rPr>
        <w:t> </w:t>
      </w:r>
      <w:r>
        <w:rPr>
          <w:spacing w:val="-1"/>
        </w:rPr>
        <w:t>阳能发电装机容量达到</w:t>
      </w:r>
      <w:r>
        <w:rPr>
          <w:rFonts w:ascii="Times New Roman" w:hAnsi="Times New Roman" w:cs="Times New Roman" w:eastAsia="Times New Roman" w:hint="default"/>
          <w:spacing w:val="-1"/>
        </w:rPr>
        <w:t>2,100</w:t>
      </w:r>
      <w:r>
        <w:rPr>
          <w:spacing w:val="-1"/>
        </w:rPr>
        <w:t>万千瓦以上（</w:t>
      </w:r>
      <w:r>
        <w:rPr>
          <w:rFonts w:ascii="Times New Roman" w:hAnsi="Times New Roman" w:cs="Times New Roman" w:eastAsia="Times New Roman" w:hint="default"/>
          <w:spacing w:val="-1"/>
        </w:rPr>
        <w:t>21GW</w:t>
      </w:r>
      <w:r>
        <w:rPr>
          <w:spacing w:val="-1"/>
        </w:rPr>
        <w:t>），年发电量达到</w:t>
      </w:r>
      <w:r>
        <w:rPr>
          <w:rFonts w:ascii="Times New Roman" w:hAnsi="Times New Roman" w:cs="Times New Roman" w:eastAsia="Times New Roman" w:hint="default"/>
          <w:spacing w:val="-1"/>
        </w:rPr>
        <w:t>250</w:t>
      </w:r>
      <w:r>
        <w:rPr>
          <w:spacing w:val="-1"/>
        </w:rPr>
        <w:t>亿千瓦时。到</w:t>
      </w:r>
      <w:r>
        <w:rPr>
          <w:rFonts w:ascii="Times New Roman" w:hAnsi="Times New Roman" w:cs="Times New Roman" w:eastAsia="Times New Roman" w:hint="default"/>
          <w:spacing w:val="-1"/>
        </w:rPr>
        <w:t>2020</w:t>
      </w:r>
      <w:r>
        <w:rPr>
          <w:spacing w:val="-1"/>
        </w:rPr>
        <w:t>年太阳能发电总装机容量达到</w:t>
      </w:r>
      <w:r>
        <w:rPr>
          <w:rFonts w:ascii="Times New Roman" w:hAnsi="Times New Roman" w:cs="Times New Roman" w:eastAsia="Times New Roman" w:hint="default"/>
          <w:spacing w:val="-1"/>
        </w:rPr>
        <w:t>5,000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万千瓦，使我国太阳能发电产业达到国际先进水平。近期，国家能源局可再生能源司相关人士表示：中国光伏产业发展</w:t>
      </w:r>
      <w:r>
        <w:rPr>
          <w:rFonts w:ascii="Times New Roman" w:hAnsi="Times New Roman" w:cs="Times New Roman" w:eastAsia="Times New Roman" w:hint="default"/>
        </w:rPr>
        <w:t>“</w:t>
      </w:r>
      <w:r>
        <w:rPr/>
        <w:t>十</w:t>
      </w:r>
      <w:r>
        <w:rPr>
          <w:spacing w:val="-73"/>
        </w:rPr>
        <w:t> </w:t>
      </w:r>
      <w:r>
        <w:rPr/>
        <w:t>二五</w:t>
      </w:r>
      <w:r>
        <w:rPr>
          <w:rFonts w:ascii="Times New Roman" w:hAnsi="Times New Roman" w:cs="Times New Roman" w:eastAsia="Times New Roman" w:hint="default"/>
        </w:rPr>
        <w:t>”</w:t>
      </w:r>
      <w:r>
        <w:rPr/>
        <w:t>目标已进行新的调整，从之前公布的光伏发电装机容量</w:t>
      </w:r>
      <w:r>
        <w:rPr>
          <w:rFonts w:ascii="Times New Roman" w:hAnsi="Times New Roman" w:cs="Times New Roman" w:eastAsia="Times New Roman" w:hint="default"/>
        </w:rPr>
        <w:t>21GW</w:t>
      </w:r>
      <w:r>
        <w:rPr/>
        <w:t>，扩大到</w:t>
      </w:r>
      <w:r>
        <w:rPr>
          <w:rFonts w:ascii="Times New Roman" w:hAnsi="Times New Roman" w:cs="Times New Roman" w:eastAsia="Times New Roman" w:hint="default"/>
        </w:rPr>
        <w:t>35GW</w:t>
      </w:r>
      <w:r>
        <w:rPr/>
        <w:t>，市场需求更显乐观。</w:t>
      </w:r>
    </w:p>
    <w:p>
      <w:pPr>
        <w:pStyle w:val="BodyText"/>
        <w:spacing w:line="312" w:lineRule="auto" w:before="51"/>
        <w:ind w:right="1129" w:firstLine="470"/>
        <w:jc w:val="both"/>
      </w:pPr>
      <w:r>
        <w:rPr/>
        <w:t>分布式光伏发电的发展对我国光伏产业发展也将带来积极影响。</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月国家电网发布《关于做好分布式电源并网 </w:t>
      </w:r>
      <w:r>
        <w:rPr>
          <w:spacing w:val="-2"/>
        </w:rPr>
        <w:t>服务工作的意见》指出，国家电网将为分布式电源项目接入电网提供便利条件，为接入系统工程建设开辟绿色通道。建于用</w:t>
      </w:r>
      <w:r>
        <w:rPr>
          <w:spacing w:val="-63"/>
        </w:rPr>
        <w:t> </w:t>
      </w:r>
      <w:r>
        <w:rPr>
          <w:spacing w:val="-63"/>
        </w:rPr>
      </w:r>
      <w:r>
        <w:rPr>
          <w:spacing w:val="-2"/>
        </w:rPr>
        <w:t>户内部场所的分布式电源项目，发电量可以全部上网、全部自用或自发自用余电上网，由用户自行选择，用户不足电量由电</w:t>
      </w:r>
      <w:r>
        <w:rPr>
          <w:spacing w:val="-64"/>
        </w:rPr>
        <w:t> </w:t>
      </w:r>
      <w:r>
        <w:rPr>
          <w:spacing w:val="-64"/>
        </w:rPr>
      </w:r>
      <w:r>
        <w:rPr/>
        <w:t>网提供。国家电网的公开承诺对推动中国光伏发电市场发展际意义重大。</w:t>
      </w:r>
    </w:p>
    <w:p>
      <w:pPr>
        <w:pStyle w:val="BodyText"/>
        <w:spacing w:line="307" w:lineRule="auto" w:before="63"/>
        <w:ind w:right="1131" w:firstLine="482"/>
        <w:jc w:val="both"/>
      </w:pPr>
      <w:r>
        <w:rPr>
          <w:rFonts w:ascii="Times New Roman" w:hAnsi="Times New Roman" w:cs="Times New Roman" w:eastAsia="Times New Roman" w:hint="default"/>
        </w:rPr>
        <w:t>3</w:t>
      </w:r>
      <w:r>
        <w:rPr/>
        <w:t>、国外光伏生产企业将重获市场份额。目前，中国太阳能电池和组件的产量已占据世界总量的一半，我国生产企业 </w:t>
      </w:r>
      <w:r>
        <w:rPr>
          <w:spacing w:val="-2"/>
        </w:rPr>
        <w:t>技术水平先进，且具有较强的人力成本优势，因此在</w:t>
      </w:r>
      <w:r>
        <w:rPr>
          <w:rFonts w:ascii="Times New Roman" w:hAnsi="Times New Roman" w:cs="Times New Roman" w:eastAsia="Times New Roman" w:hint="default"/>
          <w:spacing w:val="-2"/>
        </w:rPr>
        <w:t>“</w:t>
      </w:r>
      <w:r>
        <w:rPr>
          <w:spacing w:val="-2"/>
        </w:rPr>
        <w:t>双反</w:t>
      </w:r>
      <w:r>
        <w:rPr>
          <w:rFonts w:ascii="Times New Roman" w:hAnsi="Times New Roman" w:cs="Times New Roman" w:eastAsia="Times New Roman" w:hint="default"/>
          <w:spacing w:val="-2"/>
        </w:rPr>
        <w:t>”</w:t>
      </w:r>
      <w:r>
        <w:rPr>
          <w:spacing w:val="-2"/>
        </w:rPr>
        <w:t>前，对于同种类的产品，美欧当地的太阳能电池及组件商并没有</w:t>
      </w:r>
      <w:r>
        <w:rPr>
          <w:spacing w:val="-44"/>
        </w:rPr>
        <w:t> </w:t>
      </w:r>
      <w:r>
        <w:rPr>
          <w:spacing w:val="-44"/>
        </w:rPr>
      </w:r>
      <w:r>
        <w:rPr>
          <w:spacing w:val="-2"/>
        </w:rPr>
        <w:t>很强的竞争优势，因此中国价廉且质量高的产品迅速占领了美欧等国家的市场，这也是众多美欧太阳能光伏企业破产的重要</w:t>
      </w:r>
      <w:r>
        <w:rPr>
          <w:spacing w:val="-63"/>
        </w:rPr>
        <w:t> </w:t>
      </w:r>
      <w:r>
        <w:rPr>
          <w:spacing w:val="-63"/>
        </w:rPr>
      </w:r>
      <w:r>
        <w:rPr/>
        <w:t>原因。</w:t>
      </w:r>
    </w:p>
    <w:p>
      <w:pPr>
        <w:pStyle w:val="BodyText"/>
        <w:spacing w:line="300" w:lineRule="auto" w:before="67"/>
        <w:ind w:right="1132" w:firstLine="470"/>
        <w:jc w:val="both"/>
      </w:pPr>
      <w:r>
        <w:rPr/>
        <w:t>美欧对于中国太阳能电池及组件企业发起的</w:t>
      </w:r>
      <w:r>
        <w:rPr>
          <w:rFonts w:ascii="Times New Roman" w:hAnsi="Times New Roman" w:cs="Times New Roman" w:eastAsia="Times New Roman" w:hint="default"/>
        </w:rPr>
        <w:t>“</w:t>
      </w:r>
      <w:r>
        <w:rPr/>
        <w:t>双反</w:t>
      </w:r>
      <w:r>
        <w:rPr>
          <w:rFonts w:ascii="Times New Roman" w:hAnsi="Times New Roman" w:cs="Times New Roman" w:eastAsia="Times New Roman" w:hint="default"/>
        </w:rPr>
        <w:t>”</w:t>
      </w:r>
      <w:r>
        <w:rPr/>
        <w:t>调查将增加国内电池及组件企业向美欧出口的难度，相当部分的中 </w:t>
      </w:r>
      <w:r>
        <w:rPr>
          <w:spacing w:val="-2"/>
        </w:rPr>
        <w:t>小企业在高税率下几乎丧失了美欧等市场。可以预见，在</w:t>
      </w:r>
      <w:r>
        <w:rPr>
          <w:rFonts w:ascii="Times New Roman" w:hAnsi="Times New Roman" w:cs="Times New Roman" w:eastAsia="Times New Roman" w:hint="default"/>
          <w:spacing w:val="-2"/>
        </w:rPr>
        <w:t>“</w:t>
      </w:r>
      <w:r>
        <w:rPr>
          <w:spacing w:val="-2"/>
        </w:rPr>
        <w:t>双反</w:t>
      </w:r>
      <w:r>
        <w:rPr>
          <w:rFonts w:ascii="Times New Roman" w:hAnsi="Times New Roman" w:cs="Times New Roman" w:eastAsia="Times New Roman" w:hint="default"/>
          <w:spacing w:val="-2"/>
        </w:rPr>
        <w:t>”</w:t>
      </w:r>
      <w:r>
        <w:rPr>
          <w:spacing w:val="-2"/>
        </w:rPr>
        <w:t>的作用下，一些美欧太阳能光伏企业将重新恢复其在美欧的</w:t>
      </w:r>
      <w:r>
        <w:rPr>
          <w:spacing w:val="-43"/>
        </w:rPr>
        <w:t> </w:t>
      </w:r>
      <w:r>
        <w:rPr>
          <w:spacing w:val="-43"/>
        </w:rPr>
      </w:r>
      <w:r>
        <w:rPr/>
        <w:t>市场。</w:t>
      </w:r>
    </w:p>
    <w:p>
      <w:pPr>
        <w:pStyle w:val="BodyText"/>
        <w:spacing w:line="240" w:lineRule="auto" w:before="70"/>
        <w:ind w:left="623" w:right="1115"/>
        <w:jc w:val="left"/>
      </w:pPr>
      <w:r>
        <w:rPr>
          <w:rFonts w:ascii="Times New Roman" w:hAnsi="Times New Roman" w:cs="Times New Roman" w:eastAsia="Times New Roman" w:hint="default"/>
          <w:spacing w:val="4"/>
        </w:rPr>
        <w:t>4</w:t>
      </w:r>
      <w:r>
        <w:rPr>
          <w:spacing w:val="4"/>
        </w:rPr>
        <w:t>、光伏发电成本逐步降低将推动市场扩张。过去十年，随着技术进步及太阳能光伏产业的规模化生产与应用，除</w:t>
      </w:r>
      <w:r>
        <w:rPr/>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2004-2007</w:t>
      </w:r>
      <w:r>
        <w:rPr/>
        <w:t>年多晶硅稀缺导致成本有小幅上涨外，太阳能组件价格不断下降，自</w:t>
      </w:r>
      <w:r>
        <w:rPr>
          <w:rFonts w:ascii="Times New Roman" w:hAnsi="Times New Roman" w:cs="Times New Roman" w:eastAsia="Times New Roman" w:hint="default"/>
        </w:rPr>
        <w:t>2000</w:t>
      </w:r>
      <w:r>
        <w:rPr/>
        <w:t>年的</w:t>
      </w:r>
      <w:r>
        <w:rPr>
          <w:rFonts w:ascii="Times New Roman" w:hAnsi="Times New Roman" w:cs="Times New Roman" w:eastAsia="Times New Roman" w:hint="default"/>
        </w:rPr>
        <w:t>4.2</w:t>
      </w:r>
      <w:r>
        <w:rPr/>
        <w:t>欧元</w:t>
      </w:r>
      <w:r>
        <w:rPr>
          <w:rFonts w:ascii="Times New Roman" w:hAnsi="Times New Roman" w:cs="Times New Roman" w:eastAsia="Times New Roman" w:hint="default"/>
        </w:rPr>
        <w:t>/</w:t>
      </w:r>
      <w:r>
        <w:rPr/>
        <w:t>瓦下降到</w:t>
      </w:r>
      <w:r>
        <w:rPr>
          <w:rFonts w:ascii="Times New Roman" w:hAnsi="Times New Roman" w:cs="Times New Roman" w:eastAsia="Times New Roman" w:hint="default"/>
        </w:rPr>
        <w:t>2012</w:t>
      </w:r>
      <w:r>
        <w:rPr/>
        <w:t>年底的不足</w:t>
      </w:r>
      <w:r>
        <w:rPr>
          <w:rFonts w:ascii="Times New Roman" w:hAnsi="Times New Roman" w:cs="Times New Roman" w:eastAsia="Times New Roman" w:hint="default"/>
        </w:rPr>
        <w:t>0.6</w:t>
      </w:r>
    </w:p>
    <w:p>
      <w:pPr>
        <w:pStyle w:val="BodyText"/>
        <w:spacing w:line="340" w:lineRule="auto" w:before="63"/>
        <w:ind w:left="633" w:right="1115" w:hanging="481"/>
        <w:jc w:val="left"/>
      </w:pPr>
      <w:r>
        <w:rPr/>
        <w:t>欧元</w:t>
      </w:r>
      <w:r>
        <w:rPr>
          <w:rFonts w:ascii="Times New Roman" w:hAnsi="Times New Roman" w:cs="Times New Roman" w:eastAsia="Times New Roman" w:hint="default"/>
        </w:rPr>
        <w:t>/</w:t>
      </w:r>
      <w:r>
        <w:rPr/>
        <w:t>瓦，价格下跌幅度超过</w:t>
      </w:r>
      <w:r>
        <w:rPr>
          <w:rFonts w:ascii="Times New Roman" w:hAnsi="Times New Roman" w:cs="Times New Roman" w:eastAsia="Times New Roman" w:hint="default"/>
        </w:rPr>
        <w:t>85%</w:t>
      </w:r>
      <w:r>
        <w:rPr/>
        <w:t>。虽然</w:t>
      </w:r>
      <w:r>
        <w:rPr>
          <w:rFonts w:ascii="Times New Roman" w:hAnsi="Times New Roman" w:cs="Times New Roman" w:eastAsia="Times New Roman" w:hint="default"/>
        </w:rPr>
        <w:t>2013</w:t>
      </w:r>
      <w:r>
        <w:rPr/>
        <w:t>年年初光伏组件价格有所反弹，但光伏发电成本下降的整体趋势不变。 </w:t>
      </w:r>
      <w:r>
        <w:rPr>
          <w:spacing w:val="-1"/>
        </w:rPr>
        <w:t>光伏行业的普及路线为：法规、政策补贴上网电价推动装机量增加、产业得到发展</w:t>
      </w:r>
      <w:r>
        <w:rPr>
          <w:rFonts w:ascii="Times New Roman" w:hAnsi="Times New Roman" w:cs="Times New Roman" w:eastAsia="Times New Roman" w:hint="default"/>
          <w:spacing w:val="-1"/>
        </w:rPr>
        <w:t>→</w:t>
      </w:r>
      <w:r>
        <w:rPr>
          <w:spacing w:val="-1"/>
        </w:rPr>
        <w:t>更多资金投入研发，导致产品价</w:t>
      </w:r>
    </w:p>
    <w:p>
      <w:pPr>
        <w:pStyle w:val="BodyText"/>
        <w:spacing w:line="228" w:lineRule="exact"/>
        <w:ind w:right="0"/>
        <w:jc w:val="left"/>
      </w:pPr>
      <w:r>
        <w:rPr/>
        <w:t>格进一步下降</w:t>
      </w:r>
      <w:r>
        <w:rPr>
          <w:rFonts w:ascii="Times New Roman" w:hAnsi="Times New Roman" w:cs="Times New Roman" w:eastAsia="Times New Roman" w:hint="default"/>
        </w:rPr>
        <w:t>→</w:t>
      </w:r>
      <w:r>
        <w:rPr/>
        <w:t>上网电价下调但电站建设仍有较好收益</w:t>
      </w:r>
      <w:r>
        <w:rPr>
          <w:rFonts w:ascii="Times New Roman" w:hAnsi="Times New Roman" w:cs="Times New Roman" w:eastAsia="Times New Roman" w:hint="default"/>
        </w:rPr>
        <w:t>→</w:t>
      </w:r>
      <w:r>
        <w:rPr/>
        <w:t>装机量进一步增加，从而形成一个良性循环过程。因此，长期来看</w:t>
      </w:r>
    </w:p>
    <w:p>
      <w:pPr>
        <w:pStyle w:val="BodyText"/>
        <w:spacing w:line="316" w:lineRule="auto" w:before="63"/>
        <w:ind w:right="1115"/>
        <w:jc w:val="left"/>
      </w:pPr>
      <w:r>
        <w:rPr>
          <w:spacing w:val="-2"/>
        </w:rPr>
        <w:t>组件价格下降将有助于缩小光伏发电成本与传统能源成本的差距，早日实现平价上网并摆脱对政府光伏扶持政策的依赖，并</w:t>
      </w:r>
      <w:r>
        <w:rPr>
          <w:spacing w:val="-64"/>
        </w:rPr>
        <w:t> </w:t>
      </w:r>
      <w:r>
        <w:rPr>
          <w:spacing w:val="-64"/>
        </w:rPr>
      </w:r>
      <w:r>
        <w:rPr/>
        <w:t>推动光伏发电市场走向进一步成熟扩张。</w:t>
      </w:r>
    </w:p>
    <w:p>
      <w:pPr>
        <w:pStyle w:val="BodyText"/>
        <w:spacing w:line="300" w:lineRule="auto" w:before="59"/>
        <w:ind w:right="1130" w:firstLine="480"/>
        <w:jc w:val="both"/>
      </w:pPr>
      <w:r>
        <w:rPr>
          <w:rFonts w:ascii="Times New Roman" w:hAnsi="Times New Roman" w:cs="Times New Roman" w:eastAsia="Times New Roman" w:hint="default"/>
        </w:rPr>
        <w:t>5</w:t>
      </w:r>
      <w:r>
        <w:rPr/>
        <w:t>、供需平衡、理性竞争的市场格局有望形成。</w:t>
      </w:r>
      <w:r>
        <w:rPr>
          <w:rFonts w:ascii="Times New Roman" w:hAnsi="Times New Roman" w:cs="Times New Roman" w:eastAsia="Times New Roman" w:hint="default"/>
        </w:rPr>
        <w:t>2013</w:t>
      </w:r>
      <w:r>
        <w:rPr/>
        <w:t>年伊始受益于下游需求持续稳定加之部分企业主动减产，硅片、 </w:t>
      </w:r>
      <w:r>
        <w:rPr>
          <w:spacing w:val="-3"/>
        </w:rPr>
        <w:t>电池片、组件价格全面上涨；同时根据</w:t>
      </w:r>
      <w:r>
        <w:rPr>
          <w:rFonts w:ascii="Times New Roman" w:hAnsi="Times New Roman" w:cs="Times New Roman" w:eastAsia="Times New Roman" w:hint="default"/>
          <w:spacing w:val="-3"/>
        </w:rPr>
        <w:t>IHS</w:t>
      </w:r>
      <w:r>
        <w:rPr>
          <w:spacing w:val="-3"/>
        </w:rPr>
        <w:t>太阳能多晶硅价格指数，</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月现货市场仅占总体多晶硅销售的</w:t>
      </w:r>
      <w:r>
        <w:rPr>
          <w:rFonts w:ascii="Times New Roman" w:hAnsi="Times New Roman" w:cs="Times New Roman" w:eastAsia="Times New Roman" w:hint="default"/>
          <w:spacing w:val="-3"/>
        </w:rPr>
        <w:t>20%</w:t>
      </w:r>
      <w:r>
        <w:rPr>
          <w:spacing w:val="-3"/>
        </w:rPr>
        <w:t>，比</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w:t>
      </w:r>
      <w:r>
        <w:rPr>
          <w:rFonts w:ascii="Times New Roman" w:hAnsi="Times New Roman" w:cs="Times New Roman" w:eastAsia="Times New Roman" w:hint="default"/>
        </w:rPr>
        <w:t>5</w:t>
      </w:r>
      <w:r>
        <w:rPr/>
        <w:t>月时达到的高峰水平</w:t>
      </w:r>
      <w:r>
        <w:rPr>
          <w:rFonts w:ascii="Times New Roman" w:hAnsi="Times New Roman" w:cs="Times New Roman" w:eastAsia="Times New Roman" w:hint="default"/>
        </w:rPr>
        <w:t>47%</w:t>
      </w:r>
      <w:r>
        <w:rPr/>
        <w:t>急剧下降，这表明经过了</w:t>
      </w:r>
      <w:r>
        <w:rPr>
          <w:rFonts w:ascii="Times New Roman" w:hAnsi="Times New Roman" w:cs="Times New Roman" w:eastAsia="Times New Roman" w:hint="default"/>
        </w:rPr>
        <w:t>2012</w:t>
      </w:r>
      <w:r>
        <w:rPr/>
        <w:t>年的行业的去库存行为，供需关系得到初步改善，光伏产品价格</w:t>
      </w:r>
      <w:r>
        <w:rPr>
          <w:spacing w:val="-59"/>
        </w:rPr>
        <w:t> </w:t>
      </w:r>
      <w:r>
        <w:rPr>
          <w:spacing w:val="-59"/>
        </w:rPr>
      </w:r>
      <w:r>
        <w:rPr/>
        <w:t>有望回到正常的估值水平。</w:t>
      </w:r>
    </w:p>
    <w:p>
      <w:pPr>
        <w:spacing w:after="0" w:line="300" w:lineRule="auto"/>
        <w:jc w:val="both"/>
        <w:sectPr>
          <w:pgSz w:w="11910" w:h="16840"/>
          <w:pgMar w:header="745" w:footer="1340" w:top="1060" w:bottom="154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45" w:firstLine="480"/>
        <w:jc w:val="both"/>
      </w:pPr>
      <w:r>
        <w:rPr/>
        <w:t>同时由于资金的压力，</w:t>
      </w:r>
      <w:r>
        <w:rPr>
          <w:rFonts w:ascii="Times New Roman" w:hAnsi="Times New Roman" w:cs="Times New Roman" w:eastAsia="Times New Roman" w:hint="default"/>
        </w:rPr>
        <w:t>2012</w:t>
      </w:r>
      <w:r>
        <w:rPr/>
        <w:t>年停产的光伏企业，尤其是资产较重的硅片和组件生产企业短时间内将较难恢复产能，供 需平衡的局面将得以维系。因光伏行业本轮的低迷，政府也开始认识到必须使用宏观调控的手段抑制光伏行业的过热投资。</w:t>
      </w:r>
    </w:p>
    <w:p>
      <w:pPr>
        <w:pStyle w:val="BodyText"/>
        <w:spacing w:line="307" w:lineRule="auto" w:before="72"/>
        <w:ind w:right="1129" w:firstLine="48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月，国家发改委向部分政府机构、相关光伏发电企业下发《关于完善光伏发电价格政策通知》的意见稿，根 </w:t>
      </w:r>
      <w:r>
        <w:rPr>
          <w:spacing w:val="-1"/>
        </w:rPr>
        <w:t>据该意见稿，光伏上网电价将从</w:t>
      </w:r>
      <w:r>
        <w:rPr>
          <w:rFonts w:ascii="Times New Roman" w:hAnsi="Times New Roman" w:cs="Times New Roman" w:eastAsia="Times New Roman" w:hint="default"/>
          <w:spacing w:val="-1"/>
        </w:rPr>
        <w:t>“</w:t>
      </w:r>
      <w:r>
        <w:rPr>
          <w:spacing w:val="-1"/>
        </w:rPr>
        <w:t>一刀切</w:t>
      </w:r>
      <w:r>
        <w:rPr>
          <w:rFonts w:ascii="Times New Roman" w:hAnsi="Times New Roman" w:cs="Times New Roman" w:eastAsia="Times New Roman" w:hint="default"/>
          <w:spacing w:val="-1"/>
        </w:rPr>
        <w:t>”</w:t>
      </w:r>
      <w:r>
        <w:rPr>
          <w:spacing w:val="-1"/>
        </w:rPr>
        <w:t>的</w:t>
      </w:r>
      <w:r>
        <w:rPr>
          <w:rFonts w:ascii="Times New Roman" w:hAnsi="Times New Roman" w:cs="Times New Roman" w:eastAsia="Times New Roman" w:hint="default"/>
          <w:spacing w:val="-1"/>
        </w:rPr>
        <w:t>1</w:t>
      </w:r>
      <w:r>
        <w:rPr>
          <w:spacing w:val="-1"/>
        </w:rPr>
        <w:t>元</w:t>
      </w:r>
      <w:r>
        <w:rPr>
          <w:rFonts w:ascii="Times New Roman" w:hAnsi="Times New Roman" w:cs="Times New Roman" w:eastAsia="Times New Roman" w:hint="default"/>
          <w:spacing w:val="-1"/>
        </w:rPr>
        <w:t>/</w:t>
      </w:r>
      <w:r>
        <w:rPr>
          <w:spacing w:val="-1"/>
        </w:rPr>
        <w:t>千瓦时，改为分四大资源区来定价，且补贴标准均有不同程度的下降。截止</w:t>
      </w:r>
      <w:r>
        <w:rPr>
          <w:spacing w:val="-55"/>
        </w:rPr>
        <w:t> </w:t>
      </w:r>
      <w:r>
        <w:rPr>
          <w:spacing w:val="-55"/>
        </w:rPr>
      </w:r>
      <w:r>
        <w:rPr>
          <w:spacing w:val="-2"/>
        </w:rPr>
        <w:t>本报告出具之日，该意见稿尚未正式确定，但从立法意义上来说，此举表明立法者希望通过价格引导等宏观调控的手段促使</w:t>
      </w:r>
      <w:r>
        <w:rPr>
          <w:spacing w:val="-63"/>
        </w:rPr>
        <w:t> </w:t>
      </w:r>
      <w:r>
        <w:rPr>
          <w:spacing w:val="-63"/>
        </w:rPr>
      </w:r>
      <w:r>
        <w:rPr/>
        <w:t>光伏行业向更理性的投资方向发展。所以我们认为一个理性投资的市场环境，供需平衡的市场格局正在慢慢形成。</w:t>
      </w:r>
    </w:p>
    <w:p>
      <w:pPr>
        <w:pStyle w:val="BodyText"/>
        <w:spacing w:line="309" w:lineRule="auto" w:before="64"/>
        <w:ind w:right="1131" w:firstLine="480"/>
        <w:jc w:val="both"/>
      </w:pPr>
      <w:r>
        <w:rPr>
          <w:rFonts w:ascii="Times New Roman" w:hAnsi="Times New Roman" w:cs="Times New Roman" w:eastAsia="Times New Roman" w:hint="default"/>
        </w:rPr>
        <w:t>6</w:t>
      </w:r>
      <w:r>
        <w:rPr/>
        <w:t>、行业内优质企业将获新一轮发展。经过本轮调整，行业内众多规模小、技术弱、盲目扩大产能的企业将面临破产 </w:t>
      </w:r>
      <w:r>
        <w:rPr>
          <w:spacing w:val="-2"/>
        </w:rPr>
        <w:t>或是被其他企业整合。同时，随着太阳能光伏行业逐渐走向规范、国内光伏发电领域市场扩容，行业内优质企业将重新步入</w:t>
      </w:r>
      <w:r>
        <w:rPr>
          <w:spacing w:val="-64"/>
        </w:rPr>
        <w:t> </w:t>
      </w:r>
      <w:r>
        <w:rPr>
          <w:spacing w:val="-64"/>
        </w:rPr>
      </w:r>
      <w:r>
        <w:rPr/>
        <w:t>正规，并获新一轮快速发展机会。</w:t>
      </w:r>
    </w:p>
    <w:p>
      <w:pPr>
        <w:pStyle w:val="Heading2"/>
        <w:spacing w:line="240" w:lineRule="auto" w:before="16"/>
        <w:ind w:left="633" w:right="1115"/>
        <w:jc w:val="left"/>
        <w:rPr>
          <w:b w:val="0"/>
          <w:bCs w:val="0"/>
        </w:rPr>
      </w:pPr>
      <w:r>
        <w:rPr/>
        <w:t>（二）、公司发展战略及经营计划</w:t>
      </w:r>
      <w:r>
        <w:rPr>
          <w:b w:val="0"/>
          <w:bCs w:val="0"/>
        </w:rPr>
      </w:r>
    </w:p>
    <w:p>
      <w:pPr>
        <w:pStyle w:val="BodyText"/>
        <w:spacing w:line="319" w:lineRule="auto" w:before="87"/>
        <w:ind w:right="1132" w:firstLine="480"/>
        <w:jc w:val="both"/>
      </w:pPr>
      <w:r>
        <w:rPr>
          <w:spacing w:val="-1"/>
        </w:rPr>
        <w:t>针对整体环境仍较为严峻的行业形势以及行业调整带来的发展机遇，公司提出稳、实、拼的经营指导思想，稳住老客</w:t>
      </w:r>
      <w:r>
        <w:rPr/>
        <w:t> </w:t>
      </w:r>
      <w:r>
        <w:rPr>
          <w:spacing w:val="-2"/>
        </w:rPr>
        <w:t>户、老业务、老市场，扎扎实实地推进企业的一体化转型，在几个重点领域实现突破。（下述经营计划、经营目标并不代表</w:t>
      </w:r>
      <w:r>
        <w:rPr>
          <w:spacing w:val="-71"/>
        </w:rPr>
        <w:t> </w:t>
      </w:r>
      <w:r>
        <w:rPr>
          <w:spacing w:val="-71"/>
        </w:rPr>
      </w:r>
      <w:r>
        <w:rPr/>
        <w:t>公司对</w:t>
      </w:r>
      <w:r>
        <w:rPr>
          <w:rFonts w:ascii="Times New Roman" w:hAnsi="Times New Roman" w:cs="Times New Roman" w:eastAsia="Times New Roman" w:hint="default"/>
        </w:rPr>
        <w:t>2013</w:t>
      </w:r>
      <w:r>
        <w:rPr/>
        <w:t>年度的盈利预测，能否实现取决于市场状况变化等多种因素，存在很大的不确定性，敬请投资者注意风险）</w:t>
      </w:r>
    </w:p>
    <w:p>
      <w:pPr>
        <w:pStyle w:val="BodyText"/>
        <w:spacing w:line="309" w:lineRule="auto" w:before="35"/>
        <w:ind w:right="1130" w:firstLine="360"/>
        <w:jc w:val="both"/>
      </w:pPr>
      <w:r>
        <w:rPr>
          <w:rFonts w:ascii="Times New Roman" w:hAnsi="Times New Roman" w:cs="Times New Roman" w:eastAsia="Times New Roman" w:hint="default"/>
        </w:rPr>
        <w:t>1</w:t>
      </w:r>
      <w:r>
        <w:rPr/>
        <w:t>、稳住老客户、老业务、老市场。美国、欧洲的双反调查对国内的大型组件生产厂商形成了巨大的冲击，产能过剩、 </w:t>
      </w:r>
      <w:r>
        <w:rPr>
          <w:spacing w:val="-2"/>
        </w:rPr>
        <w:t>竞争加剧导致一大批国内外组件生产商退出光伏领域，行业正面临一个重新洗牌、市场份额重新分配的关键阶段。爱康科技</w:t>
      </w:r>
      <w:r>
        <w:rPr>
          <w:spacing w:val="-63"/>
        </w:rPr>
        <w:t> </w:t>
      </w:r>
      <w:r>
        <w:rPr>
          <w:spacing w:val="-63"/>
        </w:rPr>
      </w:r>
      <w:r>
        <w:rPr/>
        <w:t>主营太阳能电池铝边框、光伏安装支架、</w:t>
      </w:r>
      <w:r>
        <w:rPr>
          <w:rFonts w:ascii="Times New Roman" w:hAnsi="Times New Roman" w:cs="Times New Roman" w:eastAsia="Times New Roman" w:hint="default"/>
        </w:rPr>
        <w:t>EVA</w:t>
      </w:r>
      <w:r>
        <w:rPr/>
        <w:t>胶膜等光伏配件产品，经过几年的发展，公司拥有一批优质的客户资源，并</w:t>
      </w:r>
      <w:r>
        <w:rPr>
          <w:spacing w:val="-16"/>
        </w:rPr>
        <w:t> </w:t>
      </w:r>
      <w:r>
        <w:rPr>
          <w:spacing w:val="-16"/>
        </w:rPr>
      </w:r>
      <w:r>
        <w:rPr>
          <w:spacing w:val="-2"/>
        </w:rPr>
        <w:t>凭借着相对完整的产业链、大规模量产能力、卓越的研发设计能力和快速反应能力，公司在上述业务领域具备一定的竞争优</w:t>
      </w:r>
      <w:r>
        <w:rPr>
          <w:spacing w:val="-63"/>
        </w:rPr>
        <w:t> </w:t>
      </w:r>
      <w:r>
        <w:rPr>
          <w:spacing w:val="-63"/>
        </w:rPr>
      </w:r>
      <w:r>
        <w:rPr/>
        <w:t>势。</w:t>
      </w:r>
      <w:r>
        <w:rPr>
          <w:rFonts w:ascii="Times New Roman" w:hAnsi="Times New Roman" w:cs="Times New Roman" w:eastAsia="Times New Roman" w:hint="default"/>
        </w:rPr>
        <w:t>2013</w:t>
      </w:r>
      <w:r>
        <w:rPr/>
        <w:t>年公司将继续力争保持在太阳能专业配件领域的领先地位。</w:t>
      </w:r>
    </w:p>
    <w:p>
      <w:pPr>
        <w:pStyle w:val="BodyText"/>
        <w:spacing w:line="307" w:lineRule="auto" w:before="46"/>
        <w:ind w:right="0" w:firstLine="360"/>
        <w:jc w:val="left"/>
      </w:pPr>
      <w:r>
        <w:rPr/>
        <w:t>（</w:t>
      </w:r>
      <w:r>
        <w:rPr>
          <w:rFonts w:ascii="Times New Roman" w:hAnsi="Times New Roman" w:cs="Times New Roman" w:eastAsia="Times New Roman" w:hint="default"/>
        </w:rPr>
        <w:t>1</w:t>
      </w:r>
      <w:r>
        <w:rPr/>
        <w:t>）太阳能电池铝边框是公司的传统优势产品，拥有丰富的客户积累和生产能力，目前具备模具制造、铝型材生产、 </w:t>
      </w:r>
      <w:r>
        <w:rPr>
          <w:spacing w:val="-4"/>
        </w:rPr>
        <w:t>边框加工能力等业务模块，形成了一条较为完整的细分产业链，产业链完整的优势有利于品质的稳定和该产品毛利率的提升。</w:t>
      </w:r>
      <w:r>
        <w:rPr>
          <w:spacing w:val="-44"/>
        </w:rPr>
        <w:t> </w:t>
      </w:r>
      <w:r>
        <w:rPr>
          <w:spacing w:val="-44"/>
        </w:rPr>
      </w:r>
      <w:r>
        <w:rPr>
          <w:rFonts w:ascii="Times New Roman" w:hAnsi="Times New Roman" w:cs="Times New Roman" w:eastAsia="Times New Roman" w:hint="default"/>
          <w:spacing w:val="-2"/>
        </w:rPr>
        <w:t>2013</w:t>
      </w:r>
      <w:r>
        <w:rPr>
          <w:spacing w:val="-2"/>
        </w:rPr>
        <w:t>年太阳能电池铝边框产品将力争保持现有的市场份额，继续保持和日本、欧美等优质客户的良好合作，重点开拓国内和</w:t>
      </w:r>
      <w:r>
        <w:rPr>
          <w:spacing w:val="-61"/>
        </w:rPr>
        <w:t> </w:t>
      </w:r>
      <w:r>
        <w:rPr>
          <w:spacing w:val="-61"/>
        </w:rPr>
      </w:r>
      <w:r>
        <w:rPr/>
        <w:t>亚太市场，下大力气在新产品开发、降低单位成本等方面取得成效。</w:t>
      </w:r>
    </w:p>
    <w:p>
      <w:pPr>
        <w:pStyle w:val="BodyText"/>
        <w:spacing w:line="304" w:lineRule="auto" w:before="67"/>
        <w:ind w:right="1128" w:firstLine="360"/>
        <w:jc w:val="both"/>
      </w:pPr>
      <w:r>
        <w:rPr/>
        <w:t>（</w:t>
      </w:r>
      <w:r>
        <w:rPr>
          <w:rFonts w:ascii="Times New Roman" w:hAnsi="Times New Roman" w:cs="Times New Roman" w:eastAsia="Times New Roman" w:hint="default"/>
        </w:rPr>
        <w:t>2</w:t>
      </w:r>
      <w:r>
        <w:rPr/>
        <w:t>）光伏安装支架受益于国内安装市场的井喷，</w:t>
      </w:r>
      <w:r>
        <w:rPr>
          <w:rFonts w:ascii="Times New Roman" w:hAnsi="Times New Roman" w:cs="Times New Roman" w:eastAsia="Times New Roman" w:hint="default"/>
        </w:rPr>
        <w:t>2012</w:t>
      </w:r>
      <w:r>
        <w:rPr/>
        <w:t>年取得了突破性进展。目前爱康安装支架已经具备</w:t>
      </w:r>
      <w:r>
        <w:rPr>
          <w:rFonts w:ascii="Times New Roman" w:hAnsi="Times New Roman" w:cs="Times New Roman" w:eastAsia="Times New Roman" w:hint="default"/>
        </w:rPr>
        <w:t>100MW/</w:t>
      </w:r>
      <w:r>
        <w:rPr/>
        <w:t>月的</w:t>
      </w:r>
      <w:r>
        <w:rPr>
          <w:spacing w:val="2"/>
        </w:rPr>
        <w:t> </w:t>
      </w:r>
      <w:r>
        <w:rPr>
          <w:spacing w:val="-2"/>
        </w:rPr>
        <w:t>生产能力，具备较强的设计研发能力和一定的品牌认知度。</w:t>
      </w:r>
      <w:r>
        <w:rPr>
          <w:rFonts w:ascii="Times New Roman" w:hAnsi="Times New Roman" w:cs="Times New Roman" w:eastAsia="Times New Roman" w:hint="default"/>
          <w:spacing w:val="-2"/>
        </w:rPr>
        <w:t>2013</w:t>
      </w:r>
      <w:r>
        <w:rPr>
          <w:spacing w:val="-2"/>
        </w:rPr>
        <w:t>年是光伏十二五规划的开局之年，国内光伏电站的安装将继</w:t>
      </w:r>
      <w:r>
        <w:rPr>
          <w:spacing w:val="-60"/>
        </w:rPr>
        <w:t> </w:t>
      </w:r>
      <w:r>
        <w:rPr>
          <w:spacing w:val="-60"/>
        </w:rPr>
      </w:r>
      <w:r>
        <w:rPr>
          <w:spacing w:val="-2"/>
        </w:rPr>
        <w:t>续保持增长势头，但同时光伏支架的竞争也会越来越激烈，</w:t>
      </w:r>
      <w:r>
        <w:rPr>
          <w:rFonts w:ascii="Times New Roman" w:hAnsi="Times New Roman" w:cs="Times New Roman" w:eastAsia="Times New Roman" w:hint="default"/>
          <w:spacing w:val="-2"/>
        </w:rPr>
        <w:t>2013</w:t>
      </w:r>
      <w:r>
        <w:rPr>
          <w:spacing w:val="-2"/>
        </w:rPr>
        <w:t>年公司将在充分发挥产能和设计优势的基础上，加强快速反</w:t>
      </w:r>
      <w:r>
        <w:rPr>
          <w:spacing w:val="-60"/>
        </w:rPr>
        <w:t> </w:t>
      </w:r>
      <w:r>
        <w:rPr>
          <w:spacing w:val="-60"/>
        </w:rPr>
      </w:r>
      <w:r>
        <w:rPr>
          <w:spacing w:val="-2"/>
        </w:rPr>
        <w:t>应能力，控制生产成本，加强新品研发，建立地面支架、屋顶支架、独立式电站支架、独立追踪系统等具有爱康特色的核心</w:t>
      </w:r>
      <w:r>
        <w:rPr>
          <w:spacing w:val="-67"/>
        </w:rPr>
        <w:t> </w:t>
      </w:r>
      <w:r>
        <w:rPr>
          <w:spacing w:val="-67"/>
        </w:rPr>
      </w:r>
      <w:r>
        <w:rPr>
          <w:spacing w:val="-2"/>
        </w:rPr>
        <w:t>产品体系。</w:t>
      </w:r>
      <w:r>
        <w:rPr>
          <w:rFonts w:ascii="Times New Roman" w:hAnsi="Times New Roman" w:cs="Times New Roman" w:eastAsia="Times New Roman" w:hint="default"/>
          <w:spacing w:val="-2"/>
        </w:rPr>
        <w:t>2012</w:t>
      </w:r>
      <w:r>
        <w:rPr>
          <w:spacing w:val="-2"/>
        </w:rPr>
        <w:t>年公司安装支架产品内销比例较大，</w:t>
      </w:r>
      <w:r>
        <w:rPr>
          <w:rFonts w:ascii="Times New Roman" w:hAnsi="Times New Roman" w:cs="Times New Roman" w:eastAsia="Times New Roman" w:hint="default"/>
          <w:spacing w:val="-2"/>
        </w:rPr>
        <w:t>2013</w:t>
      </w:r>
      <w:r>
        <w:rPr>
          <w:spacing w:val="-2"/>
        </w:rPr>
        <w:t>年将开始逐步探索同国外大客户的合作模式，力争实现销售收入翻</w:t>
      </w:r>
      <w:r>
        <w:rPr>
          <w:spacing w:val="-57"/>
        </w:rPr>
        <w:t> </w:t>
      </w:r>
      <w:r>
        <w:rPr>
          <w:spacing w:val="-57"/>
        </w:rPr>
      </w:r>
      <w:r>
        <w:rPr/>
        <w:t>一番的经营目标。</w:t>
      </w:r>
    </w:p>
    <w:p>
      <w:pPr>
        <w:pStyle w:val="BodyText"/>
        <w:spacing w:line="312" w:lineRule="auto" w:before="66"/>
        <w:ind w:right="1131" w:firstLine="36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EVA</w:t>
      </w:r>
      <w:r>
        <w:rPr/>
        <w:t>胶膜产品报告期内成功进入</w:t>
      </w:r>
      <w:r>
        <w:rPr>
          <w:rFonts w:ascii="Times New Roman" w:hAnsi="Times New Roman" w:cs="Times New Roman" w:eastAsia="Times New Roman" w:hint="default"/>
        </w:rPr>
        <w:t>BYD</w:t>
      </w:r>
      <w:r>
        <w:rPr/>
        <w:t>、</w:t>
      </w:r>
      <w:r>
        <w:rPr>
          <w:rFonts w:ascii="Times New Roman" w:hAnsi="Times New Roman" w:cs="Times New Roman" w:eastAsia="Times New Roman" w:hint="default"/>
        </w:rPr>
        <w:t>REC</w:t>
      </w:r>
      <w:r>
        <w:rPr/>
        <w:t>、</w:t>
      </w:r>
      <w:r>
        <w:rPr>
          <w:rFonts w:ascii="Times New Roman" w:hAnsi="Times New Roman" w:cs="Times New Roman" w:eastAsia="Times New Roman" w:hint="default"/>
        </w:rPr>
        <w:t>CSI</w:t>
      </w:r>
      <w:r>
        <w:rPr/>
        <w:t>、</w:t>
      </w:r>
      <w:r>
        <w:rPr>
          <w:rFonts w:ascii="Times New Roman" w:hAnsi="Times New Roman" w:cs="Times New Roman" w:eastAsia="Times New Roman" w:hint="default"/>
        </w:rPr>
        <w:t>ET</w:t>
      </w:r>
      <w:r>
        <w:rPr>
          <w:rFonts w:ascii="Times New Roman" w:hAnsi="Times New Roman" w:cs="Times New Roman" w:eastAsia="Times New Roman" w:hint="default"/>
          <w:spacing w:val="-21"/>
        </w:rPr>
        <w:t> </w:t>
      </w:r>
      <w:r>
        <w:rPr>
          <w:rFonts w:ascii="Times New Roman" w:hAnsi="Times New Roman" w:cs="Times New Roman" w:eastAsia="Times New Roman" w:hint="default"/>
        </w:rPr>
        <w:t>solar</w:t>
      </w:r>
      <w:r>
        <w:rPr/>
        <w:t>等大客户的供应商名单。</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EVA</w:t>
      </w:r>
      <w:r>
        <w:rPr/>
        <w:t>胶膜将重点通过 </w:t>
      </w:r>
      <w:r>
        <w:rPr>
          <w:spacing w:val="-2"/>
        </w:rPr>
        <w:t>优化运营流程、降低质量成本等方式降低单位成本，同时持续提高生产效率，保证现有设备产能的充分利用，计划增加两条</w:t>
      </w:r>
      <w:r>
        <w:rPr>
          <w:spacing w:val="-65"/>
        </w:rPr>
        <w:t> </w:t>
      </w:r>
      <w:r>
        <w:rPr>
          <w:spacing w:val="-65"/>
        </w:rPr>
      </w:r>
      <w:r>
        <w:rPr>
          <w:spacing w:val="-2"/>
        </w:rPr>
        <w:t>生产线，保证产能优势。以项目形式开发关键大客户，以大客户驱动形式降低应收账款风险，提高品牌在行业内的知名度和</w:t>
      </w:r>
      <w:r>
        <w:rPr>
          <w:spacing w:val="-64"/>
        </w:rPr>
        <w:t> </w:t>
      </w:r>
      <w:r>
        <w:rPr>
          <w:spacing w:val="-64"/>
        </w:rPr>
      </w:r>
      <w:r>
        <w:rPr/>
        <w:t>认可度。</w:t>
      </w:r>
    </w:p>
    <w:p>
      <w:pPr>
        <w:pStyle w:val="BodyText"/>
        <w:spacing w:line="304" w:lineRule="auto" w:before="63"/>
        <w:ind w:right="1131" w:firstLine="480"/>
        <w:jc w:val="both"/>
      </w:pPr>
      <w:r>
        <w:rPr>
          <w:rFonts w:ascii="Times New Roman" w:hAnsi="Times New Roman" w:cs="Times New Roman" w:eastAsia="Times New Roman" w:hint="default"/>
        </w:rPr>
        <w:t>2</w:t>
      </w:r>
      <w:r>
        <w:rPr/>
        <w:t>、扎扎实实地推进企业的一体化转型。</w:t>
      </w:r>
      <w:r>
        <w:rPr>
          <w:rFonts w:ascii="Times New Roman" w:hAnsi="Times New Roman" w:cs="Times New Roman" w:eastAsia="Times New Roman" w:hint="default"/>
        </w:rPr>
        <w:t>2013</w:t>
      </w:r>
      <w:r>
        <w:rPr/>
        <w:t>年公司将继续推动从</w:t>
      </w:r>
      <w:r>
        <w:rPr>
          <w:rFonts w:ascii="Times New Roman" w:hAnsi="Times New Roman" w:cs="Times New Roman" w:eastAsia="Times New Roman" w:hint="default"/>
        </w:rPr>
        <w:t>“</w:t>
      </w:r>
      <w:r>
        <w:rPr/>
        <w:t>太阳能配件专业供货商</w:t>
      </w:r>
      <w:r>
        <w:rPr>
          <w:rFonts w:ascii="Times New Roman" w:hAnsi="Times New Roman" w:cs="Times New Roman" w:eastAsia="Times New Roman" w:hint="default"/>
        </w:rPr>
        <w:t>”</w:t>
      </w:r>
      <w:r>
        <w:rPr/>
        <w:t>到</w:t>
      </w:r>
      <w:r>
        <w:rPr>
          <w:rFonts w:ascii="Times New Roman" w:hAnsi="Times New Roman" w:cs="Times New Roman" w:eastAsia="Times New Roman" w:hint="default"/>
        </w:rPr>
        <w:t>“</w:t>
      </w:r>
      <w:r>
        <w:rPr/>
        <w:t>金属加工、新材料、太 </w:t>
      </w:r>
      <w:r>
        <w:rPr>
          <w:spacing w:val="-3"/>
        </w:rPr>
        <w:t>阳能电站一体化经营</w:t>
      </w:r>
      <w:r>
        <w:rPr>
          <w:rFonts w:ascii="Times New Roman" w:hAnsi="Times New Roman" w:cs="Times New Roman" w:eastAsia="Times New Roman" w:hint="default"/>
          <w:spacing w:val="-3"/>
        </w:rPr>
        <w:t>”</w:t>
      </w:r>
      <w:r>
        <w:rPr>
          <w:spacing w:val="-3"/>
        </w:rPr>
        <w:t>的重大战略转型。国内的光伏十二五规划为太阳能发电描绘了广阔的发展蓝图，公司将紧抓历史机遇，</w:t>
      </w:r>
      <w:r>
        <w:rPr/>
        <w:t> </w:t>
      </w:r>
      <w:r>
        <w:rPr>
          <w:spacing w:val="-2"/>
        </w:rPr>
        <w:t>在做好现有电站运营的基础上，充分论证，认真调研，积极参与在太阳能电站领域的市场竞争，在大型地面电站，分布式电</w:t>
      </w:r>
      <w:r>
        <w:rPr>
          <w:spacing w:val="-65"/>
        </w:rPr>
        <w:t> </w:t>
      </w:r>
      <w:r>
        <w:rPr>
          <w:spacing w:val="-65"/>
        </w:rPr>
      </w:r>
      <w:r>
        <w:rPr/>
        <w:t>站等领域扎扎实实地扩大业务版图。计划全年在青海、新疆、辽宁等地建设大型光伏地面电站</w:t>
      </w:r>
      <w:r>
        <w:rPr>
          <w:rFonts w:ascii="Times New Roman" w:hAnsi="Times New Roman" w:cs="Times New Roman" w:eastAsia="Times New Roman" w:hint="default"/>
        </w:rPr>
        <w:t>100MW</w:t>
      </w:r>
      <w:r>
        <w:rPr/>
        <w:t>，并积极向分布式发</w:t>
      </w:r>
      <w:r>
        <w:rPr>
          <w:spacing w:val="-55"/>
        </w:rPr>
        <w:t> </w:t>
      </w:r>
      <w:r>
        <w:rPr>
          <w:spacing w:val="-55"/>
        </w:rPr>
      </w:r>
      <w:r>
        <w:rPr/>
        <w:t>电领域拓展业务，力争全年建设分布式电站</w:t>
      </w:r>
      <w:r>
        <w:rPr>
          <w:rFonts w:ascii="Times New Roman" w:hAnsi="Times New Roman" w:cs="Times New Roman" w:eastAsia="Times New Roman" w:hint="default"/>
        </w:rPr>
        <w:t>100MW</w:t>
      </w:r>
      <w:r>
        <w:rPr/>
        <w:t>，继续扩大电力收入在公司营业收入中的比重。</w:t>
      </w:r>
    </w:p>
    <w:p>
      <w:pPr>
        <w:pStyle w:val="BodyText"/>
        <w:spacing w:line="240" w:lineRule="auto" w:before="50"/>
        <w:ind w:left="633" w:right="1115"/>
        <w:jc w:val="left"/>
      </w:pPr>
      <w:r>
        <w:rPr>
          <w:rFonts w:ascii="Times New Roman" w:hAnsi="Times New Roman" w:cs="Times New Roman" w:eastAsia="Times New Roman" w:hint="default"/>
        </w:rPr>
        <w:t>3</w:t>
      </w:r>
      <w:r>
        <w:rPr/>
        <w:t>、在几个重点领域实现突破</w:t>
      </w:r>
    </w:p>
    <w:p>
      <w:pPr>
        <w:pStyle w:val="BodyText"/>
        <w:spacing w:line="304" w:lineRule="auto" w:before="101"/>
        <w:ind w:right="1129" w:firstLine="480"/>
        <w:jc w:val="both"/>
      </w:pPr>
      <w:r>
        <w:rPr>
          <w:spacing w:val="-3"/>
        </w:rPr>
        <w:t>（</w:t>
      </w:r>
      <w:r>
        <w:rPr>
          <w:rFonts w:ascii="Times New Roman" w:hAnsi="Times New Roman" w:cs="Times New Roman" w:eastAsia="Times New Roman" w:hint="default"/>
          <w:spacing w:val="-3"/>
        </w:rPr>
        <w:t>1</w:t>
      </w:r>
      <w:r>
        <w:rPr>
          <w:spacing w:val="-3"/>
        </w:rPr>
        <w:t>）铝型材、金属模具业务为业绩提供正面支持。铝型材和模具为太阳能电池铝边框和安装支架产业链的重要一环，</w:t>
      </w:r>
      <w:r>
        <w:rPr/>
        <w:t> </w:t>
      </w:r>
      <w:r>
        <w:rPr>
          <w:spacing w:val="-2"/>
        </w:rPr>
        <w:t>对提升主营产品毛利率和竞争力将有帮助。</w:t>
      </w:r>
      <w:r>
        <w:rPr>
          <w:rFonts w:ascii="Times New Roman" w:hAnsi="Times New Roman" w:cs="Times New Roman" w:eastAsia="Times New Roman" w:hint="default"/>
          <w:spacing w:val="-2"/>
        </w:rPr>
        <w:t>2013</w:t>
      </w:r>
      <w:r>
        <w:rPr>
          <w:spacing w:val="-2"/>
        </w:rPr>
        <w:t>年将力争在铝型材产能提升、品质稳定和降低成本方面取得突破，满足部分</w:t>
      </w:r>
      <w:r>
        <w:rPr>
          <w:spacing w:val="-60"/>
        </w:rPr>
        <w:t> </w:t>
      </w:r>
      <w:r>
        <w:rPr>
          <w:spacing w:val="-60"/>
        </w:rPr>
      </w:r>
      <w:r>
        <w:rPr>
          <w:spacing w:val="-5"/>
        </w:rPr>
        <w:t>内部需求，积极开拓外部业务，为公司业绩提供正面支持。模具项目主要满足公司内部订单需求（冲压模、挤压模、注塑模、</w:t>
      </w:r>
      <w:r>
        <w:rPr>
          <w:spacing w:val="-82"/>
        </w:rPr>
        <w:t> </w:t>
      </w:r>
      <w:r>
        <w:rPr>
          <w:spacing w:val="-82"/>
        </w:rPr>
      </w:r>
      <w:r>
        <w:rPr>
          <w:spacing w:val="-2"/>
        </w:rPr>
        <w:t>工装夹具、样品生产），模具交付周期上大大缩短，在成本控制、流程优化上均起到了非常重要的作用和影响。</w:t>
      </w:r>
      <w:r>
        <w:rPr>
          <w:rFonts w:ascii="Times New Roman" w:hAnsi="Times New Roman" w:cs="Times New Roman" w:eastAsia="Times New Roman" w:hint="default"/>
          <w:spacing w:val="-2"/>
        </w:rPr>
        <w:t>2013</w:t>
      </w:r>
      <w:r>
        <w:rPr>
          <w:spacing w:val="-2"/>
        </w:rPr>
        <w:t>年模具</w:t>
      </w:r>
      <w:r>
        <w:rPr>
          <w:spacing w:val="-66"/>
        </w:rPr>
        <w:t> </w:t>
      </w:r>
      <w:r>
        <w:rPr>
          <w:spacing w:val="-66"/>
        </w:rPr>
      </w:r>
      <w:r>
        <w:rPr/>
        <w:t>业务将力争全方位满足公司内部需求，并开始逐步探索对外销售创收的机会。</w:t>
      </w:r>
    </w:p>
    <w:p>
      <w:pPr>
        <w:spacing w:after="0" w:line="304" w:lineRule="auto"/>
        <w:jc w:val="both"/>
        <w:sectPr>
          <w:pgSz w:w="11910" w:h="16840"/>
          <w:pgMar w:header="745" w:footer="1340" w:top="1060" w:bottom="154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1129" w:firstLine="480"/>
        <w:jc w:val="both"/>
      </w:pPr>
      <w:r>
        <w:rPr/>
        <w:t>（</w:t>
      </w:r>
      <w:r>
        <w:rPr>
          <w:rFonts w:ascii="Times New Roman" w:hAnsi="Times New Roman" w:cs="Times New Roman" w:eastAsia="Times New Roman" w:hint="default"/>
        </w:rPr>
        <w:t>2</w:t>
      </w:r>
      <w:r>
        <w:rPr/>
        <w:t>）搭建新业务领域的盈利模式。公司目前具备太阳能铝边框、铝型材、安装支架、金属模具、</w:t>
      </w:r>
      <w:r>
        <w:rPr>
          <w:rFonts w:ascii="Times New Roman" w:hAnsi="Times New Roman" w:cs="Times New Roman" w:eastAsia="Times New Roman" w:hint="default"/>
        </w:rPr>
        <w:t>EVA</w:t>
      </w:r>
      <w:r>
        <w:rPr/>
        <w:t>胶膜等的生产 </w:t>
      </w:r>
      <w:r>
        <w:rPr>
          <w:spacing w:val="-2"/>
        </w:rPr>
        <w:t>制造能力，上述业务总体可以分为金属制造和新材料两大业务模块。由于设备和工艺的相似性，公司计划在利用现有设备产</w:t>
      </w:r>
      <w:r>
        <w:rPr>
          <w:spacing w:val="-62"/>
        </w:rPr>
        <w:t> </w:t>
      </w:r>
      <w:r>
        <w:rPr>
          <w:spacing w:val="-62"/>
        </w:rPr>
      </w:r>
      <w:r>
        <w:rPr>
          <w:spacing w:val="-5"/>
        </w:rPr>
        <w:t>能或技术储备以及客户资源的基础上，搭建新业务的运营模式，增加利润增长点，降低行业系统风险给公司带来的不利影响。</w:t>
      </w:r>
      <w:r>
        <w:rPr>
          <w:spacing w:val="-79"/>
        </w:rPr>
        <w:t> </w:t>
      </w:r>
      <w:r>
        <w:rPr>
          <w:spacing w:val="-79"/>
        </w:rPr>
      </w:r>
      <w:r>
        <w:rPr>
          <w:rFonts w:ascii="Times New Roman" w:hAnsi="Times New Roman" w:cs="Times New Roman" w:eastAsia="Times New Roman" w:hint="default"/>
        </w:rPr>
        <w:t>2012</w:t>
      </w:r>
      <w:r>
        <w:rPr/>
        <w:t>年公司开始在汽车、家电、照明等细分的金属加工领域寻找市场机会，同时利用</w:t>
      </w:r>
      <w:r>
        <w:rPr>
          <w:rFonts w:ascii="Times New Roman" w:hAnsi="Times New Roman" w:cs="Times New Roman" w:eastAsia="Times New Roman" w:hint="default"/>
        </w:rPr>
        <w:t>EVA</w:t>
      </w:r>
      <w:r>
        <w:rPr/>
        <w:t>胶膜的设备技术工艺，探索新产</w:t>
      </w:r>
      <w:r>
        <w:rPr>
          <w:spacing w:val="-11"/>
        </w:rPr>
        <w:t> </w:t>
      </w:r>
      <w:r>
        <w:rPr>
          <w:spacing w:val="-11"/>
        </w:rPr>
      </w:r>
      <w:r>
        <w:rPr>
          <w:spacing w:val="-2"/>
        </w:rPr>
        <w:t>品的开发。</w:t>
      </w:r>
      <w:r>
        <w:rPr>
          <w:rFonts w:ascii="Times New Roman" w:hAnsi="Times New Roman" w:cs="Times New Roman" w:eastAsia="Times New Roman" w:hint="default"/>
          <w:spacing w:val="-2"/>
        </w:rPr>
        <w:t>2013</w:t>
      </w:r>
      <w:r>
        <w:rPr>
          <w:spacing w:val="-2"/>
        </w:rPr>
        <w:t>年公司新业务将在依托原有客户资源的基础上，利用现有的设备技术工艺，积极开展产品研发，努力创造客</w:t>
      </w:r>
      <w:r>
        <w:rPr>
          <w:spacing w:val="-61"/>
        </w:rPr>
        <w:t> </w:t>
      </w:r>
      <w:r>
        <w:rPr>
          <w:spacing w:val="-61"/>
        </w:rPr>
      </w:r>
      <w:r>
        <w:rPr/>
        <w:t>户需求，搭建新业务领域的盈利模式。</w:t>
      </w:r>
    </w:p>
    <w:p>
      <w:pPr>
        <w:pStyle w:val="BodyText"/>
        <w:spacing w:line="240" w:lineRule="auto" w:before="67"/>
        <w:ind w:left="633" w:right="1115"/>
        <w:jc w:val="left"/>
      </w:pPr>
      <w:r>
        <w:rPr/>
        <w:t>同时关于营销团队的建设、</w:t>
      </w:r>
      <w:r>
        <w:rPr>
          <w:rFonts w:ascii="Times New Roman" w:hAnsi="Times New Roman" w:cs="Times New Roman" w:eastAsia="Times New Roman" w:hint="default"/>
        </w:rPr>
        <w:t>“</w:t>
      </w:r>
      <w:r>
        <w:rPr/>
        <w:t>三省</w:t>
      </w:r>
      <w:r>
        <w:rPr>
          <w:rFonts w:ascii="Times New Roman" w:hAnsi="Times New Roman" w:cs="Times New Roman" w:eastAsia="Times New Roman" w:hint="default"/>
        </w:rPr>
        <w:t>”</w:t>
      </w:r>
      <w:r>
        <w:rPr/>
        <w:t>理念的贯彻和企业文化的宣导将作为</w:t>
      </w:r>
      <w:r>
        <w:rPr>
          <w:rFonts w:ascii="Times New Roman" w:hAnsi="Times New Roman" w:cs="Times New Roman" w:eastAsia="Times New Roman" w:hint="default"/>
        </w:rPr>
        <w:t>2013</w:t>
      </w:r>
      <w:r>
        <w:rPr/>
        <w:t>年的重点经营管理工作持续开展。</w:t>
      </w:r>
    </w:p>
    <w:p>
      <w:pPr>
        <w:pStyle w:val="Heading2"/>
        <w:spacing w:line="240" w:lineRule="auto" w:before="52"/>
        <w:ind w:left="633" w:right="1115"/>
        <w:jc w:val="left"/>
        <w:rPr>
          <w:b w:val="0"/>
          <w:bCs w:val="0"/>
        </w:rPr>
      </w:pPr>
      <w:r>
        <w:rPr/>
        <w:t>（三）发展规划资金需求及使用计划</w:t>
      </w:r>
      <w:r>
        <w:rPr>
          <w:b w:val="0"/>
          <w:bCs w:val="0"/>
        </w:rPr>
      </w:r>
    </w:p>
    <w:p>
      <w:pPr>
        <w:pStyle w:val="BodyText"/>
        <w:spacing w:line="309" w:lineRule="auto" w:before="87"/>
        <w:ind w:right="1130" w:firstLine="480"/>
        <w:jc w:val="both"/>
      </w:pPr>
      <w:r>
        <w:rPr>
          <w:spacing w:val="-1"/>
        </w:rPr>
        <w:t>公司</w:t>
      </w:r>
      <w:r>
        <w:rPr>
          <w:rFonts w:ascii="Times New Roman" w:hAnsi="Times New Roman" w:cs="Times New Roman" w:eastAsia="Times New Roman" w:hint="default"/>
          <w:spacing w:val="-1"/>
        </w:rPr>
        <w:t>2011</w:t>
      </w:r>
      <w:r>
        <w:rPr>
          <w:spacing w:val="-1"/>
        </w:rPr>
        <w:t>年首次公开发行股票尚有部分募集资金正在使用中，同时</w:t>
      </w:r>
      <w:r>
        <w:rPr>
          <w:rFonts w:ascii="Times New Roman" w:hAnsi="Times New Roman" w:cs="Times New Roman" w:eastAsia="Times New Roman" w:hint="default"/>
          <w:spacing w:val="-1"/>
        </w:rPr>
        <w:t>2013</w:t>
      </w:r>
      <w:r>
        <w:rPr>
          <w:spacing w:val="-1"/>
        </w:rPr>
        <w:t>年初中国证券监督管理委员会核准公司发行总</w:t>
      </w:r>
      <w:r>
        <w:rPr/>
        <w:t> </w:t>
      </w:r>
      <w:r>
        <w:rPr>
          <w:spacing w:val="-1"/>
        </w:rPr>
        <w:t>额不超过</w:t>
      </w:r>
      <w:r>
        <w:rPr>
          <w:rFonts w:ascii="Times New Roman" w:hAnsi="Times New Roman" w:cs="Times New Roman" w:eastAsia="Times New Roman" w:hint="default"/>
          <w:spacing w:val="-1"/>
        </w:rPr>
        <w:t>5</w:t>
      </w:r>
      <w:r>
        <w:rPr>
          <w:spacing w:val="-1"/>
        </w:rPr>
        <w:t>亿元的公司债券，公司计划在</w:t>
      </w:r>
      <w:r>
        <w:rPr>
          <w:rFonts w:ascii="Times New Roman" w:hAnsi="Times New Roman" w:cs="Times New Roman" w:eastAsia="Times New Roman" w:hint="default"/>
          <w:spacing w:val="-1"/>
        </w:rPr>
        <w:t>2013</w:t>
      </w:r>
      <w:r>
        <w:rPr>
          <w:spacing w:val="-1"/>
        </w:rPr>
        <w:t>年上半年发行首期</w:t>
      </w:r>
      <w:r>
        <w:rPr>
          <w:rFonts w:ascii="Times New Roman" w:hAnsi="Times New Roman" w:cs="Times New Roman" w:eastAsia="Times New Roman" w:hint="default"/>
          <w:spacing w:val="-1"/>
        </w:rPr>
        <w:t>2.5</w:t>
      </w:r>
      <w:r>
        <w:rPr>
          <w:spacing w:val="-1"/>
        </w:rPr>
        <w:t>亿元的公司债券，若公司债券能顺利发行将能够解决公司</w:t>
      </w:r>
      <w:r>
        <w:rPr>
          <w:spacing w:val="-74"/>
        </w:rPr>
        <w:t> </w:t>
      </w:r>
      <w:r>
        <w:rPr>
          <w:spacing w:val="-74"/>
        </w:rPr>
      </w:r>
      <w:r>
        <w:rPr>
          <w:spacing w:val="-2"/>
        </w:rPr>
        <w:t>日常流动资金的需求。未来随着主营业务的进一步拓展，新业务的开拓以及太阳能电站的建设，公司对资金的需求可能会增</w:t>
      </w:r>
      <w:r>
        <w:rPr>
          <w:spacing w:val="-63"/>
        </w:rPr>
        <w:t> </w:t>
      </w:r>
      <w:r>
        <w:rPr>
          <w:spacing w:val="-63"/>
        </w:rPr>
      </w:r>
      <w:r>
        <w:rPr>
          <w:spacing w:val="-2"/>
        </w:rPr>
        <w:t>加，届时，公司将根据经营发展的实际需要，合理进行财务规划，科学选择银行融资、股权融资等多种融资方式来保证公司</w:t>
      </w:r>
      <w:r>
        <w:rPr>
          <w:spacing w:val="-67"/>
        </w:rPr>
        <w:t> </w:t>
      </w:r>
      <w:r>
        <w:rPr>
          <w:spacing w:val="-67"/>
        </w:rPr>
      </w:r>
      <w:r>
        <w:rPr/>
        <w:t>未来发展所需的资金，快速实现公司的发展战略，为股东创造更大的效益。</w:t>
      </w:r>
    </w:p>
    <w:p>
      <w:pPr>
        <w:pStyle w:val="Heading2"/>
        <w:spacing w:line="240" w:lineRule="auto" w:before="16"/>
        <w:ind w:left="633" w:right="1115"/>
        <w:jc w:val="left"/>
        <w:rPr>
          <w:b w:val="0"/>
          <w:bCs w:val="0"/>
        </w:rPr>
      </w:pPr>
      <w:r>
        <w:rPr/>
        <w:t>（四）可能面临的风险</w:t>
      </w:r>
      <w:r>
        <w:rPr>
          <w:b w:val="0"/>
          <w:bCs w:val="0"/>
        </w:rPr>
      </w:r>
    </w:p>
    <w:p>
      <w:pPr>
        <w:pStyle w:val="BodyText"/>
        <w:spacing w:line="340" w:lineRule="auto" w:before="85"/>
        <w:ind w:left="633" w:right="1115"/>
        <w:jc w:val="left"/>
      </w:pPr>
      <w:r>
        <w:rPr>
          <w:rFonts w:ascii="Times New Roman" w:hAnsi="Times New Roman" w:cs="Times New Roman" w:eastAsia="Times New Roman" w:hint="default"/>
        </w:rPr>
        <w:t>1</w:t>
      </w:r>
      <w:r>
        <w:rPr/>
        <w:t>、政策风险 </w:t>
      </w:r>
      <w:r>
        <w:rPr>
          <w:spacing w:val="-1"/>
        </w:rPr>
        <w:t>公司的太阳能电池铝边框产品主要销往国外，因此未来各国对光伏行业的补贴政策变化情况将很大程度影响公司的经</w:t>
      </w:r>
    </w:p>
    <w:p>
      <w:pPr>
        <w:pStyle w:val="BodyText"/>
        <w:spacing w:line="314" w:lineRule="auto" w:before="1"/>
        <w:ind w:right="1130"/>
        <w:jc w:val="both"/>
      </w:pPr>
      <w:r>
        <w:rPr>
          <w:spacing w:val="-2"/>
        </w:rPr>
        <w:t>营状况和盈利能力；同时如未来的国外</w:t>
      </w:r>
      <w:r>
        <w:rPr>
          <w:rFonts w:ascii="Times New Roman" w:hAnsi="Times New Roman" w:cs="Times New Roman" w:eastAsia="Times New Roman" w:hint="default"/>
          <w:spacing w:val="-2"/>
        </w:rPr>
        <w:t>“</w:t>
      </w:r>
      <w:r>
        <w:rPr>
          <w:spacing w:val="-2"/>
        </w:rPr>
        <w:t>双反</w:t>
      </w:r>
      <w:r>
        <w:rPr>
          <w:rFonts w:ascii="Times New Roman" w:hAnsi="Times New Roman" w:cs="Times New Roman" w:eastAsia="Times New Roman" w:hint="default"/>
          <w:spacing w:val="-2"/>
        </w:rPr>
        <w:t>”</w:t>
      </w:r>
      <w:r>
        <w:rPr>
          <w:spacing w:val="-2"/>
        </w:rPr>
        <w:t>调查波及到包括太阳能配件的所有光伏产品，对公司的经营业绩将会有直接影</w:t>
      </w:r>
      <w:r>
        <w:rPr>
          <w:spacing w:val="-44"/>
        </w:rPr>
        <w:t> </w:t>
      </w:r>
      <w:r>
        <w:rPr>
          <w:spacing w:val="-44"/>
        </w:rPr>
      </w:r>
      <w:r>
        <w:rPr>
          <w:spacing w:val="-2"/>
        </w:rPr>
        <w:t>响；公司目前在国内进行太阳能电站的建设开发，如电站的并网政策得不到地方政府的严格执行，电价补贴的下调以及补贴</w:t>
      </w:r>
      <w:r>
        <w:rPr>
          <w:spacing w:val="-63"/>
        </w:rPr>
        <w:t> </w:t>
      </w:r>
      <w:r>
        <w:rPr>
          <w:spacing w:val="-63"/>
        </w:rPr>
      </w:r>
      <w:r>
        <w:rPr>
          <w:spacing w:val="-2"/>
        </w:rPr>
        <w:t>不能及时到位都会对公司的经营业绩产生不利影响；公司出口产品定价采取与出口退税率联动的定价方式，因此出口退税率</w:t>
      </w:r>
      <w:r>
        <w:rPr>
          <w:spacing w:val="-64"/>
        </w:rPr>
        <w:t> </w:t>
      </w:r>
      <w:r>
        <w:rPr>
          <w:spacing w:val="-64"/>
        </w:rPr>
      </w:r>
      <w:r>
        <w:rPr>
          <w:spacing w:val="-2"/>
        </w:rPr>
        <w:t>变动所带来的成本变动将被价格变动所抵消，对公司毛利率影响较小。但若出口退税率大幅降低，则将引起公司产品出口价</w:t>
      </w:r>
      <w:r>
        <w:rPr>
          <w:spacing w:val="-63"/>
        </w:rPr>
        <w:t> </w:t>
      </w:r>
      <w:r>
        <w:rPr>
          <w:spacing w:val="-63"/>
        </w:rPr>
      </w:r>
      <w:r>
        <w:rPr/>
        <w:t>格大幅上升，进而削弱公司产品国外市场竞争力，给公司经营业绩带来不利影响。</w:t>
      </w:r>
    </w:p>
    <w:p>
      <w:pPr>
        <w:pStyle w:val="BodyText"/>
        <w:spacing w:line="340" w:lineRule="auto" w:before="140"/>
        <w:ind w:left="633" w:right="1115"/>
        <w:jc w:val="left"/>
      </w:pPr>
      <w:r>
        <w:rPr>
          <w:rFonts w:ascii="Times New Roman" w:hAnsi="Times New Roman" w:cs="Times New Roman" w:eastAsia="Times New Roman" w:hint="default"/>
        </w:rPr>
        <w:t>2</w:t>
      </w:r>
      <w:r>
        <w:rPr/>
        <w:t>、太阳能配件领域竞争加剧风险 </w:t>
      </w:r>
      <w:r>
        <w:rPr>
          <w:spacing w:val="-1"/>
        </w:rPr>
        <w:t>太阳能光伏行业各类配件市场容量较大且增长迅速，公司产品优势及行业地位突出，但由于公司主要产品太阳能边框</w:t>
      </w:r>
    </w:p>
    <w:p>
      <w:pPr>
        <w:pStyle w:val="BodyText"/>
        <w:spacing w:line="316" w:lineRule="auto" w:before="1"/>
        <w:ind w:right="1131"/>
        <w:jc w:val="both"/>
      </w:pPr>
      <w:r>
        <w:rPr>
          <w:spacing w:val="-2"/>
        </w:rPr>
        <w:t>生产技术比较成熟，投资额相对不高，众多中小厂商进入此领域导致该行业竞争日渐激烈；此外，上游铝型材制造企业生产</w:t>
      </w:r>
      <w:r>
        <w:rPr>
          <w:spacing w:val="-64"/>
        </w:rPr>
        <w:t> </w:t>
      </w:r>
      <w:r>
        <w:rPr>
          <w:spacing w:val="-64"/>
        </w:rPr>
      </w:r>
      <w:r>
        <w:rPr/>
        <w:t>太阳能边框有一定的成本优势，这些企业的产业链向下延伸也将导致太阳能边框行业竞争加剧。</w:t>
      </w:r>
    </w:p>
    <w:p>
      <w:pPr>
        <w:pStyle w:val="BodyText"/>
        <w:spacing w:line="314" w:lineRule="auto" w:before="57"/>
        <w:ind w:right="1131" w:firstLine="480"/>
        <w:jc w:val="both"/>
      </w:pPr>
      <w:r>
        <w:rPr>
          <w:spacing w:val="-1"/>
        </w:rPr>
        <w:t>公司坚持实施错位竞争战略，以高标准的产品质量、大规模的供货能力以及综合服务优势为全球主要太阳能组件制造</w:t>
      </w:r>
      <w:r>
        <w:rPr/>
        <w:t> </w:t>
      </w:r>
      <w:r>
        <w:rPr>
          <w:spacing w:val="-2"/>
        </w:rPr>
        <w:t>商提供产品。这些客户要求供应商只有在通过其审核后才能进入其供应商体系。在此基础上，公司通过提升产品品质、研发</w:t>
      </w:r>
      <w:r>
        <w:rPr>
          <w:spacing w:val="-64"/>
        </w:rPr>
        <w:t> </w:t>
      </w:r>
      <w:r>
        <w:rPr>
          <w:spacing w:val="-64"/>
        </w:rPr>
      </w:r>
      <w:r>
        <w:rPr>
          <w:spacing w:val="-2"/>
        </w:rPr>
        <w:t>设计能力、为客户提供综合服务，不断强化公司的竞争优势；同时实施产品多元化战略，生产销售技术含量高、设备投入大</w:t>
      </w:r>
      <w:r>
        <w:rPr>
          <w:spacing w:val="-67"/>
        </w:rPr>
        <w:t> </w:t>
      </w:r>
      <w:r>
        <w:rPr>
          <w:spacing w:val="-67"/>
        </w:rPr>
      </w:r>
      <w:r>
        <w:rPr/>
        <w:t>的</w:t>
      </w:r>
      <w:r>
        <w:rPr>
          <w:rFonts w:ascii="Times New Roman" w:hAnsi="Times New Roman" w:cs="Times New Roman" w:eastAsia="Times New Roman" w:hint="default"/>
        </w:rPr>
        <w:t>EVA</w:t>
      </w:r>
      <w:r>
        <w:rPr/>
        <w:t>胶膜，以及对设计能力要求较高的安装支架产品，</w:t>
      </w:r>
      <w:r>
        <w:rPr>
          <w:rFonts w:ascii="Times New Roman" w:hAnsi="Times New Roman" w:cs="Times New Roman" w:eastAsia="Times New Roman" w:hint="default"/>
        </w:rPr>
        <w:t>2012</w:t>
      </w:r>
      <w:r>
        <w:rPr/>
        <w:t>年开始开拓其他金属产品和新材料等新业务。同时公司逐步</w:t>
      </w:r>
      <w:r>
        <w:rPr>
          <w:spacing w:val="-14"/>
        </w:rPr>
        <w:t> </w:t>
      </w:r>
      <w:r>
        <w:rPr>
          <w:spacing w:val="-14"/>
        </w:rPr>
      </w:r>
      <w:r>
        <w:rPr>
          <w:spacing w:val="-2"/>
        </w:rPr>
        <w:t>向产业链上下游延伸，随着上市募集资金到位，上游铝型材的生产将逐渐进入规模化，降低边框生产成本，相应提高其毛利</w:t>
      </w:r>
      <w:r>
        <w:rPr>
          <w:spacing w:val="-65"/>
        </w:rPr>
        <w:t> </w:t>
      </w:r>
      <w:r>
        <w:rPr>
          <w:spacing w:val="-65"/>
        </w:rPr>
      </w:r>
      <w:r>
        <w:rPr/>
        <w:t>率水平；下游产业链方面，公司积极拓展光伏并网电站项目，逐步完善产业链，增强竞争优势。</w:t>
      </w:r>
    </w:p>
    <w:p>
      <w:pPr>
        <w:pStyle w:val="BodyText"/>
        <w:spacing w:line="312" w:lineRule="auto" w:before="61"/>
        <w:ind w:right="1130" w:firstLine="480"/>
        <w:jc w:val="both"/>
      </w:pPr>
      <w:r>
        <w:rPr>
          <w:rFonts w:ascii="Times New Roman" w:hAnsi="Times New Roman" w:cs="Times New Roman" w:eastAsia="Times New Roman" w:hint="default"/>
        </w:rPr>
        <w:t>3</w:t>
      </w:r>
      <w:r>
        <w:rPr/>
        <w:t>、客户退出市场或破产的风险。随着光伏行业持续低迷，部分光伏企业开始退出市场或者申请破产，若公司的重要 </w:t>
      </w:r>
      <w:r>
        <w:rPr>
          <w:spacing w:val="-2"/>
        </w:rPr>
        <w:t>客户也存在上述情况，将对公司的销售收入和应收账款管理产生一定程度的影响。对此，公司将建立严格的风险评估及预警</w:t>
      </w:r>
      <w:r>
        <w:rPr>
          <w:spacing w:val="-65"/>
        </w:rPr>
        <w:t> </w:t>
      </w:r>
      <w:r>
        <w:rPr>
          <w:spacing w:val="-65"/>
        </w:rPr>
      </w:r>
      <w:r>
        <w:rPr>
          <w:spacing w:val="-2"/>
        </w:rPr>
        <w:t>机制，对不同风险级别的客户采取不同的信用政策，同时加大新客户的开发力度，以减少重要客户退出市场或破产对公司业</w:t>
      </w:r>
      <w:r>
        <w:rPr>
          <w:spacing w:val="-63"/>
        </w:rPr>
        <w:t> </w:t>
      </w:r>
      <w:r>
        <w:rPr>
          <w:spacing w:val="-63"/>
        </w:rPr>
      </w:r>
      <w:r>
        <w:rPr/>
        <w:t>绩的影响。</w:t>
      </w:r>
    </w:p>
    <w:p>
      <w:pPr>
        <w:pStyle w:val="BodyText"/>
        <w:spacing w:line="314" w:lineRule="auto" w:before="63"/>
        <w:ind w:right="1034" w:firstLine="480"/>
        <w:jc w:val="left"/>
      </w:pPr>
      <w:r>
        <w:rPr>
          <w:rFonts w:ascii="Times New Roman" w:hAnsi="Times New Roman" w:cs="Times New Roman" w:eastAsia="Times New Roman" w:hint="default"/>
          <w:spacing w:val="-3"/>
        </w:rPr>
        <w:t>4</w:t>
      </w:r>
      <w:r>
        <w:rPr>
          <w:spacing w:val="-3"/>
        </w:rPr>
        <w:t>、汇率波动风险。公司外销比例较高，且主要以美元、欧元、英镑、日元等为结算货币，而原材料主要在境内采购，</w:t>
      </w:r>
      <w:r>
        <w:rPr/>
        <w:t> 以人民币结算。如果未来人民币短期大幅升值，则将会给公司经营业绩带来一定不利影响。公司将通过加强应收账款管理，</w:t>
      </w:r>
      <w:r>
        <w:rPr>
          <w:spacing w:val="-83"/>
        </w:rPr>
        <w:t> </w:t>
      </w:r>
      <w:r>
        <w:rPr>
          <w:spacing w:val="-83"/>
        </w:rPr>
      </w:r>
      <w:r>
        <w:rPr>
          <w:spacing w:val="-2"/>
        </w:rPr>
        <w:t>加速回款；扩大销售区域，采取多种货币结算方式；以外币结算方式进口设备；采用人民币远期外汇交易金融工具等多种措</w:t>
      </w:r>
      <w:r>
        <w:rPr>
          <w:spacing w:val="-62"/>
        </w:rPr>
        <w:t> </w:t>
      </w:r>
      <w:r>
        <w:rPr>
          <w:spacing w:val="-62"/>
        </w:rPr>
      </w:r>
      <w:r>
        <w:rPr>
          <w:spacing w:val="-2"/>
        </w:rPr>
        <w:t>施降低汇率波动对公司的影响。此外，若人民币持续升值，将削弱公司产品海外销售竞争力，也将会给公司经营业绩带来不</w:t>
      </w:r>
      <w:r>
        <w:rPr>
          <w:spacing w:val="-66"/>
        </w:rPr>
        <w:t> </w:t>
      </w:r>
      <w:r>
        <w:rPr>
          <w:spacing w:val="-66"/>
        </w:rPr>
      </w:r>
      <w:r>
        <w:rPr/>
        <w:t>利影响。</w:t>
      </w:r>
    </w:p>
    <w:p>
      <w:pPr>
        <w:pStyle w:val="BodyText"/>
        <w:spacing w:line="312" w:lineRule="exact" w:before="19"/>
        <w:ind w:right="1131" w:firstLine="480"/>
        <w:jc w:val="both"/>
      </w:pPr>
      <w:r>
        <w:rPr>
          <w:rFonts w:ascii="Times New Roman" w:hAnsi="Times New Roman" w:cs="Times New Roman" w:eastAsia="Times New Roman" w:hint="default"/>
        </w:rPr>
        <w:t>5</w:t>
      </w:r>
      <w:r>
        <w:rPr/>
        <w:t>、应收帐款和现金流的风险。由于当前光伏行业低迷，下游组件客户出现普遍亏损，因此，公司在争夺有限市场的 </w:t>
      </w:r>
      <w:r>
        <w:rPr>
          <w:spacing w:val="-2"/>
        </w:rPr>
        <w:t>同时，需要面对下游企业对付款条件宽松的要求。公司在市场扩张的过程中，存在着扩大销售、争取市场份额和信用政策稳</w:t>
      </w:r>
      <w:r>
        <w:rPr>
          <w:spacing w:val="-65"/>
        </w:rPr>
        <w:t> </w:t>
      </w:r>
      <w:r>
        <w:rPr>
          <w:spacing w:val="-65"/>
        </w:rPr>
      </w:r>
      <w:r>
        <w:rPr>
          <w:spacing w:val="-5"/>
        </w:rPr>
        <w:t>健的相对矛盾。同时，基于战略发展需要，公司对于资金需求较大的电站项目的投资给公司现金流也带来一定的压力。为此，</w:t>
      </w:r>
    </w:p>
    <w:p>
      <w:pPr>
        <w:spacing w:after="0" w:line="312" w:lineRule="exact"/>
        <w:jc w:val="both"/>
        <w:sectPr>
          <w:footerReference w:type="default" r:id="rId16"/>
          <w:pgSz w:w="11910" w:h="16840"/>
          <w:pgMar w:footer="1270" w:header="745" w:top="1060" w:bottom="1460" w:left="980" w:right="0"/>
          <w:pgNumType w:start="25"/>
        </w:sectPr>
      </w:pPr>
    </w:p>
    <w:p>
      <w:pPr>
        <w:spacing w:line="240" w:lineRule="auto" w:before="9"/>
        <w:rPr>
          <w:rFonts w:ascii="宋体" w:hAnsi="宋体" w:cs="宋体" w:eastAsia="宋体" w:hint="default"/>
          <w:sz w:val="25"/>
          <w:szCs w:val="25"/>
        </w:rPr>
      </w:pPr>
    </w:p>
    <w:p>
      <w:pPr>
        <w:pStyle w:val="BodyText"/>
        <w:spacing w:line="240" w:lineRule="auto" w:before="44"/>
        <w:ind w:right="1115"/>
        <w:jc w:val="left"/>
      </w:pPr>
      <w:r>
        <w:rPr/>
        <w:t>公司将灵活采取信用保险、调整信用政策以及采取多渠道的融资方式减小应收账款和现金流风险。</w:t>
      </w:r>
    </w:p>
    <w:p>
      <w:pPr>
        <w:pStyle w:val="BodyText"/>
        <w:spacing w:line="312" w:lineRule="auto" w:before="117"/>
        <w:ind w:right="1130" w:firstLine="480"/>
        <w:jc w:val="both"/>
      </w:pPr>
      <w:r>
        <w:rPr>
          <w:rFonts w:ascii="Times New Roman" w:hAnsi="Times New Roman" w:cs="Times New Roman" w:eastAsia="Times New Roman" w:hint="default"/>
          <w:spacing w:val="-3"/>
        </w:rPr>
        <w:t>6</w:t>
      </w:r>
      <w:r>
        <w:rPr>
          <w:spacing w:val="-3"/>
        </w:rPr>
        <w:t>、管理风险。近年来，随着公司核心竞争能力和盈利水平的提升，公司资产规模、销售规模和人员规模均迅速扩大，</w:t>
      </w:r>
      <w:r>
        <w:rPr/>
        <w:t> </w:t>
      </w:r>
      <w:r>
        <w:rPr>
          <w:spacing w:val="-2"/>
        </w:rPr>
        <w:t>公司在首次公开发行股票之后发展势头良好，逐步涉入上游的铝型材加工及下游的太阳能电站建设，公司的子公司也相应增</w:t>
      </w:r>
      <w:r>
        <w:rPr>
          <w:spacing w:val="-64"/>
        </w:rPr>
        <w:t> </w:t>
      </w:r>
      <w:r>
        <w:rPr>
          <w:spacing w:val="-64"/>
        </w:rPr>
      </w:r>
      <w:r>
        <w:rPr>
          <w:spacing w:val="-2"/>
        </w:rPr>
        <w:t>加且经营场所较为分散，这对公司管理理念和管理能力提出更高的要求，并将增加管理和运作的难度。虽然公司已形成了成</w:t>
      </w:r>
      <w:r>
        <w:rPr>
          <w:spacing w:val="-63"/>
        </w:rPr>
        <w:t> </w:t>
      </w:r>
      <w:r>
        <w:rPr>
          <w:spacing w:val="-63"/>
        </w:rPr>
      </w:r>
      <w:r>
        <w:rPr/>
        <w:t>熟的经营模式和管理制度，并引进</w:t>
      </w:r>
      <w:r>
        <w:rPr>
          <w:rFonts w:ascii="Times New Roman" w:hAnsi="Times New Roman" w:cs="Times New Roman" w:eastAsia="Times New Roman" w:hint="default"/>
        </w:rPr>
        <w:t>Oracle</w:t>
      </w:r>
      <w:r>
        <w:rPr/>
        <w:t>公司和</w:t>
      </w:r>
      <w:r>
        <w:rPr>
          <w:rFonts w:ascii="Times New Roman" w:hAnsi="Times New Roman" w:cs="Times New Roman" w:eastAsia="Times New Roman" w:hint="default"/>
        </w:rPr>
        <w:t>IBM</w:t>
      </w:r>
      <w:r>
        <w:rPr/>
        <w:t>公司为公司建立</w:t>
      </w:r>
      <w:r>
        <w:rPr>
          <w:rFonts w:ascii="Times New Roman" w:hAnsi="Times New Roman" w:cs="Times New Roman" w:eastAsia="Times New Roman" w:hint="default"/>
        </w:rPr>
        <w:t>ERP</w:t>
      </w:r>
      <w:r>
        <w:rPr/>
        <w:t>系统和管理咨询服务，但在快速发展过程中若公司</w:t>
      </w:r>
      <w:r>
        <w:rPr>
          <w:spacing w:val="-68"/>
        </w:rPr>
        <w:t> </w:t>
      </w:r>
      <w:r>
        <w:rPr>
          <w:spacing w:val="-68"/>
        </w:rPr>
      </w:r>
      <w:r>
        <w:rPr>
          <w:spacing w:val="-2"/>
        </w:rPr>
        <w:t>的生产管理、销售管理、质量控制、风险管理等能力不能适应发公司规模迅速扩张的要求，人才培养、组织模式和管理制度</w:t>
      </w:r>
      <w:r>
        <w:rPr>
          <w:spacing w:val="-67"/>
        </w:rPr>
        <w:t> </w:t>
      </w:r>
      <w:r>
        <w:rPr>
          <w:spacing w:val="-67"/>
        </w:rPr>
      </w:r>
      <w:r>
        <w:rPr/>
        <w:t>不能进一步健全和完善，将会引发相应的管理风险。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5"/>
        <w:ind w:right="1115"/>
        <w:jc w:val="left"/>
        <w:rPr>
          <w:b w:val="0"/>
          <w:bCs w:val="0"/>
        </w:rPr>
      </w:pPr>
      <w:r>
        <w:rPr/>
        <w:t>九、董事会对会计师事务所本报告期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15"/>
        <w:jc w:val="left"/>
      </w:pPr>
      <w:r>
        <w:rPr/>
        <w:t>无</w:t>
      </w:r>
    </w:p>
    <w:p>
      <w:pPr>
        <w:spacing w:line="240" w:lineRule="auto" w:before="4"/>
        <w:rPr>
          <w:rFonts w:ascii="宋体" w:hAnsi="宋体" w:cs="宋体" w:eastAsia="宋体" w:hint="default"/>
          <w:sz w:val="25"/>
          <w:szCs w:val="25"/>
        </w:rPr>
      </w:pPr>
    </w:p>
    <w:p>
      <w:pPr>
        <w:pStyle w:val="Heading2"/>
        <w:spacing w:line="240" w:lineRule="auto"/>
        <w:ind w:right="1115"/>
        <w:jc w:val="left"/>
        <w:rPr>
          <w:b w:val="0"/>
          <w:bCs w:val="0"/>
        </w:rPr>
      </w:pPr>
      <w:r>
        <w:rPr/>
        <w:t>十、与上年度财务报告相比，会计政策、会计估计和核算方法发生变化的情况说明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3"/>
        <w:rPr>
          <w:rFonts w:ascii="宋体" w:hAnsi="宋体" w:cs="宋体" w:eastAsia="宋体" w:hint="default"/>
          <w:sz w:val="25"/>
          <w:szCs w:val="25"/>
        </w:rPr>
      </w:pPr>
    </w:p>
    <w:p>
      <w:pPr>
        <w:pStyle w:val="Heading2"/>
        <w:spacing w:line="240" w:lineRule="auto"/>
        <w:ind w:right="1115"/>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3"/>
        <w:rPr>
          <w:rFonts w:ascii="宋体" w:hAnsi="宋体" w:cs="宋体" w:eastAsia="宋体" w:hint="default"/>
          <w:sz w:val="25"/>
          <w:szCs w:val="25"/>
        </w:rPr>
      </w:pPr>
    </w:p>
    <w:p>
      <w:pPr>
        <w:pStyle w:val="Heading2"/>
        <w:spacing w:line="240" w:lineRule="auto"/>
        <w:ind w:right="1115"/>
        <w:jc w:val="left"/>
        <w:rPr>
          <w:b w:val="0"/>
          <w:bCs w:val="0"/>
        </w:rPr>
      </w:pPr>
      <w:r>
        <w:rPr/>
        <w:t>十二、与上年度财务报告相比，合并报表范围发生变化的情况说明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33" w:right="1115"/>
        <w:jc w:val="left"/>
      </w:pPr>
      <w:r>
        <w:rPr/>
        <w:t>（</w:t>
      </w:r>
      <w:r>
        <w:rPr>
          <w:rFonts w:ascii="Times New Roman" w:hAnsi="Times New Roman" w:cs="Times New Roman" w:eastAsia="Times New Roman" w:hint="default"/>
        </w:rPr>
        <w:t>1</w:t>
      </w:r>
      <w:r>
        <w:rPr/>
        <w:t>）本年新纳入合并范围的主体和不再纳入合并范围的主体</w:t>
      </w:r>
    </w:p>
    <w:p>
      <w:pPr>
        <w:pStyle w:val="BodyText"/>
        <w:spacing w:line="240" w:lineRule="auto" w:before="63"/>
        <w:ind w:left="633" w:right="1115"/>
        <w:jc w:val="left"/>
      </w:pPr>
      <w:r>
        <w:rPr/>
        <w:t>①</w:t>
      </w:r>
      <w:r>
        <w:rPr>
          <w:spacing w:val="-18"/>
        </w:rPr>
        <w:t> </w:t>
      </w:r>
      <w:r>
        <w:rPr/>
        <w:t>本年新纳入合并范围的子公司、特殊目的主体、通过受托经营或承租等方式形成控制权的经营实体</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591"/>
        <w:gridCol w:w="2813"/>
        <w:gridCol w:w="2813"/>
      </w:tblGrid>
      <w:tr>
        <w:trPr>
          <w:trHeight w:val="34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年末净资产</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34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71,116,439.36</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21,116,439.36</w:t>
            </w:r>
          </w:p>
        </w:tc>
      </w:tr>
      <w:tr>
        <w:trPr>
          <w:trHeight w:val="34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香港爱康电力国际控股有限公司</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65,039,455.84</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68,790.15</w:t>
            </w:r>
          </w:p>
        </w:tc>
      </w:tr>
      <w:tr>
        <w:trPr>
          <w:trHeight w:val="34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Arial Narrow" w:hAnsi="Arial Narrow" w:cs="Arial Narrow" w:eastAsia="Arial Narrow" w:hint="default"/>
                <w:sz w:val="18"/>
                <w:szCs w:val="18"/>
              </w:rPr>
            </w:pPr>
            <w:r>
              <w:rPr>
                <w:rFonts w:ascii="Arial Narrow"/>
                <w:spacing w:val="-1"/>
                <w:sz w:val="18"/>
              </w:rPr>
              <w:t>64,028,105.37</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Arial Narrow" w:hAnsi="Arial Narrow" w:cs="Arial Narrow" w:eastAsia="Arial Narrow" w:hint="default"/>
                <w:sz w:val="18"/>
                <w:szCs w:val="18"/>
              </w:rPr>
            </w:pPr>
            <w:r>
              <w:rPr>
                <w:rFonts w:ascii="Arial Narrow"/>
                <w:spacing w:val="-1"/>
                <w:sz w:val="18"/>
              </w:rPr>
              <w:t>12,028,105.37</w:t>
            </w:r>
          </w:p>
        </w:tc>
      </w:tr>
      <w:tr>
        <w:trPr>
          <w:trHeight w:val="34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68,000,646.27</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3,295,731.15</w:t>
            </w:r>
          </w:p>
        </w:tc>
      </w:tr>
      <w:tr>
        <w:trPr>
          <w:trHeight w:val="34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青海尼赛光伏科技有限公司</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9,995,299.00</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-4,701.00</w:t>
            </w:r>
          </w:p>
        </w:tc>
      </w:tr>
      <w:tr>
        <w:trPr>
          <w:trHeight w:val="34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青海蓓翔电力设备有限公司</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11,087,319.93</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1,087,319.93</w:t>
            </w:r>
          </w:p>
        </w:tc>
      </w:tr>
    </w:tbl>
    <w:p>
      <w:pPr>
        <w:pStyle w:val="BodyText"/>
        <w:spacing w:line="240" w:lineRule="auto" w:before="8"/>
        <w:ind w:left="633" w:right="1115"/>
        <w:jc w:val="left"/>
      </w:pPr>
      <w:r>
        <w:rPr/>
        <w:t>以上公司全部为本年新设取得的子公司或孙公司。</w:t>
      </w:r>
    </w:p>
    <w:p>
      <w:pPr>
        <w:pStyle w:val="BodyText"/>
        <w:spacing w:line="240" w:lineRule="auto" w:before="76"/>
        <w:ind w:left="633" w:right="1115"/>
        <w:jc w:val="left"/>
      </w:pPr>
      <w:r>
        <w:rPr/>
        <w:t>②本年没有不再纳入合并范围的公司、特殊目的主体、通过受托经营或承租等方式形成控制权的经营实体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115"/>
        <w:jc w:val="left"/>
        <w:rPr>
          <w:b w:val="0"/>
          <w:bCs w:val="0"/>
        </w:rPr>
      </w:pPr>
      <w:r>
        <w:rPr/>
        <w:t>十三、公司利润分配及分红派息情况</w:t>
      </w:r>
      <w:r>
        <w:rPr>
          <w:b w:val="0"/>
          <w:bCs w:val="0"/>
        </w:rPr>
      </w:r>
    </w:p>
    <w:p>
      <w:pPr>
        <w:spacing w:line="240" w:lineRule="auto" w:before="6"/>
        <w:rPr>
          <w:rFonts w:ascii="宋体" w:hAnsi="宋体" w:cs="宋体" w:eastAsia="宋体" w:hint="default"/>
          <w:b/>
          <w:bCs/>
          <w:sz w:val="26"/>
          <w:szCs w:val="26"/>
        </w:rPr>
      </w:pPr>
    </w:p>
    <w:p>
      <w:pPr>
        <w:spacing w:line="357" w:lineRule="auto" w:before="0"/>
        <w:ind w:left="513" w:right="1115" w:hanging="361"/>
        <w:jc w:val="left"/>
        <w:rPr>
          <w:rFonts w:ascii="宋体" w:hAnsi="宋体" w:cs="宋体" w:eastAsia="宋体" w:hint="default"/>
          <w:sz w:val="18"/>
          <w:szCs w:val="18"/>
        </w:rPr>
      </w:pPr>
      <w:r>
        <w:rPr>
          <w:rFonts w:ascii="宋体" w:hAnsi="宋体" w:cs="宋体" w:eastAsia="宋体" w:hint="default"/>
          <w:b/>
          <w:bCs/>
          <w:sz w:val="18"/>
          <w:szCs w:val="18"/>
        </w:rPr>
        <w:t>报告期内利润分配政策特别是现金分红政策的制定、执行或调整情况</w:t>
      </w:r>
      <w:r>
        <w:rPr>
          <w:rFonts w:ascii="宋体" w:hAnsi="宋体" w:cs="宋体" w:eastAsia="宋体" w:hint="default"/>
          <w:b/>
          <w:bCs/>
          <w:w w:val="99"/>
          <w:sz w:val="18"/>
          <w:szCs w:val="18"/>
        </w:rPr>
        <w:t> </w:t>
      </w:r>
      <w:r>
        <w:rPr>
          <w:rFonts w:ascii="宋体" w:hAnsi="宋体" w:cs="宋体" w:eastAsia="宋体" w:hint="default"/>
          <w:spacing w:val="-2"/>
          <w:sz w:val="18"/>
          <w:szCs w:val="18"/>
        </w:rPr>
        <w:t>根据中国证券监督管理委员会《关于进一步落实上市公司现金分红有关事项的通知》（证监发【</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37</w:t>
      </w:r>
      <w:r>
        <w:rPr>
          <w:rFonts w:ascii="宋体" w:hAnsi="宋体" w:cs="宋体" w:eastAsia="宋体" w:hint="default"/>
          <w:spacing w:val="-2"/>
          <w:sz w:val="18"/>
          <w:szCs w:val="18"/>
        </w:rPr>
        <w:t>号）和中国证</w:t>
      </w:r>
    </w:p>
    <w:p>
      <w:pPr>
        <w:pStyle w:val="BodyText"/>
        <w:spacing w:line="214" w:lineRule="exact"/>
        <w:ind w:right="0"/>
        <w:jc w:val="left"/>
      </w:pPr>
      <w:r>
        <w:rPr/>
        <w:t>券监督管理委员会江苏监管局《关于进一步落实上市公司现金分红有关要求的通知》（苏证监公司字【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276</w:t>
      </w:r>
      <w:r>
        <w:rPr/>
        <w:t>号）等通</w:t>
      </w:r>
    </w:p>
    <w:p>
      <w:pPr>
        <w:pStyle w:val="BodyText"/>
        <w:spacing w:line="316" w:lineRule="auto" w:before="63"/>
        <w:ind w:right="1115"/>
        <w:jc w:val="left"/>
      </w:pPr>
      <w:r>
        <w:rPr>
          <w:spacing w:val="-2"/>
        </w:rPr>
        <w:t>知要求，结合公司自身实际情况，公司第一届董事会第十六次临时会议审议通过了对《公司章程》中现金分红政策及相关内</w:t>
      </w:r>
      <w:r>
        <w:rPr>
          <w:spacing w:val="-65"/>
        </w:rPr>
        <w:t> </w:t>
      </w:r>
      <w:r>
        <w:rPr>
          <w:spacing w:val="-65"/>
        </w:rPr>
      </w:r>
      <w:r>
        <w:rPr/>
        <w:t>容的修订，并经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日的</w:t>
      </w:r>
      <w:r>
        <w:rPr>
          <w:rFonts w:ascii="Times New Roman" w:hAnsi="Times New Roman" w:cs="Times New Roman" w:eastAsia="Times New Roman" w:hint="default"/>
        </w:rPr>
        <w:t>2012</w:t>
      </w:r>
      <w:r>
        <w:rPr/>
        <w:t>年第五次临时股东大会表决通过。</w:t>
      </w:r>
    </w:p>
    <w:p>
      <w:pPr>
        <w:pStyle w:val="BodyText"/>
        <w:spacing w:line="240" w:lineRule="auto" w:before="40"/>
        <w:ind w:left="513" w:right="1115"/>
        <w:jc w:val="left"/>
      </w:pPr>
      <w:r>
        <w:rPr/>
        <w:t>《公司章程》相关条款如下：第一百五十六条</w:t>
      </w:r>
      <w:r>
        <w:rPr>
          <w:spacing w:val="55"/>
        </w:rPr>
        <w:t> </w:t>
      </w:r>
      <w:r>
        <w:rPr/>
        <w:t>一、公司利润分配政策的基本原则为：</w:t>
      </w:r>
      <w:r>
        <w:rPr>
          <w:rFonts w:ascii="Times New Roman" w:hAnsi="Times New Roman" w:cs="Times New Roman" w:eastAsia="Times New Roman" w:hint="default"/>
        </w:rPr>
        <w:t>1</w:t>
      </w:r>
      <w:r>
        <w:rPr/>
        <w:t>、公司充分考虑对投资者的合</w:t>
      </w:r>
    </w:p>
    <w:p>
      <w:pPr>
        <w:spacing w:after="0" w:line="240" w:lineRule="auto"/>
        <w:jc w:val="left"/>
        <w:sectPr>
          <w:footerReference w:type="default" r:id="rId17"/>
          <w:pgSz w:w="11910" w:h="16840"/>
          <w:pgMar w:footer="1241" w:header="745" w:top="1060" w:bottom="1440" w:left="980" w:right="0"/>
          <w:pgNumType w:start="26"/>
        </w:sectPr>
      </w:pPr>
    </w:p>
    <w:p>
      <w:pPr>
        <w:spacing w:line="240" w:lineRule="auto" w:before="9"/>
        <w:rPr>
          <w:rFonts w:ascii="宋体" w:hAnsi="宋体" w:cs="宋体" w:eastAsia="宋体" w:hint="default"/>
          <w:sz w:val="25"/>
          <w:szCs w:val="25"/>
        </w:rPr>
      </w:pPr>
    </w:p>
    <w:p>
      <w:pPr>
        <w:pStyle w:val="BodyText"/>
        <w:tabs>
          <w:tab w:pos="4953" w:val="left" w:leader="none"/>
        </w:tabs>
        <w:spacing w:line="309" w:lineRule="auto" w:before="44"/>
        <w:ind w:right="1046"/>
        <w:jc w:val="left"/>
      </w:pPr>
      <w:r>
        <w:rPr/>
        <w:t>理投资回报，每年按当年实现的母公司可供分配的利润规定比例向股东分配股利；</w:t>
      </w:r>
      <w:r>
        <w:rPr>
          <w:spacing w:val="-55"/>
        </w:rPr>
        <w:t> </w:t>
      </w:r>
      <w:r>
        <w:rPr>
          <w:rFonts w:ascii="Times New Roman" w:hAnsi="Times New Roman" w:cs="Times New Roman" w:eastAsia="Times New Roman" w:hint="default"/>
        </w:rPr>
        <w:t>2</w:t>
      </w:r>
      <w:r>
        <w:rPr/>
        <w:t>、公司的利润分配政策保持连续性和稳 定性，同时兼顾公司的长远利益、全体股东的整体利益及公司的可持续发展；</w:t>
      </w:r>
      <w:r>
        <w:rPr>
          <w:rFonts w:ascii="Times New Roman" w:hAnsi="Times New Roman" w:cs="Times New Roman" w:eastAsia="Times New Roman" w:hint="default"/>
        </w:rPr>
        <w:t>3</w:t>
      </w:r>
      <w:r>
        <w:rPr/>
        <w:t>、公司优先采用现金分红的利润分配方式。 二、公司利润分配具体政策如下：</w:t>
      </w:r>
      <w:r>
        <w:rPr>
          <w:spacing w:val="-50"/>
        </w:rPr>
        <w:t> </w:t>
      </w:r>
      <w:r>
        <w:rPr>
          <w:rFonts w:ascii="Times New Roman" w:hAnsi="Times New Roman" w:cs="Times New Roman" w:eastAsia="Times New Roman" w:hint="default"/>
        </w:rPr>
        <w:t>1</w:t>
      </w:r>
      <w:r>
        <w:rPr/>
        <w:t>、利润分配的形式：公司采用现金、股票或者现金与股票相结合的方式分配股利。在有 条件的情况下，公司可以进行中期利润分配。 </w:t>
      </w:r>
      <w:r>
        <w:rPr>
          <w:rFonts w:ascii="Times New Roman" w:hAnsi="Times New Roman" w:cs="Times New Roman" w:eastAsia="Times New Roman" w:hint="default"/>
        </w:rPr>
        <w:t>2</w:t>
      </w:r>
      <w:r>
        <w:rPr/>
        <w:t>、公司现金分红的具体条件和比例：</w:t>
      </w:r>
      <w:r>
        <w:rPr>
          <w:spacing w:val="-35"/>
        </w:rPr>
        <w:t> </w:t>
      </w:r>
      <w:r>
        <w:rPr/>
        <w:t>在满足公司正常生产经营的资金需求</w:t>
      </w:r>
      <w:r>
        <w:rPr/>
        <w:t> </w:t>
      </w:r>
      <w:r>
        <w:rPr>
          <w:spacing w:val="-2"/>
        </w:rPr>
        <w:t>情况下，如无重大投资计划或重大现金支出等特殊情况发生，公司在当年盈利且累计未分配利润为正的情况下，采取现金方</w:t>
      </w:r>
      <w:r>
        <w:rPr>
          <w:spacing w:val="-63"/>
        </w:rPr>
        <w:t> </w:t>
      </w:r>
      <w:r>
        <w:rPr>
          <w:spacing w:val="-63"/>
        </w:rPr>
      </w:r>
      <w:r>
        <w:rPr/>
        <w:t>式分配股利，每年以现金方式分配的利润不少于当年实现的母公司可供分配的利润的</w:t>
      </w:r>
      <w:r>
        <w:rPr>
          <w:rFonts w:ascii="Times New Roman" w:hAnsi="Times New Roman" w:cs="Times New Roman" w:eastAsia="Times New Roman" w:hint="default"/>
        </w:rPr>
        <w:t>10%</w:t>
      </w:r>
      <w:r>
        <w:rPr/>
        <w:t>。</w:t>
      </w:r>
      <w:r>
        <w:rPr>
          <w:spacing w:val="-18"/>
        </w:rPr>
        <w:t> </w:t>
      </w:r>
      <w:r>
        <w:rPr/>
        <w:t>上述重大投资计划或重大现金</w:t>
      </w:r>
      <w:r>
        <w:rPr/>
        <w:t> </w:t>
      </w:r>
      <w:r>
        <w:rPr>
          <w:spacing w:val="-2"/>
        </w:rPr>
        <w:t>支出等特殊情况是指以下情形之一：公司未来十二个月内有重大投资计划或重大现金支出事项（募集资金投资项目除外）发</w:t>
      </w:r>
      <w:r>
        <w:rPr>
          <w:spacing w:val="-63"/>
        </w:rPr>
        <w:t> </w:t>
      </w:r>
      <w:r>
        <w:rPr>
          <w:spacing w:val="-63"/>
        </w:rPr>
      </w:r>
      <w:r>
        <w:rPr/>
        <w:t>生。重大投资计划或者重大现金支出指以下情形之一：</w:t>
      </w:r>
      <w:r>
        <w:rPr>
          <w:spacing w:val="-17"/>
        </w:rPr>
        <w:t> </w:t>
      </w:r>
      <w:r>
        <w:rPr/>
        <w:t>①公司未来十二个月内拟对外投资、收购资产或者购买设备累计支</w:t>
      </w:r>
      <w:r>
        <w:rPr/>
        <w:t> 出达到或超过公司最近一期经审计净资产的</w:t>
      </w:r>
      <w:r>
        <w:rPr>
          <w:spacing w:val="-30"/>
        </w:rPr>
        <w:t> </w:t>
      </w:r>
      <w:r>
        <w:rPr>
          <w:rFonts w:ascii="Times New Roman" w:hAnsi="Times New Roman" w:cs="Times New Roman" w:eastAsia="Times New Roman" w:hint="default"/>
        </w:rPr>
        <w:t>20%</w:t>
      </w:r>
      <w:r>
        <w:rPr/>
        <w:t>；</w:t>
      </w:r>
      <w:r>
        <w:rPr>
          <w:spacing w:val="-67"/>
        </w:rPr>
        <w:t> </w:t>
      </w:r>
      <w:r>
        <w:rPr/>
        <w:t>②</w:t>
      </w:r>
      <w:r>
        <w:rPr>
          <w:spacing w:val="-31"/>
        </w:rPr>
        <w:t> </w:t>
      </w:r>
      <w:r>
        <w:rPr/>
        <w:t>公司未来十二个月内拟对外投资、收购资产或者购买设备累计支出达</w:t>
      </w:r>
      <w:r>
        <w:rPr/>
        <w:t> 到或超过公司最近一期经审计总资产的 </w:t>
      </w:r>
      <w:r>
        <w:rPr>
          <w:rFonts w:ascii="Times New Roman" w:hAnsi="Times New Roman" w:cs="Times New Roman" w:eastAsia="Times New Roman" w:hint="default"/>
        </w:rPr>
        <w:t>10%</w:t>
      </w:r>
      <w:r>
        <w:rPr/>
        <w:t>。 </w:t>
      </w:r>
      <w:r>
        <w:rPr>
          <w:rFonts w:ascii="Times New Roman" w:hAnsi="Times New Roman" w:cs="Times New Roman" w:eastAsia="Times New Roman" w:hint="default"/>
        </w:rPr>
        <w:t>3</w:t>
      </w:r>
      <w:r>
        <w:rPr/>
        <w:t>、公司发放股票股利的具体条件：</w:t>
      </w:r>
      <w:r>
        <w:rPr>
          <w:spacing w:val="-55"/>
        </w:rPr>
        <w:t> </w:t>
      </w:r>
      <w:r>
        <w:rPr/>
        <w:t>公司在经营情况良好，并且董事会认为</w:t>
      </w:r>
      <w:r>
        <w:rPr/>
        <w:t> 公司股票价格与公司股本规模不匹配、发放股票股利有利于公司全体股东整体利益时，可以在满足上述现金分红的条件下，</w:t>
      </w:r>
      <w:r>
        <w:rPr>
          <w:spacing w:val="-86"/>
        </w:rPr>
        <w:t> </w:t>
      </w:r>
      <w:r>
        <w:rPr>
          <w:spacing w:val="-86"/>
        </w:rPr>
      </w:r>
      <w:r>
        <w:rPr/>
        <w:t>提出股票股利分配预案。</w:t>
      </w:r>
      <w:r>
        <w:rPr>
          <w:spacing w:val="-60"/>
        </w:rPr>
        <w:t> </w:t>
      </w:r>
      <w:r>
        <w:rPr/>
        <w:t>三、公司利润分配政策的变更：</w:t>
        <w:tab/>
        <w:t>如遇到战争、自然灾害等不可抗力或者公司外部经营环境变化</w:t>
      </w:r>
      <w:r>
        <w:rPr/>
        <w:t> </w:t>
      </w:r>
      <w:r>
        <w:rPr>
          <w:spacing w:val="-2"/>
        </w:rPr>
        <w:t>并对公司生产经营造成重大影响，或公司自身经营状况发生变化时，公司可对利润分配政策进行调整。公司调整利润分配政</w:t>
      </w:r>
      <w:r>
        <w:rPr>
          <w:spacing w:val="-63"/>
        </w:rPr>
        <w:t> </w:t>
      </w:r>
      <w:r>
        <w:rPr>
          <w:spacing w:val="-63"/>
        </w:rPr>
      </w:r>
      <w:r>
        <w:rPr>
          <w:spacing w:val="-2"/>
        </w:rPr>
        <w:t>策应由董事会做出专题论述，详细论证调整理由，形成书面论证报告并经独立董事审议后提交股东大会特别决议通过。审议</w:t>
      </w:r>
      <w:r>
        <w:rPr>
          <w:spacing w:val="-63"/>
        </w:rPr>
        <w:t> </w:t>
      </w:r>
      <w:r>
        <w:rPr>
          <w:spacing w:val="-63"/>
        </w:rPr>
      </w:r>
      <w:r>
        <w:rPr/>
        <w:t>利润分配政策变更事项时，公司为股东提供网络投票方式。</w:t>
      </w:r>
    </w:p>
    <w:p>
      <w:pPr>
        <w:pStyle w:val="BodyText"/>
        <w:spacing w:line="307" w:lineRule="auto" w:before="65"/>
        <w:ind w:right="1034" w:firstLine="360"/>
        <w:jc w:val="left"/>
      </w:pPr>
      <w:r>
        <w:rPr/>
        <w:t>第一百五十七条</w:t>
      </w:r>
      <w:r>
        <w:rPr>
          <w:spacing w:val="54"/>
        </w:rPr>
        <w:t> </w:t>
      </w:r>
      <w:r>
        <w:rPr/>
        <w:t>公司利润分配的审议程序和实施：</w:t>
      </w:r>
      <w:r>
        <w:rPr>
          <w:rFonts w:ascii="Times New Roman" w:hAnsi="Times New Roman" w:cs="Times New Roman" w:eastAsia="Times New Roman" w:hint="default"/>
        </w:rPr>
        <w:t>1</w:t>
      </w:r>
      <w:r>
        <w:rPr/>
        <w:t>、公司的利润分配方案由总经理拟定后提交公司董事会、监事会 </w:t>
      </w:r>
      <w:r>
        <w:rPr>
          <w:spacing w:val="-2"/>
        </w:rPr>
        <w:t>审议。董事会就利润分配方案的合理性进行充分讨论，形成专项决议后提交股东大会审议。审议利润分配方案时，公司为股</w:t>
      </w:r>
      <w:r>
        <w:rPr>
          <w:spacing w:val="-64"/>
        </w:rPr>
        <w:t> </w:t>
      </w:r>
      <w:r>
        <w:rPr>
          <w:spacing w:val="-64"/>
        </w:rPr>
      </w:r>
      <w:r>
        <w:rPr/>
        <w:t>东提供网络投票方式。</w:t>
      </w:r>
      <w:r>
        <w:rPr>
          <w:rFonts w:ascii="Times New Roman" w:hAnsi="Times New Roman" w:cs="Times New Roman" w:eastAsia="Times New Roman" w:hint="default"/>
        </w:rPr>
        <w:t>2</w:t>
      </w:r>
      <w:r>
        <w:rPr/>
        <w:t>、公司因第一百五十六条规定的特殊情况而不进行现金分红时，董事会就不进行现金分红的具体原 </w:t>
      </w:r>
      <w:r>
        <w:rPr>
          <w:spacing w:val="-2"/>
        </w:rPr>
        <w:t>因、公司留存收益的确切用途及预计投资收益等事项进行专项说明，经独立董事发表意见后提交股东大会审议，并在公司指</w:t>
      </w:r>
      <w:r>
        <w:rPr>
          <w:spacing w:val="-63"/>
        </w:rPr>
        <w:t> </w:t>
      </w:r>
      <w:r>
        <w:rPr>
          <w:spacing w:val="-63"/>
        </w:rPr>
      </w:r>
      <w:r>
        <w:rPr/>
        <w:t>定媒体上予以披露。</w:t>
      </w:r>
      <w:r>
        <w:rPr>
          <w:rFonts w:ascii="Times New Roman" w:hAnsi="Times New Roman" w:cs="Times New Roman" w:eastAsia="Times New Roman" w:hint="default"/>
        </w:rPr>
        <w:t>3</w:t>
      </w:r>
      <w:r>
        <w:rPr/>
        <w:t>、公司股东大会对利润分配方案作出决议后，董事会须在股东大会召开后</w:t>
      </w:r>
      <w:r>
        <w:rPr>
          <w:rFonts w:ascii="Times New Roman" w:hAnsi="Times New Roman" w:cs="Times New Roman" w:eastAsia="Times New Roman" w:hint="default"/>
        </w:rPr>
        <w:t>2</w:t>
      </w:r>
      <w:r>
        <w:rPr/>
        <w:t>个月内完成股利（或股份）</w:t>
      </w:r>
      <w:r>
        <w:rPr>
          <w:spacing w:val="-85"/>
        </w:rPr>
        <w:t> </w:t>
      </w:r>
      <w:r>
        <w:rPr>
          <w:spacing w:val="-85"/>
        </w:rPr>
      </w:r>
      <w:r>
        <w:rPr/>
        <w:t>的派发事项。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Heading6"/>
        <w:spacing w:line="240" w:lineRule="auto"/>
        <w:ind w:right="1115"/>
        <w:jc w:val="left"/>
        <w:rPr>
          <w:b w:val="0"/>
          <w:bCs w:val="0"/>
        </w:rPr>
      </w:pPr>
      <w:r>
        <w:rPr/>
        <w:t>本年度利润分配及资本公积金转增股本预案</w:t>
      </w:r>
      <w:r>
        <w:rPr>
          <w:b w:val="0"/>
          <w:bCs w:val="0"/>
        </w:rPr>
      </w:r>
    </w:p>
    <w:p>
      <w:pPr>
        <w:pStyle w:val="BodyText"/>
        <w:spacing w:line="240" w:lineRule="auto" w:before="117"/>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6"/>
        <w:spacing w:line="240" w:lineRule="auto" w:before="101"/>
        <w:ind w:right="1115"/>
        <w:jc w:val="left"/>
        <w:rPr>
          <w:b w:val="0"/>
          <w:bCs w:val="0"/>
        </w:rPr>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年（含报告期）的利润分配方案及资本公积金转增股本方案情况</w:t>
      </w:r>
      <w:r>
        <w:rPr>
          <w:b w:val="0"/>
          <w:bCs w:val="0"/>
        </w:rPr>
      </w:r>
    </w:p>
    <w:p>
      <w:pPr>
        <w:pStyle w:val="BodyText"/>
        <w:spacing w:line="300" w:lineRule="auto" w:before="103"/>
        <w:ind w:right="1115" w:firstLine="271"/>
        <w:jc w:val="left"/>
      </w:pPr>
      <w:r>
        <w:rPr>
          <w:rFonts w:ascii="Times New Roman" w:hAnsi="Times New Roman" w:cs="Times New Roman" w:eastAsia="Times New Roman" w:hint="default"/>
          <w:spacing w:val="-2"/>
        </w:rPr>
        <w:t>1</w:t>
      </w:r>
      <w:r>
        <w:rPr>
          <w:spacing w:val="-2"/>
        </w:rPr>
        <w:t>、根据第一届董事会第六次会议审议和</w:t>
      </w:r>
      <w:r>
        <w:rPr>
          <w:rFonts w:ascii="Times New Roman" w:hAnsi="Times New Roman" w:cs="Times New Roman" w:eastAsia="Times New Roman" w:hint="default"/>
          <w:spacing w:val="-2"/>
        </w:rPr>
        <w:t>2010</w:t>
      </w:r>
      <w:r>
        <w:rPr>
          <w:spacing w:val="-2"/>
        </w:rPr>
        <w:t>年度股东大会表决，公司</w:t>
      </w:r>
      <w:r>
        <w:rPr>
          <w:rFonts w:ascii="Times New Roman" w:hAnsi="Times New Roman" w:cs="Times New Roman" w:eastAsia="Times New Roman" w:hint="default"/>
          <w:spacing w:val="-2"/>
        </w:rPr>
        <w:t>2010</w:t>
      </w:r>
      <w:r>
        <w:rPr>
          <w:spacing w:val="-2"/>
        </w:rPr>
        <w:t>年度不进行利润分配，也不进行公积金转增股</w:t>
      </w:r>
      <w:r>
        <w:rPr/>
        <w:t> 本。</w:t>
      </w:r>
    </w:p>
    <w:p>
      <w:pPr>
        <w:pStyle w:val="BodyText"/>
        <w:spacing w:line="240" w:lineRule="auto" w:before="31"/>
        <w:ind w:left="424" w:right="1115"/>
        <w:jc w:val="left"/>
      </w:pPr>
      <w:r>
        <w:rPr>
          <w:rFonts w:ascii="Times New Roman" w:hAnsi="Times New Roman" w:cs="Times New Roman" w:eastAsia="Times New Roman" w:hint="default"/>
        </w:rPr>
        <w:t>2</w:t>
      </w:r>
      <w:r>
        <w:rPr/>
        <w:t>、根据第一届董事会第十二次会议审议和</w:t>
      </w:r>
      <w:r>
        <w:rPr>
          <w:rFonts w:ascii="Times New Roman" w:hAnsi="Times New Roman" w:cs="Times New Roman" w:eastAsia="Times New Roman" w:hint="default"/>
        </w:rPr>
        <w:t>2011</w:t>
      </w:r>
      <w:r>
        <w:rPr/>
        <w:t>年度股东大会表决：</w:t>
      </w:r>
    </w:p>
    <w:p>
      <w:pPr>
        <w:pStyle w:val="BodyText"/>
        <w:spacing w:line="240" w:lineRule="auto" w:before="63"/>
        <w:ind w:left="333" w:right="1115"/>
        <w:jc w:val="left"/>
      </w:pPr>
      <w:r>
        <w:rPr/>
        <w:t>（</w:t>
      </w:r>
      <w:r>
        <w:rPr>
          <w:rFonts w:ascii="Times New Roman" w:hAnsi="Times New Roman" w:cs="Times New Roman" w:eastAsia="Times New Roman" w:hint="default"/>
        </w:rPr>
        <w:t>1</w:t>
      </w:r>
      <w:r>
        <w:rPr/>
        <w:t>）以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200,000,000</w:t>
      </w:r>
      <w:r>
        <w:rPr/>
        <w:t>股为基数，拟按每</w:t>
      </w:r>
      <w:r>
        <w:rPr>
          <w:rFonts w:ascii="Times New Roman" w:hAnsi="Times New Roman" w:cs="Times New Roman" w:eastAsia="Times New Roman" w:hint="default"/>
        </w:rPr>
        <w:t>10</w:t>
      </w:r>
      <w:r>
        <w:rPr>
          <w:rFonts w:ascii="Times New Roman" w:hAnsi="Times New Roman" w:cs="Times New Roman" w:eastAsia="Times New Roman" w:hint="default"/>
          <w:spacing w:val="20"/>
        </w:rPr>
        <w:t> </w:t>
      </w:r>
      <w:r>
        <w:rPr/>
        <w:t>股派发现金股利人民币</w:t>
      </w:r>
      <w:r>
        <w:rPr>
          <w:rFonts w:ascii="Times New Roman" w:hAnsi="Times New Roman" w:cs="Times New Roman" w:eastAsia="Times New Roman" w:hint="default"/>
        </w:rPr>
        <w:t>5.00</w:t>
      </w:r>
      <w:r>
        <w:rPr/>
        <w:t>元（含税），共计人民币</w:t>
      </w:r>
    </w:p>
    <w:p>
      <w:pPr>
        <w:pStyle w:val="BodyText"/>
        <w:spacing w:line="240" w:lineRule="auto" w:before="63"/>
        <w:ind w:right="1115"/>
        <w:jc w:val="left"/>
      </w:pPr>
      <w:r>
        <w:rPr>
          <w:rFonts w:ascii="Times New Roman" w:hAnsi="Times New Roman" w:cs="Times New Roman" w:eastAsia="Times New Roman" w:hint="default"/>
        </w:rPr>
        <w:t>100,000,000.00</w:t>
      </w:r>
      <w:r>
        <w:rPr/>
        <w:t>元。</w:t>
      </w:r>
    </w:p>
    <w:p>
      <w:pPr>
        <w:pStyle w:val="BodyText"/>
        <w:spacing w:line="300" w:lineRule="auto" w:before="63"/>
        <w:ind w:right="1115" w:firstLine="180"/>
        <w:jc w:val="left"/>
      </w:pPr>
      <w:r>
        <w:rPr>
          <w:spacing w:val="-2"/>
        </w:rPr>
        <w:t>（</w:t>
      </w:r>
      <w:r>
        <w:rPr>
          <w:rFonts w:ascii="Times New Roman" w:hAnsi="Times New Roman" w:cs="Times New Roman" w:eastAsia="Times New Roman" w:hint="default"/>
          <w:spacing w:val="-2"/>
        </w:rPr>
        <w:t>2</w:t>
      </w:r>
      <w:r>
        <w:rPr>
          <w:spacing w:val="-2"/>
        </w:rPr>
        <w:t>）以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200,000,000</w:t>
      </w:r>
      <w:r>
        <w:rPr>
          <w:spacing w:val="-2"/>
        </w:rPr>
        <w:t>股为基数，拟以股本溢价形成的资本公积向全体股东每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股，此预案</w:t>
      </w:r>
      <w:r>
        <w:rPr/>
        <w:t> 实施后公司总股本由</w:t>
      </w:r>
      <w:r>
        <w:rPr>
          <w:rFonts w:ascii="Times New Roman" w:hAnsi="Times New Roman" w:cs="Times New Roman" w:eastAsia="Times New Roman" w:hint="default"/>
        </w:rPr>
        <w:t>200,000,000</w:t>
      </w:r>
      <w:r>
        <w:rPr/>
        <w:t>股增加为</w:t>
      </w:r>
      <w:r>
        <w:rPr>
          <w:rFonts w:ascii="Times New Roman" w:hAnsi="Times New Roman" w:cs="Times New Roman" w:eastAsia="Times New Roman" w:hint="default"/>
        </w:rPr>
        <w:t>300,000,000</w:t>
      </w:r>
      <w:r>
        <w:rPr/>
        <w:t>股，</w:t>
      </w:r>
    </w:p>
    <w:p>
      <w:pPr>
        <w:pStyle w:val="BodyText"/>
        <w:spacing w:line="240" w:lineRule="auto" w:before="13"/>
        <w:ind w:left="333" w:right="0"/>
        <w:jc w:val="left"/>
      </w:pPr>
      <w:r>
        <w:rPr>
          <w:rFonts w:ascii="Times New Roman" w:hAnsi="Times New Roman" w:cs="Times New Roman" w:eastAsia="Times New Roman" w:hint="default"/>
        </w:rPr>
        <w:t>3</w:t>
      </w:r>
      <w:r>
        <w:rPr/>
        <w:t>、因</w:t>
      </w:r>
      <w:r>
        <w:rPr>
          <w:rFonts w:ascii="Times New Roman" w:hAnsi="Times New Roman" w:cs="Times New Roman" w:eastAsia="Times New Roman" w:hint="default"/>
        </w:rPr>
        <w:t>2012</w:t>
      </w:r>
      <w:r>
        <w:rPr/>
        <w:t>年度公司经营性亏损，为保证公司</w:t>
      </w:r>
      <w:r>
        <w:rPr>
          <w:rFonts w:ascii="Times New Roman" w:hAnsi="Times New Roman" w:cs="Times New Roman" w:eastAsia="Times New Roman" w:hint="default"/>
        </w:rPr>
        <w:t>2013</w:t>
      </w:r>
      <w:r>
        <w:rPr/>
        <w:t>年更好的生产经营，</w:t>
      </w:r>
      <w:r>
        <w:rPr>
          <w:rFonts w:ascii="Times New Roman" w:hAnsi="Times New Roman" w:cs="Times New Roman" w:eastAsia="Times New Roman" w:hint="default"/>
        </w:rPr>
        <w:t>2012</w:t>
      </w:r>
      <w:r>
        <w:rPr/>
        <w:t>年度拟不进行资本公积转增股本和利润分配。</w:t>
      </w:r>
    </w:p>
    <w:p>
      <w:pPr>
        <w:spacing w:line="240" w:lineRule="auto" w:before="5"/>
        <w:rPr>
          <w:rFonts w:ascii="宋体" w:hAnsi="宋体" w:cs="宋体" w:eastAsia="宋体" w:hint="default"/>
          <w:sz w:val="28"/>
          <w:szCs w:val="28"/>
        </w:rPr>
      </w:pPr>
    </w:p>
    <w:p>
      <w:pPr>
        <w:pStyle w:val="Heading6"/>
        <w:spacing w:line="240" w:lineRule="auto" w:before="44"/>
        <w:ind w:right="1115"/>
        <w:jc w:val="left"/>
        <w:rPr>
          <w:b w:val="0"/>
          <w:bCs w:val="0"/>
        </w:rPr>
      </w:pPr>
      <w:r>
        <w:rPr/>
        <w:t>公司近三年现金分红情况表</w:t>
      </w:r>
      <w:r>
        <w:rPr>
          <w:b w:val="0"/>
          <w:bCs w:val="0"/>
        </w:rPr>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-56,039,723.85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197,263,945.56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50.69%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101,467,327.77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w:t>
            </w:r>
          </w:p>
        </w:tc>
      </w:tr>
    </w:tbl>
    <w:p>
      <w:pPr>
        <w:pStyle w:val="Heading6"/>
        <w:spacing w:line="240" w:lineRule="auto" w:before="49"/>
        <w:ind w:right="1115"/>
        <w:jc w:val="left"/>
        <w:rPr>
          <w:b w:val="0"/>
          <w:bCs w:val="0"/>
        </w:rPr>
      </w:pPr>
      <w:r>
        <w:rPr/>
        <w:t>公司报告期内盈利且母公司未分配利润为正但未提出现金红利分配预案</w:t>
      </w:r>
      <w:r>
        <w:rPr>
          <w:b w:val="0"/>
          <w:bCs w:val="0"/>
        </w:rPr>
      </w:r>
    </w:p>
    <w:p>
      <w:pPr>
        <w:spacing w:after="0" w:line="240" w:lineRule="auto"/>
        <w:jc w:val="left"/>
        <w:sectPr>
          <w:pgSz w:w="11910" w:h="16840"/>
          <w:pgMar w:header="745" w:footer="1241" w:top="1060" w:bottom="144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r>
        <w:rPr/>
        <w:t>十四、社会责任情况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0"/>
        <w:jc w:val="both"/>
      </w:pPr>
      <w:r>
        <w:rPr>
          <w:spacing w:val="-2"/>
        </w:rPr>
        <w:t>作为一家新能源企业，我们深知绿色环保、节能减排对于美丽中国和美好家园建设的深刻意义，我们热切期盼有更多的</w:t>
      </w:r>
      <w:r>
        <w:rPr/>
        <w:t> </w:t>
      </w:r>
      <w:r>
        <w:rPr>
          <w:spacing w:val="-2"/>
        </w:rPr>
        <w:t>同行者能和我们一起呵护这绿荫葱葱的地球；作为一家公众公司，我们深知在追求企业、员工、社会、自然和谐发展，为股</w:t>
      </w:r>
      <w:r>
        <w:rPr>
          <w:spacing w:val="-68"/>
        </w:rPr>
        <w:t> </w:t>
      </w:r>
      <w:r>
        <w:rPr>
          <w:spacing w:val="-68"/>
        </w:rPr>
      </w:r>
      <w:r>
        <w:rPr/>
        <w:t>东、社会创造财富的同时，也需要在积极践行企业法人承担的社会责任。</w:t>
      </w:r>
    </w:p>
    <w:p>
      <w:pPr>
        <w:pStyle w:val="BodyText"/>
        <w:spacing w:line="316" w:lineRule="auto" w:before="19"/>
        <w:ind w:right="1034" w:firstLine="180"/>
        <w:jc w:val="left"/>
      </w:pPr>
      <w:r>
        <w:rPr>
          <w:spacing w:val="-2"/>
        </w:rPr>
        <w:t>（一）环境保护工作：公司主要从事公司光伏太阳能配件的生产和光伏电站的建设，通过新能源产品的提供，为节能减排</w:t>
      </w:r>
      <w:r>
        <w:rPr/>
        <w:t> 贡献力量。公司太阳能电站主要建设在青海、新疆等西部地区，在电站建设的同时，我们在电站地表种植牧草，防风固沙、</w:t>
      </w:r>
      <w:r>
        <w:rPr>
          <w:spacing w:val="-83"/>
        </w:rPr>
        <w:t> </w:t>
      </w:r>
      <w:r>
        <w:rPr>
          <w:spacing w:val="-83"/>
        </w:rPr>
      </w:r>
      <w:r>
        <w:rPr/>
        <w:t>美化环境，取得了较好的经济和社会效益。报告期内，公司无环境污染事故及环境违法事件等环境问题。</w:t>
      </w:r>
    </w:p>
    <w:p>
      <w:pPr>
        <w:pStyle w:val="BodyText"/>
        <w:spacing w:line="309" w:lineRule="auto" w:before="19"/>
        <w:ind w:right="1130" w:firstLine="180"/>
        <w:jc w:val="both"/>
      </w:pPr>
      <w:r>
        <w:rPr>
          <w:spacing w:val="-1"/>
        </w:rPr>
        <w:t>（二）积极维护股东特别是中小投资者权益：公司官方网站（</w:t>
      </w:r>
      <w:hyperlink r:id="rId9">
        <w:r>
          <w:rPr>
            <w:rFonts w:ascii="Times New Roman" w:hAnsi="Times New Roman" w:cs="Times New Roman" w:eastAsia="Times New Roman" w:hint="default"/>
            <w:spacing w:val="-1"/>
          </w:rPr>
          <w:t>www.akcome.com</w:t>
        </w:r>
      </w:hyperlink>
      <w:r>
        <w:rPr>
          <w:spacing w:val="-1"/>
        </w:rPr>
        <w:t>）首页明显位置设置了</w:t>
      </w:r>
      <w:r>
        <w:rPr>
          <w:rFonts w:ascii="Times New Roman" w:hAnsi="Times New Roman" w:cs="Times New Roman" w:eastAsia="Times New Roman" w:hint="default"/>
          <w:spacing w:val="-1"/>
        </w:rPr>
        <w:t>“</w:t>
      </w:r>
      <w:r>
        <w:rPr>
          <w:spacing w:val="-1"/>
        </w:rPr>
        <w:t>企业公告</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新闻</w:t>
      </w:r>
      <w:r>
        <w:rPr/>
        <w:t> 中心</w:t>
      </w:r>
      <w:r>
        <w:rPr>
          <w:rFonts w:ascii="Times New Roman" w:hAnsi="Times New Roman" w:cs="Times New Roman" w:eastAsia="Times New Roman" w:hint="default"/>
        </w:rPr>
        <w:t>”</w:t>
      </w:r>
      <w:r>
        <w:rPr/>
        <w:t>板块，投资者能及时了解公司的信息披露和经营情况。通过公开披露与日常投资者咨询等有效方式，让更多的股东能</w:t>
      </w:r>
      <w:r>
        <w:rPr>
          <w:spacing w:val="-76"/>
        </w:rPr>
        <w:t> </w:t>
      </w:r>
      <w:r>
        <w:rPr>
          <w:spacing w:val="-76"/>
        </w:rPr>
      </w:r>
      <w:r>
        <w:rPr>
          <w:spacing w:val="-2"/>
        </w:rPr>
        <w:t>够加深对公司的了解，确保股东对公司重大事项的知情权、参与权和表决权的实现。公司严格按照公司《章程》、《股东大</w:t>
      </w:r>
      <w:r>
        <w:rPr>
          <w:spacing w:val="-69"/>
        </w:rPr>
        <w:t> </w:t>
      </w:r>
      <w:r>
        <w:rPr>
          <w:spacing w:val="-69"/>
        </w:rPr>
      </w:r>
      <w:r>
        <w:rPr>
          <w:spacing w:val="-5"/>
        </w:rPr>
        <w:t>会议事规则》的规定和要求，规范股东大会的召集、召开、表决程序，确保股东对公司重大事项的知情权、参与权和表决权；</w:t>
      </w:r>
      <w:r>
        <w:rPr>
          <w:spacing w:val="-79"/>
        </w:rPr>
        <w:t> </w:t>
      </w:r>
      <w:r>
        <w:rPr>
          <w:spacing w:val="-79"/>
        </w:rPr>
      </w:r>
      <w:r>
        <w:rPr/>
        <w:t>认真履行信息披露义务，秉持公平、公正、公开的原则对待全体投资者，确保所有股东特别是中小股东的正当权益。</w:t>
      </w:r>
    </w:p>
    <w:p>
      <w:pPr>
        <w:pStyle w:val="BodyText"/>
        <w:spacing w:line="316" w:lineRule="auto" w:before="24"/>
        <w:ind w:right="1034" w:firstLine="180"/>
        <w:jc w:val="left"/>
      </w:pPr>
      <w:r>
        <w:rPr>
          <w:spacing w:val="-2"/>
        </w:rPr>
        <w:t>（三）积极提供就业岗位，努力保护员工权益：公司始终坚持以人为本的核心价值观，关心员工的工作、生活、健康、安</w:t>
      </w:r>
      <w:r>
        <w:rPr/>
        <w:t> 全，切实保护员工的各项权益，提升企业的凝聚力，实现员工与企业的共同成长。公司按照《中华人民共和国劳动合同法》</w:t>
      </w:r>
      <w:r>
        <w:rPr>
          <w:spacing w:val="-83"/>
        </w:rPr>
        <w:t> </w:t>
      </w:r>
      <w:r>
        <w:rPr>
          <w:spacing w:val="-83"/>
        </w:rPr>
      </w:r>
      <w:r>
        <w:rPr>
          <w:spacing w:val="-2"/>
        </w:rPr>
        <w:t>和有关劳动法律法规的规定，严格执行国家用工制度、劳动保护制度、社会保障制度和医疗保障制度，按照国家及主管部门</w:t>
      </w:r>
      <w:r>
        <w:rPr>
          <w:spacing w:val="-65"/>
        </w:rPr>
        <w:t> </w:t>
      </w:r>
      <w:r>
        <w:rPr>
          <w:spacing w:val="-65"/>
        </w:rPr>
      </w:r>
      <w:r>
        <w:rPr>
          <w:spacing w:val="-2"/>
        </w:rPr>
        <w:t>的规定、要求，为企业员工缴纳医疗保险金、养老保险金、失业保险金、工伤保险金、生育保险金和住房公积金，同时安排</w:t>
      </w:r>
      <w:r>
        <w:rPr>
          <w:spacing w:val="-73"/>
        </w:rPr>
        <w:t> </w:t>
      </w:r>
      <w:r>
        <w:rPr>
          <w:spacing w:val="-73"/>
        </w:rPr>
      </w:r>
      <w:r>
        <w:rPr>
          <w:spacing w:val="-2"/>
        </w:rPr>
        <w:t>全员健康体检。公司建立了较为完善的培训体系，设立了公司图书馆，不定期组织员工进行培训学习，同时成立各类文化社</w:t>
      </w:r>
      <w:r>
        <w:rPr>
          <w:spacing w:val="-65"/>
        </w:rPr>
        <w:t> </w:t>
      </w:r>
      <w:r>
        <w:rPr>
          <w:spacing w:val="-65"/>
        </w:rPr>
      </w:r>
      <w:r>
        <w:rPr/>
        <w:t>团和义工组织，定期组织活动，丰富了员工的生活，增强了公司凝聚力和向心力。</w:t>
      </w:r>
    </w:p>
    <w:p>
      <w:pPr>
        <w:pStyle w:val="BodyText"/>
        <w:spacing w:line="319" w:lineRule="auto" w:before="19"/>
        <w:ind w:right="1034" w:firstLine="180"/>
        <w:jc w:val="left"/>
      </w:pPr>
      <w:r>
        <w:rPr>
          <w:spacing w:val="-2"/>
        </w:rPr>
        <w:t>（四）与其他利益相关者关系的情况：公司充分尊重供应商、客户和银行等其他利益相关者的合法权益，在经济活动中秉</w:t>
      </w:r>
      <w:r>
        <w:rPr/>
        <w:t> 承诚实守信、公平公正的原则，树立良好的企业形象，促进公司能够平稳持续地健康发展。公司在重大项目的采购过程中，</w:t>
      </w:r>
      <w:r>
        <w:rPr>
          <w:spacing w:val="-86"/>
        </w:rPr>
        <w:t> </w:t>
      </w:r>
      <w:r>
        <w:rPr>
          <w:spacing w:val="-86"/>
        </w:rPr>
      </w:r>
      <w:r>
        <w:rPr>
          <w:spacing w:val="-2"/>
        </w:rPr>
        <w:t>采用招标模式，与供应商、建设商均签署廉洁协议，严格防控项目建设过程中的腐败行为；公司立足为客户创造价值，紧紧</w:t>
      </w:r>
      <w:r>
        <w:rPr>
          <w:spacing w:val="-67"/>
        </w:rPr>
        <w:t> </w:t>
      </w:r>
      <w:r>
        <w:rPr>
          <w:spacing w:val="-67"/>
        </w:rPr>
      </w:r>
      <w:r>
        <w:rPr>
          <w:spacing w:val="-2"/>
        </w:rPr>
        <w:t>围绕客户建设、运营、维护业务全过程的需求和困难，从解决方案入手，满足客户的需求；公司商业信用良好，银行资信状</w:t>
      </w:r>
      <w:r>
        <w:rPr>
          <w:spacing w:val="-68"/>
        </w:rPr>
        <w:t> </w:t>
      </w:r>
      <w:r>
        <w:rPr>
          <w:spacing w:val="-68"/>
        </w:rPr>
      </w:r>
      <w:r>
        <w:rPr>
          <w:spacing w:val="-2"/>
        </w:rPr>
        <w:t>况良好，与各大银行均保持良好的合作，不存在重大违法违规或不诚信行为。公司为客户提供优质产品与服务的同时，通过</w:t>
      </w:r>
      <w:r>
        <w:rPr>
          <w:spacing w:val="-64"/>
        </w:rPr>
        <w:t> </w:t>
      </w:r>
      <w:r>
        <w:rPr>
          <w:spacing w:val="-64"/>
        </w:rPr>
      </w:r>
      <w:r>
        <w:rPr>
          <w:spacing w:val="-2"/>
        </w:rPr>
        <w:t>自身的发展，为配套商提供了更多的就业机会，服务社会。公司严格把控产品质量关，注重生产安全和产品安全，为客户提</w:t>
      </w:r>
      <w:r>
        <w:rPr>
          <w:spacing w:val="-67"/>
        </w:rPr>
        <w:t> </w:t>
      </w:r>
      <w:r>
        <w:rPr>
          <w:spacing w:val="-67"/>
        </w:rPr>
      </w:r>
      <w:r>
        <w:rPr/>
        <w:t>供优质安全的产品，公司的产品和服务赢得了用户的广泛信赖。</w:t>
      </w:r>
    </w:p>
    <w:p>
      <w:pPr>
        <w:spacing w:line="240" w:lineRule="auto" w:before="2"/>
        <w:rPr>
          <w:rFonts w:ascii="宋体" w:hAnsi="宋体" w:cs="宋体" w:eastAsia="宋体" w:hint="default"/>
          <w:sz w:val="11"/>
          <w:szCs w:val="11"/>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before="26"/>
        <w:ind w:right="1115"/>
        <w:jc w:val="left"/>
        <w:rPr>
          <w:b w:val="0"/>
          <w:bCs w:val="0"/>
        </w:rPr>
      </w:pPr>
      <w:r>
        <w:rPr/>
        <w:t>十五、报告期内接待调研、沟通、采访等活动登记表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华宝证券王慧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公司经营及战略情况，未 提供资料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湘财证券许颢</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公司经营及战略情况，未 提供资料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民生证券黄彤</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公司经营及战略情况，未 提供资料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光大证券封化</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公司经营及战略情况，未 提供资料</w:t>
            </w:r>
          </w:p>
        </w:tc>
      </w:tr>
    </w:tbl>
    <w:p>
      <w:pPr>
        <w:spacing w:after="0" w:line="314" w:lineRule="auto"/>
        <w:jc w:val="left"/>
        <w:rPr>
          <w:rFonts w:ascii="宋体" w:hAnsi="宋体" w:cs="宋体" w:eastAsia="宋体" w:hint="default"/>
          <w:sz w:val="18"/>
          <w:szCs w:val="18"/>
        </w:rPr>
        <w:sectPr>
          <w:pgSz w:w="11910" w:h="16840"/>
          <w:pgMar w:header="745" w:footer="1241"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银河证券张玲</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公司经营及战略情况，未 提供资料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上海德汇集团有限 公司黄政</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公司经营及战略情况，未 提供资料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博时基金孙占军、 韩茂华</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公司经营及战略情况，未 提供资料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中信证券林如洁</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公司经营及战略情况，未 提供资料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长城证券沈成</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公司经营及战略情况，未 提供资料</w:t>
            </w:r>
          </w:p>
        </w:tc>
      </w:tr>
      <w:tr>
        <w:trPr>
          <w:trHeight w:val="71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方正证券王莎莎</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公司经营及战略情况，未 提供资料</w:t>
            </w:r>
          </w:p>
        </w:tc>
      </w:tr>
    </w:tbl>
    <w:p>
      <w:pPr>
        <w:spacing w:after="0" w:line="316" w:lineRule="auto"/>
        <w:jc w:val="left"/>
        <w:rPr>
          <w:rFonts w:ascii="宋体" w:hAnsi="宋体" w:cs="宋体" w:eastAsia="宋体" w:hint="default"/>
          <w:sz w:val="18"/>
          <w:szCs w:val="18"/>
        </w:rPr>
        <w:sectPr>
          <w:pgSz w:w="11910" w:h="16840"/>
          <w:pgMar w:header="745" w:footer="1241"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spacing w:before="0"/>
        <w:ind w:left="614" w:right="1590" w:firstLine="0"/>
        <w:jc w:val="center"/>
        <w:rPr>
          <w:rFonts w:ascii="宋体" w:hAnsi="宋体" w:cs="宋体" w:eastAsia="宋体" w:hint="default"/>
          <w:sz w:val="32"/>
          <w:szCs w:val="32"/>
        </w:rPr>
      </w:pPr>
      <w:r>
        <w:rPr>
          <w:rFonts w:ascii="宋体" w:hAnsi="宋体" w:cs="宋体" w:eastAsia="宋体" w:hint="default"/>
          <w:b/>
          <w:bCs/>
          <w:sz w:val="32"/>
          <w:szCs w:val="32"/>
        </w:rPr>
        <w:t>第五节</w:t>
      </w:r>
      <w:r>
        <w:rPr>
          <w:rFonts w:ascii="宋体" w:hAnsi="宋体" w:cs="宋体" w:eastAsia="宋体" w:hint="default"/>
          <w:b/>
          <w:bCs/>
          <w:spacing w:val="-2"/>
          <w:sz w:val="32"/>
          <w:szCs w:val="32"/>
        </w:rPr>
        <w:t> </w:t>
      </w:r>
      <w:r>
        <w:rPr>
          <w:rFonts w:ascii="宋体" w:hAnsi="宋体" w:cs="宋体" w:eastAsia="宋体" w:hint="default"/>
          <w:b/>
          <w:bCs/>
          <w:sz w:val="32"/>
          <w:szCs w:val="32"/>
        </w:rPr>
        <w:t>重要事项</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before="26"/>
        <w:ind w:left="152" w:right="1115"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34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 媒体质疑情况</w:t>
      </w:r>
    </w:p>
    <w:p>
      <w:pPr>
        <w:pStyle w:val="BodyText"/>
        <w:spacing w:line="340" w:lineRule="auto" w:before="36"/>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ind w:right="1115"/>
        <w:jc w:val="left"/>
        <w:rPr>
          <w:b w:val="0"/>
          <w:bCs w:val="0"/>
        </w:rPr>
      </w:pPr>
      <w:r>
        <w:rPr/>
        <w:t>二、上市公司发生控股股东及其关联方非经营性占用资金情况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935"/>
        <w:gridCol w:w="968"/>
        <w:gridCol w:w="946"/>
        <w:gridCol w:w="971"/>
        <w:gridCol w:w="956"/>
        <w:gridCol w:w="957"/>
        <w:gridCol w:w="956"/>
        <w:gridCol w:w="955"/>
        <w:gridCol w:w="958"/>
        <w:gridCol w:w="958"/>
      </w:tblGrid>
      <w:tr>
        <w:trPr>
          <w:trHeight w:val="161" w:hRule="exact"/>
        </w:trPr>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68" w:type="dxa"/>
            <w:vMerge w:val="restart"/>
            <w:tcBorders>
              <w:top w:val="single" w:sz="4" w:space="0" w:color="000000"/>
              <w:left w:val="single" w:sz="4" w:space="0" w:color="000000"/>
              <w:right w:val="single" w:sz="4" w:space="0" w:color="000000"/>
            </w:tcBorders>
            <w:shd w:val="clear" w:color="auto" w:fill="D2D2D2"/>
          </w:tcPr>
          <w:p>
            <w:pPr/>
          </w:p>
        </w:tc>
        <w:tc>
          <w:tcPr>
            <w:tcW w:w="946" w:type="dxa"/>
            <w:vMerge w:val="restart"/>
            <w:tcBorders>
              <w:top w:val="single" w:sz="4" w:space="0" w:color="000000"/>
              <w:left w:val="single" w:sz="4" w:space="0" w:color="000000"/>
              <w:right w:val="single" w:sz="4" w:space="0" w:color="000000"/>
            </w:tcBorders>
            <w:shd w:val="clear" w:color="auto" w:fill="D2D2D2"/>
          </w:tcPr>
          <w:p>
            <w:pPr/>
          </w:p>
        </w:tc>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1" w:right="23"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19"/>
              <w:ind w:left="11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21"/>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92" w:right="11" w:hanging="181"/>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68"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07" w:right="23" w:hanging="272"/>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91" w:right="23" w:hanging="269"/>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394" w:hRule="exact"/>
        </w:trPr>
        <w:tc>
          <w:tcPr>
            <w:tcW w:w="935" w:type="dxa"/>
            <w:vMerge/>
            <w:tcBorders>
              <w:left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71"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5"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r>
      <w:tr>
        <w:trPr>
          <w:trHeight w:val="156" w:hRule="exact"/>
        </w:trPr>
        <w:tc>
          <w:tcPr>
            <w:tcW w:w="935" w:type="dxa"/>
            <w:vMerge/>
            <w:tcBorders>
              <w:left w:val="single" w:sz="4" w:space="0" w:color="000000"/>
              <w:bottom w:val="nil" w:sz="6" w:space="0" w:color="auto"/>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
        </w:tc>
        <w:tc>
          <w:tcPr>
            <w:tcW w:w="946" w:type="dxa"/>
            <w:vMerge w:val="restart"/>
            <w:tcBorders>
              <w:top w:val="nil" w:sz="6" w:space="0" w:color="auto"/>
              <w:left w:val="single" w:sz="4" w:space="0" w:color="000000"/>
              <w:right w:val="single" w:sz="4" w:space="0" w:color="000000"/>
            </w:tcBorders>
            <w:shd w:val="clear" w:color="auto" w:fill="D2D2D2"/>
          </w:tcPr>
          <w:p>
            <w:pPr/>
          </w:p>
        </w:tc>
        <w:tc>
          <w:tcPr>
            <w:tcW w:w="971"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68"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711"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11"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报告期内未发生控股股东及其关联方非经营性资金占用情况。</w:t>
            </w:r>
          </w:p>
        </w:tc>
      </w:tr>
      <w:tr>
        <w:trPr>
          <w:trHeight w:val="716" w:hRule="exact"/>
        </w:trPr>
        <w:tc>
          <w:tcPr>
            <w:tcW w:w="2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6"/>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11"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3" w:hRule="exact"/>
        </w:trPr>
        <w:tc>
          <w:tcPr>
            <w:tcW w:w="2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6"/>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11"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关于公司关联方占用上市公司资金情况的专项审核报告</w:t>
            </w:r>
          </w:p>
        </w:tc>
      </w:tr>
    </w:tbl>
    <w:p>
      <w:pPr>
        <w:spacing w:line="240" w:lineRule="auto" w:before="1"/>
        <w:rPr>
          <w:rFonts w:ascii="宋体" w:hAnsi="宋体" w:cs="宋体" w:eastAsia="宋体" w:hint="default"/>
          <w:b/>
          <w:bCs/>
          <w:sz w:val="18"/>
          <w:szCs w:val="18"/>
        </w:rPr>
      </w:pPr>
    </w:p>
    <w:p>
      <w:pPr>
        <w:spacing w:before="26"/>
        <w:ind w:left="152" w:right="1115" w:firstLine="0"/>
        <w:jc w:val="left"/>
        <w:rPr>
          <w:rFonts w:ascii="宋体" w:hAnsi="宋体" w:cs="宋体" w:eastAsia="宋体" w:hint="default"/>
          <w:sz w:val="24"/>
          <w:szCs w:val="24"/>
        </w:rPr>
      </w:pPr>
      <w:r>
        <w:rPr>
          <w:rFonts w:ascii="宋体" w:hAnsi="宋体" w:cs="宋体" w:eastAsia="宋体" w:hint="default"/>
          <w:b/>
          <w:bCs/>
          <w:sz w:val="24"/>
          <w:szCs w:val="24"/>
        </w:rPr>
        <w:t>三、破产重整相关事项</w:t>
      </w:r>
      <w:r>
        <w:rPr>
          <w:rFonts w:ascii="宋体" w:hAnsi="宋体" w:cs="宋体" w:eastAsia="宋体" w:hint="default"/>
          <w:sz w:val="24"/>
          <w:szCs w:val="24"/>
        </w:rPr>
      </w:r>
    </w:p>
    <w:p>
      <w:pPr>
        <w:spacing w:line="240" w:lineRule="auto" w:before="6"/>
        <w:rPr>
          <w:rFonts w:ascii="宋体" w:hAnsi="宋体" w:cs="宋体" w:eastAsia="宋体" w:hint="default"/>
          <w:b/>
          <w:bCs/>
          <w:sz w:val="23"/>
          <w:szCs w:val="23"/>
        </w:rPr>
      </w:pPr>
    </w:p>
    <w:p>
      <w:pPr>
        <w:spacing w:line="484" w:lineRule="auto" w:before="0"/>
        <w:ind w:left="152" w:right="8826" w:firstLine="0"/>
        <w:jc w:val="left"/>
        <w:rPr>
          <w:rFonts w:ascii="宋体" w:hAnsi="宋体" w:cs="宋体" w:eastAsia="宋体" w:hint="default"/>
          <w:sz w:val="21"/>
          <w:szCs w:val="21"/>
        </w:rPr>
      </w:pPr>
      <w:r>
        <w:rPr/>
        <w:pict>
          <v:shape style="position:absolute;margin-left:234.287003pt;margin-top:142.82164pt;width:87.65pt;height:20pt;mso-position-horizontal-relative:page;mso-position-vertical-relative:paragraph;z-index:-967600"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ind w:left="0" w:right="0"/>
                    <w:jc w:val="left"/>
                  </w:pPr>
                  <w:r>
                    <w:rPr/>
                    <w:t>（万元）</w:t>
                  </w:r>
                </w:p>
              </w:txbxContent>
            </v:textbox>
            <w10:wrap type="none"/>
          </v:shape>
        </w:pict>
      </w:r>
      <w:r>
        <w:rPr>
          <w:rFonts w:ascii="宋体" w:hAnsi="宋体" w:cs="宋体" w:eastAsia="宋体" w:hint="default"/>
          <w:sz w:val="23"/>
          <w:szCs w:val="23"/>
        </w:rPr>
        <w:t>无</w:t>
      </w:r>
      <w:r>
        <w:rPr>
          <w:rFonts w:ascii="宋体" w:hAnsi="宋体" w:cs="宋体" w:eastAsia="宋体" w:hint="default"/>
          <w:w w:val="100"/>
          <w:sz w:val="23"/>
          <w:szCs w:val="23"/>
        </w:rPr>
        <w:t> </w:t>
      </w:r>
      <w:r>
        <w:rPr>
          <w:rFonts w:ascii="宋体" w:hAnsi="宋体" w:cs="宋体" w:eastAsia="宋体" w:hint="default"/>
          <w:b/>
          <w:bCs/>
          <w:sz w:val="24"/>
          <w:szCs w:val="24"/>
        </w:rPr>
        <w:t>四、资产交易事项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748"/>
        <w:gridCol w:w="751"/>
        <w:gridCol w:w="749"/>
        <w:gridCol w:w="747"/>
        <w:gridCol w:w="1217"/>
        <w:gridCol w:w="1121"/>
        <w:gridCol w:w="746"/>
        <w:gridCol w:w="624"/>
        <w:gridCol w:w="874"/>
        <w:gridCol w:w="997"/>
        <w:gridCol w:w="996"/>
      </w:tblGrid>
      <w:tr>
        <w:trPr>
          <w:trHeight w:val="2587"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9" w:right="9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9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6" w:lineRule="auto" w:before="19"/>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5"/>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6" w:lineRule="auto" w:before="19"/>
              <w:ind w:left="59" w:right="60"/>
              <w:jc w:val="center"/>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z w:val="18"/>
                <w:szCs w:val="18"/>
              </w:rPr>
              <w:t> 用于同一控 制下的企业 合并）</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5" w:footer="1241" w:top="1060" w:bottom="14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49"/>
        <w:gridCol w:w="751"/>
        <w:gridCol w:w="749"/>
        <w:gridCol w:w="747"/>
        <w:gridCol w:w="1217"/>
        <w:gridCol w:w="1121"/>
        <w:gridCol w:w="746"/>
        <w:gridCol w:w="624"/>
        <w:gridCol w:w="874"/>
        <w:gridCol w:w="997"/>
        <w:gridCol w:w="996"/>
      </w:tblGrid>
      <w:tr>
        <w:trPr>
          <w:trHeight w:val="1649"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173"/>
              <w:jc w:val="both"/>
              <w:rPr>
                <w:rFonts w:ascii="宋体" w:hAnsi="宋体" w:cs="宋体" w:eastAsia="宋体" w:hint="default"/>
                <w:sz w:val="18"/>
                <w:szCs w:val="18"/>
              </w:rPr>
            </w:pPr>
            <w:r>
              <w:rPr>
                <w:rFonts w:ascii="宋体" w:hAnsi="宋体" w:cs="宋体" w:eastAsia="宋体" w:hint="default"/>
                <w:sz w:val="18"/>
                <w:szCs w:val="18"/>
              </w:rPr>
              <w:t>苏州多 彩铝业 有限责 任公司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江阴爱 康光伏 焊带有 限公司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-224.6</w:t>
            </w: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3" w:right="60"/>
              <w:jc w:val="both"/>
              <w:rPr>
                <w:rFonts w:ascii="宋体" w:hAnsi="宋体" w:cs="宋体" w:eastAsia="宋体" w:hint="default"/>
                <w:sz w:val="18"/>
                <w:szCs w:val="18"/>
              </w:rPr>
            </w:pPr>
            <w:r>
              <w:rPr>
                <w:rFonts w:ascii="宋体" w:hAnsi="宋体" w:cs="宋体" w:eastAsia="宋体" w:hint="default"/>
                <w:sz w:val="18"/>
                <w:szCs w:val="18"/>
              </w:rPr>
              <w:t>未达到临时 公告披露标 准</w:t>
            </w:r>
          </w:p>
        </w:tc>
      </w:tr>
      <w:tr>
        <w:trPr>
          <w:trHeight w:val="1963"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4" w:right="173"/>
              <w:jc w:val="both"/>
              <w:rPr>
                <w:rFonts w:ascii="宋体" w:hAnsi="宋体" w:cs="宋体" w:eastAsia="宋体" w:hint="default"/>
                <w:sz w:val="18"/>
                <w:szCs w:val="18"/>
              </w:rPr>
            </w:pPr>
            <w:r>
              <w:rPr>
                <w:rFonts w:ascii="宋体" w:hAnsi="宋体" w:cs="宋体" w:eastAsia="宋体" w:hint="default"/>
                <w:sz w:val="18"/>
                <w:szCs w:val="18"/>
              </w:rPr>
              <w:t>广禾国 际贸易 洋行</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无锡爱 康太阳 能电子 科技有 限公司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6.55</w:t>
            </w: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3" w:right="60"/>
              <w:jc w:val="both"/>
              <w:rPr>
                <w:rFonts w:ascii="宋体" w:hAnsi="宋体" w:cs="宋体" w:eastAsia="宋体" w:hint="default"/>
                <w:sz w:val="18"/>
                <w:szCs w:val="18"/>
              </w:rPr>
            </w:pPr>
            <w:r>
              <w:rPr>
                <w:rFonts w:ascii="宋体" w:hAnsi="宋体" w:cs="宋体" w:eastAsia="宋体" w:hint="default"/>
                <w:sz w:val="18"/>
                <w:szCs w:val="18"/>
              </w:rPr>
              <w:t>未达到临时 公告披露标 准</w:t>
            </w:r>
          </w:p>
        </w:tc>
      </w:tr>
    </w:tbl>
    <w:p>
      <w:pPr>
        <w:pStyle w:val="Heading6"/>
        <w:spacing w:line="240" w:lineRule="auto" w:before="49"/>
        <w:ind w:right="1115"/>
        <w:jc w:val="left"/>
        <w:rPr>
          <w:b w:val="0"/>
          <w:bCs w:val="0"/>
        </w:rPr>
      </w:pPr>
      <w:r>
        <w:rPr/>
        <w:t>收购资产情况概述</w:t>
      </w:r>
      <w:r>
        <w:rPr>
          <w:b w:val="0"/>
          <w:bCs w:val="0"/>
        </w:rPr>
      </w:r>
    </w:p>
    <w:p>
      <w:pPr>
        <w:pStyle w:val="BodyText"/>
        <w:spacing w:line="300" w:lineRule="auto" w:before="115"/>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月公司受让苏州多彩铝业有限责任公司在本公司控股子公司江阴爱康光伏焊带有限公司（以下简称</w:t>
      </w:r>
      <w:r>
        <w:rPr>
          <w:rFonts w:ascii="Times New Roman" w:hAnsi="Times New Roman" w:cs="Times New Roman" w:eastAsia="Times New Roman" w:hint="default"/>
        </w:rPr>
        <w:t>”</w:t>
      </w:r>
      <w:r>
        <w:rPr/>
        <w:t>爱康焊带</w:t>
      </w:r>
      <w:r>
        <w:rPr>
          <w:rFonts w:ascii="Times New Roman" w:hAnsi="Times New Roman" w:cs="Times New Roman" w:eastAsia="Times New Roman" w:hint="default"/>
        </w:rPr>
        <w:t>“</w:t>
      </w:r>
      <w:r>
        <w:rPr/>
        <w:t>）</w:t>
      </w:r>
      <w:r>
        <w:rPr>
          <w:spacing w:val="-71"/>
        </w:rPr>
        <w:t> </w:t>
      </w:r>
      <w:r>
        <w:rPr/>
        <w:t>中</w:t>
      </w:r>
      <w:r>
        <w:rPr>
          <w:rFonts w:ascii="Times New Roman" w:hAnsi="Times New Roman" w:cs="Times New Roman" w:eastAsia="Times New Roman" w:hint="default"/>
        </w:rPr>
        <w:t>20%</w:t>
      </w:r>
      <w:r>
        <w:rPr/>
        <w:t>的股权，交易对价为</w:t>
      </w:r>
      <w:r>
        <w:rPr>
          <w:rFonts w:ascii="Times New Roman" w:hAnsi="Times New Roman" w:cs="Times New Roman" w:eastAsia="Times New Roman" w:hint="default"/>
        </w:rPr>
        <w:t>200</w:t>
      </w:r>
      <w:r>
        <w:rPr/>
        <w:t>万元人民币。股权转让后，股权结构为：江苏爱康太阳能科技股份有限公司出资</w:t>
      </w:r>
      <w:r>
        <w:rPr>
          <w:rFonts w:ascii="Times New Roman" w:hAnsi="Times New Roman" w:cs="Times New Roman" w:eastAsia="Times New Roman" w:hint="default"/>
        </w:rPr>
        <w:t>800</w:t>
      </w:r>
      <w:r>
        <w:rPr/>
        <w:t>万元持有 爱康焊带</w:t>
      </w:r>
      <w:r>
        <w:rPr>
          <w:rFonts w:ascii="Times New Roman" w:hAnsi="Times New Roman" w:cs="Times New Roman" w:eastAsia="Times New Roman" w:hint="default"/>
        </w:rPr>
        <w:t>80%</w:t>
      </w:r>
      <w:r>
        <w:rPr/>
        <w:t>的股权，恒怡发展有限公司出资</w:t>
      </w:r>
      <w:r>
        <w:rPr>
          <w:rFonts w:ascii="Times New Roman" w:hAnsi="Times New Roman" w:cs="Times New Roman" w:eastAsia="Times New Roman" w:hint="default"/>
        </w:rPr>
        <w:t>200</w:t>
      </w:r>
      <w:r>
        <w:rPr/>
        <w:t>万元持有爱康焊带</w:t>
      </w:r>
      <w:r>
        <w:rPr>
          <w:rFonts w:ascii="Times New Roman" w:hAnsi="Times New Roman" w:cs="Times New Roman" w:eastAsia="Times New Roman" w:hint="default"/>
        </w:rPr>
        <w:t>20%</w:t>
      </w:r>
      <w:r>
        <w:rPr/>
        <w:t>的股权。截止报告期末，该笔股权转让已完成。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月江苏爱康太阳能科技股份有限公司出资</w:t>
      </w:r>
      <w:r>
        <w:rPr>
          <w:rFonts w:ascii="Times New Roman" w:hAnsi="Times New Roman" w:cs="Times New Roman" w:eastAsia="Times New Roman" w:hint="default"/>
        </w:rPr>
        <w:t>100</w:t>
      </w:r>
      <w:r>
        <w:rPr/>
        <w:t>万元收购广禾国际贸易洋行持有的无锡爱康太阳能电子科技有限公 司（以下简称</w:t>
      </w:r>
      <w:r>
        <w:rPr>
          <w:rFonts w:ascii="Times New Roman" w:hAnsi="Times New Roman" w:cs="Times New Roman" w:eastAsia="Times New Roman" w:hint="default"/>
        </w:rPr>
        <w:t>“</w:t>
      </w:r>
      <w:r>
        <w:rPr/>
        <w:t>无锡爱康</w:t>
      </w:r>
      <w:r>
        <w:rPr>
          <w:rFonts w:ascii="Times New Roman" w:hAnsi="Times New Roman" w:cs="Times New Roman" w:eastAsia="Times New Roman" w:hint="default"/>
        </w:rPr>
        <w:t>”</w:t>
      </w:r>
      <w:r>
        <w:rPr/>
        <w:t>）</w:t>
      </w:r>
      <w:r>
        <w:rPr>
          <w:rFonts w:ascii="Times New Roman" w:hAnsi="Times New Roman" w:cs="Times New Roman" w:eastAsia="Times New Roman" w:hint="default"/>
        </w:rPr>
        <w:t>40%</w:t>
      </w:r>
      <w:r>
        <w:rPr/>
        <w:t>的股权，同时对无锡爱康增资</w:t>
      </w:r>
      <w:r>
        <w:rPr>
          <w:rFonts w:ascii="Times New Roman" w:hAnsi="Times New Roman" w:cs="Times New Roman" w:eastAsia="Times New Roman" w:hint="default"/>
        </w:rPr>
        <w:t>1000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日股权转让和增资手续全部完成，无锡 爱康注册资本</w:t>
      </w:r>
      <w:r>
        <w:rPr>
          <w:rFonts w:ascii="Times New Roman" w:hAnsi="Times New Roman" w:cs="Times New Roman" w:eastAsia="Times New Roman" w:hint="default"/>
        </w:rPr>
        <w:t>1500</w:t>
      </w:r>
      <w:r>
        <w:rPr/>
        <w:t>万元，为本公司全资子公司。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日，公司发布公告，拟设立全资子公司香港爱康电力国际控股有限公司，设立完成后参股苏州盛康光伏科技</w:t>
      </w:r>
      <w:r>
        <w:rPr>
          <w:spacing w:val="-59"/>
        </w:rPr>
        <w:t> </w:t>
      </w:r>
      <w:r>
        <w:rPr>
          <w:spacing w:val="-59"/>
        </w:rPr>
      </w:r>
      <w:r>
        <w:rPr/>
        <w:t>有限公司，并持有其</w:t>
      </w:r>
      <w:r>
        <w:rPr>
          <w:rFonts w:ascii="Times New Roman" w:hAnsi="Times New Roman" w:cs="Times New Roman" w:eastAsia="Times New Roman" w:hint="default"/>
        </w:rPr>
        <w:t>38.81%</w:t>
      </w:r>
      <w:r>
        <w:rPr/>
        <w:t>的股权。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日，随着被收购方经营情况的变化，公司发布公告放弃该次收购。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33"/>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3"/>
        <w:rPr>
          <w:rFonts w:ascii="宋体" w:hAnsi="宋体" w:cs="宋体" w:eastAsia="宋体" w:hint="default"/>
          <w:sz w:val="25"/>
          <w:szCs w:val="25"/>
        </w:rPr>
      </w:pPr>
    </w:p>
    <w:p>
      <w:pPr>
        <w:pStyle w:val="Heading2"/>
        <w:spacing w:line="240" w:lineRule="auto"/>
        <w:ind w:right="1115"/>
        <w:jc w:val="left"/>
        <w:rPr>
          <w:b w:val="0"/>
          <w:bCs w:val="0"/>
        </w:rPr>
      </w:pPr>
      <w:r>
        <w:rPr/>
        <w:t>五、公司股权激励的实施情况及其影响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4"/>
        <w:rPr>
          <w:rFonts w:ascii="宋体" w:hAnsi="宋体" w:cs="宋体" w:eastAsia="宋体" w:hint="default"/>
          <w:sz w:val="25"/>
          <w:szCs w:val="25"/>
        </w:rPr>
      </w:pPr>
    </w:p>
    <w:p>
      <w:pPr>
        <w:pStyle w:val="Heading2"/>
        <w:spacing w:line="240" w:lineRule="auto"/>
        <w:ind w:right="1115"/>
        <w:jc w:val="left"/>
        <w:rPr>
          <w:b w:val="0"/>
          <w:bCs w:val="0"/>
        </w:rPr>
      </w:pPr>
      <w:r>
        <w:rPr/>
        <w:t>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799"/>
        <w:gridCol w:w="797"/>
        <w:gridCol w:w="800"/>
        <w:gridCol w:w="797"/>
        <w:gridCol w:w="799"/>
        <w:gridCol w:w="797"/>
        <w:gridCol w:w="794"/>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5"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1"/>
              <w:jc w:val="left"/>
              <w:rPr>
                <w:rFonts w:ascii="宋体" w:hAnsi="宋体" w:cs="宋体" w:eastAsia="宋体" w:hint="default"/>
                <w:sz w:val="18"/>
                <w:szCs w:val="18"/>
              </w:rPr>
            </w:pPr>
            <w:r>
              <w:rPr>
                <w:rFonts w:ascii="宋体" w:hAnsi="宋体" w:cs="宋体" w:eastAsia="宋体" w:hint="default"/>
                <w:sz w:val="18"/>
                <w:szCs w:val="18"/>
              </w:rPr>
              <w:t>江阴爱康 农业科技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3"/>
              <w:jc w:val="left"/>
              <w:rPr>
                <w:rFonts w:ascii="宋体" w:hAnsi="宋体" w:cs="宋体" w:eastAsia="宋体" w:hint="default"/>
                <w:sz w:val="18"/>
                <w:szCs w:val="18"/>
              </w:rPr>
            </w:pPr>
            <w:r>
              <w:rPr>
                <w:rFonts w:ascii="宋体" w:hAnsi="宋体" w:cs="宋体" w:eastAsia="宋体" w:hint="default"/>
                <w:sz w:val="18"/>
                <w:szCs w:val="18"/>
              </w:rPr>
              <w:t>受实际控 制人之近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4"/>
              <w:jc w:val="left"/>
              <w:rPr>
                <w:rFonts w:ascii="宋体" w:hAnsi="宋体" w:cs="宋体" w:eastAsia="宋体" w:hint="default"/>
                <w:sz w:val="18"/>
                <w:szCs w:val="18"/>
              </w:rPr>
            </w:pPr>
            <w:r>
              <w:rPr>
                <w:rFonts w:ascii="宋体" w:hAnsi="宋体" w:cs="宋体" w:eastAsia="宋体" w:hint="default"/>
                <w:sz w:val="18"/>
                <w:szCs w:val="18"/>
              </w:rPr>
              <w:t>本公司绿 化工程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市场化原 则定价</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628.15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0.83%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745" w:footer="1241" w:top="1060" w:bottom="14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799"/>
        <w:gridCol w:w="797"/>
        <w:gridCol w:w="800"/>
        <w:gridCol w:w="797"/>
        <w:gridCol w:w="799"/>
        <w:gridCol w:w="797"/>
        <w:gridCol w:w="794"/>
        <w:gridCol w:w="797"/>
      </w:tblGrid>
      <w:tr>
        <w:trPr>
          <w:trHeight w:val="129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亲属控制</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41"/>
              <w:jc w:val="both"/>
              <w:rPr>
                <w:rFonts w:ascii="宋体" w:hAnsi="宋体" w:cs="宋体" w:eastAsia="宋体" w:hint="default"/>
                <w:sz w:val="18"/>
                <w:szCs w:val="18"/>
              </w:rPr>
            </w:pPr>
            <w:r>
              <w:rPr>
                <w:rFonts w:ascii="宋体" w:hAnsi="宋体" w:cs="宋体" w:eastAsia="宋体" w:hint="default"/>
                <w:sz w:val="18"/>
                <w:szCs w:val="18"/>
              </w:rPr>
              <w:t>关联交易 的预测公 告，详见 巨潮网</w:t>
            </w:r>
          </w:p>
        </w:tc>
      </w:tr>
      <w:tr>
        <w:trPr>
          <w:trHeight w:val="196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江阴爱康 农业科技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受实际控 制人之近 亲属控制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租赁盆景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43"/>
              <w:jc w:val="left"/>
              <w:rPr>
                <w:rFonts w:ascii="宋体" w:hAnsi="宋体" w:cs="宋体" w:eastAsia="宋体" w:hint="default"/>
                <w:sz w:val="18"/>
                <w:szCs w:val="18"/>
              </w:rPr>
            </w:pPr>
            <w:r>
              <w:rPr>
                <w:rFonts w:ascii="宋体" w:hAnsi="宋体" w:cs="宋体" w:eastAsia="宋体" w:hint="default"/>
                <w:sz w:val="18"/>
                <w:szCs w:val="18"/>
              </w:rPr>
              <w:t>市场化原 则定价</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18.64%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3" w:right="41"/>
              <w:jc w:val="both"/>
              <w:rPr>
                <w:rFonts w:ascii="宋体" w:hAnsi="宋体" w:cs="宋体" w:eastAsia="宋体" w:hint="default"/>
                <w:sz w:val="18"/>
                <w:szCs w:val="18"/>
              </w:rPr>
            </w:pPr>
            <w:r>
              <w:rPr>
                <w:rFonts w:ascii="宋体" w:hAnsi="宋体" w:cs="宋体" w:eastAsia="宋体" w:hint="default"/>
                <w:sz w:val="18"/>
                <w:szCs w:val="18"/>
              </w:rPr>
              <w:t>关联交易 的预测公 告，详见 巨潮网</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4" w:right="41"/>
              <w:jc w:val="both"/>
              <w:rPr>
                <w:rFonts w:ascii="宋体" w:hAnsi="宋体" w:cs="宋体" w:eastAsia="宋体" w:hint="default"/>
                <w:sz w:val="18"/>
                <w:szCs w:val="18"/>
              </w:rPr>
            </w:pPr>
            <w:r>
              <w:rPr>
                <w:rFonts w:ascii="宋体" w:hAnsi="宋体" w:cs="宋体" w:eastAsia="宋体" w:hint="default"/>
                <w:sz w:val="18"/>
                <w:szCs w:val="18"/>
              </w:rPr>
              <w:t>江苏爱康 能源开发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同受控股 股东控制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44"/>
              <w:jc w:val="left"/>
              <w:rPr>
                <w:rFonts w:ascii="宋体" w:hAnsi="宋体" w:cs="宋体" w:eastAsia="宋体" w:hint="default"/>
                <w:sz w:val="18"/>
                <w:szCs w:val="18"/>
              </w:rPr>
            </w:pPr>
            <w:r>
              <w:rPr>
                <w:rFonts w:ascii="宋体" w:hAnsi="宋体" w:cs="宋体" w:eastAsia="宋体" w:hint="default"/>
                <w:sz w:val="18"/>
                <w:szCs w:val="18"/>
              </w:rPr>
              <w:t>路灯改造 工程</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43"/>
              <w:jc w:val="left"/>
              <w:rPr>
                <w:rFonts w:ascii="宋体" w:hAnsi="宋体" w:cs="宋体" w:eastAsia="宋体" w:hint="default"/>
                <w:sz w:val="18"/>
                <w:szCs w:val="18"/>
              </w:rPr>
            </w:pPr>
            <w:r>
              <w:rPr>
                <w:rFonts w:ascii="宋体" w:hAnsi="宋体" w:cs="宋体" w:eastAsia="宋体" w:hint="default"/>
                <w:sz w:val="18"/>
                <w:szCs w:val="18"/>
              </w:rPr>
              <w:t>市场化原 则定价</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关于关联 交易事项 的公告， 详见巨潮 网</w:t>
            </w: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658.73</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spacing w:before="36"/>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是否存在非经营性关联债权债务往来</w:t>
      </w:r>
    </w:p>
    <w:p>
      <w:pPr>
        <w:pStyle w:val="BodyText"/>
        <w:spacing w:line="240" w:lineRule="auto" w:before="117"/>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36"/>
        <w:gridCol w:w="1119"/>
        <w:gridCol w:w="1118"/>
        <w:gridCol w:w="1121"/>
        <w:gridCol w:w="1119"/>
        <w:gridCol w:w="1118"/>
        <w:gridCol w:w="1119"/>
        <w:gridCol w:w="1121"/>
      </w:tblGrid>
      <w:tr>
        <w:trPr>
          <w:trHeight w:val="1026"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6"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74" w:right="19"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4"/>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102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81"/>
              <w:jc w:val="left"/>
              <w:rPr>
                <w:rFonts w:ascii="宋体" w:hAnsi="宋体" w:cs="宋体" w:eastAsia="宋体" w:hint="default"/>
                <w:sz w:val="18"/>
                <w:szCs w:val="18"/>
              </w:rPr>
            </w:pPr>
            <w:r>
              <w:rPr>
                <w:rFonts w:ascii="宋体" w:hAnsi="宋体" w:cs="宋体" w:eastAsia="宋体" w:hint="default"/>
                <w:sz w:val="18"/>
                <w:szCs w:val="18"/>
              </w:rPr>
              <w:t>江阴爱康农业科技有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受实际控制 人之近亲属 控制</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租赁盆景</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-475.32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4" w:right="0"/>
              <w:jc w:val="left"/>
              <w:rPr>
                <w:rFonts w:ascii="Times New Roman" w:hAnsi="Times New Roman" w:cs="Times New Roman" w:eastAsia="Times New Roman" w:hint="default"/>
                <w:sz w:val="18"/>
                <w:szCs w:val="18"/>
              </w:rPr>
            </w:pPr>
            <w:r>
              <w:rPr>
                <w:rFonts w:ascii="Times New Roman"/>
                <w:sz w:val="18"/>
              </w:rPr>
              <w:t>24.68</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江苏爱康能源开发有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同受控股股 东控制</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82"/>
              <w:jc w:val="left"/>
              <w:rPr>
                <w:rFonts w:ascii="宋体" w:hAnsi="宋体" w:cs="宋体" w:eastAsia="宋体" w:hint="default"/>
                <w:sz w:val="18"/>
                <w:szCs w:val="18"/>
              </w:rPr>
            </w:pPr>
            <w:r>
              <w:rPr>
                <w:rFonts w:ascii="宋体" w:hAnsi="宋体" w:cs="宋体" w:eastAsia="宋体" w:hint="default"/>
                <w:sz w:val="18"/>
                <w:szCs w:val="18"/>
              </w:rPr>
              <w:t>路灯改造工 程</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7.24</w:t>
            </w: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1241" w:top="1060" w:bottom="14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10574"/>
        <w:jc w:val="left"/>
      </w:pPr>
      <w:r>
        <w:rPr/>
        <w:t>无 无</w:t>
      </w:r>
    </w:p>
    <w:p>
      <w:pPr>
        <w:spacing w:line="240" w:lineRule="auto" w:before="2"/>
        <w:rPr>
          <w:rFonts w:ascii="宋体" w:hAnsi="宋体" w:cs="宋体" w:eastAsia="宋体" w:hint="default"/>
          <w:sz w:val="18"/>
          <w:szCs w:val="18"/>
        </w:rPr>
      </w:pPr>
    </w:p>
    <w:p>
      <w:pPr>
        <w:pStyle w:val="Heading2"/>
        <w:spacing w:line="240" w:lineRule="auto"/>
        <w:ind w:right="1115"/>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57" w:lineRule="auto"/>
        <w:ind w:right="9674"/>
        <w:jc w:val="left"/>
      </w:pPr>
      <w:r>
        <w:rPr/>
        <w:t>托管情况说明 无</w:t>
      </w:r>
    </w:p>
    <w:p>
      <w:pPr>
        <w:pStyle w:val="BodyText"/>
        <w:spacing w:line="240" w:lineRule="auto" w:before="29"/>
        <w:ind w:right="1115"/>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3"/>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15"/>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674"/>
        <w:jc w:val="left"/>
      </w:pPr>
      <w:r>
        <w:rPr/>
        <w:t>承包情况说明 无</w:t>
      </w:r>
    </w:p>
    <w:p>
      <w:pPr>
        <w:pStyle w:val="BodyText"/>
        <w:spacing w:line="240" w:lineRule="auto" w:before="27"/>
        <w:ind w:right="1115"/>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674"/>
        <w:jc w:val="left"/>
      </w:pPr>
      <w:r>
        <w:rPr/>
        <w:t>租赁情况说明 无</w:t>
      </w:r>
    </w:p>
    <w:p>
      <w:pPr>
        <w:pStyle w:val="BodyText"/>
        <w:spacing w:line="240" w:lineRule="auto" w:before="27"/>
        <w:ind w:right="1115"/>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6"/>
        <w:gridCol w:w="944"/>
        <w:gridCol w:w="931"/>
        <w:gridCol w:w="1212"/>
        <w:gridCol w:w="1179"/>
        <w:gridCol w:w="1097"/>
        <w:gridCol w:w="1018"/>
        <w:gridCol w:w="799"/>
        <w:gridCol w:w="787"/>
      </w:tblGrid>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7"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4"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8" w:right="10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15"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20"/>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苏州盛康光伏科技 有限公司</w:t>
            </w:r>
          </w:p>
        </w:tc>
        <w:tc>
          <w:tcPr>
            <w:tcW w:w="94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41"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06"/>
        <w:gridCol w:w="929"/>
        <w:gridCol w:w="946"/>
        <w:gridCol w:w="1216"/>
        <w:gridCol w:w="1175"/>
        <w:gridCol w:w="1089"/>
        <w:gridCol w:w="1019"/>
        <w:gridCol w:w="806"/>
        <w:gridCol w:w="787"/>
      </w:tblGrid>
      <w:tr>
        <w:trPr>
          <w:trHeight w:val="720" w:hRule="exact"/>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7,000</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606" w:type="dxa"/>
            <w:vMerge w:val="restart"/>
            <w:tcBorders>
              <w:top w:val="single" w:sz="4" w:space="0" w:color="000000"/>
              <w:left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nil" w:sz="6" w:space="0" w:color="auto"/>
              <w:right w:val="single" w:sz="4" w:space="0" w:color="000000"/>
            </w:tcBorders>
            <w:shd w:val="clear" w:color="auto" w:fill="D2D2D2"/>
          </w:tcPr>
          <w:p>
            <w:pPr/>
          </w:p>
        </w:tc>
        <w:tc>
          <w:tcPr>
            <w:tcW w:w="946" w:type="dxa"/>
            <w:vMerge w:val="restart"/>
            <w:tcBorders>
              <w:top w:val="single" w:sz="4" w:space="0" w:color="000000"/>
              <w:left w:val="single" w:sz="4" w:space="0" w:color="000000"/>
              <w:right w:val="single" w:sz="4" w:space="0" w:color="000000"/>
            </w:tcBorders>
            <w:shd w:val="clear" w:color="auto" w:fill="D2D2D2"/>
          </w:tcPr>
          <w:p>
            <w:pPr/>
          </w:p>
        </w:tc>
        <w:tc>
          <w:tcPr>
            <w:tcW w:w="1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4" w:space="0" w:color="000000"/>
              <w:right w:val="single" w:sz="4" w:space="0" w:color="000000"/>
            </w:tcBorders>
            <w:shd w:val="clear" w:color="auto" w:fill="D2D2D2"/>
          </w:tcPr>
          <w:p>
            <w:pPr/>
          </w:p>
        </w:tc>
        <w:tc>
          <w:tcPr>
            <w:tcW w:w="1089" w:type="dxa"/>
            <w:vMerge w:val="restart"/>
            <w:tcBorders>
              <w:top w:val="single" w:sz="4" w:space="0" w:color="000000"/>
              <w:left w:val="single" w:sz="4" w:space="0" w:color="000000"/>
              <w:right w:val="single" w:sz="4" w:space="0" w:color="000000"/>
            </w:tcBorders>
            <w:shd w:val="clear" w:color="auto" w:fill="D2D2D2"/>
          </w:tcPr>
          <w:p>
            <w:pPr/>
          </w:p>
        </w:tc>
        <w:tc>
          <w:tcPr>
            <w:tcW w:w="1019" w:type="dxa"/>
            <w:vMerge w:val="restart"/>
            <w:tcBorders>
              <w:top w:val="single" w:sz="4" w:space="0" w:color="000000"/>
              <w:left w:val="single" w:sz="4" w:space="0" w:color="000000"/>
              <w:right w:val="single" w:sz="4" w:space="0" w:color="000000"/>
            </w:tcBorders>
            <w:shd w:val="clear" w:color="auto" w:fill="D2D2D2"/>
          </w:tcPr>
          <w:p>
            <w:pPr/>
          </w:p>
        </w:tc>
        <w:tc>
          <w:tcPr>
            <w:tcW w:w="806" w:type="dxa"/>
            <w:vMerge w:val="restart"/>
            <w:tcBorders>
              <w:top w:val="single" w:sz="4" w:space="0" w:color="000000"/>
              <w:left w:val="single" w:sz="4" w:space="0" w:color="000000"/>
              <w:right w:val="single" w:sz="4" w:space="0" w:color="000000"/>
            </w:tcBorders>
            <w:shd w:val="clear" w:color="auto" w:fill="D2D2D2"/>
          </w:tcPr>
          <w:p>
            <w:pP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56" w:hRule="exact"/>
        </w:trPr>
        <w:tc>
          <w:tcPr>
            <w:tcW w:w="1606"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6" w:type="dxa"/>
            <w:vMerge/>
            <w:tcBorders>
              <w:left w:val="single" w:sz="4" w:space="0" w:color="000000"/>
              <w:right w:val="single" w:sz="4" w:space="0" w:color="000000"/>
            </w:tcBorders>
            <w:shd w:val="clear" w:color="auto" w:fill="D2D2D2"/>
          </w:tcPr>
          <w:p>
            <w:pPr/>
          </w:p>
        </w:tc>
        <w:tc>
          <w:tcPr>
            <w:tcW w:w="12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50"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5" w:type="dxa"/>
            <w:vMerge/>
            <w:tcBorders>
              <w:left w:val="single" w:sz="4" w:space="0" w:color="000000"/>
              <w:right w:val="single" w:sz="4" w:space="0" w:color="000000"/>
            </w:tcBorders>
            <w:shd w:val="clear" w:color="auto" w:fill="D2D2D2"/>
          </w:tcPr>
          <w:p>
            <w:pPr/>
          </w:p>
        </w:tc>
        <w:tc>
          <w:tcPr>
            <w:tcW w:w="1089"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806"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tcBorders>
              <w:left w:val="single" w:sz="4" w:space="0" w:color="000000"/>
              <w:bottom w:val="nil" w:sz="6" w:space="0" w:color="auto"/>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946" w:type="dxa"/>
            <w:vMerge/>
            <w:tcBorders>
              <w:left w:val="single" w:sz="4" w:space="0" w:color="000000"/>
              <w:bottom w:val="nil" w:sz="6" w:space="0" w:color="auto"/>
              <w:right w:val="single" w:sz="4" w:space="0" w:color="000000"/>
            </w:tcBorders>
            <w:shd w:val="clear" w:color="auto" w:fill="D2D2D2"/>
          </w:tcPr>
          <w:p>
            <w:pPr/>
          </w:p>
        </w:tc>
        <w:tc>
          <w:tcPr>
            <w:tcW w:w="1216" w:type="dxa"/>
            <w:vMerge/>
            <w:tcBorders>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89" w:type="dxa"/>
            <w:vMerge/>
            <w:tcBorders>
              <w:left w:val="single" w:sz="4" w:space="0" w:color="000000"/>
              <w:bottom w:val="nil" w:sz="6" w:space="0" w:color="auto"/>
              <w:right w:val="single" w:sz="4" w:space="0" w:color="000000"/>
            </w:tcBorders>
            <w:shd w:val="clear" w:color="auto" w:fill="D2D2D2"/>
          </w:tcPr>
          <w:p>
            <w:pPr/>
          </w:p>
        </w:tc>
        <w:tc>
          <w:tcPr>
            <w:tcW w:w="1019" w:type="dxa"/>
            <w:vMerge/>
            <w:tcBorders>
              <w:left w:val="single" w:sz="4" w:space="0" w:color="000000"/>
              <w:bottom w:val="nil" w:sz="6" w:space="0" w:color="auto"/>
              <w:right w:val="single" w:sz="4" w:space="0" w:color="000000"/>
            </w:tcBorders>
            <w:shd w:val="clear" w:color="auto" w:fill="D2D2D2"/>
          </w:tcPr>
          <w:p>
            <w:pPr/>
          </w:p>
        </w:tc>
        <w:tc>
          <w:tcPr>
            <w:tcW w:w="80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vMerge/>
            <w:tcBorders>
              <w:left w:val="single" w:sz="4" w:space="0" w:color="000000"/>
              <w:right w:val="single" w:sz="4" w:space="0" w:color="000000"/>
            </w:tcBorders>
            <w:shd w:val="clear" w:color="auto" w:fill="D2D2D2"/>
          </w:tcPr>
          <w:p>
            <w:pPr/>
          </w:p>
        </w:tc>
      </w:tr>
      <w:tr>
        <w:trPr>
          <w:trHeight w:val="391" w:hRule="exact"/>
        </w:trPr>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9" w:type="dxa"/>
            <w:vMerge/>
            <w:tcBorders>
              <w:left w:val="single" w:sz="4" w:space="0" w:color="000000"/>
              <w:right w:val="single" w:sz="4" w:space="0" w:color="000000"/>
            </w:tcBorders>
            <w:shd w:val="clear" w:color="auto" w:fill="D2D2D2"/>
          </w:tcPr>
          <w:p>
            <w:pPr/>
          </w:p>
        </w:tc>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6" w:type="dxa"/>
            <w:vMerge/>
            <w:tcBorders>
              <w:left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vMerge/>
            <w:tcBorders>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val="restart"/>
            <w:tcBorders>
              <w:top w:val="nil" w:sz="6" w:space="0" w:color="auto"/>
              <w:left w:val="single" w:sz="4" w:space="0" w:color="000000"/>
              <w:right w:val="single" w:sz="4" w:space="0" w:color="000000"/>
            </w:tcBorders>
            <w:shd w:val="clear" w:color="auto" w:fill="D2D2D2"/>
          </w:tcPr>
          <w:p>
            <w:pPr/>
          </w:p>
        </w:tc>
        <w:tc>
          <w:tcPr>
            <w:tcW w:w="929" w:type="dxa"/>
            <w:vMerge/>
            <w:tcBorders>
              <w:left w:val="single" w:sz="4" w:space="0" w:color="000000"/>
              <w:right w:val="single" w:sz="4" w:space="0" w:color="000000"/>
            </w:tcBorders>
            <w:shd w:val="clear" w:color="auto" w:fill="D2D2D2"/>
          </w:tcPr>
          <w:p>
            <w:pPr/>
          </w:p>
        </w:tc>
        <w:tc>
          <w:tcPr>
            <w:tcW w:w="946" w:type="dxa"/>
            <w:vMerge w:val="restart"/>
            <w:tcBorders>
              <w:top w:val="nil" w:sz="6" w:space="0" w:color="auto"/>
              <w:left w:val="single" w:sz="4" w:space="0" w:color="000000"/>
              <w:right w:val="single" w:sz="4" w:space="0" w:color="000000"/>
            </w:tcBorders>
            <w:shd w:val="clear" w:color="auto" w:fill="D2D2D2"/>
          </w:tcPr>
          <w:p>
            <w:pPr/>
          </w:p>
        </w:tc>
        <w:tc>
          <w:tcPr>
            <w:tcW w:w="1216" w:type="dxa"/>
            <w:vMerge/>
            <w:tcBorders>
              <w:left w:val="single" w:sz="4" w:space="0" w:color="000000"/>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
        </w:tc>
        <w:tc>
          <w:tcPr>
            <w:tcW w:w="1089" w:type="dxa"/>
            <w:vMerge w:val="restart"/>
            <w:tcBorders>
              <w:top w:val="nil" w:sz="6" w:space="0" w:color="auto"/>
              <w:left w:val="single" w:sz="4" w:space="0" w:color="000000"/>
              <w:right w:val="single" w:sz="4" w:space="0" w:color="000000"/>
            </w:tcBorders>
            <w:shd w:val="clear" w:color="auto" w:fill="D2D2D2"/>
          </w:tcPr>
          <w:p>
            <w:pPr/>
          </w:p>
        </w:tc>
        <w:tc>
          <w:tcPr>
            <w:tcW w:w="1019" w:type="dxa"/>
            <w:vMerge w:val="restart"/>
            <w:tcBorders>
              <w:top w:val="nil" w:sz="6" w:space="0" w:color="auto"/>
              <w:left w:val="single" w:sz="4" w:space="0" w:color="000000"/>
              <w:right w:val="single" w:sz="4" w:space="0" w:color="000000"/>
            </w:tcBorders>
            <w:shd w:val="clear" w:color="auto" w:fill="D2D2D2"/>
          </w:tcPr>
          <w:p>
            <w:pPr/>
          </w:p>
        </w:tc>
        <w:tc>
          <w:tcPr>
            <w:tcW w:w="806" w:type="dxa"/>
            <w:vMerge/>
            <w:tcBorders>
              <w:left w:val="single" w:sz="4" w:space="0" w:color="000000"/>
              <w:bottom w:val="nil" w:sz="6" w:space="0" w:color="auto"/>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56" w:hRule="exact"/>
        </w:trPr>
        <w:tc>
          <w:tcPr>
            <w:tcW w:w="1606"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1216" w:type="dxa"/>
            <w:vMerge/>
            <w:tcBorders>
              <w:left w:val="single" w:sz="4" w:space="0" w:color="000000"/>
              <w:bottom w:val="nil" w:sz="6" w:space="0" w:color="auto"/>
              <w:right w:val="single" w:sz="4" w:space="0" w:color="000000"/>
            </w:tcBorders>
            <w:shd w:val="clear" w:color="auto" w:fill="D2D2D2"/>
          </w:tcPr>
          <w:p>
            <w:pPr/>
          </w:p>
        </w:tc>
        <w:tc>
          <w:tcPr>
            <w:tcW w:w="1175" w:type="dxa"/>
            <w:vMerge/>
            <w:tcBorders>
              <w:left w:val="single" w:sz="4" w:space="0" w:color="000000"/>
              <w:right w:val="single" w:sz="4" w:space="0" w:color="000000"/>
            </w:tcBorders>
            <w:shd w:val="clear" w:color="auto" w:fill="D2D2D2"/>
          </w:tcPr>
          <w:p>
            <w:pPr/>
          </w:p>
        </w:tc>
        <w:tc>
          <w:tcPr>
            <w:tcW w:w="1089" w:type="dxa"/>
            <w:vMerge/>
            <w:tcBorders>
              <w:left w:val="single" w:sz="4" w:space="0" w:color="000000"/>
              <w:right w:val="single" w:sz="4" w:space="0" w:color="000000"/>
            </w:tcBorders>
            <w:shd w:val="clear" w:color="auto" w:fill="D2D2D2"/>
          </w:tcPr>
          <w:p>
            <w:pPr/>
          </w:p>
        </w:tc>
        <w:tc>
          <w:tcPr>
            <w:tcW w:w="1019" w:type="dxa"/>
            <w:vMerge/>
            <w:tcBorders>
              <w:left w:val="single" w:sz="4" w:space="0" w:color="000000"/>
              <w:right w:val="single" w:sz="4" w:space="0" w:color="000000"/>
            </w:tcBorders>
            <w:shd w:val="clear" w:color="auto" w:fill="D2D2D2"/>
          </w:tcPr>
          <w:p>
            <w:pPr/>
          </w:p>
        </w:tc>
        <w:tc>
          <w:tcPr>
            <w:tcW w:w="806"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right w:val="single" w:sz="4" w:space="0" w:color="000000"/>
            </w:tcBorders>
            <w:shd w:val="clear" w:color="auto" w:fill="D2D2D2"/>
          </w:tcPr>
          <w:p>
            <w:pPr/>
          </w:p>
        </w:tc>
      </w:tr>
      <w:tr>
        <w:trPr>
          <w:trHeight w:val="161" w:hRule="exact"/>
        </w:trPr>
        <w:tc>
          <w:tcPr>
            <w:tcW w:w="1606"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1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4" w:space="0" w:color="000000"/>
              <w:bottom w:val="single" w:sz="4" w:space="0" w:color="000000"/>
              <w:right w:val="single" w:sz="4" w:space="0" w:color="000000"/>
            </w:tcBorders>
            <w:shd w:val="clear" w:color="auto" w:fill="D2D2D2"/>
          </w:tcPr>
          <w:p>
            <w:pPr/>
          </w:p>
        </w:tc>
        <w:tc>
          <w:tcPr>
            <w:tcW w:w="1089" w:type="dxa"/>
            <w:vMerge/>
            <w:tcBorders>
              <w:left w:val="single" w:sz="4" w:space="0" w:color="000000"/>
              <w:bottom w:val="single" w:sz="4" w:space="0" w:color="000000"/>
              <w:right w:val="single" w:sz="4" w:space="0" w:color="000000"/>
            </w:tcBorders>
            <w:shd w:val="clear" w:color="auto" w:fill="D2D2D2"/>
          </w:tcPr>
          <w:p>
            <w:pPr/>
          </w:p>
        </w:tc>
        <w:tc>
          <w:tcPr>
            <w:tcW w:w="1019" w:type="dxa"/>
            <w:vMerge/>
            <w:tcBorders>
              <w:left w:val="single" w:sz="4" w:space="0" w:color="000000"/>
              <w:bottom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苏州爱康薄膜新材 料有限公司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3"/>
              <w:jc w:val="left"/>
              <w:rPr>
                <w:rFonts w:ascii="宋体" w:hAnsi="宋体" w:cs="宋体" w:eastAsia="宋体" w:hint="default"/>
                <w:sz w:val="18"/>
                <w:szCs w:val="18"/>
              </w:rPr>
            </w:pPr>
            <w:r>
              <w:rPr>
                <w:rFonts w:ascii="宋体" w:hAnsi="宋体" w:cs="宋体" w:eastAsia="宋体" w:hint="default"/>
                <w:sz w:val="18"/>
                <w:szCs w:val="18"/>
              </w:rPr>
              <w:t>上市前未 公开披露</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11,800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5,570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苏州爱康薄膜新材 料有限公司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上市前未 公开披露</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两年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30"/>
              <w:jc w:val="left"/>
              <w:rPr>
                <w:rFonts w:ascii="宋体" w:hAnsi="宋体" w:cs="宋体" w:eastAsia="宋体" w:hint="default"/>
                <w:sz w:val="18"/>
                <w:szCs w:val="18"/>
              </w:rPr>
            </w:pPr>
            <w:r>
              <w:rPr>
                <w:rFonts w:ascii="宋体" w:hAnsi="宋体" w:cs="宋体" w:eastAsia="宋体" w:hint="default"/>
                <w:sz w:val="18"/>
                <w:szCs w:val="18"/>
              </w:rPr>
              <w:t>苏州爱康金属科技 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73"/>
              <w:jc w:val="left"/>
              <w:rPr>
                <w:rFonts w:ascii="宋体" w:hAnsi="宋体" w:cs="宋体" w:eastAsia="宋体" w:hint="default"/>
                <w:sz w:val="18"/>
                <w:szCs w:val="18"/>
              </w:rPr>
            </w:pPr>
            <w:r>
              <w:rPr>
                <w:rFonts w:ascii="宋体" w:hAnsi="宋体" w:cs="宋体" w:eastAsia="宋体" w:hint="default"/>
                <w:sz w:val="18"/>
                <w:szCs w:val="18"/>
              </w:rPr>
              <w:t>上市前未 公开披露</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3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苏州爱康金属科技 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上市前未 公开披露</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3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24,400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15,600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南通爱康金属科技 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青海蓓翔新能源开 发有限公司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十年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青海蓓翔新能源开 发有限公司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2"/>
                <w:sz w:val="18"/>
              </w:rPr>
              <w:t>53,112</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22,200</w:t>
            </w:r>
          </w:p>
        </w:tc>
      </w:tr>
      <w:tr>
        <w:trPr>
          <w:trHeight w:val="720" w:hRule="exact"/>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158,212</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50,350</w:t>
            </w:r>
          </w:p>
        </w:tc>
      </w:tr>
      <w:tr>
        <w:trPr>
          <w:trHeight w:val="396"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6" w:hRule="exact"/>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2"/>
                <w:sz w:val="18"/>
              </w:rPr>
              <w:t>63,112</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29,200</w:t>
            </w:r>
          </w:p>
        </w:tc>
      </w:tr>
      <w:tr>
        <w:trPr>
          <w:trHeight w:val="714" w:hRule="exact"/>
        </w:trPr>
        <w:tc>
          <w:tcPr>
            <w:tcW w:w="25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62"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168,212</w:t>
            </w:r>
          </w:p>
        </w:tc>
        <w:tc>
          <w:tcPr>
            <w:tcW w:w="22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57,350</w:t>
            </w:r>
          </w:p>
        </w:tc>
      </w:tr>
      <w:tr>
        <w:trPr>
          <w:trHeight w:val="407" w:hRule="exact"/>
        </w:trPr>
        <w:tc>
          <w:tcPr>
            <w:tcW w:w="4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6"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46.71%</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18" w:hRule="exact"/>
        </w:trPr>
        <w:tc>
          <w:tcPr>
            <w:tcW w:w="4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6"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z w:val="18"/>
              </w:rPr>
              <w:t>0</w:t>
            </w:r>
          </w:p>
        </w:tc>
      </w:tr>
      <w:tr>
        <w:trPr>
          <w:trHeight w:val="383" w:hRule="exact"/>
        </w:trPr>
        <w:tc>
          <w:tcPr>
            <w:tcW w:w="4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w:t>
            </w:r>
          </w:p>
        </w:tc>
        <w:tc>
          <w:tcPr>
            <w:tcW w:w="4876"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81"/>
              <w:ind w:right="16"/>
              <w:jc w:val="right"/>
              <w:rPr>
                <w:rFonts w:ascii="Times New Roman" w:hAnsi="Times New Roman" w:cs="Times New Roman" w:eastAsia="Times New Roman" w:hint="default"/>
                <w:sz w:val="18"/>
                <w:szCs w:val="18"/>
              </w:rPr>
            </w:pPr>
            <w:r>
              <w:rPr>
                <w:rFonts w:ascii="Times New Roman"/>
                <w:spacing w:val="-1"/>
                <w:sz w:val="18"/>
              </w:rPr>
              <w:t>16,000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41" w:top="1060" w:bottom="14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5.893005pt;margin-top:722.5pt;width:198.05pt;height:17.650pt;mso-position-horizontal-relative:page;mso-position-vertical-relative:page;z-index:-967552" type="#_x0000_t202" filled="false" stroked="false">
            <v:textbox inset="0,0,0,0">
              <w:txbxContent>
                <w:p>
                  <w:pPr>
                    <w:pStyle w:val="BodyText"/>
                    <w:spacing w:line="240" w:lineRule="auto" w:before="70"/>
                    <w:ind w:left="0" w:right="0"/>
                    <w:jc w:val="left"/>
                  </w:pPr>
                  <w:r>
                    <w:rPr/>
                    <w:t>控股股东江苏爱康实业有限责任公司、</w:t>
                  </w:r>
                </w:p>
              </w:txbxContent>
            </v:textbox>
            <w10:wrap type="none"/>
          </v:shape>
        </w:pict>
      </w:r>
      <w:r>
        <w:rPr/>
        <w:pict>
          <v:group style="position:absolute;margin-left:377.109985pt;margin-top:456.909973pt;width:46.8pt;height:17.650pt;mso-position-horizontal-relative:page;mso-position-vertical-relative:page;z-index:-967528" coordorigin="7542,9138" coordsize="936,353">
            <v:shape style="position:absolute;left:7542;top:9138;width:936;height:353" coordorigin="7542,9138" coordsize="936,353" path="m7542,9491l8478,9491,8478,9138,7542,9138,7542,9491xe" filled="true" fillcolor="#ffffff" stroked="false">
              <v:path arrowok="t"/>
              <v:fill type="solid"/>
            </v:shape>
            <w10:wrap type="none"/>
          </v:group>
        </w:pict>
      </w:r>
      <w:r>
        <w:rPr/>
        <w:pict>
          <v:group style="position:absolute;margin-left:377.109985pt;margin-top:555.070007pt;width:46.8pt;height:17.55pt;mso-position-horizontal-relative:page;mso-position-vertical-relative:page;z-index:-967504" coordorigin="7542,11101" coordsize="936,351">
            <v:shape style="position:absolute;left:7542;top:11101;width:936;height:351" coordorigin="7542,11101" coordsize="936,351" path="m7542,11452l8478,11452,8478,11101,7542,11101,7542,11452xe" filled="true" fillcolor="#ffffff" stroked="false">
              <v:path arrowok="t"/>
              <v:fill type="solid"/>
            </v:shape>
            <w10:wrap type="none"/>
          </v:group>
        </w:pict>
      </w:r>
      <w:r>
        <w:rPr/>
        <w:pict>
          <v:group style="position:absolute;margin-left:377.109985pt;margin-top:653.139954pt;width:46.8pt;height:17.650pt;mso-position-horizontal-relative:page;mso-position-vertical-relative:page;z-index:-967480" coordorigin="7542,13063" coordsize="936,353">
            <v:shape style="position:absolute;left:7542;top:13063;width:936;height:353" coordorigin="7542,13063" coordsize="936,353" path="m7542,13416l8478,13416,8478,13063,7542,13063,7542,1341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681"/>
        <w:gridCol w:w="4891"/>
      </w:tblGrid>
      <w:tr>
        <w:trPr>
          <w:trHeight w:val="363"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91" w:type="dxa"/>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16,000</w:t>
            </w:r>
          </w:p>
        </w:tc>
      </w:tr>
      <w:tr>
        <w:trPr>
          <w:trHeight w:val="401"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15"/>
        <w:jc w:val="left"/>
      </w:pPr>
      <w:r>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t>（</w:t>
      </w:r>
      <w:r>
        <w:rPr>
          <w:rFonts w:ascii="Times New Roman" w:hAnsi="Times New Roman" w:cs="Times New Roman" w:eastAsia="Times New Roman" w:hint="default"/>
        </w:rPr>
        <w:t>1</w:t>
      </w:r>
      <w:r>
        <w:rPr/>
        <w:t>）</w:t>
      </w:r>
      <w:r>
        <w:rPr>
          <w:spacing w:val="89"/>
        </w:rPr>
        <w:t> </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3"/>
        <w:rPr>
          <w:rFonts w:ascii="宋体" w:hAnsi="宋体" w:cs="宋体" w:eastAsia="宋体" w:hint="default"/>
          <w:sz w:val="25"/>
          <w:szCs w:val="25"/>
        </w:rPr>
      </w:pPr>
    </w:p>
    <w:p>
      <w:pPr>
        <w:pStyle w:val="Heading2"/>
        <w:spacing w:line="240" w:lineRule="auto"/>
        <w:ind w:right="1115"/>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3404"/>
        <w:gridCol w:w="991"/>
        <w:gridCol w:w="929"/>
        <w:gridCol w:w="1270"/>
      </w:tblGrid>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5"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275"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9" w:lineRule="auto"/>
              <w:ind w:left="23" w:right="-32"/>
              <w:jc w:val="left"/>
              <w:rPr>
                <w:rFonts w:ascii="宋体" w:hAnsi="宋体" w:cs="宋体" w:eastAsia="宋体" w:hint="default"/>
                <w:sz w:val="18"/>
                <w:szCs w:val="18"/>
              </w:rPr>
            </w:pPr>
            <w:r>
              <w:rPr>
                <w:rFonts w:ascii="宋体" w:hAnsi="宋体" w:cs="宋体" w:eastAsia="宋体" w:hint="default"/>
                <w:sz w:val="18"/>
                <w:szCs w:val="18"/>
              </w:rPr>
              <w:t>苏州中昊新能 源投资管理中 心（有限合伙）</w:t>
            </w:r>
          </w:p>
        </w:tc>
        <w:tc>
          <w:tcPr>
            <w:tcW w:w="3404" w:type="dxa"/>
            <w:tcBorders>
              <w:top w:val="single" w:sz="4" w:space="0" w:color="000000"/>
              <w:left w:val="single" w:sz="14" w:space="0" w:color="FFFFFF"/>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5"/>
              <w:ind w:left="13" w:right="5"/>
              <w:jc w:val="left"/>
              <w:rPr>
                <w:rFonts w:ascii="宋体" w:hAnsi="宋体" w:cs="宋体" w:eastAsia="宋体" w:hint="default"/>
                <w:sz w:val="18"/>
                <w:szCs w:val="18"/>
              </w:rPr>
            </w:pPr>
            <w:r>
              <w:rPr>
                <w:rFonts w:ascii="宋体" w:hAnsi="宋体" w:cs="宋体" w:eastAsia="宋体" w:hint="default"/>
                <w:sz w:val="18"/>
                <w:szCs w:val="18"/>
              </w:rPr>
              <w:t>本公司承诺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日发布的《简式</w:t>
            </w:r>
            <w:r>
              <w:rPr>
                <w:rFonts w:ascii="宋体" w:hAnsi="宋体" w:cs="宋体" w:eastAsia="宋体" w:hint="default"/>
                <w:sz w:val="18"/>
                <w:szCs w:val="18"/>
              </w:rPr>
              <w:t> </w:t>
            </w:r>
            <w:r>
              <w:rPr>
                <w:rFonts w:ascii="宋体" w:hAnsi="宋体" w:cs="宋体" w:eastAsia="宋体" w:hint="default"/>
                <w:spacing w:val="-4"/>
                <w:sz w:val="18"/>
                <w:szCs w:val="18"/>
              </w:rPr>
              <w:t>权益变动报告书》不存在虚假记载、误导性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陈述或重大遗漏，并对其真实性、准确性 完整性承担个别和连带的法律责任。</w:t>
            </w:r>
          </w:p>
        </w:tc>
        <w:tc>
          <w:tcPr>
            <w:tcW w:w="99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50" w:right="0"/>
              <w:jc w:val="left"/>
              <w:rPr>
                <w:rFonts w:ascii="宋体" w:hAnsi="宋体" w:cs="宋体" w:eastAsia="宋体" w:hint="default"/>
                <w:sz w:val="18"/>
                <w:szCs w:val="18"/>
              </w:rPr>
            </w:pPr>
            <w:r>
              <w:rPr>
                <w:rFonts w:ascii="宋体" w:hAnsi="宋体" w:cs="宋体" w:eastAsia="宋体" w:hint="default"/>
                <w:spacing w:val="-10"/>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left"/>
              <w:rPr>
                <w:rFonts w:ascii="宋体" w:hAnsi="宋体" w:cs="宋体" w:eastAsia="宋体" w:hint="default"/>
                <w:sz w:val="18"/>
                <w:szCs w:val="18"/>
              </w:rPr>
            </w:pPr>
            <w:r>
              <w:rPr>
                <w:rFonts w:ascii="宋体" w:hAnsi="宋体" w:cs="宋体" w:eastAsia="宋体" w:hint="default"/>
                <w:sz w:val="18"/>
                <w:szCs w:val="18"/>
              </w:rPr>
              <w:t>截止报告期末， </w:t>
            </w:r>
            <w:r>
              <w:rPr>
                <w:rFonts w:ascii="宋体" w:hAnsi="宋体" w:cs="宋体" w:eastAsia="宋体" w:hint="default"/>
                <w:spacing w:val="-7"/>
                <w:sz w:val="18"/>
                <w:szCs w:val="18"/>
              </w:rPr>
              <w:t>未发现《简式权</w:t>
            </w:r>
            <w:r>
              <w:rPr>
                <w:rFonts w:ascii="宋体" w:hAnsi="宋体" w:cs="宋体" w:eastAsia="宋体" w:hint="default"/>
                <w:sz w:val="18"/>
                <w:szCs w:val="18"/>
              </w:rPr>
              <w:t> 益变动报告书》 存在虚假记载、 误导性陈述或 重大遗漏</w:t>
            </w:r>
          </w:p>
        </w:tc>
      </w:tr>
      <w:tr>
        <w:trPr>
          <w:trHeight w:val="1961" w:hRule="exact"/>
        </w:trPr>
        <w:tc>
          <w:tcPr>
            <w:tcW w:w="1702" w:type="dxa"/>
            <w:vMerge w:val="restart"/>
            <w:tcBorders>
              <w:top w:val="single" w:sz="4" w:space="0" w:color="000000"/>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159"/>
              <w:jc w:val="left"/>
              <w:rPr>
                <w:rFonts w:ascii="宋体" w:hAnsi="宋体" w:cs="宋体" w:eastAsia="宋体" w:hint="default"/>
                <w:sz w:val="18"/>
                <w:szCs w:val="18"/>
              </w:rPr>
            </w:pPr>
            <w:r>
              <w:rPr>
                <w:rFonts w:ascii="宋体" w:hAnsi="宋体" w:cs="宋体" w:eastAsia="宋体" w:hint="default"/>
                <w:sz w:val="18"/>
                <w:szCs w:val="18"/>
              </w:rPr>
              <w:t>无锡高德创业 投资有限公司</w:t>
            </w:r>
          </w:p>
        </w:tc>
        <w:tc>
          <w:tcPr>
            <w:tcW w:w="340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5"/>
              <w:ind w:left="26" w:right="5"/>
              <w:jc w:val="left"/>
              <w:rPr>
                <w:rFonts w:ascii="宋体" w:hAnsi="宋体" w:cs="宋体" w:eastAsia="宋体" w:hint="default"/>
                <w:sz w:val="18"/>
                <w:szCs w:val="18"/>
              </w:rPr>
            </w:pPr>
            <w:r>
              <w:rPr>
                <w:rFonts w:ascii="宋体" w:hAnsi="宋体" w:cs="宋体" w:eastAsia="宋体" w:hint="default"/>
                <w:sz w:val="18"/>
                <w:szCs w:val="18"/>
              </w:rPr>
              <w:t>本公司承诺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日发布的《简式</w:t>
            </w:r>
            <w:r>
              <w:rPr>
                <w:rFonts w:ascii="宋体" w:hAnsi="宋体" w:cs="宋体" w:eastAsia="宋体" w:hint="default"/>
                <w:sz w:val="18"/>
                <w:szCs w:val="18"/>
              </w:rPr>
              <w:t> </w:t>
            </w:r>
            <w:r>
              <w:rPr>
                <w:rFonts w:ascii="宋体" w:hAnsi="宋体" w:cs="宋体" w:eastAsia="宋体" w:hint="default"/>
                <w:spacing w:val="-4"/>
                <w:sz w:val="18"/>
                <w:szCs w:val="18"/>
              </w:rPr>
              <w:t>权益变动报告书》不存在虚假记载、误导性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陈述或重大遗漏，并对其真实性、准确性 完整性承担个别和连带的法律责任。</w:t>
            </w:r>
          </w:p>
        </w:tc>
        <w:tc>
          <w:tcPr>
            <w:tcW w:w="99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50" w:right="0"/>
              <w:jc w:val="left"/>
              <w:rPr>
                <w:rFonts w:ascii="宋体" w:hAnsi="宋体" w:cs="宋体" w:eastAsia="宋体" w:hint="default"/>
                <w:sz w:val="18"/>
                <w:szCs w:val="18"/>
              </w:rPr>
            </w:pPr>
            <w:r>
              <w:rPr>
                <w:rFonts w:ascii="宋体" w:hAnsi="宋体" w:cs="宋体" w:eastAsia="宋体" w:hint="default"/>
                <w:spacing w:val="-10"/>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left"/>
              <w:rPr>
                <w:rFonts w:ascii="宋体" w:hAnsi="宋体" w:cs="宋体" w:eastAsia="宋体" w:hint="default"/>
                <w:sz w:val="18"/>
                <w:szCs w:val="18"/>
              </w:rPr>
            </w:pPr>
            <w:r>
              <w:rPr>
                <w:rFonts w:ascii="宋体" w:hAnsi="宋体" w:cs="宋体" w:eastAsia="宋体" w:hint="default"/>
                <w:sz w:val="18"/>
                <w:szCs w:val="18"/>
              </w:rPr>
              <w:t>截止报告期末， </w:t>
            </w:r>
            <w:r>
              <w:rPr>
                <w:rFonts w:ascii="宋体" w:hAnsi="宋体" w:cs="宋体" w:eastAsia="宋体" w:hint="default"/>
                <w:spacing w:val="-7"/>
                <w:sz w:val="18"/>
                <w:szCs w:val="18"/>
              </w:rPr>
              <w:t>未发现《简式权</w:t>
            </w:r>
            <w:r>
              <w:rPr>
                <w:rFonts w:ascii="宋体" w:hAnsi="宋体" w:cs="宋体" w:eastAsia="宋体" w:hint="default"/>
                <w:sz w:val="18"/>
                <w:szCs w:val="18"/>
              </w:rPr>
              <w:t> 益变动报告书》 存在虚假记载、 误导性陈述或 重大遗漏</w:t>
            </w:r>
          </w:p>
        </w:tc>
      </w:tr>
      <w:tr>
        <w:trPr>
          <w:trHeight w:val="1964" w:hRule="exact"/>
        </w:trPr>
        <w:tc>
          <w:tcPr>
            <w:tcW w:w="1702"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159"/>
              <w:jc w:val="both"/>
              <w:rPr>
                <w:rFonts w:ascii="宋体" w:hAnsi="宋体" w:cs="宋体" w:eastAsia="宋体" w:hint="default"/>
                <w:sz w:val="18"/>
                <w:szCs w:val="18"/>
              </w:rPr>
            </w:pPr>
            <w:r>
              <w:rPr>
                <w:rFonts w:ascii="宋体" w:hAnsi="宋体" w:cs="宋体" w:eastAsia="宋体" w:hint="default"/>
                <w:sz w:val="18"/>
                <w:szCs w:val="18"/>
              </w:rPr>
              <w:t>南通高胜成长 创业投资有限 公司</w:t>
            </w:r>
          </w:p>
        </w:tc>
        <w:tc>
          <w:tcPr>
            <w:tcW w:w="340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6"/>
              <w:ind w:left="26" w:right="5"/>
              <w:jc w:val="left"/>
              <w:rPr>
                <w:rFonts w:ascii="宋体" w:hAnsi="宋体" w:cs="宋体" w:eastAsia="宋体" w:hint="default"/>
                <w:sz w:val="18"/>
                <w:szCs w:val="18"/>
              </w:rPr>
            </w:pPr>
            <w:r>
              <w:rPr>
                <w:rFonts w:ascii="宋体" w:hAnsi="宋体" w:cs="宋体" w:eastAsia="宋体" w:hint="default"/>
                <w:sz w:val="18"/>
                <w:szCs w:val="18"/>
              </w:rPr>
              <w:t>本公司承诺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日发布的《简式</w:t>
            </w:r>
            <w:r>
              <w:rPr>
                <w:rFonts w:ascii="宋体" w:hAnsi="宋体" w:cs="宋体" w:eastAsia="宋体" w:hint="default"/>
                <w:sz w:val="18"/>
                <w:szCs w:val="18"/>
              </w:rPr>
              <w:t> </w:t>
            </w:r>
            <w:r>
              <w:rPr>
                <w:rFonts w:ascii="宋体" w:hAnsi="宋体" w:cs="宋体" w:eastAsia="宋体" w:hint="default"/>
                <w:spacing w:val="-4"/>
                <w:sz w:val="18"/>
                <w:szCs w:val="18"/>
              </w:rPr>
              <w:t>权益变动报告书》不存在虚假记载、误导性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陈述或重大遗漏，并对其真实性、准确性 完整性承担个别和连带的法律责任。</w:t>
            </w:r>
          </w:p>
        </w:tc>
        <w:tc>
          <w:tcPr>
            <w:tcW w:w="99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50" w:right="0"/>
              <w:jc w:val="left"/>
              <w:rPr>
                <w:rFonts w:ascii="宋体" w:hAnsi="宋体" w:cs="宋体" w:eastAsia="宋体" w:hint="default"/>
                <w:sz w:val="18"/>
                <w:szCs w:val="18"/>
              </w:rPr>
            </w:pPr>
            <w:r>
              <w:rPr>
                <w:rFonts w:ascii="宋体" w:hAnsi="宋体" w:cs="宋体" w:eastAsia="宋体" w:hint="default"/>
                <w:spacing w:val="-10"/>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5"/>
              <w:jc w:val="left"/>
              <w:rPr>
                <w:rFonts w:ascii="宋体" w:hAnsi="宋体" w:cs="宋体" w:eastAsia="宋体" w:hint="default"/>
                <w:sz w:val="18"/>
                <w:szCs w:val="18"/>
              </w:rPr>
            </w:pPr>
            <w:r>
              <w:rPr>
                <w:rFonts w:ascii="宋体" w:hAnsi="宋体" w:cs="宋体" w:eastAsia="宋体" w:hint="default"/>
                <w:sz w:val="18"/>
                <w:szCs w:val="18"/>
              </w:rPr>
              <w:t>截止报告期末， </w:t>
            </w:r>
            <w:r>
              <w:rPr>
                <w:rFonts w:ascii="宋体" w:hAnsi="宋体" w:cs="宋体" w:eastAsia="宋体" w:hint="default"/>
                <w:spacing w:val="-7"/>
                <w:sz w:val="18"/>
                <w:szCs w:val="18"/>
              </w:rPr>
              <w:t>未发现《简式权</w:t>
            </w:r>
            <w:r>
              <w:rPr>
                <w:rFonts w:ascii="宋体" w:hAnsi="宋体" w:cs="宋体" w:eastAsia="宋体" w:hint="default"/>
                <w:sz w:val="18"/>
                <w:szCs w:val="18"/>
              </w:rPr>
              <w:t> 益变动报告书》 存在虚假记载、 误导性陈述或 重大遗漏</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5"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20"/>
              <w:jc w:val="left"/>
              <w:rPr>
                <w:rFonts w:ascii="宋体" w:hAnsi="宋体" w:cs="宋体" w:eastAsia="宋体" w:hint="default"/>
                <w:sz w:val="18"/>
                <w:szCs w:val="18"/>
              </w:rPr>
            </w:pPr>
            <w:r>
              <w:rPr>
                <w:rFonts w:ascii="宋体" w:hAnsi="宋体" w:cs="宋体" w:eastAsia="宋体" w:hint="default"/>
                <w:sz w:val="18"/>
                <w:szCs w:val="18"/>
              </w:rPr>
              <w:t>发起人股东以 </w:t>
            </w:r>
            <w:r>
              <w:rPr>
                <w:rFonts w:ascii="宋体" w:hAnsi="宋体" w:cs="宋体" w:eastAsia="宋体" w:hint="default"/>
                <w:spacing w:val="-6"/>
                <w:sz w:val="18"/>
                <w:szCs w:val="18"/>
              </w:rPr>
              <w:t>及全体董事、高</w:t>
            </w:r>
          </w:p>
        </w:tc>
        <w:tc>
          <w:tcPr>
            <w:tcW w:w="3404" w:type="dxa"/>
            <w:tcBorders>
              <w:top w:val="single" w:sz="4" w:space="0" w:color="000000"/>
              <w:left w:val="single" w:sz="4" w:space="0" w:color="000000"/>
              <w:bottom w:val="single" w:sz="4" w:space="0" w:color="000000"/>
              <w:right w:val="single" w:sz="13" w:space="0" w:color="FFFFFF"/>
            </w:tcBorders>
          </w:tcPr>
          <w:p>
            <w:pPr>
              <w:pStyle w:val="TableParagraph"/>
              <w:spacing w:line="297" w:lineRule="auto" w:before="70"/>
              <w:ind w:left="26" w:right="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4"/>
                <w:sz w:val="18"/>
                <w:szCs w:val="18"/>
              </w:rPr>
              <w:t>爱康国际控股有限公司、江阴爱康投资有限</w:t>
            </w:r>
          </w:p>
        </w:tc>
        <w:tc>
          <w:tcPr>
            <w:tcW w:w="99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52" w:lineRule="exact"/>
              <w:ind w:left="12"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46.8pt;height:17.650pt;mso-position-horizontal-relative:char;mso-position-vertical-relative:line" coordorigin="0,0" coordsize="936,353">
                  <v:group style="position:absolute;left:0;top:0;width:936;height:353" coordorigin="0,0" coordsize="936,353">
                    <v:shape style="position:absolute;left:0;top:0;width:936;height:353" coordorigin="0,0" coordsize="936,353" path="m0,353l936,353,936,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b/>
                <w:bCs/>
                <w:sz w:val="27"/>
                <w:szCs w:val="27"/>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5"/>
              <w:jc w:val="left"/>
              <w:rPr>
                <w:rFonts w:ascii="宋体" w:hAnsi="宋体" w:cs="宋体" w:eastAsia="宋体" w:hint="default"/>
                <w:sz w:val="18"/>
                <w:szCs w:val="18"/>
              </w:rPr>
            </w:pPr>
            <w:r>
              <w:rPr>
                <w:rFonts w:ascii="宋体" w:hAnsi="宋体" w:cs="宋体" w:eastAsia="宋体" w:hint="default"/>
                <w:sz w:val="18"/>
                <w:szCs w:val="18"/>
              </w:rPr>
              <w:t>具体参见 承诺内容，</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严格执行</w:t>
            </w:r>
          </w:p>
        </w:tc>
      </w:tr>
    </w:tbl>
    <w:p>
      <w:pPr>
        <w:spacing w:after="0" w:line="240" w:lineRule="auto"/>
        <w:jc w:val="left"/>
        <w:rPr>
          <w:rFonts w:ascii="宋体" w:hAnsi="宋体" w:cs="宋体" w:eastAsia="宋体" w:hint="default"/>
          <w:sz w:val="18"/>
          <w:szCs w:val="18"/>
        </w:rPr>
        <w:sectPr>
          <w:pgSz w:w="11910" w:h="16840"/>
          <w:pgMar w:header="745" w:footer="1241" w:top="1060" w:bottom="1440" w:left="980" w:right="0"/>
        </w:sectPr>
      </w:pPr>
    </w:p>
    <w:p>
      <w:pPr>
        <w:spacing w:line="240" w:lineRule="auto" w:before="6"/>
        <w:rPr>
          <w:rFonts w:ascii="宋体" w:hAnsi="宋体" w:cs="宋体" w:eastAsia="宋体" w:hint="default"/>
          <w:b/>
          <w:bCs/>
          <w:sz w:val="26"/>
          <w:szCs w:val="26"/>
        </w:rPr>
      </w:pPr>
    </w:p>
    <w:p>
      <w:pPr>
        <w:spacing w:after="0" w:line="240" w:lineRule="auto"/>
        <w:rPr>
          <w:rFonts w:ascii="宋体" w:hAnsi="宋体" w:cs="宋体" w:eastAsia="宋体" w:hint="default"/>
          <w:sz w:val="26"/>
          <w:szCs w:val="26"/>
        </w:rPr>
        <w:sectPr>
          <w:pgSz w:w="11910" w:h="16840"/>
          <w:pgMar w:header="745" w:footer="1241" w:top="1060" w:bottom="1440" w:left="980" w:right="0"/>
        </w:sectPr>
      </w:pPr>
    </w:p>
    <w:p>
      <w:pPr>
        <w:pStyle w:val="BodyText"/>
        <w:tabs>
          <w:tab w:pos="3160" w:val="left" w:leader="none"/>
        </w:tabs>
        <w:spacing w:line="314" w:lineRule="auto" w:before="44"/>
        <w:ind w:left="3161" w:right="0" w:hanging="1278"/>
        <w:jc w:val="left"/>
      </w:pPr>
      <w:r>
        <w:rPr/>
        <w:pict>
          <v:shape style="position:absolute;margin-left:207.050003pt;margin-top:72.475983pt;width:218.1pt;height:686.5pt;mso-position-horizontal-relative:page;mso-position-vertical-relative:page;z-index:-9674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9"/>
                    <w:ind w:left="900" w:right="0"/>
                    <w:jc w:val="left"/>
                  </w:pPr>
                  <w:r>
                    <w:rPr/>
                    <w:t>）公司全体董事、高管邹承慧、</w:t>
                  </w:r>
                </w:p>
                <w:p>
                  <w:pPr>
                    <w:pStyle w:val="BodyText"/>
                    <w:spacing w:line="240" w:lineRule="auto" w:before="76"/>
                    <w:ind w:left="0" w:right="0" w:firstLine="2716"/>
                    <w:jc w:val="left"/>
                  </w:pPr>
                  <w:r>
                    <w:rPr/>
                    <w:t>黄国云、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8"/>
                    <w:ind w:left="0" w:right="0"/>
                    <w:jc w:val="left"/>
                  </w:pPr>
                  <w:r>
                    <w:rPr/>
                    <w:t>公司（或本人）控制的其他企业均未生产、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left="1456" w:right="0"/>
                    <w:jc w:val="left"/>
                  </w:pPr>
                  <w:r>
                    <w:rPr/>
                    <w:t>自本承诺书签署之日起，</w:t>
                  </w:r>
                </w:p>
              </w:txbxContent>
            </v:textbox>
            <w10:wrap type="none"/>
          </v:shape>
        </w:pict>
      </w:r>
      <w:r>
        <w:rPr/>
        <w:pict>
          <v:group style="position:absolute;margin-left:56.400002pt;margin-top:71.759979pt;width:479.05pt;height:687.95pt;mso-position-horizontal-relative:page;mso-position-vertical-relative:page;z-index:-967432" coordorigin="1128,1435" coordsize="9581,13759">
            <v:group style="position:absolute;left:7518;top:1450;width:984;height:13730" coordorigin="7518,1450" coordsize="984,13730">
              <v:shape style="position:absolute;left:7518;top:1450;width:984;height:13730" coordorigin="7518,1450" coordsize="984,13730" path="m7518,15180l8502,15180,8502,1450,7518,1450,7518,15180xe" filled="true" fillcolor="#ffffff" stroked="false">
                <v:path arrowok="t"/>
                <v:fill type="solid"/>
              </v:shape>
            </v:group>
            <v:group style="position:absolute;left:1138;top:1445;width:1693;height:2" coordorigin="1138,1445" coordsize="1693,2">
              <v:shape style="position:absolute;left:1138;top:1445;width:1693;height:2" coordorigin="1138,1445" coordsize="1693,0" path="m1138,1445l2830,1445e" filled="false" stroked="true" strokeweight=".48pt" strokecolor="#000000">
                <v:path arrowok="t"/>
              </v:shape>
            </v:group>
            <v:group style="position:absolute;left:2840;top:1445;width:1266;height:2" coordorigin="2840,1445" coordsize="1266,2">
              <v:shape style="position:absolute;left:2840;top:1445;width:1266;height:2" coordorigin="2840,1445" coordsize="1266,0" path="m2840,1445l4105,1445e" filled="false" stroked="true" strokeweight=".48pt" strokecolor="#000000">
                <v:path arrowok="t"/>
              </v:shape>
            </v:group>
            <v:group style="position:absolute;left:4115;top:1445;width:3394;height:2" coordorigin="4115,1445" coordsize="3394,2">
              <v:shape style="position:absolute;left:4115;top:1445;width:3394;height:2" coordorigin="4115,1445" coordsize="3394,0" path="m4115,1445l7509,1445e" filled="false" stroked="true" strokeweight=".48pt" strokecolor="#000000">
                <v:path arrowok="t"/>
              </v:shape>
            </v:group>
            <v:group style="position:absolute;left:7518;top:1445;width:982;height:2" coordorigin="7518,1445" coordsize="982,2">
              <v:shape style="position:absolute;left:7518;top:1445;width:982;height:2" coordorigin="7518,1445" coordsize="982,0" path="m7518,1445l8500,1445e" filled="false" stroked="true" strokeweight=".48pt" strokecolor="#000000">
                <v:path arrowok="t"/>
              </v:shape>
            </v:group>
            <v:group style="position:absolute;left:8509;top:1445;width:920;height:2" coordorigin="8509,1445" coordsize="920,2">
              <v:shape style="position:absolute;left:8509;top:1445;width:920;height:2" coordorigin="8509,1445" coordsize="920,0" path="m8509,1445l9429,1445e" filled="false" stroked="true" strokeweight=".48pt" strokecolor="#000000">
                <v:path arrowok="t"/>
              </v:shape>
            </v:group>
            <v:group style="position:absolute;left:9439;top:1445;width:1260;height:2" coordorigin="9439,1445" coordsize="1260,2">
              <v:shape style="position:absolute;left:9439;top:1445;width:1260;height:2" coordorigin="9439,1445" coordsize="1260,0" path="m9439,1445l10699,1445e" filled="false" stroked="true" strokeweight=".48pt" strokecolor="#000000">
                <v:path arrowok="t"/>
              </v:shape>
            </v:group>
            <v:group style="position:absolute;left:1133;top:1440;width:2;height:13750" coordorigin="1133,1440" coordsize="2,13750">
              <v:shape style="position:absolute;left:1133;top:1440;width:2;height:13750" coordorigin="1133,1440" coordsize="0,13750" path="m1133,1440l1133,15189e" filled="false" stroked="true" strokeweight=".48pt" strokecolor="#000000">
                <v:path arrowok="t"/>
              </v:shape>
            </v:group>
            <v:group style="position:absolute;left:1138;top:15184;width:1693;height:2" coordorigin="1138,15184" coordsize="1693,2">
              <v:shape style="position:absolute;left:1138;top:15184;width:1693;height:2" coordorigin="1138,15184" coordsize="1693,0" path="m1138,15184l2830,15184e" filled="false" stroked="true" strokeweight=".48pt" strokecolor="#000000">
                <v:path arrowok="t"/>
              </v:shape>
            </v:group>
            <v:group style="position:absolute;left:2835;top:1440;width:2;height:13750" coordorigin="2835,1440" coordsize="2,13750">
              <v:shape style="position:absolute;left:2835;top:1440;width:2;height:13750" coordorigin="2835,1440" coordsize="0,13750" path="m2835,1440l2835,15189e" filled="false" stroked="true" strokeweight=".48pt" strokecolor="#000000">
                <v:path arrowok="t"/>
              </v:shape>
            </v:group>
            <v:group style="position:absolute;left:2840;top:15184;width:1266;height:2" coordorigin="2840,15184" coordsize="1266,2">
              <v:shape style="position:absolute;left:2840;top:15184;width:1266;height:2" coordorigin="2840,15184" coordsize="1266,0" path="m2840,15184l4105,15184e" filled="false" stroked="true" strokeweight=".48pt" strokecolor="#000000">
                <v:path arrowok="t"/>
              </v:shape>
            </v:group>
            <v:group style="position:absolute;left:4110;top:1440;width:2;height:13750" coordorigin="4110,1440" coordsize="2,13750">
              <v:shape style="position:absolute;left:4110;top:1440;width:2;height:13750" coordorigin="4110,1440" coordsize="0,13750" path="m4110,1440l4110,15189e" filled="false" stroked="true" strokeweight=".48pt" strokecolor="#000000">
                <v:path arrowok="t"/>
              </v:shape>
            </v:group>
            <v:group style="position:absolute;left:4115;top:15184;width:3394;height:2" coordorigin="4115,15184" coordsize="3394,2">
              <v:shape style="position:absolute;left:4115;top:15184;width:3394;height:2" coordorigin="4115,15184" coordsize="3394,0" path="m4115,15184l7509,15184e" filled="false" stroked="true" strokeweight=".48pt" strokecolor="#000000">
                <v:path arrowok="t"/>
              </v:shape>
            </v:group>
            <v:group style="position:absolute;left:7513;top:1440;width:2;height:13750" coordorigin="7513,1440" coordsize="2,13750">
              <v:shape style="position:absolute;left:7513;top:1440;width:2;height:13750" coordorigin="7513,1440" coordsize="0,13750" path="m7513,1440l7513,15189e" filled="false" stroked="true" strokeweight=".48pt" strokecolor="#000000">
                <v:path arrowok="t"/>
              </v:shape>
            </v:group>
            <v:group style="position:absolute;left:7518;top:15184;width:982;height:2" coordorigin="7518,15184" coordsize="982,2">
              <v:shape style="position:absolute;left:7518;top:15184;width:982;height:2" coordorigin="7518,15184" coordsize="982,0" path="m7518,15184l8500,15184e" filled="false" stroked="true" strokeweight=".48pt" strokecolor="#000000">
                <v:path arrowok="t"/>
              </v:shape>
            </v:group>
            <v:group style="position:absolute;left:8505;top:1440;width:2;height:13750" coordorigin="8505,1440" coordsize="2,13750">
              <v:shape style="position:absolute;left:8505;top:1440;width:2;height:13750" coordorigin="8505,1440" coordsize="0,13750" path="m8505,1440l8505,15189e" filled="false" stroked="true" strokeweight=".48pt" strokecolor="#000000">
                <v:path arrowok="t"/>
              </v:shape>
            </v:group>
            <v:group style="position:absolute;left:8509;top:15184;width:920;height:2" coordorigin="8509,15184" coordsize="920,2">
              <v:shape style="position:absolute;left:8509;top:15184;width:920;height:2" coordorigin="8509,15184" coordsize="920,0" path="m8509,15184l9429,15184e" filled="false" stroked="true" strokeweight=".48pt" strokecolor="#000000">
                <v:path arrowok="t"/>
              </v:shape>
            </v:group>
            <v:group style="position:absolute;left:9434;top:1440;width:2;height:13750" coordorigin="9434,1440" coordsize="2,13750">
              <v:shape style="position:absolute;left:9434;top:1440;width:2;height:13750" coordorigin="9434,1440" coordsize="0,13750" path="m9434,1440l9434,15189e" filled="false" stroked="true" strokeweight=".48pt" strokecolor="#000000">
                <v:path arrowok="t"/>
              </v:shape>
            </v:group>
            <v:group style="position:absolute;left:9439;top:15184;width:1260;height:2" coordorigin="9439,15184" coordsize="1260,2">
              <v:shape style="position:absolute;left:9439;top:15184;width:1260;height:2" coordorigin="9439,15184" coordsize="1260,0" path="m9439,15184l10699,15184e" filled="false" stroked="true" strokeweight=".48pt" strokecolor="#000000">
                <v:path arrowok="t"/>
              </v:shape>
            </v:group>
            <v:group style="position:absolute;left:10704;top:1440;width:2;height:13750" coordorigin="10704,1440" coordsize="2,13750">
              <v:shape style="position:absolute;left:10704;top:1440;width:2;height:13750" coordorigin="10704,1440" coordsize="0,13750" path="m10704,1440l10704,15189e" filled="false" stroked="true" strokeweight=".48pt" strokecolor="#000000">
                <v:path arrowok="t"/>
              </v:shape>
            </v:group>
            <w10:wrap type="none"/>
          </v:group>
        </w:pict>
      </w:r>
      <w:r>
        <w:rPr/>
        <w:t>管</w:t>
        <w:tab/>
      </w:r>
      <w:r>
        <w:rPr>
          <w:spacing w:val="-4"/>
        </w:rPr>
        <w:t>公司、实际控制人邹承慧、爱康投资其他全</w:t>
      </w:r>
      <w:r>
        <w:rPr/>
        <w:t> </w:t>
      </w:r>
      <w:r>
        <w:rPr>
          <w:spacing w:val="-4"/>
        </w:rPr>
        <w:t>体自然人股东承诺：自本公司股票上市之日</w:t>
      </w:r>
      <w:r>
        <w:rPr/>
        <w:t> </w:t>
      </w:r>
      <w:r>
        <w:rPr>
          <w:spacing w:val="-4"/>
        </w:rPr>
        <w:t>起三十六个月内，不转让或者委托他人管理</w:t>
      </w:r>
      <w:r>
        <w:rPr/>
        <w:t> </w:t>
      </w:r>
      <w:r>
        <w:rPr>
          <w:spacing w:val="-4"/>
        </w:rPr>
        <w:t>其直接或间接持有的发行人股份，也不由发</w:t>
      </w:r>
      <w:r>
        <w:rPr/>
        <w:t> </w:t>
      </w:r>
      <w:r>
        <w:rPr>
          <w:spacing w:val="-9"/>
        </w:rPr>
        <w:t>行人回购该部分股份。（</w:t>
      </w:r>
      <w:r>
        <w:rPr>
          <w:rFonts w:ascii="Times New Roman" w:hAnsi="Times New Roman" w:cs="Times New Roman" w:eastAsia="Times New Roman" w:hint="default"/>
          <w:spacing w:val="-9"/>
        </w:rPr>
        <w:t>2</w:t>
      </w:r>
      <w:r>
        <w:rPr>
          <w:spacing w:val="-9"/>
        </w:rPr>
        <w:t>）其他发起人股东</w:t>
      </w:r>
      <w:r>
        <w:rPr/>
        <w:t> 承诺：自本公司股票上市之日起十二个月 </w:t>
      </w:r>
      <w:r>
        <w:rPr>
          <w:spacing w:val="-4"/>
        </w:rPr>
        <w:t>内，不转让或者委托他人管理其直接或间接</w:t>
      </w:r>
      <w:r>
        <w:rPr/>
        <w:t> </w:t>
      </w:r>
      <w:r>
        <w:rPr>
          <w:spacing w:val="-4"/>
        </w:rPr>
        <w:t>持有的发行人股份，也不由发行人回购该部</w:t>
      </w:r>
      <w:r>
        <w:rPr/>
        <w:t> </w:t>
      </w:r>
      <w:r>
        <w:rPr>
          <w:spacing w:val="-16"/>
        </w:rPr>
        <w:t>分股份。（</w:t>
      </w:r>
      <w:r>
        <w:rPr>
          <w:rFonts w:ascii="Times New Roman" w:hAnsi="Times New Roman" w:cs="Times New Roman" w:eastAsia="Times New Roman" w:hint="default"/>
          <w:spacing w:val="-16"/>
        </w:rPr>
        <w:t>3</w:t>
      </w:r>
      <w:r>
        <w:rPr>
          <w:rFonts w:ascii="Times New Roman" w:hAnsi="Times New Roman" w:cs="Times New Roman" w:eastAsia="Times New Roman" w:hint="default"/>
        </w:rPr>
        <w:t> </w:t>
      </w:r>
      <w:r>
        <w:rPr>
          <w:spacing w:val="-8"/>
        </w:rPr>
        <w:t>易美怀、季海瑜、徐国辉、李家康、</w:t>
      </w:r>
      <w:r>
        <w:rPr/>
        <w:t> </w:t>
      </w:r>
      <w:r>
        <w:rPr>
          <w:spacing w:val="-4"/>
        </w:rPr>
        <w:t>钟德鸣承诺：本人在担任发行人董事、高级</w:t>
      </w:r>
      <w:r>
        <w:rPr/>
        <w:t> </w:t>
      </w:r>
      <w:r>
        <w:rPr>
          <w:spacing w:val="-4"/>
        </w:rPr>
        <w:t>管理人员期间，每年转让的股份不超过本人</w:t>
      </w:r>
      <w:r>
        <w:rPr/>
        <w:t> 直接或间接持有公司股份总数的百分之二 </w:t>
      </w:r>
      <w:r>
        <w:rPr>
          <w:spacing w:val="-4"/>
        </w:rPr>
        <w:t>十五；自离职后半年内，不转让本人直接或</w:t>
      </w:r>
      <w:r>
        <w:rPr/>
        <w:t> </w:t>
      </w:r>
      <w:r>
        <w:rPr>
          <w:spacing w:val="-9"/>
        </w:rPr>
        <w:t>间接持有的公司股份。（</w:t>
      </w:r>
      <w:r>
        <w:rPr>
          <w:rFonts w:ascii="Times New Roman" w:hAnsi="Times New Roman" w:cs="Times New Roman" w:eastAsia="Times New Roman" w:hint="default"/>
          <w:spacing w:val="-9"/>
        </w:rPr>
        <w:t>4</w:t>
      </w:r>
      <w:r>
        <w:rPr>
          <w:spacing w:val="-9"/>
        </w:rPr>
        <w:t>）控股股东江苏爱</w:t>
      </w:r>
      <w:r>
        <w:rPr/>
        <w:t> </w:t>
      </w:r>
      <w:r>
        <w:rPr>
          <w:spacing w:val="-4"/>
        </w:rPr>
        <w:t>康实业有限责任公司、爱康国际控股有限公</w:t>
      </w:r>
      <w:r>
        <w:rPr/>
        <w:t> </w:t>
      </w:r>
      <w:r>
        <w:rPr>
          <w:spacing w:val="-4"/>
        </w:rPr>
        <w:t>司、江阴爱康投资有限公司、实际控制人邹</w:t>
      </w:r>
      <w:r>
        <w:rPr/>
        <w:t> </w:t>
      </w:r>
      <w:r>
        <w:rPr>
          <w:spacing w:val="-4"/>
        </w:rPr>
        <w:t>承慧分别向本公司出具了《避免同业竞争承</w:t>
      </w:r>
      <w:r>
        <w:rPr/>
        <w:t> </w:t>
      </w:r>
      <w:r>
        <w:rPr>
          <w:spacing w:val="-5"/>
        </w:rPr>
        <w:t>诺函》，承诺：本公司（本人）将尽职、勤</w:t>
      </w:r>
      <w:r>
        <w:rPr/>
        <w:t> </w:t>
      </w:r>
      <w:r>
        <w:rPr>
          <w:spacing w:val="-13"/>
        </w:rPr>
        <w:t>勉地履行《公司法》、《公司章程》所规定的</w:t>
      </w:r>
      <w:r>
        <w:rPr/>
        <w:t> </w:t>
      </w:r>
      <w:r>
        <w:rPr>
          <w:spacing w:val="-4"/>
        </w:rPr>
        <w:t>股东职责，不利用股份公司的股东地位损害</w:t>
      </w:r>
      <w:r>
        <w:rPr/>
        <w:t> </w:t>
      </w:r>
      <w:r>
        <w:rPr>
          <w:spacing w:val="-4"/>
        </w:rPr>
        <w:t>股份公司及股份公司其他股东、债权人的合</w:t>
      </w:r>
      <w:r>
        <w:rPr/>
        <w:t> </w:t>
      </w:r>
      <w:r>
        <w:rPr>
          <w:spacing w:val="-4"/>
        </w:rPr>
        <w:t>法权益。在本承诺书签署之日，本公司、本</w:t>
      </w:r>
    </w:p>
    <w:p>
      <w:pPr>
        <w:spacing w:line="240" w:lineRule="auto" w:before="6"/>
        <w:rPr>
          <w:rFonts w:ascii="宋体" w:hAnsi="宋体" w:cs="宋体" w:eastAsia="宋体" w:hint="default"/>
          <w:sz w:val="25"/>
          <w:szCs w:val="25"/>
        </w:rPr>
      </w:pPr>
    </w:p>
    <w:p>
      <w:pPr>
        <w:pStyle w:val="BodyText"/>
        <w:spacing w:line="316" w:lineRule="auto"/>
        <w:ind w:left="3161" w:right="-16"/>
        <w:jc w:val="left"/>
      </w:pPr>
      <w:r>
        <w:rPr>
          <w:spacing w:val="-4"/>
        </w:rPr>
        <w:t>开发任何与股份公司生产、开发的产品构成</w:t>
      </w:r>
      <w:r>
        <w:rPr/>
        <w:t> </w:t>
      </w:r>
      <w:r>
        <w:rPr>
          <w:spacing w:val="-4"/>
        </w:rPr>
        <w:t>竞争或可能构成竞争的产品，未直接或间接</w:t>
      </w:r>
      <w:r>
        <w:rPr/>
        <w:t> 经营任何与股份公司经营的业务构成竞争 </w:t>
      </w:r>
      <w:r>
        <w:rPr>
          <w:spacing w:val="-4"/>
        </w:rPr>
        <w:t>或可能构成竞争的业务，也未参与投资任何</w:t>
      </w:r>
      <w:r>
        <w:rPr/>
        <w:t> </w:t>
      </w:r>
      <w:r>
        <w:rPr>
          <w:spacing w:val="-4"/>
        </w:rPr>
        <w:t>与股份公司生产、开发的产品或经营的业务</w:t>
      </w:r>
      <w:r>
        <w:rPr/>
        <w:t> </w:t>
      </w:r>
      <w:r>
        <w:rPr>
          <w:spacing w:val="-4"/>
        </w:rPr>
        <w:t>构成竞争或可能构成竞争的其他公司、企业</w:t>
      </w:r>
      <w:r>
        <w:rPr/>
        <w:t> </w:t>
      </w:r>
      <w:r>
        <w:rPr>
          <w:spacing w:val="-10"/>
        </w:rPr>
        <w:t>或其他组织、机构。</w:t>
      </w:r>
      <w:r>
        <w:rPr>
          <w:spacing w:val="-82"/>
        </w:rPr>
        <w:t> </w:t>
      </w:r>
      <w:r>
        <w:rPr>
          <w:spacing w:val="-82"/>
        </w:rPr>
      </w:r>
      <w:r>
        <w:rPr>
          <w:spacing w:val="-4"/>
        </w:rPr>
        <w:t>本公司、本公司（或本人）控制的其他企业</w:t>
      </w:r>
      <w:r>
        <w:rPr/>
        <w:t> </w:t>
      </w:r>
      <w:r>
        <w:rPr>
          <w:spacing w:val="-4"/>
        </w:rPr>
        <w:t>将不生产、开发任何与股份公司生产、开发</w:t>
      </w:r>
      <w:r>
        <w:rPr>
          <w:spacing w:val="-86"/>
        </w:rPr>
        <w:t> </w:t>
      </w:r>
      <w:r>
        <w:rPr>
          <w:spacing w:val="-86"/>
        </w:rPr>
      </w:r>
      <w:r>
        <w:rPr>
          <w:spacing w:val="-4"/>
        </w:rPr>
        <w:t>的产品构成竞争或可能构成竞争的产品，不</w:t>
      </w:r>
      <w:r>
        <w:rPr/>
        <w:t> 直接或间接经营任何与股份公司经营的业 </w:t>
      </w:r>
      <w:r>
        <w:rPr>
          <w:spacing w:val="-4"/>
        </w:rPr>
        <w:t>务构成竞争或可能构成竞争的业务，也不参</w:t>
      </w:r>
      <w:r>
        <w:rPr/>
        <w:t> 与投资任何与股份公司生产的产品或经营 的业务构成竞争或可能构成竞争的其他企 </w:t>
      </w:r>
      <w:r>
        <w:rPr>
          <w:spacing w:val="-4"/>
        </w:rPr>
        <w:t>业。自本承诺书签署之日起，如本公司、本</w:t>
      </w:r>
      <w:r>
        <w:rPr>
          <w:spacing w:val="-86"/>
        </w:rPr>
        <w:t> </w:t>
      </w:r>
      <w:r>
        <w:rPr>
          <w:spacing w:val="-86"/>
        </w:rPr>
      </w:r>
      <w:r>
        <w:rPr>
          <w:spacing w:val="-4"/>
        </w:rPr>
        <w:t>公司（或本人）控制的其他企业进一步拓展</w:t>
      </w:r>
      <w:r>
        <w:rPr/>
        <w:t> </w:t>
      </w:r>
      <w:r>
        <w:rPr>
          <w:spacing w:val="-4"/>
        </w:rPr>
        <w:t>产品和业务范围，或股份公司进一步拓展产</w:t>
      </w:r>
      <w:r>
        <w:rPr/>
        <w:t> </w:t>
      </w:r>
      <w:r>
        <w:rPr>
          <w:spacing w:val="-4"/>
        </w:rPr>
        <w:t>品和业务范围，本公司或本公司控制的其他</w:t>
      </w:r>
      <w:r>
        <w:rPr/>
        <w:t> 企业将不与股份公司现有或拓展后的产品 </w:t>
      </w:r>
      <w:r>
        <w:rPr>
          <w:spacing w:val="-4"/>
        </w:rPr>
        <w:t>或业务相竞争；若与股份公司及其下属子公</w:t>
      </w:r>
    </w:p>
    <w:p>
      <w:pPr>
        <w:pStyle w:val="BodyText"/>
        <w:spacing w:line="240" w:lineRule="auto" w:before="44"/>
        <w:ind w:left="1004" w:right="2541"/>
        <w:jc w:val="left"/>
      </w:pPr>
      <w:r>
        <w:rPr/>
        <w:br w:type="column"/>
      </w:r>
      <w:r>
        <w:rPr/>
        <w:t>其中承诺</w:t>
      </w:r>
    </w:p>
    <w:p>
      <w:pPr>
        <w:pStyle w:val="BodyText"/>
        <w:spacing w:line="314" w:lineRule="auto" w:before="77"/>
        <w:ind w:left="1004" w:right="2541"/>
        <w:jc w:val="left"/>
      </w:pPr>
      <w:r>
        <w:rPr/>
        <w:t>（</w:t>
      </w:r>
      <w:r>
        <w:rPr>
          <w:rFonts w:ascii="Times New Roman" w:hAnsi="Times New Roman" w:cs="Times New Roman" w:eastAsia="Times New Roman" w:hint="default"/>
        </w:rPr>
        <w:t>2</w:t>
      </w:r>
      <w:r>
        <w:rPr/>
        <w:t>）其他 发起人关 于股份锁 定的承诺 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p>
    <w:p>
      <w:pPr>
        <w:pStyle w:val="BodyText"/>
        <w:spacing w:line="309" w:lineRule="auto" w:before="1"/>
        <w:ind w:left="1004" w:right="2602"/>
        <w:jc w:val="both"/>
      </w:pPr>
      <w:r>
        <w:rPr>
          <w:rFonts w:ascii="Times New Roman" w:hAnsi="Times New Roman" w:cs="Times New Roman" w:eastAsia="Times New Roman" w:hint="default"/>
        </w:rPr>
        <w:t>8 </w:t>
      </w:r>
      <w:r>
        <w:rPr/>
        <w:t>月</w:t>
      </w:r>
      <w:r>
        <w:rPr>
          <w:spacing w:val="-45"/>
        </w:rPr>
        <w:t> </w:t>
      </w:r>
      <w:r>
        <w:rPr>
          <w:rFonts w:ascii="Times New Roman" w:hAnsi="Times New Roman" w:cs="Times New Roman" w:eastAsia="Times New Roman" w:hint="default"/>
        </w:rPr>
        <w:t>15 </w:t>
      </w:r>
      <w:r>
        <w:rPr/>
        <w:t>日 承诺期届 满</w:t>
      </w:r>
    </w:p>
    <w:p>
      <w:pPr>
        <w:spacing w:after="0" w:line="309" w:lineRule="auto"/>
        <w:jc w:val="both"/>
        <w:sectPr>
          <w:type w:val="continuous"/>
          <w:pgSz w:w="11910" w:h="16840"/>
          <w:pgMar w:top="1060" w:bottom="1540" w:left="980" w:right="0"/>
          <w:cols w:num="2" w:equalWidth="0">
            <w:col w:w="6510" w:space="40"/>
            <w:col w:w="4380"/>
          </w:cols>
        </w:sectPr>
      </w:pPr>
    </w:p>
    <w:p>
      <w:pPr>
        <w:spacing w:line="240" w:lineRule="auto" w:before="0"/>
        <w:rPr>
          <w:rFonts w:ascii="Times New Roman" w:hAnsi="Times New Roman" w:cs="Times New Roman" w:eastAsia="Times New Roman" w:hint="default"/>
          <w:sz w:val="20"/>
          <w:szCs w:val="20"/>
        </w:rPr>
      </w:pPr>
      <w:r>
        <w:rPr/>
        <w:pict>
          <v:shape style="position:absolute;margin-left:306.895996pt;margin-top:576.195984pt;width:118.25pt;height:78.05pt;mso-position-horizontal-relative:page;mso-position-vertical-relative:page;z-index:-9673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5"/>
                      <w:szCs w:val="15"/>
                    </w:rPr>
                  </w:pPr>
                </w:p>
                <w:p>
                  <w:pPr>
                    <w:pStyle w:val="BodyText"/>
                    <w:spacing w:line="240" w:lineRule="auto"/>
                    <w:ind w:left="0" w:right="0"/>
                    <w:jc w:val="left"/>
                  </w:pPr>
                  <w:r>
                    <w:rPr/>
                    <w:t>不进行内幕交易、</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275"/>
        <w:gridCol w:w="3404"/>
        <w:gridCol w:w="991"/>
        <w:gridCol w:w="929"/>
        <w:gridCol w:w="1270"/>
      </w:tblGrid>
      <w:tr>
        <w:trPr>
          <w:trHeight w:val="2547" w:hRule="exact"/>
        </w:trPr>
        <w:tc>
          <w:tcPr>
            <w:tcW w:w="170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6" w:right="17"/>
              <w:jc w:val="left"/>
              <w:rPr>
                <w:rFonts w:ascii="宋体" w:hAnsi="宋体" w:cs="宋体" w:eastAsia="宋体" w:hint="default"/>
                <w:sz w:val="18"/>
                <w:szCs w:val="18"/>
              </w:rPr>
            </w:pPr>
            <w:r>
              <w:rPr>
                <w:rFonts w:ascii="宋体" w:hAnsi="宋体" w:cs="宋体" w:eastAsia="宋体" w:hint="default"/>
                <w:spacing w:val="-4"/>
                <w:sz w:val="18"/>
                <w:szCs w:val="18"/>
              </w:rPr>
              <w:t>司拓展后的产品或业务产生竞争，则本公司</w:t>
            </w:r>
            <w:r>
              <w:rPr>
                <w:rFonts w:ascii="宋体" w:hAnsi="宋体" w:cs="宋体" w:eastAsia="宋体" w:hint="default"/>
                <w:sz w:val="18"/>
                <w:szCs w:val="18"/>
              </w:rPr>
              <w:t> 或本公司控制的其他企业将停止生产或经 </w:t>
            </w:r>
            <w:r>
              <w:rPr>
                <w:rFonts w:ascii="宋体" w:hAnsi="宋体" w:cs="宋体" w:eastAsia="宋体" w:hint="default"/>
                <w:spacing w:val="-4"/>
                <w:sz w:val="18"/>
                <w:szCs w:val="18"/>
              </w:rPr>
              <w:t>营相竞争的业务或产品，或者将相竞争的业</w:t>
            </w:r>
            <w:r>
              <w:rPr>
                <w:rFonts w:ascii="宋体" w:hAnsi="宋体" w:cs="宋体" w:eastAsia="宋体" w:hint="default"/>
                <w:sz w:val="18"/>
                <w:szCs w:val="18"/>
              </w:rPr>
              <w:t> </w:t>
            </w:r>
            <w:r>
              <w:rPr>
                <w:rFonts w:ascii="宋体" w:hAnsi="宋体" w:cs="宋体" w:eastAsia="宋体" w:hint="default"/>
                <w:spacing w:val="-4"/>
                <w:sz w:val="18"/>
                <w:szCs w:val="18"/>
              </w:rPr>
              <w:t>务或产品纳入到股份公司经营，或者将相竞</w:t>
            </w:r>
            <w:r>
              <w:rPr>
                <w:rFonts w:ascii="宋体" w:hAnsi="宋体" w:cs="宋体" w:eastAsia="宋体" w:hint="default"/>
                <w:sz w:val="18"/>
                <w:szCs w:val="18"/>
              </w:rPr>
              <w:t> 争的业务或产品转让给无关联关系的第三 </w:t>
            </w:r>
            <w:r>
              <w:rPr>
                <w:rFonts w:ascii="宋体" w:hAnsi="宋体" w:cs="宋体" w:eastAsia="宋体" w:hint="default"/>
                <w:spacing w:val="-9"/>
                <w:sz w:val="18"/>
                <w:szCs w:val="18"/>
              </w:rPr>
              <w:t>方的方式避免同业竞争。（</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）发行人、发行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人控股股东、发行人实际控制人分别出具承</w:t>
            </w:r>
            <w:r>
              <w:rPr>
                <w:rFonts w:ascii="宋体" w:hAnsi="宋体" w:cs="宋体" w:eastAsia="宋体" w:hint="default"/>
                <w:sz w:val="18"/>
                <w:szCs w:val="18"/>
              </w:rPr>
              <w:t> 诺函，承诺不发生关联方资金拆借行为。</w:t>
            </w:r>
          </w:p>
        </w:tc>
        <w:tc>
          <w:tcPr>
            <w:tcW w:w="991"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日公司使用募集资金补充 </w:t>
            </w:r>
            <w:r>
              <w:rPr>
                <w:rFonts w:ascii="宋体" w:hAnsi="宋体" w:cs="宋体" w:eastAsia="宋体" w:hint="default"/>
                <w:spacing w:val="-4"/>
                <w:sz w:val="18"/>
                <w:szCs w:val="18"/>
              </w:rPr>
              <w:t>流动资金，公司保证在最近十二个月内未进</w:t>
            </w:r>
            <w:r>
              <w:rPr>
                <w:rFonts w:ascii="宋体" w:hAnsi="宋体" w:cs="宋体" w:eastAsia="宋体" w:hint="default"/>
                <w:sz w:val="18"/>
                <w:szCs w:val="18"/>
              </w:rPr>
              <w:t> </w:t>
            </w:r>
            <w:r>
              <w:rPr>
                <w:rFonts w:ascii="宋体" w:hAnsi="宋体" w:cs="宋体" w:eastAsia="宋体" w:hint="default"/>
                <w:spacing w:val="-4"/>
                <w:sz w:val="18"/>
                <w:szCs w:val="18"/>
              </w:rPr>
              <w:t>行证券投资等高风险投资，并承诺补充流动</w:t>
            </w:r>
            <w:r>
              <w:rPr>
                <w:rFonts w:ascii="宋体" w:hAnsi="宋体" w:cs="宋体" w:eastAsia="宋体" w:hint="default"/>
                <w:sz w:val="18"/>
                <w:szCs w:val="18"/>
              </w:rPr>
              <w:t> </w:t>
            </w:r>
            <w:r>
              <w:rPr>
                <w:rFonts w:ascii="宋体" w:hAnsi="宋体" w:cs="宋体" w:eastAsia="宋体" w:hint="default"/>
                <w:spacing w:val="-4"/>
                <w:sz w:val="18"/>
                <w:szCs w:val="18"/>
              </w:rPr>
              <w:t>资金后，十二个月内不进行证券投资等高风</w:t>
            </w:r>
            <w:r>
              <w:rPr>
                <w:rFonts w:ascii="宋体" w:hAnsi="宋体" w:cs="宋体" w:eastAsia="宋体" w:hint="default"/>
                <w:sz w:val="18"/>
                <w:szCs w:val="18"/>
              </w:rPr>
              <w:t> 险投资。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具体参见 承诺内容</w:t>
            </w: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702" w:type="dxa"/>
            <w:vMerge w:val="restart"/>
            <w:tcBorders>
              <w:top w:val="single" w:sz="4" w:space="0" w:color="000000"/>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日公司使用闲置募集资金暂 </w:t>
            </w:r>
            <w:r>
              <w:rPr>
                <w:rFonts w:ascii="宋体" w:hAnsi="宋体" w:cs="宋体" w:eastAsia="宋体" w:hint="default"/>
                <w:spacing w:val="-4"/>
                <w:sz w:val="18"/>
                <w:szCs w:val="18"/>
              </w:rPr>
              <w:t>时补充流动资金，公司承诺在使用闲置募集</w:t>
            </w:r>
            <w:r>
              <w:rPr>
                <w:rFonts w:ascii="宋体" w:hAnsi="宋体" w:cs="宋体" w:eastAsia="宋体" w:hint="default"/>
                <w:sz w:val="18"/>
                <w:szCs w:val="18"/>
              </w:rPr>
              <w:t> </w:t>
            </w:r>
            <w:r>
              <w:rPr>
                <w:rFonts w:ascii="宋体" w:hAnsi="宋体" w:cs="宋体" w:eastAsia="宋体" w:hint="default"/>
                <w:spacing w:val="-4"/>
                <w:sz w:val="18"/>
                <w:szCs w:val="18"/>
              </w:rPr>
              <w:t>资金暂时补充流动资金期间，不进行证券投</w:t>
            </w:r>
            <w:r>
              <w:rPr>
                <w:rFonts w:ascii="宋体" w:hAnsi="宋体" w:cs="宋体" w:eastAsia="宋体" w:hint="default"/>
                <w:sz w:val="18"/>
                <w:szCs w:val="18"/>
              </w:rPr>
              <w:t> 资或金额超过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万元人民币的风险投 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具体参见 承诺内容</w:t>
            </w: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702" w:type="dxa"/>
            <w:vMerge/>
            <w:tcBorders>
              <w:left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日，公司再次使用闲置募 </w:t>
            </w:r>
            <w:r>
              <w:rPr>
                <w:rFonts w:ascii="宋体" w:hAnsi="宋体" w:cs="宋体" w:eastAsia="宋体" w:hint="default"/>
                <w:spacing w:val="-4"/>
                <w:sz w:val="18"/>
                <w:szCs w:val="18"/>
              </w:rPr>
              <w:t>集资金暂时补充流动资金，公司声明在闲置</w:t>
            </w:r>
            <w:r>
              <w:rPr>
                <w:rFonts w:ascii="宋体" w:hAnsi="宋体" w:cs="宋体" w:eastAsia="宋体" w:hint="default"/>
                <w:sz w:val="18"/>
                <w:szCs w:val="18"/>
              </w:rPr>
              <w:t> 募集资金暂时补充流动资金前十二个月内 </w:t>
            </w:r>
            <w:r>
              <w:rPr>
                <w:rFonts w:ascii="宋体" w:hAnsi="宋体" w:cs="宋体" w:eastAsia="宋体" w:hint="default"/>
                <w:spacing w:val="-4"/>
                <w:sz w:val="18"/>
                <w:szCs w:val="18"/>
              </w:rPr>
              <w:t>不存在证券投资等风险投资，并承诺使用闲</w:t>
            </w:r>
            <w:r>
              <w:rPr>
                <w:rFonts w:ascii="宋体" w:hAnsi="宋体" w:cs="宋体" w:eastAsia="宋体" w:hint="default"/>
                <w:sz w:val="18"/>
                <w:szCs w:val="18"/>
              </w:rPr>
              <w:t> 置募集资金暂时补充流动资金期间不进行 任何证券投资等风险投资。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具体参见 承诺内容</w:t>
            </w: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836" w:hRule="exact"/>
        </w:trPr>
        <w:tc>
          <w:tcPr>
            <w:tcW w:w="1702"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4"/>
                <w:sz w:val="18"/>
                <w:szCs w:val="18"/>
              </w:rPr>
              <w:t>基于对公司未来持续稳定发展的信心，邹承</w:t>
            </w:r>
            <w:r>
              <w:rPr>
                <w:rFonts w:ascii="宋体" w:hAnsi="宋体" w:cs="宋体" w:eastAsia="宋体" w:hint="default"/>
                <w:sz w:val="18"/>
                <w:szCs w:val="18"/>
              </w:rPr>
              <w:t> 慧先生在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日增持公司股票</w:t>
            </w:r>
          </w:p>
          <w:p>
            <w:pPr>
              <w:pStyle w:val="TableParagraph"/>
              <w:spacing w:line="307" w:lineRule="auto"/>
              <w:ind w:left="2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3000000 </w:t>
            </w:r>
            <w:r>
              <w:rPr>
                <w:rFonts w:ascii="宋体" w:hAnsi="宋体" w:cs="宋体" w:eastAsia="宋体" w:hint="default"/>
                <w:sz w:val="18"/>
                <w:szCs w:val="18"/>
              </w:rPr>
              <w:t>股，计划在未来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个月内根据中 国证监会和深圳证券交易所的有关规定以 及市场情况继续增持本公司股票不超过 </w:t>
            </w:r>
            <w:r>
              <w:rPr>
                <w:rFonts w:ascii="Times New Roman" w:hAnsi="Times New Roman" w:cs="Times New Roman" w:eastAsia="Times New Roman" w:hint="default"/>
                <w:sz w:val="18"/>
                <w:szCs w:val="18"/>
              </w:rPr>
              <w:t>5700000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股（含本次已增持股份在内，占公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司总股本的</w:t>
            </w:r>
            <w:r>
              <w:rPr>
                <w:rFonts w:ascii="宋体" w:hAnsi="宋体" w:cs="宋体" w:eastAsia="宋体" w:hint="default"/>
                <w:spacing w:val="-45"/>
                <w:sz w:val="18"/>
                <w:szCs w:val="18"/>
              </w:rPr>
              <w:t> </w:t>
            </w:r>
            <w:r>
              <w:rPr>
                <w:rFonts w:ascii="Times New Roman" w:hAnsi="Times New Roman" w:cs="Times New Roman" w:eastAsia="Times New Roman" w:hint="default"/>
                <w:spacing w:val="-7"/>
                <w:sz w:val="18"/>
                <w:szCs w:val="18"/>
              </w:rPr>
              <w:t>1.9%</w:t>
            </w:r>
            <w:r>
              <w:rPr>
                <w:rFonts w:ascii="宋体" w:hAnsi="宋体" w:cs="宋体" w:eastAsia="宋体" w:hint="default"/>
                <w:spacing w:val="-7"/>
                <w:sz w:val="18"/>
                <w:szCs w:val="18"/>
              </w:rPr>
              <w:t>），最低增持不低于</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3000000</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股（含本次增持在内）。在增持期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间及法定期限内不减持其所持有的公司股 </w:t>
            </w:r>
            <w:r>
              <w:rPr>
                <w:rFonts w:ascii="宋体" w:hAnsi="宋体" w:cs="宋体" w:eastAsia="宋体" w:hint="default"/>
                <w:spacing w:val="-7"/>
                <w:sz w:val="18"/>
                <w:szCs w:val="18"/>
              </w:rPr>
              <w:t>份，并严格遵守有关规定，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敏感期买卖股份、短线交易</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增持期间及法 定期限内不超计划增持。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1560"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9.2pt;height:78.05pt;mso-position-horizontal-relative:char;mso-position-vertical-relative:line" coordorigin="0,0" coordsize="984,1561">
                  <v:group style="position:absolute;left:0;top:0;width:984;height:1561" coordorigin="0,0" coordsize="984,1561">
                    <v:shape style="position:absolute;left:0;top:0;width:984;height:1561" coordorigin="0,0" coordsize="984,1561" path="m0,1560l984,1560,984,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增持期间 及法定期 限内</w:t>
            </w: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8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未完成履行的具体原 因及下一步计划</w:t>
            </w:r>
          </w:p>
        </w:tc>
        <w:tc>
          <w:tcPr>
            <w:tcW w:w="78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是否就导致的同业竞 争和关联交易问题作 出承诺</w:t>
            </w:r>
          </w:p>
        </w:tc>
        <w:tc>
          <w:tcPr>
            <w:tcW w:w="78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1241"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7869"/>
      </w:tblGrid>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以上承诺均严格执行</w:t>
            </w:r>
          </w:p>
        </w:tc>
      </w:tr>
    </w:tbl>
    <w:p>
      <w:pPr>
        <w:spacing w:line="240" w:lineRule="auto" w:before="10"/>
        <w:rPr>
          <w:rFonts w:ascii="Times New Roman" w:hAnsi="Times New Roman" w:cs="Times New Roman" w:eastAsia="Times New Roman" w:hint="default"/>
          <w:sz w:val="21"/>
          <w:szCs w:val="21"/>
        </w:rPr>
      </w:pPr>
    </w:p>
    <w:p>
      <w:pPr>
        <w:pStyle w:val="Heading4"/>
        <w:spacing w:line="256" w:lineRule="auto" w:before="36"/>
        <w:ind w:right="1115"/>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1"/>
        <w:rPr>
          <w:rFonts w:ascii="宋体" w:hAnsi="宋体" w:cs="宋体" w:eastAsia="宋体" w:hint="default"/>
          <w:sz w:val="25"/>
          <w:szCs w:val="25"/>
        </w:rPr>
      </w:pPr>
    </w:p>
    <w:p>
      <w:pPr>
        <w:pStyle w:val="Heading2"/>
        <w:spacing w:line="240" w:lineRule="auto"/>
        <w:ind w:right="1115"/>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现聘任的会计事务所</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中瑞岳华会计师事务所</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何前</w:t>
            </w:r>
            <w:r>
              <w:rPr>
                <w:rFonts w:ascii="Times New Roman" w:hAnsi="Times New Roman" w:cs="Times New Roman" w:eastAsia="Times New Roman" w:hint="default"/>
                <w:sz w:val="18"/>
                <w:szCs w:val="18"/>
              </w:rPr>
              <w:t>\</w:t>
            </w:r>
            <w:r>
              <w:rPr>
                <w:rFonts w:ascii="宋体" w:hAnsi="宋体" w:cs="宋体" w:eastAsia="宋体" w:hint="default"/>
                <w:sz w:val="18"/>
                <w:szCs w:val="18"/>
              </w:rPr>
              <w:t>秦松涛</w:t>
            </w:r>
          </w:p>
        </w:tc>
      </w:tr>
    </w:tbl>
    <w:p>
      <w:pPr>
        <w:pStyle w:val="BodyText"/>
        <w:spacing w:line="240" w:lineRule="auto" w:before="49"/>
        <w:ind w:right="1115"/>
        <w:jc w:val="left"/>
      </w:pPr>
      <w:r>
        <w:rPr/>
        <w:t>当期是否改聘会计师事务所</w:t>
      </w:r>
    </w:p>
    <w:p>
      <w:pPr>
        <w:pStyle w:val="BodyText"/>
        <w:spacing w:line="340" w:lineRule="auto" w:before="115"/>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15"/>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15"/>
        <w:jc w:val="left"/>
      </w:pPr>
      <w:r>
        <w:rPr/>
        <w:t>无</w:t>
      </w:r>
    </w:p>
    <w:p>
      <w:pPr>
        <w:spacing w:line="240" w:lineRule="auto" w:before="3"/>
        <w:rPr>
          <w:rFonts w:ascii="宋体" w:hAnsi="宋体" w:cs="宋体" w:eastAsia="宋体" w:hint="default"/>
          <w:sz w:val="25"/>
          <w:szCs w:val="25"/>
        </w:rPr>
      </w:pPr>
    </w:p>
    <w:p>
      <w:pPr>
        <w:pStyle w:val="Heading2"/>
        <w:spacing w:line="240" w:lineRule="auto"/>
        <w:ind w:right="1115"/>
        <w:jc w:val="left"/>
        <w:rPr>
          <w:b w:val="0"/>
          <w:bCs w:val="0"/>
        </w:rPr>
      </w:pPr>
      <w:r>
        <w:rPr/>
        <w:t>十一、处罚及整改情况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无</w:t>
      </w:r>
    </w:p>
    <w:p>
      <w:pPr>
        <w:pStyle w:val="BodyText"/>
        <w:spacing w:line="240" w:lineRule="auto" w:before="117"/>
        <w:ind w:right="1115"/>
        <w:jc w:val="left"/>
      </w:pPr>
      <w:r>
        <w:rPr/>
        <w:t>董事、监事、高级管理人员、持股</w:t>
      </w:r>
      <w:r>
        <w:rPr>
          <w:spacing w:val="-45"/>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1"/>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r>
        <w:rPr/>
        <w:t>十二、年度报告披露后面临暂停上市和终止上市情况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3"/>
        <w:rPr>
          <w:rFonts w:ascii="宋体" w:hAnsi="宋体" w:cs="宋体" w:eastAsia="宋体" w:hint="default"/>
          <w:sz w:val="25"/>
          <w:szCs w:val="25"/>
        </w:rPr>
      </w:pPr>
    </w:p>
    <w:p>
      <w:pPr>
        <w:pStyle w:val="Heading2"/>
        <w:spacing w:line="240" w:lineRule="auto"/>
        <w:ind w:right="1115"/>
        <w:jc w:val="left"/>
        <w:rPr>
          <w:b w:val="0"/>
          <w:bCs w:val="0"/>
        </w:rPr>
      </w:pPr>
      <w:r>
        <w:rPr/>
        <w:t>十三、其他重大事项的说明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3"/>
        <w:rPr>
          <w:rFonts w:ascii="宋体" w:hAnsi="宋体" w:cs="宋体" w:eastAsia="宋体" w:hint="default"/>
          <w:sz w:val="25"/>
          <w:szCs w:val="25"/>
        </w:rPr>
      </w:pPr>
    </w:p>
    <w:p>
      <w:pPr>
        <w:pStyle w:val="Heading2"/>
        <w:spacing w:line="240" w:lineRule="auto"/>
        <w:ind w:right="1115"/>
        <w:jc w:val="left"/>
        <w:rPr>
          <w:b w:val="0"/>
          <w:bCs w:val="0"/>
        </w:rPr>
      </w:pPr>
      <w:r>
        <w:rPr/>
        <w:t>十四、公司子公司重要事项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24" w:right="0"/>
        <w:jc w:val="left"/>
      </w:pPr>
      <w:r>
        <w:rPr>
          <w:rFonts w:ascii="Times New Roman" w:hAnsi="Times New Roman" w:cs="Times New Roman" w:eastAsia="Times New Roman" w:hint="default"/>
        </w:rPr>
        <w:t>1</w:t>
      </w:r>
      <w:r>
        <w:rPr/>
        <w:t>、鉴于公司全资子公司南通爱康太阳能器材有限公司的型材项目（太阳能电池铝边框原材料）的逐步达产，佛山同兴太</w:t>
      </w:r>
    </w:p>
    <w:p>
      <w:pPr>
        <w:spacing w:after="0" w:line="240" w:lineRule="auto"/>
        <w:jc w:val="left"/>
        <w:sectPr>
          <w:pgSz w:w="11910" w:h="16840"/>
          <w:pgMar w:header="745" w:footer="1241" w:top="1060" w:bottom="144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1130"/>
        <w:jc w:val="both"/>
      </w:pPr>
      <w:r>
        <w:rPr>
          <w:spacing w:val="-2"/>
        </w:rPr>
        <w:t>阳能器材有限公司原先靠近原材料产地的优势逐渐淡化，结合目前较为低迷的光伏太阳能市场环境，为提高产能利用率，扩</w:t>
      </w:r>
      <w:r>
        <w:rPr>
          <w:spacing w:val="-63"/>
        </w:rPr>
        <w:t> </w:t>
      </w:r>
      <w:r>
        <w:rPr>
          <w:spacing w:val="-63"/>
        </w:rPr>
      </w:r>
      <w:r>
        <w:rPr/>
        <w:t>大规模集中优势，</w:t>
      </w:r>
      <w:r>
        <w:rPr>
          <w:spacing w:val="-41"/>
        </w:rPr>
        <w:t> </w:t>
      </w:r>
      <w:r>
        <w:rPr/>
        <w:t>降低公司的运营成本，经公司第一届董事会第十五次临时会议审议通过</w:t>
      </w:r>
      <w:r>
        <w:rPr>
          <w:rFonts w:ascii="Times New Roman" w:hAnsi="Times New Roman" w:cs="Times New Roman" w:eastAsia="Times New Roman" w:hint="default"/>
        </w:rPr>
        <w:t>:</w:t>
      </w:r>
      <w:r>
        <w:rPr/>
        <w:t>公司拟注销佛山市同兴太阳能器 材有限公司并按规定办理有关清算手续。截至本报告出具日，该注销手续尚在办理中。（巨潮资讯网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日，《第 一届董事会第十五次临时会议决议公告》，</w:t>
      </w:r>
      <w:r>
        <w:rPr>
          <w:rFonts w:ascii="Times New Roman" w:hAnsi="Times New Roman" w:cs="Times New Roman" w:eastAsia="Times New Roman" w:hint="default"/>
        </w:rPr>
        <w:t>2012-38</w:t>
      </w:r>
      <w:r>
        <w:rPr/>
        <w:t>）</w:t>
      </w:r>
    </w:p>
    <w:p>
      <w:pPr>
        <w:pStyle w:val="BodyText"/>
        <w:spacing w:line="300" w:lineRule="auto" w:before="7"/>
        <w:ind w:right="1148" w:firstLine="27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日公司收到全资子公司苏州爱康金属科技有限公司（原苏州爱康光伏安装系统有限公司，以下简称</w:t>
      </w:r>
      <w:r>
        <w:rPr>
          <w:rFonts w:ascii="Times New Roman" w:hAnsi="Times New Roman" w:cs="Times New Roman" w:eastAsia="Times New Roman" w:hint="default"/>
        </w:rPr>
        <w:t>“</w:t>
      </w:r>
      <w:r>
        <w:rPr/>
        <w:t>苏 州爱康金属</w:t>
      </w:r>
      <w:r>
        <w:rPr>
          <w:rFonts w:ascii="Times New Roman" w:hAnsi="Times New Roman" w:cs="Times New Roman" w:eastAsia="Times New Roman" w:hint="default"/>
        </w:rPr>
        <w:t>”</w:t>
      </w:r>
      <w:r>
        <w:rPr/>
        <w:t>）通知，苏州爱康金属与中建材集团进出口公司签署关于销售地面光伏支架的《购销合同》，合同总金额 </w:t>
      </w:r>
      <w:r>
        <w:rPr>
          <w:rFonts w:ascii="Times New Roman" w:hAnsi="Times New Roman" w:cs="Times New Roman" w:eastAsia="Times New Roman" w:hint="default"/>
        </w:rPr>
        <w:t>103,289,550</w:t>
      </w:r>
      <w:r>
        <w:rPr/>
        <w:t>元。（巨潮资讯网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日，《关于全资子公司签署重大合同的公告》，</w:t>
      </w:r>
      <w:r>
        <w:rPr>
          <w:rFonts w:ascii="Times New Roman" w:hAnsi="Times New Roman" w:cs="Times New Roman" w:eastAsia="Times New Roman" w:hint="default"/>
        </w:rPr>
        <w:t>2012-82</w:t>
      </w:r>
      <w:r>
        <w:rPr/>
        <w:t>）</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十五、公司发行公司债券的情况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28" w:firstLine="420"/>
        <w:jc w:val="both"/>
      </w:pPr>
      <w:r>
        <w:rPr>
          <w:spacing w:val="-1"/>
        </w:rPr>
        <w:t>报告期内公司向中国证券监督管理委员会（以下简称</w:t>
      </w:r>
      <w:r>
        <w:rPr>
          <w:rFonts w:ascii="Times New Roman" w:hAnsi="Times New Roman" w:cs="Times New Roman" w:eastAsia="Times New Roman" w:hint="default"/>
          <w:spacing w:val="-1"/>
        </w:rPr>
        <w:t>“</w:t>
      </w:r>
      <w:r>
        <w:rPr>
          <w:spacing w:val="-1"/>
        </w:rPr>
        <w:t>中国证监会</w:t>
      </w:r>
      <w:r>
        <w:rPr>
          <w:rFonts w:ascii="Times New Roman" w:hAnsi="Times New Roman" w:cs="Times New Roman" w:eastAsia="Times New Roman" w:hint="default"/>
          <w:spacing w:val="-1"/>
        </w:rPr>
        <w:t>”</w:t>
      </w:r>
      <w:r>
        <w:rPr>
          <w:spacing w:val="-1"/>
        </w:rPr>
        <w:t>）申请公开发行五亿元公司债券，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7</w:t>
      </w:r>
      <w:r>
        <w:rPr>
          <w:spacing w:val="-1"/>
        </w:rPr>
        <w:t>日中</w:t>
      </w:r>
      <w:r>
        <w:rPr/>
        <w:t> </w:t>
      </w:r>
      <w:r>
        <w:rPr>
          <w:spacing w:val="-2"/>
        </w:rPr>
        <w:t>国证监会发行审核委员会对公司本次发行公司债券的申请进行了审核。根据审核结果，公司本次发行公司债券的申请获得通</w:t>
      </w:r>
      <w:r>
        <w:rPr>
          <w:spacing w:val="-64"/>
        </w:rPr>
        <w:t> </w:t>
      </w:r>
      <w:r>
        <w:rPr>
          <w:spacing w:val="-64"/>
        </w:rPr>
      </w:r>
      <w:r>
        <w:rPr/>
        <w:t>过。</w:t>
      </w:r>
    </w:p>
    <w:p>
      <w:pPr>
        <w:pStyle w:val="BodyText"/>
        <w:spacing w:line="300" w:lineRule="auto" w:before="24"/>
        <w:ind w:right="1119" w:firstLine="420"/>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11</w:t>
      </w:r>
      <w:r>
        <w:rPr>
          <w:spacing w:val="-1"/>
        </w:rPr>
        <w:t>日公司收到中国证监会《关于核准江苏爱康太阳能科技股份有限公司公开发行公司债券的批复》（证监许</w:t>
      </w:r>
      <w:r>
        <w:rPr/>
        <w:t> 可</w:t>
      </w:r>
      <w:r>
        <w:rPr>
          <w:rFonts w:ascii="Times New Roman" w:hAnsi="Times New Roman" w:cs="Times New Roman" w:eastAsia="Times New Roman" w:hint="default"/>
        </w:rPr>
        <w:t>[2013]6</w:t>
      </w:r>
      <w:r>
        <w:rPr/>
        <w:t>号）。目前本期公司债券发行正在筹备中。</w:t>
      </w:r>
    </w:p>
    <w:p>
      <w:pPr>
        <w:spacing w:after="0" w:line="300" w:lineRule="auto"/>
        <w:jc w:val="left"/>
        <w:sectPr>
          <w:pgSz w:w="11910" w:h="16840"/>
          <w:pgMar w:header="745" w:footer="1241" w:top="1060" w:bottom="14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15"/>
        <w:jc w:val="left"/>
        <w:rPr>
          <w:b w:val="0"/>
          <w:bCs w:val="0"/>
        </w:rPr>
      </w:pP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15"/>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75%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-91,884,37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133,115,6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44.37%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29,817,00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14.91%</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-44,725,50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-29,817,00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82,187,25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41.09%</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41,093,62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-49,408,87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-8,315,250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24.62%</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82,187,25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41.09%</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41,093,62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-49,408,87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-8,315,250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24.62%</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37,995,75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19%</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56,993,62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19%</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37,995,75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19%</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56,993,62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19%</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2,250,000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2,250,000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2,250,000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0.75%</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25%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91,884,37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116,884,3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166,884,3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55.63%</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25%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91,884,37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116,884,3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166,884,3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55.63%</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b/>
          <w:bCs/>
          <w:sz w:val="27"/>
          <w:szCs w:val="27"/>
        </w:rPr>
      </w:pPr>
    </w:p>
    <w:p>
      <w:pPr>
        <w:pStyle w:val="Heading6"/>
        <w:spacing w:line="240" w:lineRule="auto" w:before="44"/>
        <w:ind w:right="1115"/>
        <w:jc w:val="left"/>
        <w:rPr>
          <w:b w:val="0"/>
          <w:bCs w:val="0"/>
        </w:rPr>
      </w:pPr>
      <w:r>
        <w:rPr/>
        <w:t>股份变动的原因</w:t>
      </w:r>
      <w:r>
        <w:rPr>
          <w:b w:val="0"/>
          <w:bCs w:val="0"/>
        </w:rPr>
      </w:r>
    </w:p>
    <w:p>
      <w:pPr>
        <w:pStyle w:val="BodyText"/>
        <w:spacing w:line="240" w:lineRule="auto" w:before="115"/>
        <w:ind w:right="111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月资本公积金转增股本，股本由</w:t>
      </w:r>
      <w:r>
        <w:rPr>
          <w:rFonts w:ascii="Times New Roman" w:hAnsi="Times New Roman" w:cs="Times New Roman" w:eastAsia="Times New Roman" w:hint="default"/>
        </w:rPr>
        <w:t>200000000</w:t>
      </w:r>
      <w:r>
        <w:rPr/>
        <w:t>股增加为</w:t>
      </w:r>
      <w:r>
        <w:rPr>
          <w:rFonts w:ascii="Times New Roman" w:hAnsi="Times New Roman" w:cs="Times New Roman" w:eastAsia="Times New Roman" w:hint="default"/>
        </w:rPr>
        <w:t>300000000</w:t>
      </w:r>
      <w:r>
        <w:rPr/>
        <w:t>股；</w:t>
      </w:r>
    </w:p>
    <w:p>
      <w:pPr>
        <w:pStyle w:val="BodyText"/>
        <w:spacing w:line="240" w:lineRule="auto" w:before="63"/>
        <w:ind w:right="111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IPO</w:t>
      </w:r>
      <w:r>
        <w:rPr/>
        <w:t>前限售股解禁</w:t>
      </w:r>
      <w:r>
        <w:rPr>
          <w:rFonts w:ascii="Times New Roman" w:hAnsi="Times New Roman" w:cs="Times New Roman" w:eastAsia="Times New Roman" w:hint="default"/>
        </w:rPr>
        <w:t>94134375</w:t>
      </w:r>
      <w:r>
        <w:rPr/>
        <w:t>股；</w:t>
      </w:r>
    </w:p>
    <w:p>
      <w:pPr>
        <w:pStyle w:val="BodyText"/>
        <w:spacing w:line="240" w:lineRule="auto" w:before="63"/>
        <w:ind w:right="1115"/>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月董事长兼总经理邹承慧先生通过大宗交易增持</w:t>
      </w:r>
      <w:r>
        <w:rPr>
          <w:rFonts w:ascii="Times New Roman" w:hAnsi="Times New Roman" w:cs="Times New Roman" w:eastAsia="Times New Roman" w:hint="default"/>
        </w:rPr>
        <w:t>3000000</w:t>
      </w:r>
      <w:r>
        <w:rPr/>
        <w:t>股，按相关规定</w:t>
      </w:r>
      <w:r>
        <w:rPr>
          <w:rFonts w:ascii="Times New Roman" w:hAnsi="Times New Roman" w:cs="Times New Roman" w:eastAsia="Times New Roman" w:hint="default"/>
        </w:rPr>
        <w:t>2250000</w:t>
      </w:r>
      <w:r>
        <w:rPr/>
        <w:t>股属于高管限售股。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6"/>
        <w:spacing w:line="240" w:lineRule="auto"/>
        <w:ind w:right="1115"/>
        <w:jc w:val="left"/>
        <w:rPr>
          <w:b w:val="0"/>
          <w:bCs w:val="0"/>
        </w:rPr>
      </w:pPr>
      <w:r>
        <w:rPr/>
        <w:t>股份变动的批准情况</w:t>
      </w:r>
      <w:r>
        <w:rPr>
          <w:b w:val="0"/>
          <w:bCs w:val="0"/>
        </w:rPr>
      </w:r>
    </w:p>
    <w:p>
      <w:pPr>
        <w:pStyle w:val="BodyText"/>
        <w:spacing w:line="240" w:lineRule="auto" w:before="117"/>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115" w:firstLine="271"/>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日第一届董事会第十二次会议审议通过了以截止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200,000,000</w:t>
      </w:r>
      <w:r>
        <w:rPr/>
        <w:t>股为基数向全体股 </w:t>
      </w:r>
      <w:r>
        <w:rPr>
          <w:spacing w:val="-2"/>
        </w:rPr>
        <w:t>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股，共计转增</w:t>
      </w:r>
      <w:r>
        <w:rPr>
          <w:rFonts w:ascii="Times New Roman" w:hAnsi="Times New Roman" w:cs="Times New Roman" w:eastAsia="Times New Roman" w:hint="default"/>
          <w:spacing w:val="-2"/>
        </w:rPr>
        <w:t>100,000,000</w:t>
      </w:r>
      <w:r>
        <w:rPr>
          <w:spacing w:val="-2"/>
        </w:rPr>
        <w:t>股，转增后公司总股本将增加至</w:t>
      </w:r>
      <w:r>
        <w:rPr>
          <w:rFonts w:ascii="Times New Roman" w:hAnsi="Times New Roman" w:cs="Times New Roman" w:eastAsia="Times New Roman" w:hint="default"/>
          <w:spacing w:val="-2"/>
        </w:rPr>
        <w:t>300,000,000</w:t>
      </w:r>
      <w:r>
        <w:rPr>
          <w:spacing w:val="-2"/>
        </w:rPr>
        <w:t>股。</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w:t>
      </w:r>
      <w:r>
        <w:rPr>
          <w:rFonts w:ascii="Times New Roman" w:hAnsi="Times New Roman" w:cs="Times New Roman" w:eastAsia="Times New Roman" w:hint="default"/>
          <w:spacing w:val="-2"/>
        </w:rPr>
        <w:t>2011</w:t>
      </w:r>
      <w:r>
        <w:rPr>
          <w:spacing w:val="-2"/>
        </w:rPr>
        <w:t>年年度股东大会</w:t>
      </w:r>
    </w:p>
    <w:p>
      <w:pPr>
        <w:spacing w:after="0" w:line="300" w:lineRule="auto"/>
        <w:jc w:val="left"/>
        <w:sectPr>
          <w:pgSz w:w="11910" w:h="16840"/>
          <w:pgMar w:header="745" w:footer="1241" w:top="1060" w:bottom="1440" w:left="980" w:right="0"/>
        </w:sectPr>
      </w:pPr>
    </w:p>
    <w:p>
      <w:pPr>
        <w:spacing w:line="240" w:lineRule="auto" w:before="9"/>
        <w:rPr>
          <w:rFonts w:ascii="宋体" w:hAnsi="宋体" w:cs="宋体" w:eastAsia="宋体" w:hint="default"/>
          <w:sz w:val="25"/>
          <w:szCs w:val="25"/>
        </w:rPr>
      </w:pPr>
    </w:p>
    <w:p>
      <w:pPr>
        <w:spacing w:line="360" w:lineRule="auto" w:before="44"/>
        <w:ind w:left="152" w:right="8954" w:firstLine="0"/>
        <w:jc w:val="left"/>
        <w:rPr>
          <w:rFonts w:ascii="宋体" w:hAnsi="宋体" w:cs="宋体" w:eastAsia="宋体" w:hint="default"/>
          <w:sz w:val="18"/>
          <w:szCs w:val="18"/>
        </w:rPr>
      </w:pPr>
      <w:r>
        <w:rPr>
          <w:rFonts w:ascii="宋体" w:hAnsi="宋体" w:cs="宋体" w:eastAsia="宋体" w:hint="default"/>
          <w:sz w:val="18"/>
          <w:szCs w:val="18"/>
        </w:rPr>
        <w:t>表决通过该转增议案。 </w:t>
      </w:r>
      <w:r>
        <w:rPr>
          <w:rFonts w:ascii="宋体" w:hAnsi="宋体" w:cs="宋体" w:eastAsia="宋体" w:hint="default"/>
          <w:b/>
          <w:bCs/>
          <w:sz w:val="18"/>
          <w:szCs w:val="18"/>
        </w:rPr>
        <w:t>股份变动的过户情况</w:t>
      </w:r>
      <w:r>
        <w:rPr>
          <w:rFonts w:ascii="宋体" w:hAnsi="宋体" w:cs="宋体" w:eastAsia="宋体" w:hint="default"/>
          <w:sz w:val="18"/>
          <w:szCs w:val="18"/>
        </w:rPr>
      </w:r>
    </w:p>
    <w:p>
      <w:pPr>
        <w:pStyle w:val="BodyText"/>
        <w:spacing w:line="240" w:lineRule="auto" w:before="25"/>
        <w:ind w:left="424" w:right="1115"/>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日为转增股本的股权登记日，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日实施完毕。</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6"/>
        <w:spacing w:line="240" w:lineRule="auto"/>
        <w:ind w:right="1115"/>
        <w:jc w:val="left"/>
        <w:rPr>
          <w:b w:val="0"/>
          <w:bCs w:val="0"/>
        </w:rPr>
      </w:pPr>
      <w:r>
        <w:rPr/>
        <w:t>股份变动对最近一年和最近一期基本每股收益和稀释每股收益、归属于公司普通股股东的每股净资产等财务指标的影响</w:t>
      </w:r>
      <w:r>
        <w:rPr>
          <w:b w:val="0"/>
          <w:bCs w:val="0"/>
        </w:rPr>
      </w:r>
    </w:p>
    <w:p>
      <w:pPr>
        <w:pStyle w:val="BodyText"/>
        <w:spacing w:line="240" w:lineRule="auto" w:before="117"/>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340" w:lineRule="auto" w:before="101"/>
        <w:ind w:left="152" w:right="3709" w:firstLine="0"/>
        <w:jc w:val="left"/>
        <w:rPr>
          <w:rFonts w:ascii="宋体" w:hAnsi="宋体" w:cs="宋体" w:eastAsia="宋体" w:hint="default"/>
          <w:sz w:val="18"/>
          <w:szCs w:val="18"/>
        </w:rPr>
      </w:pPr>
      <w:r>
        <w:rPr>
          <w:rFonts w:ascii="宋体" w:hAnsi="宋体" w:cs="宋体" w:eastAsia="宋体" w:hint="default"/>
          <w:sz w:val="18"/>
          <w:szCs w:val="18"/>
        </w:rPr>
        <w:t>本次实施转增股后，按新股本</w:t>
      </w:r>
      <w:r>
        <w:rPr>
          <w:rFonts w:ascii="Times New Roman" w:hAnsi="Times New Roman" w:cs="Times New Roman" w:eastAsia="Times New Roman" w:hint="default"/>
          <w:sz w:val="18"/>
          <w:szCs w:val="18"/>
        </w:rPr>
        <w:t>300,000,000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股摊薄计算，</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年度基本每股收益为</w:t>
      </w:r>
      <w:r>
        <w:rPr>
          <w:rFonts w:ascii="Times New Roman" w:hAnsi="Times New Roman" w:cs="Times New Roman" w:eastAsia="Times New Roman" w:hint="default"/>
          <w:sz w:val="18"/>
          <w:szCs w:val="18"/>
        </w:rPr>
        <w:t>0.79</w:t>
      </w:r>
      <w:r>
        <w:rPr>
          <w:rFonts w:ascii="宋体" w:hAnsi="宋体" w:cs="宋体" w:eastAsia="宋体" w:hint="default"/>
          <w:sz w:val="18"/>
          <w:szCs w:val="18"/>
        </w:rPr>
        <w:t>元。 </w:t>
      </w:r>
      <w:r>
        <w:rPr>
          <w:rFonts w:ascii="宋体" w:hAnsi="宋体" w:cs="宋体" w:eastAsia="宋体" w:hint="default"/>
          <w:b/>
          <w:bCs/>
          <w:sz w:val="18"/>
          <w:szCs w:val="18"/>
        </w:rPr>
        <w:t>公司认为必要或证券监管机构要求披露的其他内容：无</w:t>
      </w:r>
      <w:r>
        <w:rPr>
          <w:rFonts w:ascii="宋体" w:hAnsi="宋体" w:cs="宋体" w:eastAsia="宋体" w:hint="default"/>
          <w:sz w:val="18"/>
          <w:szCs w:val="18"/>
        </w:rPr>
      </w:r>
    </w:p>
    <w:p>
      <w:pPr>
        <w:spacing w:line="240" w:lineRule="auto" w:before="6"/>
        <w:rPr>
          <w:rFonts w:ascii="宋体" w:hAnsi="宋体" w:cs="宋体" w:eastAsia="宋体" w:hint="default"/>
          <w:b/>
          <w:bCs/>
          <w:sz w:val="19"/>
          <w:szCs w:val="19"/>
        </w:rPr>
      </w:pPr>
    </w:p>
    <w:p>
      <w:pPr>
        <w:pStyle w:val="Heading2"/>
        <w:spacing w:line="240" w:lineRule="auto"/>
        <w:ind w:right="1115"/>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IPO</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49"/>
        <w:ind w:left="513" w:right="1115" w:hanging="361"/>
        <w:jc w:val="left"/>
      </w:pPr>
      <w:r>
        <w:rPr>
          <w:rFonts w:ascii="宋体" w:hAnsi="宋体" w:cs="宋体" w:eastAsia="宋体" w:hint="default"/>
          <w:b/>
          <w:bCs/>
        </w:rPr>
        <w:t>前三年历次证券发行情况的说明</w:t>
      </w:r>
      <w:r>
        <w:rPr>
          <w:rFonts w:ascii="宋体" w:hAnsi="宋体" w:cs="宋体" w:eastAsia="宋体" w:hint="default"/>
          <w:b/>
          <w:bCs/>
          <w:w w:val="99"/>
        </w:rPr>
        <w:t> </w:t>
      </w:r>
      <w:r>
        <w:rPr>
          <w:spacing w:val="-1"/>
        </w:rPr>
        <w:t>经中国证券监督管理委员会证监许可</w:t>
      </w:r>
      <w:r>
        <w:rPr>
          <w:rFonts w:ascii="Times New Roman" w:hAnsi="Times New Roman" w:cs="Times New Roman" w:eastAsia="Times New Roman" w:hint="default"/>
          <w:spacing w:val="-1"/>
        </w:rPr>
        <w:t>[2011]1169</w:t>
      </w:r>
      <w:r>
        <w:rPr>
          <w:spacing w:val="-1"/>
        </w:rPr>
        <w:t>号文件核准，公司于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3</w:t>
      </w:r>
      <w:r>
        <w:rPr>
          <w:spacing w:val="-1"/>
        </w:rPr>
        <w:t>日采用网下向配售对象询价配售和网上</w:t>
      </w:r>
    </w:p>
    <w:p>
      <w:pPr>
        <w:pStyle w:val="BodyText"/>
        <w:spacing w:line="214" w:lineRule="exact"/>
        <w:ind w:right="1115"/>
        <w:jc w:val="left"/>
        <w:rPr>
          <w:rFonts w:ascii="Times New Roman" w:hAnsi="Times New Roman" w:cs="Times New Roman" w:eastAsia="Times New Roman" w:hint="default"/>
        </w:rPr>
      </w:pPr>
      <w:r>
        <w:rPr>
          <w:spacing w:val="-4"/>
        </w:rPr>
        <w:t>向社会公众投资者定价发行相结合的方式，公开发行人民币普通股股票</w:t>
      </w:r>
      <w:r>
        <w:rPr>
          <w:rFonts w:ascii="Times New Roman" w:hAnsi="Times New Roman" w:cs="Times New Roman" w:eastAsia="Times New Roman" w:hint="default"/>
          <w:spacing w:val="-4"/>
        </w:rPr>
        <w:t>5,000</w:t>
      </w:r>
      <w:r>
        <w:rPr>
          <w:spacing w:val="-4"/>
        </w:rPr>
        <w:t>万股，其中，网下配售</w:t>
      </w:r>
      <w:r>
        <w:rPr>
          <w:rFonts w:ascii="Times New Roman" w:hAnsi="Times New Roman" w:cs="Times New Roman" w:eastAsia="Times New Roman" w:hint="default"/>
          <w:spacing w:val="-4"/>
        </w:rPr>
        <w:t>1,000</w:t>
      </w:r>
      <w:r>
        <w:rPr>
          <w:spacing w:val="-4"/>
        </w:rPr>
        <w:t>万股，网上发行</w:t>
      </w:r>
      <w:r>
        <w:rPr>
          <w:rFonts w:ascii="Times New Roman" w:hAnsi="Times New Roman" w:cs="Times New Roman" w:eastAsia="Times New Roman" w:hint="default"/>
          <w:spacing w:val="-4"/>
        </w:rPr>
        <w:t>4,000</w:t>
      </w:r>
    </w:p>
    <w:p>
      <w:pPr>
        <w:pStyle w:val="BodyText"/>
        <w:spacing w:line="300" w:lineRule="auto" w:before="63"/>
        <w:ind w:right="1115"/>
        <w:jc w:val="left"/>
      </w:pPr>
      <w:r>
        <w:rPr>
          <w:spacing w:val="-1"/>
        </w:rPr>
        <w:t>万股，发行价格为</w:t>
      </w:r>
      <w:r>
        <w:rPr>
          <w:rFonts w:ascii="Times New Roman" w:hAnsi="Times New Roman" w:cs="Times New Roman" w:eastAsia="Times New Roman" w:hint="default"/>
          <w:spacing w:val="-1"/>
        </w:rPr>
        <w:t>16.00</w:t>
      </w:r>
      <w:r>
        <w:rPr>
          <w:spacing w:val="-1"/>
        </w:rPr>
        <w:t>元</w:t>
      </w:r>
      <w:r>
        <w:rPr>
          <w:rFonts w:ascii="Times New Roman" w:hAnsi="Times New Roman" w:cs="Times New Roman" w:eastAsia="Times New Roman" w:hint="default"/>
          <w:spacing w:val="-1"/>
        </w:rPr>
        <w:t>/</w:t>
      </w:r>
      <w:r>
        <w:rPr>
          <w:spacing w:val="-1"/>
        </w:rPr>
        <w:t>股。</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15</w:t>
      </w:r>
      <w:r>
        <w:rPr>
          <w:spacing w:val="-1"/>
        </w:rPr>
        <w:t>日，公司股票在深圳证券交易所中小企业板挂牌上市，公司股份总数由</w:t>
      </w:r>
      <w:r>
        <w:rPr>
          <w:rFonts w:ascii="Times New Roman" w:hAnsi="Times New Roman" w:cs="Times New Roman" w:eastAsia="Times New Roman" w:hint="default"/>
          <w:spacing w:val="-1"/>
        </w:rPr>
        <w:t>15,000</w:t>
      </w:r>
      <w:r>
        <w:rPr>
          <w:spacing w:val="-1"/>
        </w:rPr>
        <w:t>万</w:t>
      </w:r>
      <w:r>
        <w:rPr>
          <w:spacing w:val="-77"/>
        </w:rPr>
        <w:t> </w:t>
      </w:r>
      <w:r>
        <w:rPr/>
        <w:t>股变更为</w:t>
      </w:r>
      <w:r>
        <w:rPr>
          <w:rFonts w:ascii="Times New Roman" w:hAnsi="Times New Roman" w:cs="Times New Roman" w:eastAsia="Times New Roman" w:hint="default"/>
        </w:rPr>
        <w:t>20,000</w:t>
      </w:r>
      <w:r>
        <w:rPr/>
        <w:t>万股。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1115"/>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15" w:firstLine="271"/>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日第一届董事会第十二次会议审议通过了以截止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200,000,000</w:t>
      </w:r>
      <w:r>
        <w:rPr/>
        <w:t>股为基数向全体股 </w:t>
      </w:r>
      <w:r>
        <w:rPr>
          <w:spacing w:val="-2"/>
        </w:rPr>
        <w:t>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股，共计转增</w:t>
      </w:r>
      <w:r>
        <w:rPr>
          <w:rFonts w:ascii="Times New Roman" w:hAnsi="Times New Roman" w:cs="Times New Roman" w:eastAsia="Times New Roman" w:hint="default"/>
          <w:spacing w:val="-2"/>
        </w:rPr>
        <w:t>100,000,000</w:t>
      </w:r>
      <w:r>
        <w:rPr>
          <w:spacing w:val="-2"/>
        </w:rPr>
        <w:t>股，转增后公司总股本将增加至</w:t>
      </w:r>
      <w:r>
        <w:rPr>
          <w:rFonts w:ascii="Times New Roman" w:hAnsi="Times New Roman" w:cs="Times New Roman" w:eastAsia="Times New Roman" w:hint="default"/>
          <w:spacing w:val="-2"/>
        </w:rPr>
        <w:t>300,000,000</w:t>
      </w:r>
      <w:r>
        <w:rPr>
          <w:spacing w:val="-2"/>
        </w:rPr>
        <w:t>股。</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w:t>
      </w:r>
      <w:r>
        <w:rPr>
          <w:rFonts w:ascii="Times New Roman" w:hAnsi="Times New Roman" w:cs="Times New Roman" w:eastAsia="Times New Roman" w:hint="default"/>
          <w:spacing w:val="-2"/>
        </w:rPr>
        <w:t>2011</w:t>
      </w:r>
      <w:r>
        <w:rPr>
          <w:spacing w:val="-2"/>
        </w:rPr>
        <w:t>年年度股东大会</w:t>
      </w:r>
      <w:r>
        <w:rPr>
          <w:spacing w:val="-42"/>
        </w:rPr>
        <w:t> </w:t>
      </w:r>
      <w:r>
        <w:rPr>
          <w:spacing w:val="-42"/>
        </w:rPr>
      </w:r>
      <w:r>
        <w:rPr/>
        <w:t>表决通过该转增议案。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日为转增股本的股权登记日，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日资本公积金转增股本实施完毕。</w:t>
      </w:r>
    </w:p>
    <w:p>
      <w:pPr>
        <w:spacing w:line="240" w:lineRule="auto" w:before="5"/>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3"/>
        <w:rPr>
          <w:rFonts w:ascii="宋体" w:hAnsi="宋体" w:cs="宋体" w:eastAsia="宋体" w:hint="default"/>
          <w:sz w:val="25"/>
          <w:szCs w:val="25"/>
        </w:rPr>
      </w:pPr>
    </w:p>
    <w:p>
      <w:pPr>
        <w:pStyle w:val="Heading2"/>
        <w:spacing w:line="240" w:lineRule="auto"/>
        <w:ind w:right="1115"/>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单位：股</w:t>
      </w:r>
    </w:p>
    <w:p>
      <w:pPr>
        <w:spacing w:after="0" w:line="240" w:lineRule="auto"/>
        <w:jc w:val="right"/>
        <w:sectPr>
          <w:pgSz w:w="11910" w:h="16840"/>
          <w:pgMar w:header="745" w:footer="1241"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1"/>
        <w:gridCol w:w="1190"/>
        <w:gridCol w:w="172"/>
        <w:gridCol w:w="822"/>
        <w:gridCol w:w="564"/>
        <w:gridCol w:w="427"/>
        <w:gridCol w:w="708"/>
        <w:gridCol w:w="994"/>
        <w:gridCol w:w="595"/>
        <w:gridCol w:w="538"/>
        <w:gridCol w:w="825"/>
        <w:gridCol w:w="311"/>
        <w:gridCol w:w="1063"/>
      </w:tblGrid>
      <w:tr>
        <w:trPr>
          <w:trHeight w:val="408" w:hRule="exact"/>
        </w:trPr>
        <w:tc>
          <w:tcPr>
            <w:tcW w:w="27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6"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836" w:right="0"/>
              <w:jc w:val="left"/>
              <w:rPr>
                <w:rFonts w:ascii="Times New Roman" w:hAnsi="Times New Roman" w:cs="Times New Roman" w:eastAsia="Times New Roman" w:hint="default"/>
                <w:sz w:val="18"/>
                <w:szCs w:val="18"/>
              </w:rPr>
            </w:pPr>
            <w:r>
              <w:rPr>
                <w:rFonts w:ascii="Times New Roman"/>
                <w:sz w:val="18"/>
              </w:rPr>
              <w:t>22,872</w:t>
            </w:r>
          </w:p>
        </w:tc>
        <w:tc>
          <w:tcPr>
            <w:tcW w:w="408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36" w:right="0"/>
              <w:jc w:val="left"/>
              <w:rPr>
                <w:rFonts w:ascii="Times New Roman" w:hAnsi="Times New Roman" w:cs="Times New Roman" w:eastAsia="Times New Roman" w:hint="default"/>
                <w:sz w:val="18"/>
                <w:szCs w:val="18"/>
              </w:rPr>
            </w:pPr>
            <w:r>
              <w:rPr>
                <w:rFonts w:ascii="Times New Roman"/>
                <w:sz w:val="18"/>
              </w:rPr>
              <w:t>23,938</w:t>
            </w:r>
          </w:p>
        </w:tc>
      </w:tr>
      <w:tr>
        <w:trPr>
          <w:trHeight w:val="391"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190" w:type="dxa"/>
            <w:vMerge w:val="restart"/>
            <w:tcBorders>
              <w:top w:val="single" w:sz="4" w:space="0" w:color="000000"/>
              <w:left w:val="single" w:sz="4" w:space="0" w:color="000000"/>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9" w:right="77"/>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1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9" w:hRule="exact"/>
        </w:trPr>
        <w:tc>
          <w:tcPr>
            <w:tcW w:w="1361" w:type="dxa"/>
            <w:vMerge/>
            <w:tcBorders>
              <w:left w:val="single" w:sz="4" w:space="0" w:color="000000"/>
              <w:right w:val="single" w:sz="4" w:space="0" w:color="000000"/>
            </w:tcBorders>
            <w:shd w:val="clear" w:color="auto" w:fill="D2D2D2"/>
          </w:tcPr>
          <w:p>
            <w:pPr/>
          </w:p>
        </w:tc>
        <w:tc>
          <w:tcPr>
            <w:tcW w:w="1190"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2" w:right="10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99" w:type="dxa"/>
            <w:gridSpan w:val="3"/>
            <w:vMerge/>
            <w:tcBorders>
              <w:left w:val="single" w:sz="4" w:space="0" w:color="000000"/>
              <w:bottom w:val="single" w:sz="4" w:space="0" w:color="000000"/>
              <w:right w:val="single" w:sz="4" w:space="0" w:color="000000"/>
            </w:tcBorders>
            <w:shd w:val="clear" w:color="auto" w:fill="D2D2D2"/>
          </w:tcPr>
          <w:p>
            <w:pPr/>
          </w:p>
        </w:tc>
      </w:tr>
      <w:tr>
        <w:trPr>
          <w:trHeight w:val="113"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0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36" w:type="dxa"/>
            <w:gridSpan w:val="2"/>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3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1361" w:type="dxa"/>
            <w:vMerge w:val="restart"/>
            <w:tcBorders>
              <w:top w:val="nil" w:sz="6" w:space="0" w:color="auto"/>
              <w:left w:val="single" w:sz="4" w:space="0" w:color="000000"/>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133" w:hRule="exact"/>
        </w:trPr>
        <w:tc>
          <w:tcPr>
            <w:tcW w:w="1361" w:type="dxa"/>
            <w:vMerge/>
            <w:tcBorders>
              <w:left w:val="single" w:sz="4" w:space="0" w:color="000000"/>
              <w:right w:val="single" w:sz="4" w:space="0" w:color="000000"/>
            </w:tcBorders>
            <w:shd w:val="clear" w:color="auto" w:fill="D2D2D2"/>
          </w:tcPr>
          <w:p>
            <w:pPr/>
          </w:p>
        </w:tc>
        <w:tc>
          <w:tcPr>
            <w:tcW w:w="1190" w:type="dxa"/>
            <w:vMerge/>
            <w:tcBorders>
              <w:left w:val="single" w:sz="4" w:space="0" w:color="000000"/>
              <w:right w:val="single" w:sz="4" w:space="0" w:color="000000"/>
            </w:tcBorders>
            <w:shd w:val="clear" w:color="auto" w:fill="D2D2D2"/>
          </w:tcPr>
          <w:p>
            <w:pPr/>
          </w:p>
        </w:tc>
        <w:tc>
          <w:tcPr>
            <w:tcW w:w="994" w:type="dxa"/>
            <w:gridSpan w:val="2"/>
            <w:vMerge w:val="restart"/>
            <w:tcBorders>
              <w:top w:val="nil" w:sz="6" w:space="0" w:color="auto"/>
              <w:left w:val="single" w:sz="4" w:space="0" w:color="000000"/>
              <w:right w:val="single" w:sz="4" w:space="0" w:color="000000"/>
            </w:tcBorders>
            <w:shd w:val="clear" w:color="auto" w:fill="D2D2D2"/>
          </w:tcPr>
          <w:p>
            <w:pPr/>
          </w:p>
        </w:tc>
        <w:tc>
          <w:tcPr>
            <w:tcW w:w="991" w:type="dxa"/>
            <w:gridSpan w:val="2"/>
            <w:vMerge w:val="restart"/>
            <w:tcBorders>
              <w:top w:val="nil" w:sz="6" w:space="0" w:color="auto"/>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133" w:type="dxa"/>
            <w:gridSpan w:val="2"/>
            <w:vMerge/>
            <w:tcBorders>
              <w:left w:val="single" w:sz="4" w:space="0" w:color="000000"/>
              <w:bottom w:val="nil" w:sz="6" w:space="0" w:color="auto"/>
              <w:right w:val="single" w:sz="4" w:space="0" w:color="000000"/>
            </w:tcBorders>
            <w:shd w:val="clear" w:color="auto" w:fill="D2D2D2"/>
          </w:tcPr>
          <w:p>
            <w:pPr/>
          </w:p>
        </w:tc>
        <w:tc>
          <w:tcPr>
            <w:tcW w:w="1136" w:type="dxa"/>
            <w:gridSpan w:val="2"/>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190" w:type="dxa"/>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gridSpan w:val="2"/>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江苏爱康实业有 限责任公司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22.67%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67,999,500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67,999,500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66,945,607</w:t>
            </w: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爱康国际控股有 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1" w:right="0"/>
              <w:jc w:val="left"/>
              <w:rPr>
                <w:rFonts w:ascii="Times New Roman" w:hAnsi="Times New Roman" w:cs="Times New Roman" w:eastAsia="Times New Roman" w:hint="default"/>
                <w:sz w:val="18"/>
                <w:szCs w:val="18"/>
              </w:rPr>
            </w:pPr>
            <w:r>
              <w:rPr>
                <w:rFonts w:ascii="Times New Roman"/>
                <w:sz w:val="18"/>
              </w:rPr>
              <w:t>19%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56,993,625</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56,993,625</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南通高胜成长创 业投资有限公司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4.95%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14,835,763</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14,835,763</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无锡高德创业投 资有限公司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4.15%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12,450,401</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12,450,401</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苏州中昊新能源 投资管理中心</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3.91%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11,735,000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11,735,000</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海澜集团有限公 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3.64%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10,915,490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10,915,490</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高投名力成长创 业投资有限公司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2.79%</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8,358,525</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8,358,525</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江阴爱康投资有 限公司</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1.96%</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5,872,500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5,872,500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9" w:right="0"/>
              <w:jc w:val="left"/>
              <w:rPr>
                <w:rFonts w:ascii="Times New Roman" w:hAnsi="Times New Roman" w:cs="Times New Roman" w:eastAsia="Times New Roman" w:hint="default"/>
                <w:sz w:val="18"/>
                <w:szCs w:val="18"/>
              </w:rPr>
            </w:pPr>
            <w:r>
              <w:rPr>
                <w:rFonts w:ascii="Times New Roman"/>
                <w:sz w:val="18"/>
              </w:rPr>
              <w:t>3,000,000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2,250,000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750,000</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肖美根</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6" w:right="0"/>
              <w:jc w:val="left"/>
              <w:rPr>
                <w:rFonts w:ascii="Times New Roman" w:hAnsi="Times New Roman" w:cs="Times New Roman" w:eastAsia="Times New Roman" w:hint="default"/>
                <w:sz w:val="18"/>
                <w:szCs w:val="18"/>
              </w:rPr>
            </w:pPr>
            <w:r>
              <w:rPr>
                <w:rFonts w:ascii="Times New Roman"/>
                <w:sz w:val="18"/>
              </w:rPr>
              <w:t>0.7%</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2,097,825</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2,097,825</w:t>
            </w:r>
          </w:p>
        </w:tc>
        <w:tc>
          <w:tcPr>
            <w:tcW w:w="113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有）</w:t>
            </w:r>
          </w:p>
        </w:tc>
        <w:tc>
          <w:tcPr>
            <w:tcW w:w="7019"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9" w:hRule="exact"/>
        </w:trPr>
        <w:tc>
          <w:tcPr>
            <w:tcW w:w="25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19" w:type="dxa"/>
            <w:gridSpan w:val="11"/>
            <w:vMerge w:val="restart"/>
            <w:tcBorders>
              <w:top w:val="single" w:sz="4" w:space="0" w:color="000000"/>
              <w:left w:val="single" w:sz="10" w:space="0" w:color="D2D2D2"/>
              <w:right w:val="single" w:sz="4" w:space="0" w:color="000000"/>
            </w:tcBorders>
          </w:tcPr>
          <w:p>
            <w:pPr>
              <w:pStyle w:val="TableParagraph"/>
              <w:spacing w:line="314" w:lineRule="auto" w:before="49"/>
              <w:ind w:left="16" w:right="-35"/>
              <w:jc w:val="left"/>
              <w:rPr>
                <w:rFonts w:ascii="宋体" w:hAnsi="宋体" w:cs="宋体" w:eastAsia="宋体" w:hint="default"/>
                <w:sz w:val="18"/>
                <w:szCs w:val="18"/>
              </w:rPr>
            </w:pPr>
            <w:r>
              <w:rPr>
                <w:rFonts w:ascii="宋体" w:hAnsi="宋体" w:cs="宋体" w:eastAsia="宋体" w:hint="default"/>
                <w:sz w:val="18"/>
                <w:szCs w:val="18"/>
              </w:rPr>
              <w:t>公司前十名股东中</w:t>
            </w:r>
            <w:r>
              <w:rPr>
                <w:rFonts w:ascii="Times New Roman" w:hAnsi="Times New Roman" w:cs="Times New Roman" w:eastAsia="Times New Roman" w:hint="default"/>
                <w:sz w:val="18"/>
                <w:szCs w:val="18"/>
              </w:rPr>
              <w:t>,</w:t>
            </w:r>
            <w:r>
              <w:rPr>
                <w:rFonts w:ascii="宋体" w:hAnsi="宋体" w:cs="宋体" w:eastAsia="宋体" w:hint="default"/>
                <w:sz w:val="18"/>
                <w:szCs w:val="18"/>
              </w:rPr>
              <w:t>江苏爱康实业有限责任公司、爱康国际控股有限公司、江阴爱康投资 </w:t>
            </w:r>
            <w:r>
              <w:rPr>
                <w:rFonts w:ascii="宋体" w:hAnsi="宋体" w:cs="宋体" w:eastAsia="宋体" w:hint="default"/>
                <w:spacing w:val="-2"/>
                <w:sz w:val="18"/>
                <w:szCs w:val="18"/>
              </w:rPr>
              <w:t>有限公司为同一实际控制人邹承慧控制的关联企业，上述股东存在一致行动的可能。南通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高胜成长创业投资有限公司、无锡高德创业投资有限公司、高投名力成长创业投资有限公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司为同一股东控制或能实施重大影响的关联企业，存在一致行动的可能。上述其他股东未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知他们之间是否存在关联关系，也未知是否属于《上市公司持股变动信息披露管理办法》 中规定的一致行动人。</w:t>
            </w:r>
          </w:p>
        </w:tc>
      </w:tr>
      <w:tr>
        <w:trPr>
          <w:trHeight w:val="704" w:hRule="exact"/>
        </w:trPr>
        <w:tc>
          <w:tcPr>
            <w:tcW w:w="255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9" w:type="dxa"/>
            <w:gridSpan w:val="11"/>
            <w:vMerge/>
            <w:tcBorders>
              <w:left w:val="single" w:sz="10" w:space="0" w:color="D2D2D2"/>
              <w:right w:val="single" w:sz="4" w:space="0" w:color="000000"/>
            </w:tcBorders>
          </w:tcPr>
          <w:p>
            <w:pPr/>
          </w:p>
        </w:tc>
      </w:tr>
      <w:tr>
        <w:trPr>
          <w:trHeight w:val="630" w:hRule="exact"/>
        </w:trPr>
        <w:tc>
          <w:tcPr>
            <w:tcW w:w="25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19" w:type="dxa"/>
            <w:gridSpan w:val="11"/>
            <w:vMerge/>
            <w:tcBorders>
              <w:left w:val="single" w:sz="10" w:space="0" w:color="D2D2D2"/>
              <w:bottom w:val="single" w:sz="4" w:space="0" w:color="000000"/>
              <w:right w:val="single" w:sz="4" w:space="0" w:color="000000"/>
            </w:tcBorders>
          </w:tcPr>
          <w:p>
            <w:pPr/>
          </w:p>
        </w:tc>
      </w:tr>
      <w:tr>
        <w:trPr>
          <w:trHeight w:val="402"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2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110"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2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10" w:type="dxa"/>
            <w:gridSpan w:val="6"/>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4"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w:t>
            </w:r>
          </w:p>
        </w:tc>
        <w:tc>
          <w:tcPr>
            <w:tcW w:w="2737"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24" w:type="dxa"/>
            <w:gridSpan w:val="3"/>
            <w:vMerge/>
            <w:tcBorders>
              <w:left w:val="single" w:sz="4" w:space="0" w:color="000000"/>
              <w:bottom w:val="nil" w:sz="6" w:space="0" w:color="auto"/>
              <w:right w:val="single" w:sz="4" w:space="0" w:color="000000"/>
            </w:tcBorders>
            <w:shd w:val="clear" w:color="auto" w:fill="D2D2D2"/>
          </w:tcPr>
          <w:p>
            <w:pPr/>
          </w:p>
        </w:tc>
        <w:tc>
          <w:tcPr>
            <w:tcW w:w="4110" w:type="dxa"/>
            <w:gridSpan w:val="6"/>
            <w:vMerge/>
            <w:tcBorders>
              <w:left w:val="single" w:sz="4" w:space="0" w:color="000000"/>
              <w:bottom w:val="nil" w:sz="6" w:space="0" w:color="auto"/>
              <w:right w:val="single" w:sz="4" w:space="0" w:color="000000"/>
            </w:tcBorders>
            <w:shd w:val="clear" w:color="auto" w:fill="D2D2D2"/>
          </w:tcPr>
          <w:p>
            <w:pPr/>
          </w:p>
        </w:tc>
        <w:tc>
          <w:tcPr>
            <w:tcW w:w="13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110"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1363" w:type="dxa"/>
            <w:gridSpan w:val="2"/>
            <w:vMerge/>
            <w:tcBorders>
              <w:left w:val="single" w:sz="4" w:space="0" w:color="000000"/>
              <w:bottom w:val="single" w:sz="4" w:space="0" w:color="000000"/>
              <w:right w:val="single" w:sz="4" w:space="0" w:color="000000"/>
            </w:tcBorders>
            <w:shd w:val="clear" w:color="auto" w:fill="D2D2D2"/>
          </w:tcPr>
          <w:p>
            <w:pPr/>
          </w:p>
        </w:tc>
        <w:tc>
          <w:tcPr>
            <w:tcW w:w="1374"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南通高胜成长创业投资有限公司</w:t>
            </w:r>
          </w:p>
        </w:tc>
        <w:tc>
          <w:tcPr>
            <w:tcW w:w="41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14,835,763</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14,835,763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241"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730"/>
        <w:gridCol w:w="4104"/>
        <w:gridCol w:w="1369"/>
        <w:gridCol w:w="1368"/>
      </w:tblGrid>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无锡高德创业投资有限公司</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12,450,401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12,450,401</w:t>
            </w:r>
          </w:p>
        </w:tc>
      </w:tr>
      <w:tr>
        <w:trPr>
          <w:trHeight w:val="715"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4"/>
              <w:jc w:val="left"/>
              <w:rPr>
                <w:rFonts w:ascii="宋体" w:hAnsi="宋体" w:cs="宋体" w:eastAsia="宋体" w:hint="default"/>
                <w:sz w:val="18"/>
                <w:szCs w:val="18"/>
              </w:rPr>
            </w:pPr>
            <w:r>
              <w:rPr>
                <w:rFonts w:ascii="宋体" w:hAnsi="宋体" w:cs="宋体" w:eastAsia="宋体" w:hint="default"/>
                <w:spacing w:val="-2"/>
                <w:sz w:val="18"/>
                <w:szCs w:val="18"/>
              </w:rPr>
              <w:t>苏州中昊新能源投资管理中心（有</w:t>
            </w:r>
            <w:r>
              <w:rPr>
                <w:rFonts w:ascii="宋体" w:hAnsi="宋体" w:cs="宋体" w:eastAsia="宋体" w:hint="default"/>
                <w:sz w:val="18"/>
                <w:szCs w:val="18"/>
              </w:rPr>
              <w:t> 限合伙）</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11,735,000</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海澜集团有限公司</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10,915,490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10,915,490</w:t>
            </w:r>
          </w:p>
        </w:tc>
      </w:tr>
      <w:tr>
        <w:trPr>
          <w:trHeight w:val="40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高投名力成长创业投资有限公司</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8,358,525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8,358,525</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肖美根</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2,097,825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2,097,825</w:t>
            </w:r>
          </w:p>
        </w:tc>
      </w:tr>
      <w:tr>
        <w:trPr>
          <w:trHeight w:val="40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赵瑞娟</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1,500,300</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杨琳</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40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刘振来</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734,400</w:t>
            </w:r>
          </w:p>
        </w:tc>
      </w:tr>
      <w:tr>
        <w:trPr>
          <w:trHeight w:val="1339" w:hRule="exact"/>
        </w:trPr>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4"/>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名无限售流通股股东南通高胜成长创业投资有限公司、无锡高德创业投资有限公 </w:t>
            </w:r>
            <w:r>
              <w:rPr>
                <w:rFonts w:ascii="宋体" w:hAnsi="宋体" w:cs="宋体" w:eastAsia="宋体" w:hint="default"/>
                <w:spacing w:val="-2"/>
                <w:sz w:val="18"/>
                <w:szCs w:val="18"/>
              </w:rPr>
              <w:t>司、高投名力成长创业投资有限公司为同一股东控制或能实施重大影响的关联企业，存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7"/>
                <w:sz w:val="18"/>
                <w:szCs w:val="18"/>
              </w:rPr>
              <w:t>在一致行动的可能。上述其他股东未知他们之间是否存在关联关系，也未知是否属于《上</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市公司持股变动信息披露管理办法》中规定的一致行动人。</w:t>
            </w:r>
          </w:p>
        </w:tc>
      </w:tr>
      <w:tr>
        <w:trPr>
          <w:trHeight w:val="715" w:hRule="exact"/>
        </w:trPr>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15"/>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t>法人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6"/>
              <w:jc w:val="left"/>
              <w:rPr>
                <w:rFonts w:ascii="宋体" w:hAnsi="宋体" w:cs="宋体" w:eastAsia="宋体" w:hint="default"/>
                <w:sz w:val="18"/>
                <w:szCs w:val="18"/>
              </w:rPr>
            </w:pPr>
            <w:r>
              <w:rPr>
                <w:rFonts w:ascii="宋体" w:hAnsi="宋体" w:cs="宋体" w:eastAsia="宋体" w:hint="default"/>
                <w:sz w:val="18"/>
                <w:szCs w:val="18"/>
              </w:rPr>
              <w:t>江苏爱康实业有限责任公 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79909470-5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贸易、投资、制造</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35660156-000-05-10-4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万元港币</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r>
      <w:tr>
        <w:trPr>
          <w:trHeight w:val="71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55376221-6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r>
      <w:tr>
        <w:trPr>
          <w:trHeight w:val="1337"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公司控股股东爱康实业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年资产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974,497,702.20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元、净资产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441,145,681.40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元、营业收入</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1074116359.33 </w:t>
            </w:r>
            <w:r>
              <w:rPr>
                <w:rFonts w:ascii="宋体" w:hAnsi="宋体" w:cs="宋体" w:eastAsia="宋体" w:hint="default"/>
                <w:sz w:val="18"/>
                <w:szCs w:val="18"/>
              </w:rPr>
              <w:t>元。爱康国际控股有限公司资产 </w:t>
            </w:r>
            <w:r>
              <w:rPr>
                <w:rFonts w:ascii="Times New Roman" w:hAnsi="Times New Roman" w:cs="Times New Roman" w:eastAsia="Times New Roman" w:hint="default"/>
                <w:sz w:val="18"/>
                <w:szCs w:val="18"/>
              </w:rPr>
              <w:t>258,127,223.79  </w:t>
            </w:r>
            <w:r>
              <w:rPr>
                <w:rFonts w:ascii="宋体" w:hAnsi="宋体" w:cs="宋体" w:eastAsia="宋体" w:hint="default"/>
                <w:sz w:val="18"/>
                <w:szCs w:val="18"/>
              </w:rPr>
              <w:t>港元、净资产</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258,115,223.79</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港元、营业收入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。江阴爱康投资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年资产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9969995.58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9969995.58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元、营业收 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1027"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6"/>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15"/>
        <w:jc w:val="left"/>
      </w:pPr>
      <w:r>
        <w:rPr/>
        <w:t>报告期控股股东变更</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241" w:top="1060" w:bottom="14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t>自然人</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年至今担任公司董事长兼总经理。</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1115"/>
        <w:jc w:val="left"/>
      </w:pPr>
      <w:r>
        <w:rPr/>
        <w:t>报告期实际控制人变更</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公司与实际控制人之间的产权及控制关系的方框图</w:t>
      </w:r>
    </w:p>
    <w:p>
      <w:pPr>
        <w:spacing w:line="240" w:lineRule="auto" w:before="1"/>
        <w:rPr>
          <w:rFonts w:ascii="宋体" w:hAnsi="宋体" w:cs="宋体" w:eastAsia="宋体" w:hint="default"/>
          <w:sz w:val="23"/>
          <w:szCs w:val="23"/>
        </w:rPr>
      </w:pPr>
    </w:p>
    <w:p>
      <w:pPr>
        <w:spacing w:line="4155" w:lineRule="exact"/>
        <w:ind w:left="1538"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4381500" cy="2638425"/>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8" cstate="print"/>
                    <a:stretch>
                      <a:fillRect/>
                    </a:stretch>
                  </pic:blipFill>
                  <pic:spPr>
                    <a:xfrm>
                      <a:off x="0" y="0"/>
                      <a:ext cx="4381500" cy="2638425"/>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4"/>
        <w:rPr>
          <w:rFonts w:ascii="宋体" w:hAnsi="宋体" w:cs="宋体" w:eastAsia="宋体" w:hint="default"/>
          <w:sz w:val="24"/>
          <w:szCs w:val="24"/>
        </w:rPr>
      </w:pPr>
    </w:p>
    <w:p>
      <w:pPr>
        <w:pStyle w:val="Heading6"/>
        <w:spacing w:line="240" w:lineRule="auto"/>
        <w:ind w:right="1115"/>
        <w:jc w:val="left"/>
        <w:rPr>
          <w:b w:val="0"/>
          <w:bCs w:val="0"/>
        </w:rPr>
      </w:pPr>
      <w:r>
        <w:rPr/>
        <w:t>实际控制人通过信托或其他资产管理方式控制公司</w:t>
      </w:r>
      <w:r>
        <w:rPr>
          <w:b w:val="0"/>
          <w:bCs w:val="0"/>
        </w:rPr>
      </w:r>
    </w:p>
    <w:p>
      <w:pPr>
        <w:spacing w:line="240" w:lineRule="auto" w:before="12"/>
        <w:rPr>
          <w:rFonts w:ascii="宋体" w:hAnsi="宋体" w:cs="宋体" w:eastAsia="宋体" w:hint="default"/>
          <w:b/>
          <w:bCs/>
          <w:sz w:val="20"/>
          <w:szCs w:val="20"/>
        </w:rPr>
      </w:pPr>
    </w:p>
    <w:p>
      <w:pPr>
        <w:pStyle w:val="BodyText"/>
        <w:spacing w:line="240" w:lineRule="auto"/>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3"/>
        <w:rPr>
          <w:rFonts w:ascii="宋体" w:hAnsi="宋体" w:cs="宋体" w:eastAsia="宋体" w:hint="default"/>
          <w:sz w:val="25"/>
          <w:szCs w:val="25"/>
        </w:rPr>
      </w:pPr>
    </w:p>
    <w:p>
      <w:pPr>
        <w:pStyle w:val="Heading2"/>
        <w:spacing w:line="240" w:lineRule="auto"/>
        <w:ind w:right="1115"/>
        <w:jc w:val="left"/>
        <w:rPr>
          <w:b w:val="0"/>
          <w:bCs w:val="0"/>
        </w:rPr>
      </w:pPr>
      <w:r>
        <w:rPr/>
        <w:t>四、公司股东及其一致行动人在报告期提出或实施股份增持计划的情况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319" w:right="21"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0" w:right="46"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6"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87" w:right="48"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6"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7"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5,700,000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624"/>
        <w:jc w:val="left"/>
      </w:pPr>
      <w:r>
        <w:rPr>
          <w:rFonts w:ascii="宋体" w:hAnsi="宋体" w:cs="宋体" w:eastAsia="宋体" w:hint="default"/>
          <w:b/>
          <w:bCs/>
        </w:rPr>
        <w:t>其他情况说明</w:t>
      </w:r>
      <w:r>
        <w:rPr>
          <w:rFonts w:ascii="宋体" w:hAnsi="宋体" w:cs="宋体" w:eastAsia="宋体" w:hint="default"/>
          <w:b/>
          <w:bCs/>
          <w:w w:val="99"/>
        </w:rPr>
        <w:t> </w:t>
      </w:r>
      <w:r>
        <w:rPr/>
        <w:t>增持期间为自本次增持之日（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日）起不超过</w:t>
      </w:r>
      <w:r>
        <w:rPr>
          <w:rFonts w:ascii="Times New Roman" w:hAnsi="Times New Roman" w:cs="Times New Roman" w:eastAsia="Times New Roman" w:hint="default"/>
        </w:rPr>
        <w:t>12</w:t>
      </w:r>
      <w:r>
        <w:rPr/>
        <w:t>个月。</w:t>
      </w:r>
    </w:p>
    <w:p>
      <w:pPr>
        <w:spacing w:after="0" w:line="357" w:lineRule="auto"/>
        <w:jc w:val="left"/>
        <w:sectPr>
          <w:pgSz w:w="11910" w:h="16840"/>
          <w:pgMar w:header="745" w:footer="1241" w:top="1060" w:bottom="14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79" w:right="1115"/>
        <w:jc w:val="left"/>
        <w:rPr>
          <w:b w:val="0"/>
          <w:bCs w:val="0"/>
        </w:rPr>
      </w:pPr>
      <w:r>
        <w:rPr/>
        <w:t>第七节</w:t>
      </w:r>
      <w:r>
        <w:rPr>
          <w:spacing w:val="-8"/>
        </w:rPr>
        <w:t> </w:t>
      </w:r>
      <w:r>
        <w:rPr/>
        <w:t>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1115"/>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025"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 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3,000,000</w:t>
            </w:r>
          </w:p>
        </w:tc>
      </w:tr>
      <w:tr>
        <w:trPr>
          <w:trHeight w:val="133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季海瑜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63"/>
              <w:jc w:val="both"/>
              <w:rPr>
                <w:rFonts w:ascii="宋体" w:hAnsi="宋体" w:cs="宋体" w:eastAsia="宋体" w:hint="default"/>
                <w:sz w:val="18"/>
                <w:szCs w:val="18"/>
              </w:rPr>
            </w:pPr>
            <w:r>
              <w:rPr>
                <w:rFonts w:ascii="宋体" w:hAnsi="宋体" w:cs="宋体" w:eastAsia="宋体" w:hint="default"/>
                <w:sz w:val="18"/>
                <w:szCs w:val="18"/>
              </w:rPr>
              <w:t>副董事长</w:t>
            </w:r>
            <w:r>
              <w:rPr>
                <w:rFonts w:ascii="Times New Roman" w:hAnsi="Times New Roman" w:cs="Times New Roman" w:eastAsia="Times New Roman" w:hint="default"/>
                <w:sz w:val="18"/>
                <w:szCs w:val="18"/>
              </w:rPr>
              <w:t>; </w:t>
            </w: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 </w:t>
            </w:r>
            <w:r>
              <w:rPr>
                <w:rFonts w:ascii="宋体" w:hAnsi="宋体" w:cs="宋体" w:eastAsia="宋体" w:hint="default"/>
                <w:sz w:val="18"/>
                <w:szCs w:val="18"/>
              </w:rPr>
              <w:t>董事会秘 书</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财务总监</w:t>
            </w:r>
            <w:r>
              <w:rPr>
                <w:rFonts w:ascii="Times New Roman" w:hAnsi="Times New Roman" w:cs="Times New Roman" w:eastAsia="Times New Roman" w:hint="default"/>
                <w:sz w:val="18"/>
                <w:szCs w:val="18"/>
              </w:rPr>
              <w:t>; </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吕学强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顾东升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周子强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刘述强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黄国云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李家康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241" w:top="1060" w:bottom="14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363" w:hRule="exact"/>
        </w:trPr>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李衍飞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钟德鸣</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3,000,000</w:t>
            </w:r>
          </w:p>
        </w:tc>
      </w:tr>
    </w:tbl>
    <w:p>
      <w:pPr>
        <w:spacing w:line="240" w:lineRule="auto" w:before="1"/>
        <w:rPr>
          <w:rFonts w:ascii="宋体" w:hAnsi="宋体" w:cs="宋体" w:eastAsia="宋体" w:hint="default"/>
          <w:b/>
          <w:bCs/>
          <w:sz w:val="18"/>
          <w:szCs w:val="18"/>
        </w:rPr>
      </w:pPr>
    </w:p>
    <w:p>
      <w:pPr>
        <w:spacing w:before="26"/>
        <w:ind w:left="152" w:right="1115" w:firstLine="0"/>
        <w:jc w:val="left"/>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Heading2"/>
        <w:spacing w:line="240" w:lineRule="auto" w:before="134"/>
        <w:ind w:left="635" w:right="1115"/>
        <w:jc w:val="left"/>
        <w:rPr>
          <w:b w:val="0"/>
          <w:bCs w:val="0"/>
        </w:rPr>
      </w:pPr>
      <w:r>
        <w:rPr>
          <w:rFonts w:ascii="Times New Roman" w:hAnsi="Times New Roman" w:cs="Times New Roman" w:eastAsia="Times New Roman" w:hint="default"/>
        </w:rPr>
        <w:t>1.</w:t>
      </w:r>
      <w:r>
        <w:rPr/>
        <w:t>董事会成员简历</w:t>
      </w:r>
      <w:r>
        <w:rPr>
          <w:b w:val="0"/>
          <w:bCs w:val="0"/>
        </w:rPr>
      </w:r>
    </w:p>
    <w:p>
      <w:pPr>
        <w:pStyle w:val="BodyText"/>
        <w:spacing w:line="307" w:lineRule="auto" w:before="28"/>
        <w:ind w:right="1133" w:firstLine="482"/>
        <w:jc w:val="both"/>
      </w:pPr>
      <w:r>
        <w:rPr>
          <w:rFonts w:ascii="宋体" w:hAnsi="宋体" w:cs="宋体" w:eastAsia="宋体" w:hint="default"/>
          <w:b/>
          <w:bCs/>
          <w:spacing w:val="-7"/>
        </w:rPr>
        <w:t>邹承慧先生</w:t>
      </w:r>
      <w:r>
        <w:rPr>
          <w:spacing w:val="-7"/>
        </w:rPr>
        <w:t>，董事，</w:t>
      </w:r>
      <w:r>
        <w:rPr>
          <w:rFonts w:ascii="Times New Roman" w:hAnsi="Times New Roman" w:cs="Times New Roman" w:eastAsia="Times New Roman" w:hint="default"/>
          <w:spacing w:val="-7"/>
        </w:rPr>
        <w:t>1974</w:t>
      </w:r>
      <w:r>
        <w:rPr>
          <w:spacing w:val="-7"/>
        </w:rPr>
        <w:t>年出生，中国国籍，无境外永久居留权。大学本科学历，毕业于湖南大学，长江商学院</w:t>
      </w:r>
      <w:r>
        <w:rPr>
          <w:rFonts w:ascii="Times New Roman" w:hAnsi="Times New Roman" w:cs="Times New Roman" w:eastAsia="Times New Roman" w:hint="default"/>
          <w:spacing w:val="-7"/>
        </w:rPr>
        <w:t>EMBA</w:t>
      </w:r>
      <w:r>
        <w:rPr>
          <w:spacing w:val="-7"/>
        </w:rPr>
        <w:t>。</w:t>
      </w:r>
      <w:r>
        <w:rPr/>
        <w:t> </w:t>
      </w:r>
      <w:r>
        <w:rPr>
          <w:spacing w:val="-2"/>
        </w:rPr>
        <w:t>曾任中国农业银行江阴支行信贷主管、江阴利泰装饰材料有限公司常务副总经理。邹承慧先生拥有丰富的铝型材行业经营管</w:t>
      </w:r>
      <w:r>
        <w:rPr>
          <w:spacing w:val="-64"/>
        </w:rPr>
        <w:t> </w:t>
      </w:r>
      <w:r>
        <w:rPr>
          <w:spacing w:val="-64"/>
        </w:rPr>
      </w:r>
      <w:r>
        <w:rPr/>
        <w:t>理经验，是本公司的主要创立者之一、实际控制人，现任本公司董事长兼总经理，全面管理公司事务。</w:t>
      </w:r>
      <w:r>
        <w:rPr>
          <w:rFonts w:ascii="Times New Roman" w:hAnsi="Times New Roman" w:cs="Times New Roman" w:eastAsia="Times New Roman" w:hint="default"/>
        </w:rPr>
        <w:t>2009-2012</w:t>
      </w:r>
      <w:r>
        <w:rPr/>
        <w:t>年连续三</w:t>
      </w:r>
      <w:r>
        <w:rPr>
          <w:spacing w:val="-58"/>
        </w:rPr>
        <w:t> </w:t>
      </w:r>
      <w:r>
        <w:rPr/>
        <w:t>年被中共江阴市委、江阴市人民政府评选为</w:t>
      </w:r>
      <w:r>
        <w:rPr>
          <w:rFonts w:ascii="Times New Roman" w:hAnsi="Times New Roman" w:cs="Times New Roman" w:eastAsia="Times New Roman" w:hint="default"/>
        </w:rPr>
        <w:t>“</w:t>
      </w:r>
      <w:r>
        <w:rPr/>
        <w:t>优秀厂长（经理）</w:t>
      </w:r>
      <w:r>
        <w:rPr>
          <w:rFonts w:ascii="Times New Roman" w:hAnsi="Times New Roman" w:cs="Times New Roman" w:eastAsia="Times New Roman" w:hint="default"/>
        </w:rPr>
        <w:t>”</w:t>
      </w:r>
      <w:r>
        <w:rPr/>
        <w:t>。</w:t>
      </w:r>
    </w:p>
    <w:p>
      <w:pPr>
        <w:pStyle w:val="BodyText"/>
        <w:spacing w:line="309" w:lineRule="auto" w:before="7"/>
        <w:ind w:right="1130" w:firstLine="482"/>
        <w:jc w:val="both"/>
      </w:pPr>
      <w:r>
        <w:rPr>
          <w:rFonts w:ascii="宋体" w:hAnsi="宋体" w:cs="宋体" w:eastAsia="宋体" w:hint="default"/>
          <w:b/>
          <w:bCs/>
          <w:spacing w:val="-1"/>
        </w:rPr>
        <w:t>易美怀女士</w:t>
      </w:r>
      <w:r>
        <w:rPr>
          <w:spacing w:val="-1"/>
        </w:rPr>
        <w:t>，董事，</w:t>
      </w:r>
      <w:r>
        <w:rPr>
          <w:rFonts w:ascii="Times New Roman" w:hAnsi="Times New Roman" w:cs="Times New Roman" w:eastAsia="Times New Roman" w:hint="default"/>
          <w:spacing w:val="-1"/>
        </w:rPr>
        <w:t>1968</w:t>
      </w:r>
      <w:r>
        <w:rPr>
          <w:spacing w:val="-1"/>
        </w:rPr>
        <w:t>年出生，中国国籍，无境外永久居留权。大专学历，毕业于武汉理工大学（原武汉交通科技</w:t>
      </w:r>
      <w:r>
        <w:rPr/>
        <w:t> </w:t>
      </w:r>
      <w:r>
        <w:rPr>
          <w:spacing w:val="-1"/>
        </w:rPr>
        <w:t>大学），上海交通大学在读国际财务总监（</w:t>
      </w:r>
      <w:r>
        <w:rPr>
          <w:rFonts w:ascii="Times New Roman" w:hAnsi="Times New Roman" w:cs="Times New Roman" w:eastAsia="Times New Roman" w:hint="default"/>
          <w:spacing w:val="-1"/>
        </w:rPr>
        <w:t>CFO</w:t>
      </w:r>
      <w:r>
        <w:rPr>
          <w:spacing w:val="-1"/>
        </w:rPr>
        <w:t>）和英国资深财务会计师（</w:t>
      </w:r>
      <w:r>
        <w:rPr>
          <w:rFonts w:ascii="Times New Roman" w:hAnsi="Times New Roman" w:cs="Times New Roman" w:eastAsia="Times New Roman" w:hint="default"/>
          <w:spacing w:val="-1"/>
        </w:rPr>
        <w:t>FFA</w:t>
      </w:r>
      <w:r>
        <w:rPr>
          <w:spacing w:val="-1"/>
        </w:rPr>
        <w:t>）。曾先后任重庆通用工业集团有限责任公</w:t>
      </w:r>
      <w:r>
        <w:rPr>
          <w:spacing w:val="-86"/>
        </w:rPr>
        <w:t> </w:t>
      </w:r>
      <w:r>
        <w:rPr>
          <w:spacing w:val="-86"/>
        </w:rPr>
      </w:r>
      <w:r>
        <w:rPr>
          <w:spacing w:val="-2"/>
        </w:rPr>
        <w:t>司财务组长、江苏双良特灵溴化锂制冷机有限公司会计师、特灵空调系统（江苏）有限公司高级会计师、江苏双良空调设备</w:t>
      </w:r>
      <w:r>
        <w:rPr>
          <w:spacing w:val="-67"/>
        </w:rPr>
        <w:t> </w:t>
      </w:r>
      <w:r>
        <w:rPr>
          <w:spacing w:val="-67"/>
        </w:rPr>
      </w:r>
      <w:r>
        <w:rPr>
          <w:spacing w:val="-2"/>
        </w:rPr>
        <w:t>股份有限公司财务主管、浙江晨辉婴宝儿童用品有限公司财务兼公司稽核总负责。现任本公司副总经理兼财务总监，负责公</w:t>
      </w:r>
      <w:r>
        <w:rPr>
          <w:spacing w:val="-63"/>
        </w:rPr>
        <w:t> </w:t>
      </w:r>
      <w:r>
        <w:rPr>
          <w:spacing w:val="-63"/>
        </w:rPr>
      </w:r>
      <w:r>
        <w:rPr/>
        <w:t>司财务工作。</w:t>
      </w:r>
    </w:p>
    <w:p>
      <w:pPr>
        <w:pStyle w:val="BodyText"/>
        <w:spacing w:line="309" w:lineRule="auto" w:before="24"/>
        <w:ind w:right="1132" w:firstLine="482"/>
        <w:jc w:val="both"/>
      </w:pPr>
      <w:r>
        <w:rPr>
          <w:rFonts w:ascii="宋体" w:hAnsi="宋体" w:cs="宋体" w:eastAsia="宋体" w:hint="default"/>
          <w:b/>
          <w:bCs/>
          <w:spacing w:val="-1"/>
        </w:rPr>
        <w:t>季海瑜女士</w:t>
      </w:r>
      <w:r>
        <w:rPr>
          <w:spacing w:val="-1"/>
        </w:rPr>
        <w:t>，副董事长，</w:t>
      </w:r>
      <w:r>
        <w:rPr>
          <w:rFonts w:ascii="Times New Roman" w:hAnsi="Times New Roman" w:cs="Times New Roman" w:eastAsia="Times New Roman" w:hint="default"/>
          <w:spacing w:val="-1"/>
        </w:rPr>
        <w:t>1975</w:t>
      </w:r>
      <w:r>
        <w:rPr>
          <w:spacing w:val="-1"/>
        </w:rPr>
        <w:t>年出生，中国国籍，无境外永久居留权。大学本科学历，毕业于湖南大学。曾先后任中</w:t>
      </w:r>
      <w:r>
        <w:rPr/>
        <w:t> </w:t>
      </w:r>
      <w:r>
        <w:rPr>
          <w:spacing w:val="-2"/>
        </w:rPr>
        <w:t>国人民银行无锡市中心支行人事处科员、副处长（主持工作）、国库处副处长（主持工作）。现任本公司副总经理兼董事会</w:t>
      </w:r>
      <w:r>
        <w:rPr>
          <w:spacing w:val="-73"/>
        </w:rPr>
        <w:t> </w:t>
      </w:r>
      <w:r>
        <w:rPr>
          <w:spacing w:val="-73"/>
        </w:rPr>
      </w:r>
      <w:r>
        <w:rPr/>
        <w:t>秘书，负责公司证券、人力资源和总经办工作。</w:t>
      </w:r>
    </w:p>
    <w:p>
      <w:pPr>
        <w:pStyle w:val="BodyText"/>
        <w:spacing w:line="300" w:lineRule="auto" w:before="24"/>
        <w:ind w:right="1133" w:firstLine="482"/>
        <w:jc w:val="both"/>
      </w:pPr>
      <w:r>
        <w:rPr>
          <w:rFonts w:ascii="宋体" w:hAnsi="宋体" w:cs="宋体" w:eastAsia="宋体" w:hint="default"/>
          <w:b/>
          <w:bCs/>
          <w:spacing w:val="-1"/>
        </w:rPr>
        <w:t>徐国辉先生</w:t>
      </w:r>
      <w:r>
        <w:rPr>
          <w:spacing w:val="-1"/>
        </w:rPr>
        <w:t>，董事，</w:t>
      </w:r>
      <w:r>
        <w:rPr>
          <w:rFonts w:ascii="Times New Roman" w:hAnsi="Times New Roman" w:cs="Times New Roman" w:eastAsia="Times New Roman" w:hint="default"/>
          <w:spacing w:val="-1"/>
        </w:rPr>
        <w:t>1971</w:t>
      </w:r>
      <w:r>
        <w:rPr>
          <w:spacing w:val="-1"/>
        </w:rPr>
        <w:t>年出生，中国国籍，无境外永久居留权。大学本科学历，毕业于华东政法学院。曾先后在苏</w:t>
      </w:r>
      <w:r>
        <w:rPr/>
        <w:t> </w:t>
      </w:r>
      <w:r>
        <w:rPr>
          <w:spacing w:val="-3"/>
        </w:rPr>
        <w:t>州合力律师事务所、江苏联合</w:t>
      </w:r>
      <w:r>
        <w:rPr>
          <w:rFonts w:ascii="Times New Roman" w:hAnsi="Times New Roman" w:cs="Times New Roman" w:eastAsia="Times New Roman" w:hint="default"/>
          <w:spacing w:val="-3"/>
        </w:rPr>
        <w:t>-</w:t>
      </w:r>
      <w:r>
        <w:rPr>
          <w:spacing w:val="-3"/>
        </w:rPr>
        <w:t>合力律师事务所任职律师、合伙人、主任，苏州市仲裁委员会仲裁员。现任本公司副总经理，</w:t>
      </w:r>
      <w:r>
        <w:rPr>
          <w:spacing w:val="-70"/>
        </w:rPr>
        <w:t> </w:t>
      </w:r>
      <w:r>
        <w:rPr>
          <w:spacing w:val="-70"/>
        </w:rPr>
      </w:r>
      <w:r>
        <w:rPr/>
        <w:t>负责公司法律、内部审计事务。</w:t>
      </w:r>
    </w:p>
    <w:p>
      <w:pPr>
        <w:pStyle w:val="BodyText"/>
        <w:spacing w:line="300" w:lineRule="auto" w:before="31"/>
        <w:ind w:right="1128" w:firstLine="482"/>
        <w:jc w:val="both"/>
      </w:pPr>
      <w:r>
        <w:rPr>
          <w:rFonts w:ascii="宋体" w:hAnsi="宋体" w:cs="宋体" w:eastAsia="宋体" w:hint="default"/>
          <w:b/>
          <w:bCs/>
          <w:spacing w:val="-1"/>
        </w:rPr>
        <w:t>吕学强先生</w:t>
      </w:r>
      <w:r>
        <w:rPr>
          <w:spacing w:val="-1"/>
        </w:rPr>
        <w:t>，董事，</w:t>
      </w:r>
      <w:r>
        <w:rPr>
          <w:rFonts w:ascii="Times New Roman" w:hAnsi="Times New Roman" w:cs="Times New Roman" w:eastAsia="Times New Roman" w:hint="default"/>
          <w:spacing w:val="-1"/>
        </w:rPr>
        <w:t>1966</w:t>
      </w:r>
      <w:r>
        <w:rPr>
          <w:spacing w:val="-1"/>
        </w:rPr>
        <w:t>年出生，中国国籍，无境外永久居留权。大学本科学历。</w:t>
      </w:r>
      <w:r>
        <w:rPr>
          <w:rFonts w:ascii="Times New Roman" w:hAnsi="Times New Roman" w:cs="Times New Roman" w:eastAsia="Times New Roman" w:hint="default"/>
          <w:spacing w:val="-1"/>
        </w:rPr>
        <w:t>1987</w:t>
      </w:r>
      <w:r>
        <w:rPr>
          <w:spacing w:val="-1"/>
        </w:rPr>
        <w:t>年起至</w:t>
      </w:r>
      <w:r>
        <w:rPr>
          <w:rFonts w:ascii="Times New Roman" w:hAnsi="Times New Roman" w:cs="Times New Roman" w:eastAsia="Times New Roman" w:hint="default"/>
          <w:spacing w:val="-1"/>
        </w:rPr>
        <w:t>1999</w:t>
      </w:r>
      <w:r>
        <w:rPr>
          <w:spacing w:val="-1"/>
        </w:rPr>
        <w:t>年先后任职于江苏</w:t>
      </w:r>
      <w:r>
        <w:rPr/>
        <w:t> </w:t>
      </w:r>
      <w:r>
        <w:rPr>
          <w:spacing w:val="-2"/>
        </w:rPr>
        <w:t>省财政厅工交企业财务管理处、江苏鑫苏投资管理公司；</w:t>
      </w:r>
      <w:r>
        <w:rPr>
          <w:rFonts w:ascii="Times New Roman" w:hAnsi="Times New Roman" w:cs="Times New Roman" w:eastAsia="Times New Roman" w:hint="default"/>
          <w:spacing w:val="-2"/>
        </w:rPr>
        <w:t>1999</w:t>
      </w:r>
      <w:r>
        <w:rPr>
          <w:spacing w:val="-2"/>
        </w:rPr>
        <w:t>年至今先后任江苏鑫苏财务顾问公司总经理、江苏金信证券公</w:t>
      </w:r>
      <w:r>
        <w:rPr>
          <w:spacing w:val="-60"/>
        </w:rPr>
        <w:t> </w:t>
      </w:r>
      <w:r>
        <w:rPr>
          <w:spacing w:val="-60"/>
        </w:rPr>
      </w:r>
      <w:r>
        <w:rPr/>
        <w:t>司副总经理兼财务总监、信泰证券公司监事会主席兼稽核总部、经纪业务总部经理、江苏高新创业投资管理公司总经理。</w:t>
      </w:r>
    </w:p>
    <w:p>
      <w:pPr>
        <w:pStyle w:val="BodyText"/>
        <w:spacing w:line="302" w:lineRule="auto" w:before="31"/>
        <w:ind w:right="1128" w:firstLine="482"/>
        <w:jc w:val="right"/>
      </w:pPr>
      <w:r>
        <w:rPr>
          <w:rFonts w:ascii="宋体" w:hAnsi="宋体" w:cs="宋体" w:eastAsia="宋体" w:hint="default"/>
          <w:b/>
          <w:bCs/>
        </w:rPr>
        <w:t>汤勇先生</w:t>
      </w:r>
      <w:r>
        <w:rPr/>
        <w:t>，董事，汉族，</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9</w:t>
      </w:r>
      <w:r>
        <w:rPr/>
        <w:t>月出生，中国国籍，无境外永久居留权，本科学历，毕业于东北财经大学，会计师 </w:t>
      </w:r>
      <w:r>
        <w:rPr>
          <w:spacing w:val="-2"/>
        </w:rPr>
        <w:t>职称，注册会计师资格。</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月任江苏悦达时装有限公司财务总账；</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9</w:t>
      </w:r>
      <w:r>
        <w:rPr>
          <w:spacing w:val="-2"/>
        </w:rPr>
        <w:t>月任新能（张家港）</w:t>
      </w:r>
      <w:r>
        <w:rPr/>
        <w:t> 能源有限公司计财处主任</w:t>
      </w:r>
      <w:r>
        <w:rPr>
          <w:spacing w:val="6"/>
        </w:rPr>
        <w:t> </w:t>
      </w:r>
      <w:r>
        <w:rPr>
          <w:spacing w:val="-3"/>
        </w:rPr>
        <w:t>；</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9-</w:t>
      </w:r>
      <w:r>
        <w:rPr>
          <w:spacing w:val="-3"/>
        </w:rPr>
        <w:t>至今任海澜集团有限公司股权投资部股权投资总监。</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14</w:t>
      </w:r>
      <w:r>
        <w:rPr>
          <w:spacing w:val="-3"/>
        </w:rPr>
        <w:t>日起任本公司董事。</w:t>
      </w:r>
      <w:r>
        <w:rPr/>
        <w:t> </w:t>
      </w:r>
      <w:r>
        <w:rPr>
          <w:rFonts w:ascii="宋体" w:hAnsi="宋体" w:cs="宋体" w:eastAsia="宋体" w:hint="default"/>
          <w:b/>
          <w:bCs/>
          <w:spacing w:val="-1"/>
        </w:rPr>
        <w:t>刘丹萍女士</w:t>
      </w:r>
      <w:r>
        <w:rPr>
          <w:spacing w:val="-1"/>
        </w:rPr>
        <w:t>，独立董事，</w:t>
      </w:r>
      <w:r>
        <w:rPr>
          <w:rFonts w:ascii="Times New Roman" w:hAnsi="Times New Roman" w:cs="Times New Roman" w:eastAsia="Times New Roman" w:hint="default"/>
          <w:spacing w:val="-1"/>
        </w:rPr>
        <w:t>1957</w:t>
      </w:r>
      <w:r>
        <w:rPr>
          <w:spacing w:val="-1"/>
        </w:rPr>
        <w:t>年出生，中国国际，无境外永久居留权。现任首都经济贸易大学人文学院经济学教授及</w:t>
      </w:r>
      <w:r>
        <w:rPr/>
        <w:t> </w:t>
      </w:r>
      <w:r>
        <w:rPr>
          <w:spacing w:val="-2"/>
        </w:rPr>
        <w:t>硕士生导师、中国人民大学风险资本与网络经济研究中心研究员、中国人民大学气候变化与低碳经济研究所研究员。兼任中</w:t>
      </w:r>
      <w:r>
        <w:rPr>
          <w:spacing w:val="-74"/>
        </w:rPr>
        <w:t> </w:t>
      </w:r>
      <w:r>
        <w:rPr>
          <w:spacing w:val="-74"/>
        </w:rPr>
      </w:r>
      <w:r>
        <w:rPr>
          <w:spacing w:val="-2"/>
        </w:rPr>
        <w:t>国成套设备进出口股份有限公司独立董事、宝胜科技创新股份有限公司独立董事、南京熊猫电子股份有限公司独立董事。刘</w:t>
      </w:r>
    </w:p>
    <w:p>
      <w:pPr>
        <w:pStyle w:val="BodyText"/>
        <w:spacing w:line="240" w:lineRule="auto" w:before="29"/>
        <w:ind w:right="1115"/>
        <w:jc w:val="left"/>
      </w:pPr>
      <w:r>
        <w:rPr/>
        <w:t>丹萍女士长期从事财务管理、会计、税务及金融等专业的研究和教学工作，具有较强的专业知识和丰富的经验。</w:t>
      </w:r>
    </w:p>
    <w:p>
      <w:pPr>
        <w:spacing w:after="0" w:line="240" w:lineRule="auto"/>
        <w:jc w:val="left"/>
        <w:sectPr>
          <w:pgSz w:w="11910" w:h="16840"/>
          <w:pgMar w:header="745" w:footer="1241" w:top="1060" w:bottom="144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28" w:firstLine="482"/>
        <w:jc w:val="both"/>
      </w:pPr>
      <w:r>
        <w:rPr>
          <w:rFonts w:ascii="宋体" w:hAnsi="宋体" w:cs="宋体" w:eastAsia="宋体" w:hint="default"/>
          <w:b/>
          <w:bCs/>
          <w:spacing w:val="-1"/>
        </w:rPr>
        <w:t>袁淳先生</w:t>
      </w:r>
      <w:r>
        <w:rPr>
          <w:spacing w:val="-1"/>
        </w:rPr>
        <w:t>，独立董事，</w:t>
      </w:r>
      <w:r>
        <w:rPr>
          <w:rFonts w:ascii="Times New Roman" w:hAnsi="Times New Roman" w:cs="Times New Roman" w:eastAsia="Times New Roman" w:hint="default"/>
          <w:spacing w:val="-1"/>
        </w:rPr>
        <w:t>1976</w:t>
      </w:r>
      <w:r>
        <w:rPr>
          <w:spacing w:val="-1"/>
        </w:rPr>
        <w:t>年出生，中国国籍，无境外永久居留权。博士学历，毕业于中国人民大学。</w:t>
      </w:r>
      <w:r>
        <w:rPr>
          <w:rFonts w:ascii="Times New Roman" w:hAnsi="Times New Roman" w:cs="Times New Roman" w:eastAsia="Times New Roman" w:hint="default"/>
          <w:spacing w:val="-1"/>
        </w:rPr>
        <w:t>2003</w:t>
      </w:r>
      <w:r>
        <w:rPr>
          <w:spacing w:val="-1"/>
        </w:rPr>
        <w:t>年起任中</w:t>
      </w:r>
      <w:r>
        <w:rPr/>
        <w:t> </w:t>
      </w:r>
      <w:r>
        <w:rPr>
          <w:spacing w:val="-5"/>
        </w:rPr>
        <w:t>央财经大学会计学院教师，任中央财经大学会计学院副院长、副教授，会计与财务研究中心副主任，财政部会计领军（后备）</w:t>
      </w:r>
      <w:r>
        <w:rPr>
          <w:spacing w:val="-80"/>
        </w:rPr>
        <w:t> </w:t>
      </w:r>
      <w:r>
        <w:rPr>
          <w:spacing w:val="-80"/>
        </w:rPr>
      </w:r>
      <w:r>
        <w:rPr>
          <w:spacing w:val="-5"/>
        </w:rPr>
        <w:t>人才计划成员。一直从事资本市场相关会计与财务问题的研究，曾出版多部专著和译著，并在《管理世界》、《会计研究》、</w:t>
      </w:r>
    </w:p>
    <w:p>
      <w:pPr>
        <w:pStyle w:val="BodyText"/>
        <w:spacing w:line="316" w:lineRule="auto" w:before="24"/>
        <w:ind w:right="1130"/>
        <w:jc w:val="both"/>
      </w:pPr>
      <w:r>
        <w:rPr>
          <w:spacing w:val="-2"/>
        </w:rPr>
        <w:t>《经济理论与经济管理》和《南开管理评论》等杂志发表三十余篇文章，主持并参与国家自然科学基金、国家社科基金多项</w:t>
      </w:r>
      <w:r>
        <w:rPr>
          <w:spacing w:val="-67"/>
        </w:rPr>
        <w:t> </w:t>
      </w:r>
      <w:r>
        <w:rPr>
          <w:spacing w:val="-67"/>
        </w:rPr>
      </w:r>
      <w:r>
        <w:rPr>
          <w:spacing w:val="-2"/>
        </w:rPr>
        <w:t>国家级课题研究。兼任山西兰花科技创业股份有限公司、江苏昆山金利表面材料应用科技股份有限公司、中国邮政速递物流</w:t>
      </w:r>
      <w:r>
        <w:rPr>
          <w:spacing w:val="-63"/>
        </w:rPr>
        <w:t> </w:t>
      </w:r>
      <w:r>
        <w:rPr>
          <w:spacing w:val="-63"/>
        </w:rPr>
      </w:r>
      <w:r>
        <w:rPr/>
        <w:t>股份有限公司独立董事。</w:t>
      </w:r>
    </w:p>
    <w:p>
      <w:pPr>
        <w:pStyle w:val="BodyText"/>
        <w:spacing w:line="307" w:lineRule="auto" w:before="19"/>
        <w:ind w:right="1128" w:firstLine="482"/>
        <w:jc w:val="both"/>
      </w:pPr>
      <w:r>
        <w:rPr>
          <w:rFonts w:ascii="宋体" w:hAnsi="宋体" w:cs="宋体" w:eastAsia="宋体" w:hint="default"/>
          <w:b/>
          <w:bCs/>
          <w:spacing w:val="-2"/>
        </w:rPr>
        <w:t>沈辉先生</w:t>
      </w:r>
      <w:r>
        <w:rPr>
          <w:spacing w:val="-2"/>
        </w:rPr>
        <w:t>，独立董事，</w:t>
      </w:r>
      <w:r>
        <w:rPr>
          <w:rFonts w:ascii="Times New Roman" w:hAnsi="Times New Roman" w:cs="Times New Roman" w:eastAsia="Times New Roman" w:hint="default"/>
          <w:spacing w:val="-2"/>
        </w:rPr>
        <w:t>1956</w:t>
      </w:r>
      <w:r>
        <w:rPr>
          <w:spacing w:val="-2"/>
        </w:rPr>
        <w:t>年出生，中国国籍，无境外永久居留权。教授、博士生导师。</w:t>
      </w:r>
      <w:r>
        <w:rPr>
          <w:rFonts w:ascii="Times New Roman" w:hAnsi="Times New Roman" w:cs="Times New Roman" w:eastAsia="Times New Roman" w:hint="default"/>
          <w:spacing w:val="-2"/>
        </w:rPr>
        <w:t>1975-1978</w:t>
      </w:r>
      <w:r>
        <w:rPr>
          <w:spacing w:val="-2"/>
        </w:rPr>
        <w:t>年为江苏省生产建</w:t>
      </w:r>
      <w:r>
        <w:rPr/>
        <w:t> </w:t>
      </w:r>
      <w:r>
        <w:rPr>
          <w:spacing w:val="-2"/>
        </w:rPr>
        <w:t>设兵团知青；</w:t>
      </w:r>
      <w:r>
        <w:rPr>
          <w:rFonts w:ascii="Times New Roman" w:hAnsi="Times New Roman" w:cs="Times New Roman" w:eastAsia="Times New Roman" w:hint="default"/>
          <w:spacing w:val="-2"/>
        </w:rPr>
        <w:t>1982</w:t>
      </w:r>
      <w:r>
        <w:rPr>
          <w:spacing w:val="-2"/>
        </w:rPr>
        <w:t>年南京理工大学工程光学专业毕业；</w:t>
      </w:r>
      <w:r>
        <w:rPr>
          <w:rFonts w:ascii="Times New Roman" w:hAnsi="Times New Roman" w:cs="Times New Roman" w:eastAsia="Times New Roman" w:hint="default"/>
          <w:spacing w:val="-2"/>
        </w:rPr>
        <w:t>1996</w:t>
      </w:r>
      <w:r>
        <w:rPr>
          <w:spacing w:val="-2"/>
        </w:rPr>
        <w:t>年获得德国德累斯顿大学材料科学博士学位。先后在中国科学院</w:t>
      </w:r>
      <w:r>
        <w:rPr>
          <w:spacing w:val="-56"/>
        </w:rPr>
        <w:t> </w:t>
      </w:r>
      <w:r>
        <w:rPr>
          <w:spacing w:val="-56"/>
        </w:rPr>
      </w:r>
      <w:r>
        <w:rPr>
          <w:spacing w:val="-2"/>
        </w:rPr>
        <w:t>固体物理研究所、民主德国科学院、联邦德国夫郎霍费应用材料研究所、华南理工大学、中国科学院广州能源所从事研究工</w:t>
      </w:r>
      <w:r>
        <w:rPr>
          <w:spacing w:val="-64"/>
        </w:rPr>
        <w:t> </w:t>
      </w:r>
      <w:r>
        <w:rPr>
          <w:spacing w:val="-64"/>
        </w:rPr>
      </w:r>
      <w:r>
        <w:rPr>
          <w:spacing w:val="-1"/>
        </w:rPr>
        <w:t>作。</w:t>
      </w:r>
      <w:r>
        <w:rPr>
          <w:rFonts w:ascii="Times New Roman" w:hAnsi="Times New Roman" w:cs="Times New Roman" w:eastAsia="Times New Roman" w:hint="default"/>
          <w:spacing w:val="-1"/>
        </w:rPr>
        <w:t>1998</w:t>
      </w:r>
      <w:r>
        <w:rPr>
          <w:spacing w:val="-1"/>
        </w:rPr>
        <w:t>年获得中国科学院</w:t>
      </w:r>
      <w:r>
        <w:rPr>
          <w:rFonts w:ascii="Times New Roman" w:hAnsi="Times New Roman" w:cs="Times New Roman" w:eastAsia="Times New Roman" w:hint="default"/>
          <w:spacing w:val="-1"/>
        </w:rPr>
        <w:t>“</w:t>
      </w:r>
      <w:r>
        <w:rPr>
          <w:spacing w:val="-1"/>
        </w:rPr>
        <w:t>太阳能光电转换及功能材料</w:t>
      </w:r>
      <w:r>
        <w:rPr>
          <w:rFonts w:ascii="Times New Roman" w:hAnsi="Times New Roman" w:cs="Times New Roman" w:eastAsia="Times New Roman" w:hint="default"/>
          <w:spacing w:val="-1"/>
        </w:rPr>
        <w:t>”</w:t>
      </w:r>
      <w:r>
        <w:rPr>
          <w:spacing w:val="-1"/>
        </w:rPr>
        <w:t>为主题的</w:t>
      </w:r>
      <w:r>
        <w:rPr>
          <w:rFonts w:ascii="Times New Roman" w:hAnsi="Times New Roman" w:cs="Times New Roman" w:eastAsia="Times New Roman" w:hint="default"/>
          <w:spacing w:val="-1"/>
        </w:rPr>
        <w:t>“</w:t>
      </w:r>
      <w:r>
        <w:rPr>
          <w:spacing w:val="-1"/>
        </w:rPr>
        <w:t>百人计划</w:t>
      </w:r>
      <w:r>
        <w:rPr>
          <w:rFonts w:ascii="Times New Roman" w:hAnsi="Times New Roman" w:cs="Times New Roman" w:eastAsia="Times New Roman" w:hint="default"/>
          <w:spacing w:val="-1"/>
        </w:rPr>
        <w:t>”</w:t>
      </w:r>
      <w:r>
        <w:rPr>
          <w:spacing w:val="-1"/>
        </w:rPr>
        <w:t>项目。现为中山大学物理科学与工程技术学院</w:t>
      </w:r>
      <w:r>
        <w:rPr>
          <w:spacing w:val="-77"/>
        </w:rPr>
        <w:t> </w:t>
      </w:r>
      <w:r>
        <w:rPr>
          <w:spacing w:val="-77"/>
        </w:rPr>
      </w:r>
      <w:r>
        <w:rPr>
          <w:spacing w:val="-5"/>
        </w:rPr>
        <w:t>教授、博士生导师，担任光电材料与技术国家重点实验室副主任、太阳能系统研究所所长、电力电子与控制技术研究所所长，</w:t>
      </w:r>
      <w:r>
        <w:rPr>
          <w:spacing w:val="-81"/>
        </w:rPr>
        <w:t> </w:t>
      </w:r>
      <w:r>
        <w:rPr>
          <w:spacing w:val="-81"/>
        </w:rPr>
      </w:r>
      <w:r>
        <w:rPr/>
        <w:t>顺德中山大学太阳能研究院院长。</w:t>
      </w:r>
    </w:p>
    <w:p>
      <w:pPr>
        <w:pStyle w:val="Heading2"/>
        <w:spacing w:line="240" w:lineRule="auto" w:before="98"/>
        <w:ind w:left="635" w:right="1115"/>
        <w:jc w:val="left"/>
        <w:rPr>
          <w:b w:val="0"/>
          <w:bCs w:val="0"/>
        </w:rPr>
      </w:pPr>
      <w:r>
        <w:rPr>
          <w:rFonts w:ascii="Times New Roman" w:hAnsi="Times New Roman" w:cs="Times New Roman" w:eastAsia="Times New Roman" w:hint="default"/>
        </w:rPr>
        <w:t>2.</w:t>
      </w:r>
      <w:r>
        <w:rPr/>
        <w:t>监事会成员简历</w:t>
      </w:r>
      <w:r>
        <w:rPr>
          <w:b w:val="0"/>
          <w:bCs w:val="0"/>
        </w:rPr>
      </w:r>
    </w:p>
    <w:p>
      <w:pPr>
        <w:pStyle w:val="BodyText"/>
        <w:spacing w:line="300" w:lineRule="auto" w:before="28"/>
        <w:ind w:right="1130" w:firstLine="482"/>
        <w:jc w:val="both"/>
      </w:pPr>
      <w:r>
        <w:rPr>
          <w:rFonts w:ascii="宋体" w:hAnsi="宋体" w:cs="宋体" w:eastAsia="宋体" w:hint="default"/>
          <w:b/>
          <w:bCs/>
          <w:spacing w:val="-1"/>
        </w:rPr>
        <w:t>周子强先生</w:t>
      </w:r>
      <w:r>
        <w:rPr>
          <w:spacing w:val="-1"/>
        </w:rPr>
        <w:t>，监事会主席，</w:t>
      </w:r>
      <w:r>
        <w:rPr>
          <w:rFonts w:ascii="Times New Roman" w:hAnsi="Times New Roman" w:cs="Times New Roman" w:eastAsia="Times New Roman" w:hint="default"/>
          <w:spacing w:val="-1"/>
        </w:rPr>
        <w:t>1972</w:t>
      </w:r>
      <w:r>
        <w:rPr>
          <w:spacing w:val="-1"/>
        </w:rPr>
        <w:t>年出生，中国国籍，无境外永久居留权。大学本科学历，毕业于中国人民大学。</w:t>
      </w:r>
      <w:r>
        <w:rPr>
          <w:rFonts w:ascii="Times New Roman" w:hAnsi="Times New Roman" w:cs="Times New Roman" w:eastAsia="Times New Roman" w:hint="default"/>
          <w:spacing w:val="-1"/>
        </w:rPr>
        <w:t>1995</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7</w:t>
      </w:r>
      <w:r>
        <w:rPr/>
        <w:t>月起任职于中信银行无锡分行；曾先后任无锡高新技术风险投资股份有限公司总经理、无锡新区创友融资担保有限公司</w:t>
      </w:r>
      <w:r>
        <w:rPr>
          <w:spacing w:val="-84"/>
        </w:rPr>
        <w:t> </w:t>
      </w:r>
      <w:r>
        <w:rPr>
          <w:spacing w:val="-84"/>
        </w:rPr>
      </w:r>
      <w:r>
        <w:rPr/>
        <w:t>总经理。现担任无锡高德创业投资管理有限公司总经理。</w:t>
      </w:r>
    </w:p>
    <w:p>
      <w:pPr>
        <w:pStyle w:val="BodyText"/>
        <w:spacing w:line="300" w:lineRule="auto" w:before="31"/>
        <w:ind w:right="1133" w:firstLine="482"/>
        <w:jc w:val="both"/>
      </w:pPr>
      <w:r>
        <w:rPr>
          <w:rFonts w:ascii="宋体" w:hAnsi="宋体" w:cs="宋体" w:eastAsia="宋体" w:hint="default"/>
          <w:b/>
          <w:bCs/>
          <w:spacing w:val="-1"/>
        </w:rPr>
        <w:t>史强先生</w:t>
      </w:r>
      <w:r>
        <w:rPr>
          <w:spacing w:val="-1"/>
        </w:rPr>
        <w:t>，监事，</w:t>
      </w:r>
      <w:r>
        <w:rPr>
          <w:rFonts w:ascii="Times New Roman" w:hAnsi="Times New Roman" w:cs="Times New Roman" w:eastAsia="Times New Roman" w:hint="default"/>
          <w:spacing w:val="-1"/>
        </w:rPr>
        <w:t>1983</w:t>
      </w:r>
      <w:r>
        <w:rPr>
          <w:spacing w:val="-1"/>
        </w:rPr>
        <w:t>年出生，中国国籍，无境外永久居留权。大学本科学历，毕业于湖南大学。曾先后担任本公司</w:t>
      </w:r>
      <w:r>
        <w:rPr/>
        <w:t> 销售员、销售部经理。现任本公司金属业务销售总监。</w:t>
      </w:r>
    </w:p>
    <w:p>
      <w:pPr>
        <w:pStyle w:val="BodyText"/>
        <w:spacing w:line="300" w:lineRule="auto" w:before="31"/>
        <w:ind w:right="1133" w:firstLine="482"/>
        <w:jc w:val="both"/>
      </w:pPr>
      <w:r>
        <w:rPr>
          <w:rFonts w:ascii="宋体" w:hAnsi="宋体" w:cs="宋体" w:eastAsia="宋体" w:hint="default"/>
          <w:b/>
          <w:bCs/>
          <w:spacing w:val="-1"/>
        </w:rPr>
        <w:t>刘述强先生</w:t>
      </w:r>
      <w:r>
        <w:rPr>
          <w:spacing w:val="-1"/>
        </w:rPr>
        <w:t>，监事，</w:t>
      </w:r>
      <w:r>
        <w:rPr>
          <w:rFonts w:ascii="Times New Roman" w:hAnsi="Times New Roman" w:cs="Times New Roman" w:eastAsia="Times New Roman" w:hint="default"/>
          <w:spacing w:val="-1"/>
        </w:rPr>
        <w:t>1982</w:t>
      </w:r>
      <w:r>
        <w:rPr>
          <w:spacing w:val="-1"/>
        </w:rPr>
        <w:t>年出生，中国国籍，无境外永久居留权。大学本科学历，毕业于江西赣南师范学院。曾先后</w:t>
      </w:r>
      <w:r>
        <w:rPr/>
        <w:t> 担任本公司销售员、市场部经理。现任无锡爱康总经理。</w:t>
      </w:r>
    </w:p>
    <w:p>
      <w:pPr>
        <w:pStyle w:val="Heading2"/>
        <w:spacing w:line="240" w:lineRule="auto" w:before="103"/>
        <w:ind w:left="635" w:right="1115"/>
        <w:jc w:val="left"/>
        <w:rPr>
          <w:b w:val="0"/>
          <w:bCs w:val="0"/>
        </w:rPr>
      </w:pPr>
      <w:r>
        <w:rPr>
          <w:rFonts w:ascii="Times New Roman" w:hAnsi="Times New Roman" w:cs="Times New Roman" w:eastAsia="Times New Roman" w:hint="default"/>
        </w:rPr>
        <w:t>3.</w:t>
      </w:r>
      <w:r>
        <w:rPr/>
        <w:t>其他高级管理人员简历</w:t>
      </w:r>
      <w:r>
        <w:rPr>
          <w:b w:val="0"/>
          <w:bCs w:val="0"/>
        </w:rPr>
      </w:r>
    </w:p>
    <w:p>
      <w:pPr>
        <w:pStyle w:val="BodyText"/>
        <w:spacing w:line="309" w:lineRule="auto" w:before="28"/>
        <w:ind w:right="1130" w:firstLine="482"/>
        <w:jc w:val="right"/>
      </w:pPr>
      <w:r>
        <w:rPr>
          <w:rFonts w:ascii="宋体" w:hAnsi="宋体" w:cs="宋体" w:eastAsia="宋体" w:hint="default"/>
          <w:b/>
          <w:bCs/>
          <w:spacing w:val="-1"/>
        </w:rPr>
        <w:t>李家康先生</w:t>
      </w:r>
      <w:r>
        <w:rPr>
          <w:spacing w:val="-1"/>
        </w:rPr>
        <w:t>：副总经理，</w:t>
      </w:r>
      <w:r>
        <w:rPr>
          <w:rFonts w:ascii="Times New Roman" w:hAnsi="Times New Roman" w:cs="Times New Roman" w:eastAsia="Times New Roman" w:hint="default"/>
          <w:spacing w:val="-1"/>
        </w:rPr>
        <w:t>1968</w:t>
      </w:r>
      <w:r>
        <w:rPr>
          <w:spacing w:val="-1"/>
        </w:rPr>
        <w:t>年出生，中国国籍，无境外永久居留权。大学本科学历，毕业于合肥工业大学。曾任天</w:t>
      </w:r>
      <w:r>
        <w:rPr/>
        <w:t> </w:t>
      </w:r>
      <w:r>
        <w:rPr>
          <w:spacing w:val="-2"/>
        </w:rPr>
        <w:t>邦集团宁波大港装饰材料有限公司销售经理、上海峰航自动化设备有限公司董事副总经理、苏州多彩铝业有限公司常务副总</w:t>
      </w:r>
      <w:r>
        <w:rPr>
          <w:spacing w:val="-74"/>
        </w:rPr>
        <w:t> </w:t>
      </w:r>
      <w:r>
        <w:rPr>
          <w:spacing w:val="-74"/>
        </w:rPr>
      </w:r>
      <w:r>
        <w:rPr>
          <w:spacing w:val="-5"/>
        </w:rPr>
        <w:t>经理、江苏凯迪新材料科技有限公司总经理。现任本公司副总经理，负责公司太阳能电池铝边框和安装支架等金属业务业务。</w:t>
      </w:r>
      <w:r>
        <w:rPr>
          <w:spacing w:val="-85"/>
        </w:rPr>
        <w:t> </w:t>
      </w:r>
      <w:r>
        <w:rPr>
          <w:spacing w:val="-85"/>
        </w:rPr>
      </w:r>
      <w:r>
        <w:rPr>
          <w:rFonts w:ascii="宋体" w:hAnsi="宋体" w:cs="宋体" w:eastAsia="宋体" w:hint="default"/>
          <w:b/>
          <w:bCs/>
          <w:spacing w:val="-1"/>
        </w:rPr>
        <w:t>黄国云先生</w:t>
      </w:r>
      <w:r>
        <w:rPr>
          <w:spacing w:val="-1"/>
        </w:rPr>
        <w:t>：副总经理，</w:t>
      </w:r>
      <w:r>
        <w:rPr>
          <w:rFonts w:ascii="Times New Roman" w:hAnsi="Times New Roman" w:cs="Times New Roman" w:eastAsia="Times New Roman" w:hint="default"/>
          <w:spacing w:val="-1"/>
        </w:rPr>
        <w:t>1961</w:t>
      </w:r>
      <w:r>
        <w:rPr>
          <w:spacing w:val="-1"/>
        </w:rPr>
        <w:t>年出生，中国国籍，无境外永久居留权。大专学历，毕业于江苏农学院，北京大学在读</w:t>
      </w:r>
      <w:r>
        <w:rPr/>
        <w:t> </w:t>
      </w:r>
      <w:r>
        <w:rPr>
          <w:rFonts w:ascii="Times New Roman" w:hAnsi="Times New Roman" w:cs="Times New Roman" w:eastAsia="Times New Roman" w:hint="default"/>
          <w:spacing w:val="-2"/>
        </w:rPr>
        <w:t>EMBA</w:t>
      </w:r>
      <w:r>
        <w:rPr>
          <w:spacing w:val="-2"/>
        </w:rPr>
        <w:t>。曾任江阴市农林局统计员、中国农业银行江阴市澄江支行信贷员、行长、无锡三通科技有限公司副总经理。现任本</w:t>
      </w:r>
    </w:p>
    <w:p>
      <w:pPr>
        <w:pStyle w:val="BodyText"/>
        <w:spacing w:line="316" w:lineRule="auto" w:before="5"/>
        <w:ind w:left="635" w:right="1123" w:hanging="483"/>
        <w:jc w:val="left"/>
      </w:pPr>
      <w:r>
        <w:rPr/>
        <w:t>公司副总经理，负责公司太阳能电站业务。 </w:t>
      </w:r>
      <w:r>
        <w:rPr>
          <w:rFonts w:ascii="宋体" w:hAnsi="宋体" w:cs="宋体" w:eastAsia="宋体" w:hint="default"/>
          <w:b/>
          <w:bCs/>
        </w:rPr>
        <w:t>李衍飞先生</w:t>
      </w:r>
      <w:r>
        <w:rPr/>
        <w:t>：副总经理，</w:t>
      </w:r>
      <w:r>
        <w:rPr>
          <w:rFonts w:ascii="Times New Roman" w:hAnsi="Times New Roman" w:cs="Times New Roman" w:eastAsia="Times New Roman" w:hint="default"/>
        </w:rPr>
        <w:t>1969</w:t>
      </w:r>
      <w:r>
        <w:rPr/>
        <w:t>年出生，中国台湾人，有境外</w:t>
      </w:r>
      <w:r>
        <w:rPr>
          <w:rFonts w:ascii="Times New Roman" w:hAnsi="Times New Roman" w:cs="Times New Roman" w:eastAsia="Times New Roman" w:hint="default"/>
        </w:rPr>
        <w:t>(</w:t>
      </w:r>
      <w:r>
        <w:rPr/>
        <w:t>台湾地区</w:t>
      </w:r>
      <w:r>
        <w:rPr>
          <w:rFonts w:ascii="Times New Roman" w:hAnsi="Times New Roman" w:cs="Times New Roman" w:eastAsia="Times New Roman" w:hint="default"/>
        </w:rPr>
        <w:t>)</w:t>
      </w:r>
      <w:r>
        <w:rPr/>
        <w:t>永久居留权。博士学历</w:t>
      </w:r>
      <w:r>
        <w:rPr>
          <w:spacing w:val="-65"/>
        </w:rPr>
        <w:t> </w:t>
      </w:r>
      <w:r>
        <w:rPr/>
        <w:t>，毕业于上海交通大学</w:t>
      </w:r>
    </w:p>
    <w:p>
      <w:pPr>
        <w:pStyle w:val="BodyText"/>
        <w:spacing w:line="300" w:lineRule="auto"/>
        <w:ind w:right="1128"/>
        <w:jc w:val="both"/>
      </w:pPr>
      <w:r>
        <w:rPr/>
        <w:t>机械动力工程学院工业工程专业 </w:t>
      </w:r>
      <w:r>
        <w:rPr>
          <w:spacing w:val="-3"/>
        </w:rPr>
        <w:t>。曾先后任台湾积体电路公司（</w:t>
      </w:r>
      <w:r>
        <w:rPr>
          <w:rFonts w:ascii="Times New Roman" w:hAnsi="Times New Roman" w:cs="Times New Roman" w:eastAsia="Times New Roman" w:hint="default"/>
          <w:spacing w:val="-3"/>
        </w:rPr>
        <w:t>TSMC</w:t>
      </w:r>
      <w:r>
        <w:rPr>
          <w:spacing w:val="-3"/>
        </w:rPr>
        <w:t>）二厂、五厂资深工程师、主任工程师、技术经理，</w:t>
      </w:r>
      <w:r>
        <w:rPr>
          <w:spacing w:val="-89"/>
        </w:rPr>
        <w:t> </w:t>
      </w:r>
      <w:r>
        <w:rPr>
          <w:spacing w:val="-89"/>
        </w:rPr>
      </w:r>
      <w:r>
        <w:rPr/>
        <w:t>新加坡</w:t>
      </w:r>
      <w:r>
        <w:rPr>
          <w:rFonts w:ascii="Times New Roman" w:hAnsi="Times New Roman" w:cs="Times New Roman" w:eastAsia="Times New Roman" w:hint="default"/>
        </w:rPr>
        <w:t>SSMC </w:t>
      </w:r>
      <w:r>
        <w:rPr/>
        <w:t>半导体公司制造部经理，中芯国际（上海）晶圆二厂制造部资深经理，采钰科技（台湾</w:t>
      </w:r>
      <w:r>
        <w:rPr>
          <w:rFonts w:ascii="Times New Roman" w:hAnsi="Times New Roman" w:cs="Times New Roman" w:eastAsia="Times New Roman" w:hint="default"/>
        </w:rPr>
        <w:t>/</w:t>
      </w:r>
      <w:r>
        <w:rPr/>
        <w:t>上海）生产计划及物</w:t>
      </w:r>
      <w:r>
        <w:rPr>
          <w:spacing w:val="-78"/>
        </w:rPr>
        <w:t> </w:t>
      </w:r>
      <w:r>
        <w:rPr>
          <w:spacing w:val="-78"/>
        </w:rPr>
      </w:r>
      <w:r>
        <w:rPr>
          <w:spacing w:val="-5"/>
        </w:rPr>
        <w:t>流处总监，华虹十二吋晶圆厂项目（上海）</w:t>
      </w:r>
      <w:r>
        <w:rPr>
          <w:spacing w:val="-21"/>
        </w:rPr>
        <w:t> </w:t>
      </w:r>
      <w:r>
        <w:rPr>
          <w:spacing w:val="-3"/>
        </w:rPr>
        <w:t>工业工程及制造处总监，马来西亚</w:t>
      </w:r>
      <w:r>
        <w:rPr>
          <w:rFonts w:ascii="Times New Roman" w:hAnsi="Times New Roman" w:cs="Times New Roman" w:eastAsia="Times New Roman" w:hint="default"/>
          <w:spacing w:val="-3"/>
        </w:rPr>
        <w:t>Silterra</w:t>
      </w:r>
      <w:r>
        <w:rPr>
          <w:spacing w:val="-3"/>
        </w:rPr>
        <w:t>半导体公司制造总监，通用光伏能源</w:t>
      </w:r>
      <w:r>
        <w:rPr>
          <w:rFonts w:ascii="Times New Roman" w:hAnsi="Times New Roman" w:cs="Times New Roman" w:eastAsia="Times New Roman" w:hint="default"/>
          <w:spacing w:val="-3"/>
        </w:rPr>
        <w:t>(</w:t>
      </w:r>
      <w:r>
        <w:rPr>
          <w:spacing w:val="-3"/>
        </w:rPr>
        <w:t>烟</w:t>
      </w:r>
      <w:r>
        <w:rPr>
          <w:spacing w:val="-75"/>
        </w:rPr>
        <w:t> </w:t>
      </w:r>
      <w:r>
        <w:rPr/>
        <w:t>台</w:t>
      </w:r>
      <w:r>
        <w:rPr>
          <w:rFonts w:ascii="Times New Roman" w:hAnsi="Times New Roman" w:cs="Times New Roman" w:eastAsia="Times New Roman" w:hint="default"/>
        </w:rPr>
        <w:t>)</w:t>
      </w:r>
      <w:r>
        <w:rPr/>
        <w:t>有限公司烟台厂厂长。李衍飞先生为美国</w:t>
      </w:r>
      <w:r>
        <w:rPr>
          <w:rFonts w:ascii="Times New Roman" w:hAnsi="Times New Roman" w:cs="Times New Roman" w:eastAsia="Times New Roman" w:hint="default"/>
        </w:rPr>
        <w:t>IEEE </w:t>
      </w:r>
      <w:r>
        <w:rPr/>
        <w:t>电子组件封装和生产技术协会（</w:t>
      </w:r>
      <w:r>
        <w:rPr>
          <w:rFonts w:ascii="Times New Roman" w:hAnsi="Times New Roman" w:cs="Times New Roman" w:eastAsia="Times New Roman" w:hint="default"/>
        </w:rPr>
        <w:t>IEEE CPMT</w:t>
      </w:r>
      <w:r>
        <w:rPr/>
        <w:t>） </w:t>
      </w:r>
      <w:r>
        <w:rPr>
          <w:spacing w:val="-3"/>
        </w:rPr>
        <w:t>；美国</w:t>
      </w:r>
      <w:r>
        <w:rPr>
          <w:rFonts w:ascii="Times New Roman" w:hAnsi="Times New Roman" w:cs="Times New Roman" w:eastAsia="Times New Roman" w:hint="default"/>
          <w:spacing w:val="-3"/>
        </w:rPr>
        <w:t>IEEE</w:t>
      </w:r>
      <w:r>
        <w:rPr>
          <w:rFonts w:ascii="Times New Roman" w:hAnsi="Times New Roman" w:cs="Times New Roman" w:eastAsia="Times New Roman" w:hint="default"/>
          <w:spacing w:val="-13"/>
        </w:rPr>
        <w:t> </w:t>
      </w:r>
      <w:r>
        <w:rPr>
          <w:spacing w:val="-3"/>
        </w:rPr>
        <w:t>系统、人与控</w:t>
      </w:r>
      <w:r>
        <w:rPr/>
        <w:t> </w:t>
      </w:r>
      <w:r>
        <w:rPr>
          <w:spacing w:val="-2"/>
        </w:rPr>
        <w:t>制协会（</w:t>
      </w:r>
      <w:r>
        <w:rPr>
          <w:rFonts w:ascii="Times New Roman" w:hAnsi="Times New Roman" w:cs="Times New Roman" w:eastAsia="Times New Roman" w:hint="default"/>
          <w:spacing w:val="-2"/>
        </w:rPr>
        <w:t>IEEE</w:t>
      </w:r>
      <w:r>
        <w:rPr>
          <w:rFonts w:ascii="Times New Roman" w:hAnsi="Times New Roman" w:cs="Times New Roman" w:eastAsia="Times New Roman" w:hint="default"/>
        </w:rPr>
        <w:t> </w:t>
      </w:r>
      <w:r>
        <w:rPr>
          <w:rFonts w:ascii="Times New Roman" w:hAnsi="Times New Roman" w:cs="Times New Roman" w:eastAsia="Times New Roman" w:hint="default"/>
          <w:spacing w:val="-2"/>
        </w:rPr>
        <w:t>SMC</w:t>
      </w:r>
      <w:r>
        <w:rPr>
          <w:spacing w:val="-2"/>
        </w:rPr>
        <w:t>）；及美国</w:t>
      </w:r>
      <w:r>
        <w:rPr>
          <w:rFonts w:ascii="Times New Roman" w:hAnsi="Times New Roman" w:cs="Times New Roman" w:eastAsia="Times New Roman" w:hint="default"/>
          <w:spacing w:val="-2"/>
        </w:rPr>
        <w:t>IEEE</w:t>
      </w:r>
      <w:r>
        <w:rPr>
          <w:spacing w:val="-2"/>
        </w:rPr>
        <w:t>计算机智能协会（</w:t>
      </w:r>
      <w:r>
        <w:rPr>
          <w:rFonts w:ascii="Times New Roman" w:hAnsi="Times New Roman" w:cs="Times New Roman" w:eastAsia="Times New Roman" w:hint="default"/>
          <w:spacing w:val="-2"/>
        </w:rPr>
        <w:t>IEEE</w:t>
      </w:r>
      <w:r>
        <w:rPr>
          <w:rFonts w:ascii="Times New Roman" w:hAnsi="Times New Roman" w:cs="Times New Roman" w:eastAsia="Times New Roman" w:hint="default"/>
        </w:rPr>
        <w:t> </w:t>
      </w:r>
      <w:r>
        <w:rPr>
          <w:rFonts w:ascii="Times New Roman" w:hAnsi="Times New Roman" w:cs="Times New Roman" w:eastAsia="Times New Roman" w:hint="default"/>
          <w:spacing w:val="-1"/>
        </w:rPr>
        <w:t>CI</w:t>
      </w:r>
      <w:r>
        <w:rPr>
          <w:spacing w:val="-1"/>
        </w:rPr>
        <w:t>）会员。曾担任国家</w:t>
      </w:r>
      <w:r>
        <w:rPr>
          <w:rFonts w:ascii="Times New Roman" w:hAnsi="Times New Roman" w:cs="Times New Roman" w:eastAsia="Times New Roman" w:hint="default"/>
          <w:spacing w:val="-1"/>
        </w:rPr>
        <w:t>863</w:t>
      </w:r>
      <w:r>
        <w:rPr>
          <w:spacing w:val="-1"/>
        </w:rPr>
        <w:t>现代集成技术专题项目</w:t>
      </w:r>
      <w:r>
        <w:rPr>
          <w:rFonts w:ascii="Times New Roman" w:hAnsi="Times New Roman" w:cs="Times New Roman" w:eastAsia="Times New Roman" w:hint="default"/>
          <w:spacing w:val="-1"/>
        </w:rPr>
        <w:t>-</w:t>
      </w:r>
      <w:r>
        <w:rPr>
          <w:spacing w:val="-1"/>
        </w:rPr>
        <w:t>半导体芯片制</w:t>
      </w:r>
      <w:r>
        <w:rPr>
          <w:spacing w:val="-76"/>
        </w:rPr>
        <w:t> </w:t>
      </w:r>
      <w:r>
        <w:rPr/>
        <w:t>造大规模自适应调度优化调度方法及关键技术研究（</w:t>
      </w:r>
      <w:r>
        <w:rPr>
          <w:rFonts w:ascii="Times New Roman" w:hAnsi="Times New Roman" w:cs="Times New Roman" w:eastAsia="Times New Roman" w:hint="default"/>
        </w:rPr>
        <w:t>2006AA04Z128</w:t>
      </w:r>
      <w:r>
        <w:rPr/>
        <w:t>）副负责人。</w:t>
      </w:r>
      <w:r>
        <w:rPr>
          <w:rFonts w:ascii="Times New Roman" w:hAnsi="Times New Roman" w:cs="Times New Roman" w:eastAsia="Times New Roman" w:hint="default"/>
        </w:rPr>
        <w:t>2007 </w:t>
      </w:r>
      <w:r>
        <w:rPr>
          <w:rFonts w:ascii="Times New Roman" w:hAnsi="Times New Roman" w:cs="Times New Roman" w:eastAsia="Times New Roman" w:hint="default"/>
          <w:spacing w:val="1"/>
        </w:rPr>
        <w:t> </w:t>
      </w:r>
      <w:r>
        <w:rPr/>
        <w:t>年入选科技部</w:t>
      </w:r>
      <w:r>
        <w:rPr>
          <w:rFonts w:ascii="Times New Roman" w:hAnsi="Times New Roman" w:cs="Times New Roman" w:eastAsia="Times New Roman" w:hint="default"/>
        </w:rPr>
        <w:t>“</w:t>
      </w:r>
      <w:r>
        <w:rPr/>
        <w:t>国家高技术发展计划</w:t>
      </w:r>
    </w:p>
    <w:p>
      <w:pPr>
        <w:pStyle w:val="BodyText"/>
        <w:spacing w:line="300" w:lineRule="auto" w:before="13"/>
        <w:ind w:right="1132"/>
        <w:jc w:val="both"/>
      </w:pPr>
      <w:r>
        <w:rPr>
          <w:spacing w:val="-2"/>
        </w:rPr>
        <w:t>（</w:t>
      </w:r>
      <w:r>
        <w:rPr>
          <w:rFonts w:ascii="Times New Roman" w:hAnsi="Times New Roman" w:cs="Times New Roman" w:eastAsia="Times New Roman" w:hint="default"/>
          <w:spacing w:val="-2"/>
        </w:rPr>
        <w:t>863</w:t>
      </w:r>
      <w:r>
        <w:rPr>
          <w:spacing w:val="-2"/>
        </w:rPr>
        <w:t>计划）</w:t>
      </w:r>
      <w:r>
        <w:rPr>
          <w:rFonts w:ascii="Times New Roman" w:hAnsi="Times New Roman" w:cs="Times New Roman" w:eastAsia="Times New Roman" w:hint="default"/>
          <w:spacing w:val="-2"/>
        </w:rPr>
        <w:t>”</w:t>
      </w:r>
      <w:r>
        <w:rPr>
          <w:spacing w:val="-2"/>
        </w:rPr>
        <w:t>半导体行业专家库。李衍飞先生有丰富的半导体制造及太阳能电站运营管理经验，现为本公司副总经理，负责</w:t>
      </w:r>
      <w:r>
        <w:rPr>
          <w:spacing w:val="-53"/>
        </w:rPr>
        <w:t> </w:t>
      </w:r>
      <w:r>
        <w:rPr>
          <w:spacing w:val="-53"/>
        </w:rPr>
      </w:r>
      <w:r>
        <w:rPr/>
        <w:t>公司</w:t>
      </w:r>
      <w:r>
        <w:rPr>
          <w:rFonts w:ascii="Times New Roman" w:hAnsi="Times New Roman" w:cs="Times New Roman" w:eastAsia="Times New Roman" w:hint="default"/>
        </w:rPr>
        <w:t>EVA</w:t>
      </w:r>
      <w:r>
        <w:rPr/>
        <w:t>胶膜等新材料业务。</w:t>
      </w:r>
    </w:p>
    <w:p>
      <w:pPr>
        <w:pStyle w:val="BodyText"/>
        <w:spacing w:line="300" w:lineRule="auto" w:before="13"/>
        <w:ind w:right="0" w:firstLine="482"/>
        <w:jc w:val="left"/>
      </w:pPr>
      <w:r>
        <w:rPr>
          <w:rFonts w:ascii="宋体" w:hAnsi="宋体" w:cs="宋体" w:eastAsia="宋体" w:hint="default"/>
          <w:b/>
          <w:bCs/>
          <w:spacing w:val="-4"/>
        </w:rPr>
        <w:t>袁源女士：</w:t>
      </w:r>
      <w:r>
        <w:rPr>
          <w:spacing w:val="-4"/>
        </w:rPr>
        <w:t>副总经理，</w:t>
      </w:r>
      <w:r>
        <w:rPr>
          <w:rFonts w:ascii="Times New Roman" w:hAnsi="Times New Roman" w:cs="Times New Roman" w:eastAsia="Times New Roman" w:hint="default"/>
          <w:spacing w:val="-4"/>
        </w:rPr>
        <w:t>1971</w:t>
      </w:r>
      <w:r>
        <w:rPr>
          <w:spacing w:val="-4"/>
        </w:rPr>
        <w:t>年出生，中国国籍，无境外永久居留权。大学本科学历，毕业于上海财经大学。</w:t>
      </w:r>
      <w:r>
        <w:rPr>
          <w:rFonts w:ascii="Times New Roman" w:hAnsi="Times New Roman" w:cs="Times New Roman" w:eastAsia="Times New Roman" w:hint="default"/>
          <w:spacing w:val="-4"/>
        </w:rPr>
        <w:t>1991</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1994</w:t>
      </w:r>
      <w:r>
        <w:rPr>
          <w:rFonts w:ascii="Times New Roman" w:hAnsi="Times New Roman" w:cs="Times New Roman" w:eastAsia="Times New Roman" w:hint="default"/>
        </w:rPr>
        <w:t> </w:t>
      </w:r>
      <w:r>
        <w:rPr>
          <w:spacing w:val="-3"/>
        </w:rPr>
        <w:t>年在江阴市交通局办公室任职；</w:t>
      </w:r>
      <w:r>
        <w:rPr>
          <w:rFonts w:ascii="Times New Roman" w:hAnsi="Times New Roman" w:cs="Times New Roman" w:eastAsia="Times New Roman" w:hint="default"/>
          <w:spacing w:val="-3"/>
        </w:rPr>
        <w:t>1994</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2000</w:t>
      </w:r>
      <w:r>
        <w:rPr>
          <w:spacing w:val="-3"/>
        </w:rPr>
        <w:t>年任江阴华盛期货有限公司总经理；</w:t>
      </w:r>
      <w:r>
        <w:rPr>
          <w:rFonts w:ascii="Times New Roman" w:hAnsi="Times New Roman" w:cs="Times New Roman" w:eastAsia="Times New Roman" w:hint="default"/>
          <w:spacing w:val="-3"/>
        </w:rPr>
        <w:t>2000</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2009</w:t>
      </w:r>
      <w:r>
        <w:rPr>
          <w:spacing w:val="-3"/>
        </w:rPr>
        <w:t>年任申达集团有限公司资金总监；</w:t>
      </w:r>
      <w:r>
        <w:rPr>
          <w:spacing w:val="-81"/>
        </w:rPr>
        <w:t> </w:t>
      </w:r>
      <w:r>
        <w:rPr>
          <w:spacing w:val="-81"/>
        </w:rPr>
      </w:r>
      <w:r>
        <w:rPr>
          <w:rFonts w:ascii="Times New Roman" w:hAnsi="Times New Roman" w:cs="Times New Roman" w:eastAsia="Times New Roman" w:hint="default"/>
        </w:rPr>
        <w:t>2009</w:t>
      </w:r>
      <w:r>
        <w:rPr/>
        <w:t>年加入本公司，现任副总经理、资金总监，负责公司的投融资业务。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6"/>
        <w:spacing w:line="240" w:lineRule="auto"/>
        <w:ind w:right="0"/>
        <w:jc w:val="both"/>
        <w:rPr>
          <w:b w:val="0"/>
          <w:bCs w:val="0"/>
        </w:rPr>
      </w:pPr>
      <w:r>
        <w:rPr/>
        <w:t>在股东单位任职情况</w:t>
      </w:r>
      <w:r>
        <w:rPr>
          <w:b w:val="0"/>
          <w:bCs w:val="0"/>
        </w:rPr>
      </w:r>
    </w:p>
    <w:p>
      <w:pPr>
        <w:pStyle w:val="BodyText"/>
        <w:spacing w:line="240" w:lineRule="auto" w:before="114"/>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both"/>
        <w:sectPr>
          <w:pgSz w:w="11910" w:h="16840"/>
          <w:pgMar w:header="745" w:footer="1241" w:top="1060" w:bottom="14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江苏爱康实业有限责任公司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周子强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无锡高德创业投资管理有限公司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吕学强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江苏高新创业投资管理公司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海澜集团有限公司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0"/>
              <w:jc w:val="left"/>
              <w:rPr>
                <w:rFonts w:ascii="宋体" w:hAnsi="宋体" w:cs="宋体" w:eastAsia="宋体" w:hint="default"/>
                <w:sz w:val="18"/>
                <w:szCs w:val="18"/>
              </w:rPr>
            </w:pPr>
            <w:r>
              <w:rPr>
                <w:rFonts w:ascii="宋体" w:hAnsi="宋体" w:cs="宋体" w:eastAsia="宋体" w:hint="default"/>
                <w:sz w:val="18"/>
                <w:szCs w:val="18"/>
              </w:rPr>
              <w:t>股权投资总 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52"/>
              <w:jc w:val="left"/>
              <w:rPr>
                <w:rFonts w:ascii="宋体" w:hAnsi="宋体" w:cs="宋体" w:eastAsia="宋体" w:hint="default"/>
                <w:sz w:val="18"/>
                <w:szCs w:val="18"/>
              </w:rPr>
            </w:pPr>
            <w:r>
              <w:rPr>
                <w:rFonts w:ascii="宋体" w:hAnsi="宋体" w:cs="宋体" w:eastAsia="宋体" w:hint="default"/>
                <w:sz w:val="18"/>
                <w:szCs w:val="18"/>
              </w:rPr>
              <w:t>无锡高德创业投资管理有限公司为本公司股东无锡高德创业投资有限公司关联人；江苏高新创业投资管理 公司为本公司股东南通高胜成长创业投资有限公司关联人。</w:t>
            </w:r>
          </w:p>
        </w:tc>
      </w:tr>
    </w:tbl>
    <w:p>
      <w:pPr>
        <w:pStyle w:val="BodyText"/>
        <w:spacing w:line="240" w:lineRule="auto" w:before="49"/>
        <w:ind w:right="1115"/>
        <w:jc w:val="left"/>
      </w:pPr>
      <w:r>
        <w:rPr/>
        <w:t>在其他单位任职情况</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中央财经大学会计学院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副院长、教授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昆山金利表面材料应用科技股份有限公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中国邮政速递物流股份有限公司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山西兰花科技创业股份有限公司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中山大学物理科学与工程技术学院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pacing w:val="-12"/>
                <w:sz w:val="18"/>
                <w:szCs w:val="18"/>
              </w:rPr>
              <w:t>教授、博士生</w:t>
            </w:r>
            <w:r>
              <w:rPr>
                <w:rFonts w:ascii="宋体" w:hAnsi="宋体" w:cs="宋体" w:eastAsia="宋体" w:hint="default"/>
                <w:sz w:val="18"/>
                <w:szCs w:val="18"/>
              </w:rPr>
              <w:t> 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中山大学光电材料与技术国家重点实验 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中山大学太阳能系统研究所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中山大学电力电子与控制技术研究所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顺德中山大学太阳能研究院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首都经济贸易大学人文学院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12"/>
                <w:sz w:val="18"/>
                <w:szCs w:val="18"/>
              </w:rPr>
              <w:t>教授、硕士生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1241" w:top="1060" w:bottom="14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67336" coordorigin="9206,15298" coordsize="2700,1540">
            <v:shape style="position:absolute;left:9206;top:15298;width:2700;height:1540" type="#_x0000_t75" stroked="false">
              <v:imagedata r:id="rId21"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49</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中国成套设备进出口股份有限公司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宝胜科技创新股份有限公司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南京熊猫电子股份有限公司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1115"/>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424" w:right="1122" w:hanging="272"/>
        <w:jc w:val="left"/>
        <w:rPr>
          <w:rFonts w:ascii="宋体" w:hAnsi="宋体" w:cs="宋体" w:eastAsia="宋体" w:hint="default"/>
          <w:sz w:val="18"/>
          <w:szCs w:val="18"/>
        </w:rPr>
      </w:pPr>
      <w:r>
        <w:rPr>
          <w:rFonts w:ascii="宋体" w:hAnsi="宋体" w:cs="宋体" w:eastAsia="宋体" w:hint="default"/>
          <w:b/>
          <w:bCs/>
          <w:sz w:val="18"/>
          <w:szCs w:val="18"/>
        </w:rPr>
        <w:t>董事、监事、高级管理人员报酬的决策程序、确定依据</w:t>
      </w:r>
      <w:r>
        <w:rPr>
          <w:rFonts w:ascii="宋体" w:hAnsi="宋体" w:cs="宋体" w:eastAsia="宋体" w:hint="default"/>
          <w:b/>
          <w:bCs/>
          <w:w w:val="99"/>
          <w:sz w:val="18"/>
          <w:szCs w:val="18"/>
        </w:rPr>
        <w:t> </w:t>
      </w:r>
      <w:r>
        <w:rPr>
          <w:rFonts w:ascii="宋体" w:hAnsi="宋体" w:cs="宋体" w:eastAsia="宋体" w:hint="default"/>
          <w:sz w:val="18"/>
          <w:szCs w:val="18"/>
        </w:rPr>
        <w:t>公司董事会下设薪酬与考核委员会，负责制定、审查公司董事及高级管理人员的薪酬政策与方案，制定公司董事及高级</w:t>
      </w:r>
    </w:p>
    <w:p>
      <w:pPr>
        <w:pStyle w:val="BodyText"/>
        <w:spacing w:line="224" w:lineRule="exact"/>
        <w:ind w:right="0"/>
        <w:jc w:val="left"/>
      </w:pPr>
      <w:r>
        <w:rPr/>
        <w:t>管理人员的考核标准并进行考核。董事或监事的薪酬方案经董事会或监事会审议通过后由股东大会审议确定，高级管理人员</w:t>
      </w:r>
    </w:p>
    <w:p>
      <w:pPr>
        <w:pStyle w:val="BodyText"/>
        <w:spacing w:line="316" w:lineRule="auto" w:before="76"/>
        <w:ind w:left="424" w:right="1115" w:hanging="272"/>
        <w:jc w:val="left"/>
      </w:pPr>
      <w:r>
        <w:rPr/>
        <w:t>的薪酬方案经董事会审议确定。 </w:t>
      </w:r>
      <w:r>
        <w:rPr>
          <w:spacing w:val="-4"/>
        </w:rPr>
        <w:t>公司对在公司领取薪酬的董事（独立董事除外）、监事和高管人员实行绩效考核，并将考核结果与个人收入、奖励挂钩。</w:t>
      </w:r>
    </w:p>
    <w:p>
      <w:pPr>
        <w:pStyle w:val="BodyText"/>
        <w:spacing w:line="316" w:lineRule="auto" w:before="19"/>
        <w:ind w:right="1115"/>
        <w:jc w:val="left"/>
      </w:pPr>
      <w:r>
        <w:rPr>
          <w:spacing w:val="-2"/>
        </w:rPr>
        <w:t>公司与上述人员于每年年初签订目标考核责任书，董事会薪酬与考核委员会在年末结合公司经营业绩、上述人员的目标完成</w:t>
      </w:r>
      <w:r>
        <w:rPr>
          <w:spacing w:val="-64"/>
        </w:rPr>
        <w:t> </w:t>
      </w:r>
      <w:r>
        <w:rPr>
          <w:spacing w:val="-64"/>
        </w:rPr>
      </w:r>
      <w:r>
        <w:rPr/>
        <w:t>情况确定奖励方案。</w:t>
      </w:r>
    </w:p>
    <w:p>
      <w:pPr>
        <w:spacing w:line="360" w:lineRule="auto" w:before="19"/>
        <w:ind w:left="152" w:right="6074" w:firstLine="180"/>
        <w:jc w:val="left"/>
        <w:rPr>
          <w:rFonts w:ascii="宋体" w:hAnsi="宋体" w:cs="宋体" w:eastAsia="宋体" w:hint="default"/>
          <w:sz w:val="18"/>
          <w:szCs w:val="18"/>
        </w:rPr>
      </w:pPr>
      <w:r>
        <w:rPr>
          <w:rFonts w:ascii="宋体" w:hAnsi="宋体" w:cs="宋体" w:eastAsia="宋体" w:hint="default"/>
          <w:sz w:val="18"/>
          <w:szCs w:val="18"/>
        </w:rPr>
        <w:t>报告期董事、监事和高级管理人员报酬已全部实际支付。 </w:t>
      </w:r>
      <w:r>
        <w:rPr>
          <w:rFonts w:ascii="宋体" w:hAnsi="宋体" w:cs="宋体" w:eastAsia="宋体" w:hint="default"/>
          <w:b/>
          <w:bCs/>
          <w:sz w:val="18"/>
          <w:szCs w:val="18"/>
        </w:rPr>
        <w:t>公司报告期内董事、监事和高级管理人员报酬情况</w:t>
      </w:r>
      <w:r>
        <w:rPr>
          <w:rFonts w:ascii="宋体" w:hAnsi="宋体" w:cs="宋体" w:eastAsia="宋体" w:hint="default"/>
          <w:sz w:val="18"/>
          <w:szCs w:val="18"/>
        </w:rPr>
      </w:r>
    </w:p>
    <w:p>
      <w:pPr>
        <w:pStyle w:val="BodyText"/>
        <w:spacing w:line="240" w:lineRule="auto" w:before="2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22.84</w:t>
            </w: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季海瑜</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1"/>
              <w:jc w:val="both"/>
              <w:rPr>
                <w:rFonts w:ascii="宋体" w:hAnsi="宋体" w:cs="宋体" w:eastAsia="宋体" w:hint="default"/>
                <w:sz w:val="18"/>
                <w:szCs w:val="18"/>
              </w:rPr>
            </w:pPr>
            <w:r>
              <w:rPr>
                <w:rFonts w:ascii="宋体" w:hAnsi="宋体" w:cs="宋体" w:eastAsia="宋体" w:hint="default"/>
                <w:sz w:val="18"/>
                <w:szCs w:val="18"/>
              </w:rPr>
              <w:t>副董事长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副总 经理</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董事会秘 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38.74</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11"/>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 理</w:t>
            </w:r>
            <w:r>
              <w:rPr>
                <w:rFonts w:ascii="Times New Roman" w:hAnsi="Times New Roman" w:cs="Times New Roman" w:eastAsia="Times New Roman" w:hint="default"/>
                <w:sz w:val="18"/>
                <w:szCs w:val="18"/>
              </w:rPr>
              <w:t>;</w:t>
            </w: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34.87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34.87</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28.91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28.91</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吕学强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顾东升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周子强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17.86</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刘述强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21.84</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33.94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33.94</w:t>
            </w:r>
          </w:p>
        </w:tc>
      </w:tr>
    </w:tbl>
    <w:p>
      <w:pPr>
        <w:spacing w:after="0" w:line="240" w:lineRule="auto"/>
        <w:jc w:val="right"/>
        <w:rPr>
          <w:rFonts w:ascii="Times New Roman" w:hAnsi="Times New Roman" w:cs="Times New Roman" w:eastAsia="Times New Roman" w:hint="default"/>
          <w:sz w:val="18"/>
          <w:szCs w:val="18"/>
        </w:rPr>
        <w:sectPr>
          <w:headerReference w:type="default" r:id="rId19"/>
          <w:footerReference w:type="default" r:id="rId20"/>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黄国云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39.56</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李家康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48.66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48.66</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李衍飞</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95.56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95.56</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钟德鸣</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110.36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540.71</w:t>
            </w:r>
          </w:p>
        </w:tc>
      </w:tr>
    </w:tbl>
    <w:p>
      <w:pPr>
        <w:pStyle w:val="BodyText"/>
        <w:spacing w:line="240" w:lineRule="auto" w:before="49"/>
        <w:ind w:right="1115"/>
        <w:jc w:val="left"/>
      </w:pPr>
      <w:r>
        <w:rPr/>
        <w:t>公司董事、监事、高级管理人员报告期内被授予的股权激励情况</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钟德鸣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 </w:t>
            </w:r>
            <w:r>
              <w:rPr>
                <w:rFonts w:ascii="宋体" w:hAnsi="宋体" w:cs="宋体" w:eastAsia="宋体" w:hint="default"/>
                <w:spacing w:val="2"/>
                <w:sz w:val="18"/>
                <w:szCs w:val="18"/>
              </w:rPr>
              <w:t> </w:t>
            </w:r>
            <w:r>
              <w:rPr>
                <w:rFonts w:ascii="宋体" w:hAnsi="宋体" w:cs="宋体" w:eastAsia="宋体" w:hint="default"/>
                <w:sz w:val="18"/>
                <w:szCs w:val="18"/>
              </w:rPr>
              <w:t>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顾东升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line="240" w:lineRule="auto" w:before="1"/>
        <w:rPr>
          <w:rFonts w:ascii="宋体" w:hAnsi="宋体" w:cs="宋体" w:eastAsia="宋体" w:hint="default"/>
          <w:b/>
          <w:bCs/>
          <w:sz w:val="18"/>
          <w:szCs w:val="18"/>
        </w:rPr>
      </w:pPr>
    </w:p>
    <w:p>
      <w:pPr>
        <w:spacing w:before="26"/>
        <w:ind w:left="152" w:right="1115"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115"/>
        <w:jc w:val="left"/>
      </w:pPr>
      <w:r>
        <w:rPr/>
        <w:t>无</w:t>
      </w:r>
    </w:p>
    <w:p>
      <w:pPr>
        <w:spacing w:line="240" w:lineRule="auto" w:before="3"/>
        <w:rPr>
          <w:rFonts w:ascii="宋体" w:hAnsi="宋体" w:cs="宋体" w:eastAsia="宋体" w:hint="default"/>
          <w:sz w:val="25"/>
          <w:szCs w:val="25"/>
        </w:rPr>
      </w:pPr>
    </w:p>
    <w:p>
      <w:pPr>
        <w:pStyle w:val="Heading2"/>
        <w:spacing w:line="240" w:lineRule="auto"/>
        <w:ind w:right="1115"/>
        <w:jc w:val="left"/>
        <w:rPr>
          <w:b w:val="0"/>
          <w:bCs w:val="0"/>
        </w:rPr>
      </w:pPr>
      <w:r>
        <w:rPr/>
        <w:t>六、公司员工情况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3517"/>
        <w:gridCol w:w="5984"/>
      </w:tblGrid>
      <w:tr>
        <w:trPr>
          <w:trHeight w:val="346" w:hRule="exact"/>
        </w:trPr>
        <w:tc>
          <w:tcPr>
            <w:tcW w:w="3517" w:type="dxa"/>
            <w:tcBorders>
              <w:top w:val="single" w:sz="6" w:space="0" w:color="000000"/>
              <w:left w:val="single" w:sz="8" w:space="0" w:color="000000"/>
              <w:bottom w:val="single" w:sz="8" w:space="0" w:color="000000"/>
              <w:right w:val="single" w:sz="8" w:space="0" w:color="000000"/>
            </w:tcBorders>
            <w:shd w:val="clear" w:color="auto" w:fill="C5E1FF"/>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在职员工的人数</w:t>
            </w:r>
          </w:p>
        </w:tc>
        <w:tc>
          <w:tcPr>
            <w:tcW w:w="5984" w:type="dxa"/>
            <w:tcBorders>
              <w:top w:val="single" w:sz="10"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1722</w:t>
            </w:r>
          </w:p>
        </w:tc>
      </w:tr>
      <w:tr>
        <w:trPr>
          <w:trHeight w:val="349" w:hRule="exact"/>
        </w:trPr>
        <w:tc>
          <w:tcPr>
            <w:tcW w:w="3517" w:type="dxa"/>
            <w:tcBorders>
              <w:top w:val="single" w:sz="8" w:space="0" w:color="000000"/>
              <w:left w:val="single" w:sz="8" w:space="0" w:color="000000"/>
              <w:bottom w:val="single" w:sz="8" w:space="0" w:color="000000"/>
              <w:right w:val="single" w:sz="8" w:space="0" w:color="000000"/>
            </w:tcBorders>
            <w:shd w:val="clear" w:color="auto" w:fill="C5E1FF"/>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公司需承担费用的离退休职工人数</w:t>
            </w:r>
          </w:p>
        </w:tc>
        <w:tc>
          <w:tcPr>
            <w:tcW w:w="5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0</w:t>
            </w:r>
          </w:p>
        </w:tc>
      </w:tr>
      <w:tr>
        <w:trPr>
          <w:trHeight w:val="341" w:hRule="exact"/>
        </w:trPr>
        <w:tc>
          <w:tcPr>
            <w:tcW w:w="9501" w:type="dxa"/>
            <w:gridSpan w:val="2"/>
            <w:tcBorders>
              <w:top w:val="single" w:sz="8" w:space="0" w:color="000000"/>
              <w:left w:val="single" w:sz="8" w:space="0" w:color="000000"/>
              <w:bottom w:val="single" w:sz="8" w:space="0" w:color="000000"/>
              <w:right w:val="single" w:sz="8" w:space="0" w:color="000000"/>
            </w:tcBorders>
            <w:shd w:val="clear" w:color="auto" w:fill="C5E1FF"/>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46" w:hRule="exact"/>
        </w:trPr>
        <w:tc>
          <w:tcPr>
            <w:tcW w:w="3517" w:type="dxa"/>
            <w:tcBorders>
              <w:top w:val="single" w:sz="8" w:space="0" w:color="000000"/>
              <w:left w:val="single" w:sz="8" w:space="0" w:color="000000"/>
              <w:bottom w:val="single" w:sz="8" w:space="0" w:color="000000"/>
              <w:right w:val="single" w:sz="8" w:space="0" w:color="000000"/>
            </w:tcBorders>
            <w:shd w:val="clear" w:color="auto" w:fill="C5E1FF"/>
          </w:tcPr>
          <w:p>
            <w:pPr>
              <w:pStyle w:val="TableParagraph"/>
              <w:spacing w:line="240" w:lineRule="auto" w:before="16"/>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5984" w:type="dxa"/>
            <w:tcBorders>
              <w:top w:val="single" w:sz="8" w:space="0" w:color="000000"/>
              <w:left w:val="single" w:sz="8" w:space="0" w:color="000000"/>
              <w:bottom w:val="single" w:sz="8" w:space="0" w:color="000000"/>
              <w:right w:val="single" w:sz="8" w:space="0" w:color="000000"/>
            </w:tcBorders>
            <w:shd w:val="clear" w:color="auto" w:fill="C5E1FF"/>
          </w:tcPr>
          <w:p>
            <w:pPr>
              <w:pStyle w:val="TableParagraph"/>
              <w:spacing w:line="240" w:lineRule="auto" w:before="16"/>
              <w:ind w:left="2" w:right="0"/>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352" w:hRule="exact"/>
        </w:trPr>
        <w:tc>
          <w:tcPr>
            <w:tcW w:w="3517" w:type="dxa"/>
            <w:tcBorders>
              <w:top w:val="single" w:sz="8" w:space="0" w:color="000000"/>
              <w:left w:val="single" w:sz="8" w:space="0" w:color="000000"/>
              <w:bottom w:val="single" w:sz="8" w:space="0" w:color="000000"/>
              <w:right w:val="single" w:sz="8" w:space="0" w:color="000000"/>
            </w:tcBorders>
            <w:shd w:val="clear" w:color="auto" w:fill="C5E1FF"/>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598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1223</w:t>
            </w:r>
          </w:p>
        </w:tc>
      </w:tr>
      <w:tr>
        <w:trPr>
          <w:trHeight w:val="348" w:hRule="exact"/>
        </w:trPr>
        <w:tc>
          <w:tcPr>
            <w:tcW w:w="3517" w:type="dxa"/>
            <w:tcBorders>
              <w:top w:val="single" w:sz="8" w:space="0" w:color="000000"/>
              <w:left w:val="single" w:sz="8" w:space="0" w:color="000000"/>
              <w:bottom w:val="single" w:sz="8" w:space="0" w:color="000000"/>
              <w:right w:val="single" w:sz="8" w:space="0" w:color="000000"/>
            </w:tcBorders>
            <w:shd w:val="clear" w:color="auto" w:fill="C5E1FF"/>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5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z w:val="18"/>
              </w:rPr>
              <w:t>70</w:t>
            </w:r>
          </w:p>
        </w:tc>
      </w:tr>
      <w:tr>
        <w:trPr>
          <w:trHeight w:val="346" w:hRule="exact"/>
        </w:trPr>
        <w:tc>
          <w:tcPr>
            <w:tcW w:w="3517" w:type="dxa"/>
            <w:tcBorders>
              <w:top w:val="single" w:sz="8" w:space="0" w:color="000000"/>
              <w:left w:val="single" w:sz="8" w:space="0" w:color="000000"/>
              <w:bottom w:val="single" w:sz="8" w:space="0" w:color="000000"/>
              <w:right w:val="single" w:sz="8" w:space="0" w:color="000000"/>
            </w:tcBorders>
            <w:shd w:val="clear" w:color="auto" w:fill="C5E1FF"/>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5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z w:val="18"/>
              </w:rPr>
              <w:t>196</w:t>
            </w:r>
          </w:p>
        </w:tc>
      </w:tr>
      <w:tr>
        <w:trPr>
          <w:trHeight w:val="348" w:hRule="exact"/>
        </w:trPr>
        <w:tc>
          <w:tcPr>
            <w:tcW w:w="3517" w:type="dxa"/>
            <w:tcBorders>
              <w:top w:val="single" w:sz="8" w:space="0" w:color="000000"/>
              <w:left w:val="single" w:sz="8" w:space="0" w:color="000000"/>
              <w:bottom w:val="single" w:sz="8" w:space="0" w:color="000000"/>
              <w:right w:val="single" w:sz="8" w:space="0" w:color="000000"/>
            </w:tcBorders>
            <w:shd w:val="clear" w:color="auto" w:fill="C5E1FF"/>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5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z w:val="18"/>
              </w:rPr>
              <w:t>50</w:t>
            </w:r>
          </w:p>
        </w:tc>
      </w:tr>
      <w:tr>
        <w:trPr>
          <w:trHeight w:val="348" w:hRule="exact"/>
        </w:trPr>
        <w:tc>
          <w:tcPr>
            <w:tcW w:w="3517" w:type="dxa"/>
            <w:tcBorders>
              <w:top w:val="single" w:sz="8" w:space="0" w:color="000000"/>
              <w:left w:val="single" w:sz="8" w:space="0" w:color="000000"/>
              <w:bottom w:val="single" w:sz="8" w:space="0" w:color="000000"/>
              <w:right w:val="single" w:sz="8" w:space="0" w:color="000000"/>
            </w:tcBorders>
            <w:shd w:val="clear" w:color="auto" w:fill="C5E1FF"/>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5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z w:val="18"/>
              </w:rPr>
              <w:t>183</w:t>
            </w:r>
          </w:p>
        </w:tc>
      </w:tr>
    </w:tbl>
    <w:p>
      <w:pPr>
        <w:spacing w:after="0" w:line="240" w:lineRule="auto"/>
        <w:jc w:val="right"/>
        <w:rPr>
          <w:rFonts w:ascii="Times New Roman" w:hAnsi="Times New Roman" w:cs="Times New Roman" w:eastAsia="Times New Roman" w:hint="default"/>
          <w:sz w:val="18"/>
          <w:szCs w:val="18"/>
        </w:rPr>
        <w:sectPr>
          <w:footerReference w:type="default" r:id="rId22"/>
          <w:pgSz w:w="11910" w:h="16840"/>
          <w:pgMar w:footer="1340" w:header="877" w:top="1060" w:bottom="1540" w:left="980" w:right="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3517"/>
        <w:gridCol w:w="5984"/>
      </w:tblGrid>
      <w:tr>
        <w:trPr>
          <w:trHeight w:val="4098" w:hRule="exact"/>
        </w:trPr>
        <w:tc>
          <w:tcPr>
            <w:tcW w:w="9501" w:type="dxa"/>
            <w:gridSpan w:val="2"/>
            <w:tcBorders>
              <w:top w:val="single" w:sz="6" w:space="0" w:color="000000"/>
              <w:left w:val="single" w:sz="8" w:space="0" w:color="000000"/>
              <w:bottom w:val="single" w:sz="8" w:space="0" w:color="000000"/>
              <w:right w:val="single" w:sz="8" w:space="0" w:color="000000"/>
            </w:tcBorders>
          </w:tcPr>
          <w:p>
            <w:pPr>
              <w:pStyle w:val="TableParagraph"/>
              <w:spacing w:line="4035" w:lineRule="exact"/>
              <w:ind w:left="234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drawing>
                <wp:inline distT="0" distB="0" distL="0" distR="0">
                  <wp:extent cx="3067050" cy="2562225"/>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23" cstate="print"/>
                          <a:stretch>
                            <a:fillRect/>
                          </a:stretch>
                        </pic:blipFill>
                        <pic:spPr>
                          <a:xfrm>
                            <a:off x="0" y="0"/>
                            <a:ext cx="3067050" cy="2562225"/>
                          </a:xfrm>
                          <a:prstGeom prst="rect">
                            <a:avLst/>
                          </a:prstGeom>
                        </pic:spPr>
                      </pic:pic>
                    </a:graphicData>
                  </a:graphic>
                </wp:inline>
              </w:drawing>
            </w:r>
            <w:r>
              <w:rPr>
                <w:rFonts w:ascii="Times New Roman" w:hAnsi="Times New Roman" w:cs="Times New Roman" w:eastAsia="Times New Roman" w:hint="default"/>
                <w:position w:val="-80"/>
                <w:sz w:val="20"/>
                <w:szCs w:val="20"/>
              </w:rPr>
            </w:r>
          </w:p>
        </w:tc>
      </w:tr>
      <w:tr>
        <w:trPr>
          <w:trHeight w:val="337" w:hRule="exact"/>
        </w:trPr>
        <w:tc>
          <w:tcPr>
            <w:tcW w:w="9501" w:type="dxa"/>
            <w:gridSpan w:val="2"/>
            <w:tcBorders>
              <w:top w:val="single" w:sz="8" w:space="0" w:color="000000"/>
              <w:left w:val="single" w:sz="8" w:space="0" w:color="000000"/>
              <w:bottom w:val="single" w:sz="8" w:space="0" w:color="000000"/>
              <w:right w:val="single" w:sz="8" w:space="0" w:color="000000"/>
            </w:tcBorders>
            <w:shd w:val="clear" w:color="auto" w:fill="C5E1FF"/>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54" w:hRule="exact"/>
        </w:trPr>
        <w:tc>
          <w:tcPr>
            <w:tcW w:w="3517" w:type="dxa"/>
            <w:tcBorders>
              <w:top w:val="single" w:sz="8" w:space="0" w:color="000000"/>
              <w:left w:val="single" w:sz="8" w:space="0" w:color="000000"/>
              <w:bottom w:val="single" w:sz="10" w:space="0" w:color="000000"/>
              <w:right w:val="single" w:sz="8" w:space="0" w:color="000000"/>
            </w:tcBorders>
            <w:shd w:val="clear" w:color="auto" w:fill="C5E1FF"/>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5984" w:type="dxa"/>
            <w:tcBorders>
              <w:top w:val="single" w:sz="8" w:space="0" w:color="000000"/>
              <w:left w:val="single" w:sz="8" w:space="0" w:color="000000"/>
              <w:bottom w:val="single" w:sz="8" w:space="0" w:color="000000"/>
              <w:right w:val="single" w:sz="8" w:space="0" w:color="000000"/>
            </w:tcBorders>
            <w:shd w:val="clear" w:color="auto" w:fill="C5E1FF"/>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346" w:hRule="exact"/>
        </w:trPr>
        <w:tc>
          <w:tcPr>
            <w:tcW w:w="3517" w:type="dxa"/>
            <w:tcBorders>
              <w:top w:val="single" w:sz="8" w:space="0" w:color="000000"/>
              <w:left w:val="single" w:sz="8" w:space="0" w:color="000000"/>
              <w:bottom w:val="single" w:sz="8" w:space="0" w:color="000000"/>
              <w:right w:val="single" w:sz="8" w:space="0" w:color="000000"/>
            </w:tcBorders>
            <w:shd w:val="clear" w:color="auto" w:fill="B6DDE8"/>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5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z w:val="18"/>
              </w:rPr>
              <w:t>34</w:t>
            </w:r>
          </w:p>
        </w:tc>
      </w:tr>
      <w:tr>
        <w:trPr>
          <w:trHeight w:val="348" w:hRule="exact"/>
        </w:trPr>
        <w:tc>
          <w:tcPr>
            <w:tcW w:w="3517" w:type="dxa"/>
            <w:tcBorders>
              <w:top w:val="single" w:sz="8" w:space="0" w:color="000000"/>
              <w:left w:val="single" w:sz="8" w:space="0" w:color="000000"/>
              <w:bottom w:val="single" w:sz="8" w:space="0" w:color="000000"/>
              <w:right w:val="single" w:sz="8" w:space="0" w:color="000000"/>
            </w:tcBorders>
            <w:shd w:val="clear" w:color="auto" w:fill="B6DDE8"/>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5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3"/>
              <w:jc w:val="right"/>
              <w:rPr>
                <w:rFonts w:ascii="Times New Roman" w:hAnsi="Times New Roman" w:cs="Times New Roman" w:eastAsia="Times New Roman" w:hint="default"/>
                <w:sz w:val="18"/>
                <w:szCs w:val="18"/>
              </w:rPr>
            </w:pPr>
            <w:r>
              <w:rPr>
                <w:rFonts w:ascii="Times New Roman"/>
                <w:sz w:val="18"/>
              </w:rPr>
              <w:t>290</w:t>
            </w:r>
          </w:p>
        </w:tc>
      </w:tr>
      <w:tr>
        <w:trPr>
          <w:trHeight w:val="346" w:hRule="exact"/>
        </w:trPr>
        <w:tc>
          <w:tcPr>
            <w:tcW w:w="3517" w:type="dxa"/>
            <w:tcBorders>
              <w:top w:val="single" w:sz="8" w:space="0" w:color="000000"/>
              <w:left w:val="single" w:sz="8" w:space="0" w:color="000000"/>
              <w:bottom w:val="single" w:sz="8" w:space="0" w:color="000000"/>
              <w:right w:val="single" w:sz="8" w:space="0" w:color="000000"/>
            </w:tcBorders>
            <w:shd w:val="clear" w:color="auto" w:fill="B6DDE8"/>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5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z w:val="18"/>
              </w:rPr>
              <w:t>252</w:t>
            </w:r>
          </w:p>
        </w:tc>
      </w:tr>
      <w:tr>
        <w:trPr>
          <w:trHeight w:val="348" w:hRule="exact"/>
        </w:trPr>
        <w:tc>
          <w:tcPr>
            <w:tcW w:w="3517" w:type="dxa"/>
            <w:tcBorders>
              <w:top w:val="single" w:sz="8" w:space="0" w:color="000000"/>
              <w:left w:val="single" w:sz="8" w:space="0" w:color="000000"/>
              <w:bottom w:val="single" w:sz="8" w:space="0" w:color="000000"/>
              <w:right w:val="single" w:sz="8" w:space="0" w:color="000000"/>
            </w:tcBorders>
            <w:shd w:val="clear" w:color="auto" w:fill="B6DDE8"/>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5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1146</w:t>
            </w:r>
          </w:p>
        </w:tc>
      </w:tr>
      <w:tr>
        <w:trPr>
          <w:trHeight w:val="4092" w:hRule="exact"/>
        </w:trPr>
        <w:tc>
          <w:tcPr>
            <w:tcW w:w="950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0"/>
                <w:szCs w:val="10"/>
              </w:rPr>
            </w:pPr>
          </w:p>
          <w:p>
            <w:pPr>
              <w:pStyle w:val="TableParagraph"/>
              <w:spacing w:line="3827" w:lineRule="exact"/>
              <w:ind w:left="280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6"/>
                <w:sz w:val="20"/>
                <w:szCs w:val="20"/>
              </w:rPr>
              <w:drawing>
                <wp:inline distT="0" distB="0" distL="0" distR="0">
                  <wp:extent cx="2468426" cy="2430303"/>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24" cstate="print"/>
                          <a:stretch>
                            <a:fillRect/>
                          </a:stretch>
                        </pic:blipFill>
                        <pic:spPr>
                          <a:xfrm>
                            <a:off x="0" y="0"/>
                            <a:ext cx="2468426" cy="2430303"/>
                          </a:xfrm>
                          <a:prstGeom prst="rect">
                            <a:avLst/>
                          </a:prstGeom>
                        </pic:spPr>
                      </pic:pic>
                    </a:graphicData>
                  </a:graphic>
                </wp:inline>
              </w:drawing>
            </w:r>
            <w:r>
              <w:rPr>
                <w:rFonts w:ascii="Times New Roman" w:hAnsi="Times New Roman" w:cs="Times New Roman" w:eastAsia="Times New Roman" w:hint="default"/>
                <w:position w:val="-76"/>
                <w:sz w:val="20"/>
                <w:szCs w:val="20"/>
              </w:rPr>
            </w:r>
          </w:p>
        </w:tc>
      </w:tr>
    </w:tbl>
    <w:p>
      <w:pPr>
        <w:spacing w:after="0" w:line="3827" w:lineRule="exact"/>
        <w:jc w:val="left"/>
        <w:rPr>
          <w:rFonts w:ascii="Times New Roman" w:hAnsi="Times New Roman" w:cs="Times New Roman" w:eastAsia="Times New Roman" w:hint="default"/>
          <w:sz w:val="20"/>
          <w:szCs w:val="20"/>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37"/>
        <w:ind w:left="614" w:right="1590" w:firstLine="0"/>
        <w:jc w:val="center"/>
        <w:rPr>
          <w:rFonts w:ascii="宋体" w:hAnsi="宋体" w:cs="宋体" w:eastAsia="宋体" w:hint="default"/>
          <w:sz w:val="32"/>
          <w:szCs w:val="32"/>
        </w:rPr>
      </w:pPr>
      <w:r>
        <w:rPr>
          <w:rFonts w:ascii="宋体" w:hAnsi="宋体" w:cs="宋体" w:eastAsia="宋体" w:hint="default"/>
          <w:b/>
          <w:bCs/>
          <w:sz w:val="32"/>
          <w:szCs w:val="32"/>
        </w:rPr>
        <w:t>第八节</w:t>
      </w:r>
      <w:r>
        <w:rPr>
          <w:rFonts w:ascii="宋体" w:hAnsi="宋体" w:cs="宋体" w:eastAsia="宋体" w:hint="default"/>
          <w:b/>
          <w:bCs/>
          <w:spacing w:val="-2"/>
          <w:sz w:val="32"/>
          <w:szCs w:val="32"/>
        </w:rPr>
        <w:t> </w:t>
      </w:r>
      <w:r>
        <w:rPr>
          <w:rFonts w:ascii="宋体" w:hAnsi="宋体" w:cs="宋体" w:eastAsia="宋体" w:hint="default"/>
          <w:b/>
          <w:bCs/>
          <w:sz w:val="32"/>
          <w:szCs w:val="32"/>
        </w:rPr>
        <w:t>公司治理</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spacing w:before="26"/>
        <w:ind w:left="152" w:right="0" w:firstLine="0"/>
        <w:jc w:val="both"/>
        <w:rPr>
          <w:rFonts w:ascii="宋体" w:hAnsi="宋体" w:cs="宋体" w:eastAsia="宋体" w:hint="default"/>
          <w:sz w:val="24"/>
          <w:szCs w:val="24"/>
        </w:rPr>
      </w:pPr>
      <w:r>
        <w:rPr>
          <w:rFonts w:ascii="宋体" w:hAnsi="宋体" w:cs="宋体" w:eastAsia="宋体" w:hint="default"/>
          <w:b/>
          <w:bCs/>
          <w:sz w:val="24"/>
          <w:szCs w:val="24"/>
        </w:rPr>
        <w:t>一、公司治理的基本状况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316" w:lineRule="auto"/>
        <w:ind w:right="1130" w:firstLine="480"/>
        <w:jc w:val="both"/>
      </w:pPr>
      <w:r>
        <w:rPr>
          <w:spacing w:val="-1"/>
        </w:rPr>
        <w:t>公司严格按照《公司法》、《证券法》和中国证监会有关法律法规的要求，不断完善公司法人治理结构，建立现代企</w:t>
      </w:r>
      <w:r>
        <w:rPr/>
        <w:t> </w:t>
      </w:r>
      <w:r>
        <w:rPr>
          <w:spacing w:val="-2"/>
        </w:rPr>
        <w:t>业制度，规范公司运作，不断完善公司法人治理结构，建立了较为完备的公司治理及内部控制规章制度，同时根据监管部门</w:t>
      </w:r>
      <w:r>
        <w:rPr>
          <w:spacing w:val="-64"/>
        </w:rPr>
        <w:t> </w:t>
      </w:r>
      <w:r>
        <w:rPr>
          <w:spacing w:val="-64"/>
        </w:rPr>
      </w:r>
      <w:r>
        <w:rPr>
          <w:spacing w:val="-2"/>
        </w:rPr>
        <w:t>的最新要求，及时对制度进行修订和完善。报告期内，公司制定或制订了了《股东大会累积投票制实施细则》、《期货套期</w:t>
      </w:r>
      <w:r>
        <w:rPr>
          <w:spacing w:val="-71"/>
        </w:rPr>
        <w:t> </w:t>
      </w:r>
      <w:r>
        <w:rPr>
          <w:spacing w:val="-71"/>
        </w:rPr>
      </w:r>
      <w:r>
        <w:rPr>
          <w:spacing w:val="-2"/>
        </w:rPr>
        <w:t>保值业务内部控制制度》、《公司章程》，进一步规范了公司治理。截至报告期末，公司治理实际情况基本符合中国证监会</w:t>
      </w:r>
      <w:r>
        <w:rPr>
          <w:spacing w:val="-71"/>
        </w:rPr>
        <w:t> </w:t>
      </w:r>
      <w:r>
        <w:rPr>
          <w:spacing w:val="-71"/>
        </w:rPr>
      </w:r>
      <w:r>
        <w:rPr/>
        <w:t>发布的有关上市公司治理的规范性文件的要求。</w:t>
      </w:r>
    </w:p>
    <w:p>
      <w:pPr>
        <w:pStyle w:val="BodyText"/>
        <w:spacing w:line="312" w:lineRule="auto" w:before="19"/>
        <w:ind w:right="1034" w:firstLine="480"/>
        <w:jc w:val="left"/>
      </w:pPr>
      <w:r>
        <w:rPr>
          <w:rFonts w:ascii="Times New Roman" w:hAnsi="Times New Roman" w:cs="Times New Roman" w:eastAsia="Times New Roman" w:hint="default"/>
          <w:spacing w:val="-3"/>
        </w:rPr>
        <w:t>1</w:t>
      </w:r>
      <w:r>
        <w:rPr>
          <w:spacing w:val="-3"/>
        </w:rPr>
        <w:t>、关于股东与股东大会：公司能够根据《上市公司股东大会规则》的要求及公司制定的《股东大会议事规则》召集、</w:t>
      </w:r>
      <w:r>
        <w:rPr/>
        <w:t> </w:t>
      </w:r>
      <w:r>
        <w:rPr>
          <w:spacing w:val="-2"/>
        </w:rPr>
        <w:t>召开股东大会。公司能够平等对待所有股东，特别是中小股东享有平等地位，能够充分行使自己的权利。报告期内，根据中</w:t>
      </w:r>
      <w:r>
        <w:rPr>
          <w:spacing w:val="-67"/>
        </w:rPr>
        <w:t> </w:t>
      </w:r>
      <w:r>
        <w:rPr>
          <w:spacing w:val="-67"/>
        </w:rPr>
      </w:r>
      <w:r>
        <w:rPr/>
        <w:t>国证监会及江苏证监局和深圳证券交易所关于落实现金分红的有关规定，结合公司实际情况，公司及时修订公司《章程》，</w:t>
      </w:r>
      <w:r>
        <w:rPr>
          <w:spacing w:val="-83"/>
        </w:rPr>
        <w:t> </w:t>
      </w:r>
      <w:r>
        <w:rPr>
          <w:spacing w:val="-83"/>
        </w:rPr>
      </w:r>
      <w:r>
        <w:rPr/>
        <w:t>落实现金分红政策，切实保护广大投资者的利益。</w:t>
      </w:r>
    </w:p>
    <w:p>
      <w:pPr>
        <w:pStyle w:val="BodyText"/>
        <w:spacing w:line="312" w:lineRule="auto" w:before="22"/>
        <w:ind w:right="1034" w:firstLine="288"/>
        <w:jc w:val="left"/>
      </w:pPr>
      <w:r>
        <w:rPr>
          <w:rFonts w:ascii="Times New Roman" w:hAnsi="Times New Roman" w:cs="Times New Roman" w:eastAsia="Times New Roman" w:hint="default"/>
          <w:spacing w:val="-2"/>
        </w:rPr>
        <w:t>2</w:t>
      </w:r>
      <w:r>
        <w:rPr>
          <w:spacing w:val="-2"/>
        </w:rPr>
        <w:t>、关于控股股东与上市公司的关系：公司具有独立的业务及自主经营能力，公司控股股东江苏爱康实业有限责任公司、</w:t>
      </w:r>
      <w:r>
        <w:rPr/>
        <w:t> </w:t>
      </w:r>
      <w:r>
        <w:rPr>
          <w:spacing w:val="-2"/>
        </w:rPr>
        <w:t>爱康国际控股有限公司、江阴爱康投资有限公司严格规范自己的行为，通过股东大会行使出资人的权利，没有超越股东大会</w:t>
      </w:r>
      <w:r>
        <w:rPr>
          <w:spacing w:val="-62"/>
        </w:rPr>
        <w:t> </w:t>
      </w:r>
      <w:r>
        <w:rPr>
          <w:spacing w:val="-62"/>
        </w:rPr>
      </w:r>
      <w:r>
        <w:rPr/>
        <w:t>直接或间接干预公司的决策和经营活动，公司与控股股东进行的关联交易公平合理，公司与控股股东在人员、资产、财务、</w:t>
      </w:r>
      <w:r>
        <w:rPr>
          <w:spacing w:val="-83"/>
        </w:rPr>
        <w:t> </w:t>
      </w:r>
      <w:r>
        <w:rPr>
          <w:spacing w:val="-83"/>
        </w:rPr>
      </w:r>
      <w:r>
        <w:rPr/>
        <w:t>机构、业务上做到了相互独立，公司董事会、监事会和内部机构能够独立运作。</w:t>
      </w:r>
    </w:p>
    <w:p>
      <w:pPr>
        <w:pStyle w:val="BodyText"/>
        <w:spacing w:line="309" w:lineRule="auto" w:before="22"/>
        <w:ind w:right="1132" w:firstLine="432"/>
        <w:jc w:val="both"/>
      </w:pPr>
      <w:r>
        <w:rPr>
          <w:rFonts w:ascii="Times New Roman" w:hAnsi="Times New Roman" w:cs="Times New Roman" w:eastAsia="Times New Roman" w:hint="default"/>
          <w:spacing w:val="-2"/>
        </w:rPr>
        <w:t>3</w:t>
      </w:r>
      <w:r>
        <w:rPr>
          <w:spacing w:val="-2"/>
        </w:rPr>
        <w:t>、关于董事和董事会：公司严格按照《公司法》、《公司章程》规定的选聘程序选举董事，聘请独立董事，公司董事</w:t>
      </w:r>
      <w:r>
        <w:rPr/>
        <w:t> </w:t>
      </w:r>
      <w:r>
        <w:rPr>
          <w:spacing w:val="-2"/>
        </w:rPr>
        <w:t>会人数和人员构成符合法律、法规的要求，公司各位董事能够依据《董事会议事规则》等制度，认真出席董事会会议，行使</w:t>
      </w:r>
      <w:r>
        <w:rPr>
          <w:spacing w:val="-68"/>
        </w:rPr>
        <w:t> </w:t>
      </w:r>
      <w:r>
        <w:rPr>
          <w:spacing w:val="-68"/>
        </w:rPr>
      </w:r>
      <w:r>
        <w:rPr/>
        <w:t>相应职责。</w:t>
      </w:r>
    </w:p>
    <w:p>
      <w:pPr>
        <w:pStyle w:val="BodyText"/>
        <w:spacing w:line="309" w:lineRule="auto" w:before="24"/>
        <w:ind w:right="1135" w:firstLine="288"/>
        <w:jc w:val="both"/>
      </w:pPr>
      <w:r>
        <w:rPr>
          <w:rFonts w:ascii="Times New Roman" w:hAnsi="Times New Roman" w:cs="Times New Roman" w:eastAsia="Times New Roman" w:hint="default"/>
        </w:rPr>
        <w:t>4</w:t>
      </w:r>
      <w:r>
        <w:rPr/>
        <w:t>、关于监事和监事会：公司监事会严格执行《公司法》、《公司章程》的有关规定，人数和人员构成符合法律、法规 </w:t>
      </w:r>
      <w:r>
        <w:rPr>
          <w:spacing w:val="-2"/>
        </w:rPr>
        <w:t>的要求，能够依据《监事会议事规则》等制度，认真履行自己的职责，对公司财务以及董事和其他高级管理人员履行职责的</w:t>
      </w:r>
      <w:r>
        <w:rPr>
          <w:spacing w:val="-67"/>
        </w:rPr>
        <w:t> </w:t>
      </w:r>
      <w:r>
        <w:rPr>
          <w:spacing w:val="-67"/>
        </w:rPr>
      </w:r>
      <w:r>
        <w:rPr/>
        <w:t>合法合规性进行监督，并独立发表意见。</w:t>
      </w:r>
    </w:p>
    <w:p>
      <w:pPr>
        <w:pStyle w:val="BodyText"/>
        <w:spacing w:line="300" w:lineRule="auto" w:before="24"/>
        <w:ind w:right="1115" w:firstLine="288"/>
        <w:jc w:val="left"/>
      </w:pPr>
      <w:r>
        <w:rPr>
          <w:rFonts w:ascii="Times New Roman" w:hAnsi="Times New Roman" w:cs="Times New Roman" w:eastAsia="Times New Roman" w:hint="default"/>
        </w:rPr>
        <w:t>5</w:t>
      </w:r>
      <w:r>
        <w:rPr/>
        <w:t>、关于绩效评价与激励约束机制：公司绩效评价与激励机制公正透明，董事、监事以及高级管理人员的薪酬与公司绩 效和个人业绩挂钩；高级管理人员的聘任严格遵循《公司章程》及有关法律、法规的规定。</w:t>
      </w:r>
    </w:p>
    <w:p>
      <w:pPr>
        <w:pStyle w:val="BodyText"/>
        <w:spacing w:line="307" w:lineRule="auto" w:before="31"/>
        <w:ind w:right="1129" w:firstLine="432"/>
        <w:jc w:val="both"/>
      </w:pPr>
      <w:r>
        <w:rPr>
          <w:rFonts w:ascii="Times New Roman" w:hAnsi="Times New Roman" w:cs="Times New Roman" w:eastAsia="Times New Roman" w:hint="default"/>
          <w:spacing w:val="-2"/>
        </w:rPr>
        <w:t>6</w:t>
      </w:r>
      <w:r>
        <w:rPr>
          <w:spacing w:val="-2"/>
        </w:rPr>
        <w:t>、关于信息披露与透明度：公司指定董事会秘书负责信息披露工作、接待股东来访和咨询，指定《证券时报》、《上</w:t>
      </w:r>
      <w:r>
        <w:rPr/>
        <w:t> 海证券报》、《中国证券报》、《证券日报》、巨潮网资讯网（</w:t>
      </w:r>
      <w:hyperlink r:id="rId11">
        <w:r>
          <w:rPr>
            <w:rFonts w:ascii="Times New Roman" w:hAnsi="Times New Roman" w:cs="Times New Roman" w:eastAsia="Times New Roman" w:hint="default"/>
          </w:rPr>
          <w:t>http://www.cninfo.com.cn</w:t>
        </w:r>
      </w:hyperlink>
      <w:r>
        <w:rPr/>
        <w:t>）为公司信息披露的指定报纸和网 </w:t>
      </w:r>
      <w:r>
        <w:rPr>
          <w:spacing w:val="-2"/>
        </w:rPr>
        <w:t>站；公司严格按照有关法律法规及公司制定的《信息披露管理制度》的要求，真实、准确、完整、及时的披露有关信息，确</w:t>
      </w:r>
      <w:r>
        <w:rPr>
          <w:spacing w:val="-65"/>
        </w:rPr>
        <w:t> </w:t>
      </w:r>
      <w:r>
        <w:rPr>
          <w:spacing w:val="-65"/>
        </w:rPr>
      </w:r>
      <w:r>
        <w:rPr/>
        <w:t>保所有股东有平等的机会获得信息。</w:t>
      </w:r>
    </w:p>
    <w:p>
      <w:pPr>
        <w:pStyle w:val="BodyText"/>
        <w:spacing w:line="300" w:lineRule="auto" w:before="26"/>
        <w:ind w:right="1132" w:firstLine="360"/>
        <w:jc w:val="both"/>
      </w:pPr>
      <w:r>
        <w:rPr>
          <w:rFonts w:ascii="Times New Roman" w:hAnsi="Times New Roman" w:cs="Times New Roman" w:eastAsia="Times New Roman" w:hint="default"/>
          <w:spacing w:val="-4"/>
        </w:rPr>
        <w:t>7</w:t>
      </w:r>
      <w:r>
        <w:rPr>
          <w:spacing w:val="-4"/>
        </w:rPr>
        <w:t>、关于相关利益者：公司能够充分尊重和维护相关利益者的合法权益，实现股东、员工、社会等各方利益的协调平衡，</w:t>
      </w:r>
      <w:r>
        <w:rPr/>
        <w:t> 共同推动公司持续、健康的发展。</w:t>
      </w:r>
    </w:p>
    <w:p>
      <w:pPr>
        <w:spacing w:line="240" w:lineRule="auto" w:before="0"/>
        <w:rPr>
          <w:rFonts w:ascii="宋体" w:hAnsi="宋体" w:cs="宋体" w:eastAsia="宋体" w:hint="default"/>
          <w:sz w:val="18"/>
          <w:szCs w:val="18"/>
        </w:rPr>
      </w:pPr>
    </w:p>
    <w:p>
      <w:pPr>
        <w:pStyle w:val="Heading6"/>
        <w:spacing w:line="240" w:lineRule="auto" w:before="148"/>
        <w:ind w:right="0"/>
        <w:jc w:val="both"/>
        <w:rPr>
          <w:b w:val="0"/>
          <w:bCs w:val="0"/>
        </w:rPr>
      </w:pPr>
      <w:r>
        <w:rPr/>
        <w:t>公司治理与《公司法》和中国证监会相关规定的要求是否存在差异</w:t>
      </w:r>
      <w:r>
        <w:rPr>
          <w:b w:val="0"/>
          <w:bCs w:val="0"/>
        </w:rPr>
      </w:r>
    </w:p>
    <w:p>
      <w:pPr>
        <w:pStyle w:val="BodyText"/>
        <w:spacing w:line="340" w:lineRule="auto" w:before="115"/>
        <w:ind w:right="55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公司治理与《公司法》和中国证监会相关规定的要求不存在差异。</w:t>
      </w:r>
    </w:p>
    <w:p>
      <w:pPr>
        <w:spacing w:line="360" w:lineRule="auto" w:before="39"/>
        <w:ind w:left="513" w:right="1128" w:hanging="361"/>
        <w:jc w:val="left"/>
        <w:rPr>
          <w:rFonts w:ascii="宋体" w:hAnsi="宋体" w:cs="宋体" w:eastAsia="宋体" w:hint="default"/>
          <w:sz w:val="18"/>
          <w:szCs w:val="18"/>
        </w:rPr>
      </w:pPr>
      <w:r>
        <w:rPr>
          <w:rFonts w:ascii="宋体" w:hAnsi="宋体" w:cs="宋体" w:eastAsia="宋体" w:hint="default"/>
          <w:b/>
          <w:bCs/>
          <w:sz w:val="18"/>
          <w:szCs w:val="18"/>
        </w:rPr>
        <w:t>公司治理专项活动开展情况以及内幕信息知情人登记管理制度的制定、实施情况</w:t>
      </w:r>
      <w:r>
        <w:rPr>
          <w:rFonts w:ascii="宋体" w:hAnsi="宋体" w:cs="宋体" w:eastAsia="宋体" w:hint="default"/>
          <w:b/>
          <w:bCs/>
          <w:w w:val="99"/>
          <w:sz w:val="18"/>
          <w:szCs w:val="18"/>
        </w:rPr>
        <w:t> </w:t>
      </w:r>
      <w:r>
        <w:rPr>
          <w:rFonts w:ascii="宋体" w:hAnsi="宋体" w:cs="宋体" w:eastAsia="宋体" w:hint="default"/>
          <w:spacing w:val="-7"/>
          <w:sz w:val="18"/>
          <w:szCs w:val="18"/>
        </w:rPr>
        <w:t>公司制订了《内幕信息知情人登记管理制度》，并经公司</w:t>
      </w:r>
      <w:r>
        <w:rPr>
          <w:rFonts w:ascii="宋体" w:hAnsi="宋体" w:cs="宋体" w:eastAsia="宋体" w:hint="default"/>
          <w:spacing w:val="-41"/>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日召开的第一届董事会第九次临时会议审议通</w:t>
      </w:r>
    </w:p>
    <w:p>
      <w:pPr>
        <w:pStyle w:val="BodyText"/>
        <w:spacing w:line="199" w:lineRule="exact"/>
        <w:ind w:right="0"/>
        <w:jc w:val="both"/>
      </w:pPr>
      <w:r>
        <w:rPr/>
        <w:t>过后执行。报告期内，公司严格执行《内幕信息知情人登记管理制度</w:t>
      </w:r>
      <w:r>
        <w:rPr>
          <w:spacing w:val="-92"/>
        </w:rPr>
        <w:t>》</w:t>
      </w:r>
      <w:r>
        <w:rPr/>
        <w:t>，能够按照制度要</w:t>
      </w:r>
      <w:r>
        <w:rPr>
          <w:spacing w:val="2"/>
        </w:rPr>
        <w:t>求</w:t>
      </w:r>
      <w:r>
        <w:rPr/>
        <w:t>，做好内幕信息管理以及内幕信</w:t>
      </w:r>
    </w:p>
    <w:p>
      <w:pPr>
        <w:pStyle w:val="BodyText"/>
        <w:spacing w:line="316" w:lineRule="auto" w:before="76"/>
        <w:ind w:right="1130"/>
        <w:jc w:val="both"/>
      </w:pPr>
      <w:r>
        <w:rPr>
          <w:spacing w:val="-2"/>
        </w:rPr>
        <w:t>息知情人登记工作，能够如实、完整登记内幕信息在公开披露前的报告、传递、编制、审核、披露等各环节所有内幕信息知</w:t>
      </w:r>
      <w:r>
        <w:rPr>
          <w:spacing w:val="-70"/>
        </w:rPr>
        <w:t> </w:t>
      </w:r>
      <w:r>
        <w:rPr>
          <w:spacing w:val="-70"/>
        </w:rPr>
      </w:r>
      <w:r>
        <w:rPr>
          <w:spacing w:val="-2"/>
        </w:rPr>
        <w:t>情人名单。报告期内，公司对内幕信息知情人买卖本公司股票及其衍生品种的情况进行严格自查，没有发现任何违法违规现</w:t>
      </w:r>
      <w:r>
        <w:rPr>
          <w:spacing w:val="-66"/>
        </w:rPr>
        <w:t> </w:t>
      </w:r>
      <w:r>
        <w:rPr>
          <w:spacing w:val="-66"/>
        </w:rPr>
      </w:r>
      <w:r>
        <w:rPr>
          <w:spacing w:val="-2"/>
        </w:rPr>
        <w:t>象。公司及相关人员没有因内幕交易而被监管部门采取监管措施或行政处罚的情况，董事、监事和高级管理人员没有违规买</w:t>
      </w:r>
    </w:p>
    <w:p>
      <w:pPr>
        <w:spacing w:after="0" w:line="316" w:lineRule="auto"/>
        <w:jc w:val="both"/>
        <w:sectPr>
          <w:pgSz w:w="11910" w:h="16840"/>
          <w:pgMar w:header="877" w:footer="1340" w:top="1060" w:bottom="154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967288" coordorigin="9206,15298" coordsize="2700,1540">
            <v:shape style="position:absolute;left:9206;top:15298;width:2700;height:1540" type="#_x0000_t75" stroked="false">
              <v:imagedata r:id="rId21"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53</w:t>
                    </w:r>
                  </w:p>
                </w:txbxContent>
              </v:textbox>
              <w10:wrap type="none"/>
            </v:shape>
            <w10:wrap type="none"/>
          </v:group>
        </w:pict>
      </w:r>
    </w:p>
    <w:p>
      <w:pPr>
        <w:pStyle w:val="BodyText"/>
        <w:spacing w:line="300" w:lineRule="auto" w:before="44"/>
        <w:ind w:right="1131"/>
        <w:jc w:val="both"/>
      </w:pPr>
      <w:r>
        <w:rPr>
          <w:spacing w:val="-3"/>
        </w:rPr>
        <w:t>卖公司股票的情况。根据江苏证监局《关于开展公司治理专项活动的通知》（苏证监公司字</w:t>
      </w:r>
      <w:r>
        <w:rPr>
          <w:rFonts w:ascii="Times New Roman" w:hAnsi="Times New Roman" w:cs="Times New Roman" w:eastAsia="Times New Roman" w:hint="default"/>
          <w:spacing w:val="-3"/>
        </w:rPr>
        <w:t>[2011]295</w:t>
      </w:r>
      <w:r>
        <w:rPr>
          <w:rFonts w:ascii="Times New Roman" w:hAnsi="Times New Roman" w:cs="Times New Roman" w:eastAsia="Times New Roman" w:hint="default"/>
          <w:spacing w:val="10"/>
        </w:rPr>
        <w:t> </w:t>
      </w:r>
      <w:r>
        <w:rPr>
          <w:spacing w:val="-3"/>
        </w:rPr>
        <w:t>号）的要求，公司在年</w:t>
      </w:r>
      <w:r>
        <w:rPr>
          <w:spacing w:val="-88"/>
        </w:rPr>
        <w:t> </w:t>
      </w:r>
      <w:r>
        <w:rPr>
          <w:spacing w:val="-88"/>
        </w:rPr>
      </w:r>
      <w:r>
        <w:rPr>
          <w:spacing w:val="-3"/>
        </w:rPr>
        <w:t>初开展了一次上市公司治理的自查活动。《关于加强上市公司治理专项活动的自查事项报告》和《关于</w:t>
      </w:r>
      <w:r>
        <w:rPr>
          <w:rFonts w:ascii="Times New Roman" w:hAnsi="Times New Roman" w:cs="Times New Roman" w:eastAsia="Times New Roman" w:hint="default"/>
          <w:spacing w:val="-3"/>
        </w:rPr>
        <w:t>“</w:t>
      </w:r>
      <w:r>
        <w:rPr>
          <w:spacing w:val="-3"/>
        </w:rPr>
        <w:t>加强上市公司治理专</w:t>
      </w:r>
      <w:r>
        <w:rPr>
          <w:spacing w:val="-86"/>
        </w:rPr>
        <w:t> </w:t>
      </w:r>
      <w:r>
        <w:rPr/>
        <w:t>项活动</w:t>
      </w:r>
      <w:r>
        <w:rPr>
          <w:rFonts w:ascii="Times New Roman" w:hAnsi="Times New Roman" w:cs="Times New Roman" w:eastAsia="Times New Roman" w:hint="default"/>
        </w:rPr>
        <w:t>”</w:t>
      </w:r>
      <w:r>
        <w:rPr/>
        <w:t>的自查报告和整改计划》于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 </w:t>
      </w:r>
      <w:r>
        <w:rPr/>
        <w:t>日刊登于巨潮资讯网。</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3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97" w:lineRule="auto"/>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 </w:t>
            </w:r>
            <w:r>
              <w:rPr>
                <w:rFonts w:ascii="宋体" w:hAnsi="宋体" w:cs="宋体" w:eastAsia="宋体" w:hint="default"/>
                <w:spacing w:val="-18"/>
                <w:sz w:val="18"/>
                <w:szCs w:val="18"/>
              </w:rPr>
              <w:t>工作报告》、《</w:t>
            </w:r>
            <w:r>
              <w:rPr>
                <w:rFonts w:ascii="Times New Roman" w:hAnsi="Times New Roman" w:cs="Times New Roman" w:eastAsia="Times New Roman" w:hint="default"/>
                <w:spacing w:val="-18"/>
                <w:sz w:val="18"/>
                <w:szCs w:val="18"/>
              </w:rPr>
              <w:t>2011</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z w:val="18"/>
                <w:szCs w:val="18"/>
              </w:rPr>
              <w:t>年度监事会工作报 </w:t>
            </w:r>
            <w:r>
              <w:rPr>
                <w:rFonts w:ascii="宋体" w:hAnsi="宋体" w:cs="宋体" w:eastAsia="宋体" w:hint="default"/>
                <w:spacing w:val="-24"/>
                <w:sz w:val="18"/>
                <w:szCs w:val="18"/>
              </w:rPr>
              <w:t>告》、《</w:t>
            </w:r>
            <w:r>
              <w:rPr>
                <w:rFonts w:ascii="Times New Roman" w:hAnsi="Times New Roman" w:cs="Times New Roman" w:eastAsia="Times New Roman" w:hint="default"/>
                <w:spacing w:val="-24"/>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年年度</w:t>
            </w:r>
            <w:r>
              <w:rPr>
                <w:rFonts w:ascii="宋体" w:hAnsi="宋体" w:cs="宋体" w:eastAsia="宋体" w:hint="default"/>
                <w:spacing w:val="-85"/>
                <w:sz w:val="18"/>
                <w:szCs w:val="18"/>
              </w:rPr>
              <w:t> </w:t>
            </w:r>
            <w:r>
              <w:rPr>
                <w:rFonts w:ascii="宋体" w:hAnsi="宋体" w:cs="宋体" w:eastAsia="宋体" w:hint="default"/>
                <w:spacing w:val="-22"/>
                <w:sz w:val="18"/>
                <w:szCs w:val="18"/>
              </w:rPr>
              <w:t>报告及摘要》、《</w:t>
            </w:r>
            <w:r>
              <w:rPr>
                <w:rFonts w:ascii="Times New Roman" w:hAnsi="Times New Roman" w:cs="Times New Roman" w:eastAsia="Times New Roman" w:hint="default"/>
                <w:spacing w:val="-22"/>
                <w:sz w:val="18"/>
                <w:szCs w:val="18"/>
              </w:rPr>
              <w:t>2011</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年度公司财务决算 </w:t>
            </w:r>
            <w:r>
              <w:rPr>
                <w:rFonts w:ascii="宋体" w:hAnsi="宋体" w:cs="宋体" w:eastAsia="宋体" w:hint="default"/>
                <w:spacing w:val="-21"/>
                <w:sz w:val="18"/>
                <w:szCs w:val="18"/>
              </w:rPr>
              <w:t>报告》、《</w:t>
            </w:r>
            <w:r>
              <w:rPr>
                <w:rFonts w:ascii="Times New Roman" w:hAnsi="Times New Roman" w:cs="Times New Roman" w:eastAsia="Times New Roman" w:hint="default"/>
                <w:spacing w:val="-21"/>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利润分配及资本公 积金转增股本预 </w:t>
            </w:r>
            <w:r>
              <w:rPr>
                <w:rFonts w:ascii="宋体" w:hAnsi="宋体" w:cs="宋体" w:eastAsia="宋体" w:hint="default"/>
                <w:spacing w:val="-23"/>
                <w:sz w:val="18"/>
                <w:szCs w:val="18"/>
              </w:rPr>
              <w:t>案》、《关于聘任</w:t>
            </w:r>
            <w:r>
              <w:rPr>
                <w:rFonts w:ascii="宋体" w:hAnsi="宋体" w:cs="宋体" w:eastAsia="宋体" w:hint="default"/>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年度财务审计 </w:t>
            </w:r>
            <w:r>
              <w:rPr>
                <w:rFonts w:ascii="宋体" w:hAnsi="宋体" w:cs="宋体" w:eastAsia="宋体" w:hint="default"/>
                <w:spacing w:val="-14"/>
                <w:sz w:val="18"/>
                <w:szCs w:val="18"/>
              </w:rPr>
              <w:t>机构的议案》。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314" w:lineRule="auto"/>
              <w:ind w:left="23" w:right="120"/>
              <w:jc w:val="left"/>
              <w:rPr>
                <w:rFonts w:ascii="宋体" w:hAnsi="宋体" w:cs="宋体" w:eastAsia="宋体" w:hint="default"/>
                <w:sz w:val="18"/>
                <w:szCs w:val="18"/>
              </w:rPr>
            </w:pPr>
            <w:r>
              <w:rPr>
                <w:rFonts w:ascii="宋体" w:hAnsi="宋体" w:cs="宋体" w:eastAsia="宋体" w:hint="default"/>
                <w:sz w:val="18"/>
                <w:szCs w:val="18"/>
              </w:rPr>
              <w:t>出席会议的股东全 票通过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4" w:lineRule="auto" w:before="123"/>
              <w:ind w:left="23" w:right="1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w:t>
            </w:r>
            <w:r>
              <w:rPr>
                <w:rFonts w:ascii="宋体" w:hAnsi="宋体" w:cs="宋体" w:eastAsia="宋体" w:hint="default"/>
                <w:spacing w:val="-10"/>
                <w:sz w:val="18"/>
                <w:szCs w:val="18"/>
              </w:rPr>
              <w:t>大会决议的公告》于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日披 露于巨潮资讯网</w:t>
            </w:r>
          </w:p>
          <w:p>
            <w:pPr>
              <w:pStyle w:val="TableParagraph"/>
              <w:spacing w:line="300" w:lineRule="auto" w:before="28"/>
              <w:ind w:left="23" w:right="97"/>
              <w:jc w:val="both"/>
              <w:rPr>
                <w:rFonts w:ascii="宋体" w:hAnsi="宋体" w:cs="宋体" w:eastAsia="宋体" w:hint="default"/>
                <w:sz w:val="18"/>
                <w:szCs w:val="18"/>
              </w:rPr>
            </w:pPr>
            <w:r>
              <w:rPr>
                <w:rFonts w:ascii="宋体" w:hAnsi="宋体" w:cs="宋体" w:eastAsia="宋体" w:hint="default"/>
                <w:spacing w:val="-2"/>
                <w:sz w:val="18"/>
                <w:szCs w:val="18"/>
              </w:rPr>
              <w:t>（</w:t>
            </w:r>
            <w:hyperlink r:id="rId27">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）公告编号</w:t>
            </w:r>
          </w:p>
          <w:p>
            <w:pPr>
              <w:pStyle w:val="TableParagraph"/>
              <w:spacing w:line="240" w:lineRule="auto" w:before="55"/>
              <w:ind w:left="23" w:right="0"/>
              <w:jc w:val="both"/>
              <w:rPr>
                <w:rFonts w:ascii="Times New Roman" w:hAnsi="Times New Roman" w:cs="Times New Roman" w:eastAsia="Times New Roman" w:hint="default"/>
                <w:sz w:val="18"/>
                <w:szCs w:val="18"/>
              </w:rPr>
            </w:pPr>
            <w:r>
              <w:rPr>
                <w:rFonts w:ascii="Times New Roman"/>
                <w:sz w:val="18"/>
              </w:rPr>
              <w:t>2012-24</w:t>
            </w:r>
          </w:p>
        </w:tc>
      </w:tr>
    </w:tbl>
    <w:p>
      <w:pPr>
        <w:spacing w:line="240" w:lineRule="auto" w:before="3"/>
        <w:rPr>
          <w:rFonts w:ascii="宋体" w:hAnsi="宋体" w:cs="宋体" w:eastAsia="宋体" w:hint="default"/>
          <w:b/>
          <w:bCs/>
          <w:sz w:val="19"/>
          <w:szCs w:val="19"/>
        </w:rPr>
      </w:pPr>
    </w:p>
    <w:p>
      <w:pPr>
        <w:spacing w:before="36"/>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《关于向商业银行 申请授信的议案》</w:t>
            </w:r>
          </w:p>
          <w:p>
            <w:pPr>
              <w:pStyle w:val="TableParagraph"/>
              <w:spacing w:line="316" w:lineRule="auto" w:before="19"/>
              <w:ind w:left="23" w:right="22"/>
              <w:jc w:val="left"/>
              <w:rPr>
                <w:rFonts w:ascii="宋体" w:hAnsi="宋体" w:cs="宋体" w:eastAsia="宋体" w:hint="default"/>
                <w:sz w:val="18"/>
                <w:szCs w:val="18"/>
              </w:rPr>
            </w:pPr>
            <w:r>
              <w:rPr>
                <w:rFonts w:ascii="宋体" w:hAnsi="宋体" w:cs="宋体" w:eastAsia="宋体" w:hint="default"/>
                <w:spacing w:val="-27"/>
                <w:sz w:val="18"/>
                <w:szCs w:val="18"/>
              </w:rPr>
              <w:t>（一）、《关于向商业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银行申请授信的议 </w:t>
            </w:r>
            <w:r>
              <w:rPr>
                <w:rFonts w:ascii="宋体" w:hAnsi="宋体" w:cs="宋体" w:eastAsia="宋体" w:hint="default"/>
                <w:spacing w:val="-19"/>
                <w:sz w:val="18"/>
                <w:szCs w:val="18"/>
              </w:rPr>
              <w:t>案》（二）</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出席会议的股东全 票通过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时股东大会决议公 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5"/>
              <w:ind w:left="23"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日披露于巨潮资 讯网</w:t>
            </w:r>
          </w:p>
          <w:p>
            <w:pPr>
              <w:pStyle w:val="TableParagraph"/>
              <w:spacing w:line="300" w:lineRule="auto" w:before="31"/>
              <w:ind w:left="23" w:right="97"/>
              <w:jc w:val="both"/>
              <w:rPr>
                <w:rFonts w:ascii="宋体" w:hAnsi="宋体" w:cs="宋体" w:eastAsia="宋体" w:hint="default"/>
                <w:sz w:val="18"/>
                <w:szCs w:val="18"/>
              </w:rPr>
            </w:pPr>
            <w:r>
              <w:rPr>
                <w:rFonts w:ascii="宋体" w:hAnsi="宋体" w:cs="宋体" w:eastAsia="宋体" w:hint="default"/>
                <w:spacing w:val="-2"/>
                <w:sz w:val="18"/>
                <w:szCs w:val="18"/>
              </w:rPr>
              <w:t>（</w:t>
            </w:r>
            <w:hyperlink r:id="rId27">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）公告编号</w:t>
            </w:r>
          </w:p>
          <w:p>
            <w:pPr>
              <w:pStyle w:val="TableParagraph"/>
              <w:spacing w:line="240" w:lineRule="auto" w:before="55"/>
              <w:ind w:left="23" w:right="0"/>
              <w:jc w:val="both"/>
              <w:rPr>
                <w:rFonts w:ascii="Times New Roman" w:hAnsi="Times New Roman" w:cs="Times New Roman" w:eastAsia="Times New Roman" w:hint="default"/>
                <w:sz w:val="18"/>
                <w:szCs w:val="18"/>
              </w:rPr>
            </w:pPr>
            <w:r>
              <w:rPr>
                <w:rFonts w:ascii="Times New Roman"/>
                <w:sz w:val="18"/>
              </w:rPr>
              <w:t>2012-07</w:t>
            </w:r>
          </w:p>
        </w:tc>
      </w:tr>
      <w:tr>
        <w:trPr>
          <w:trHeight w:val="258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3" w:right="22"/>
              <w:jc w:val="left"/>
              <w:rPr>
                <w:rFonts w:ascii="宋体" w:hAnsi="宋体" w:cs="宋体" w:eastAsia="宋体" w:hint="default"/>
                <w:sz w:val="18"/>
                <w:szCs w:val="18"/>
              </w:rPr>
            </w:pPr>
            <w:r>
              <w:rPr>
                <w:rFonts w:ascii="宋体" w:hAnsi="宋体" w:cs="宋体" w:eastAsia="宋体" w:hint="default"/>
                <w:sz w:val="18"/>
                <w:szCs w:val="18"/>
              </w:rPr>
              <w:t>《关于投资设立苏 州爱康电力开发有 </w:t>
            </w:r>
            <w:r>
              <w:rPr>
                <w:rFonts w:ascii="宋体" w:hAnsi="宋体" w:cs="宋体" w:eastAsia="宋体" w:hint="default"/>
                <w:spacing w:val="-27"/>
                <w:sz w:val="18"/>
                <w:szCs w:val="18"/>
              </w:rPr>
              <w:t>限公司的议案》、《关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于审议股东大会累 积投票制实施细则 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3" w:right="120"/>
              <w:jc w:val="left"/>
              <w:rPr>
                <w:rFonts w:ascii="宋体" w:hAnsi="宋体" w:cs="宋体" w:eastAsia="宋体" w:hint="default"/>
                <w:sz w:val="18"/>
                <w:szCs w:val="18"/>
              </w:rPr>
            </w:pPr>
            <w:r>
              <w:rPr>
                <w:rFonts w:ascii="宋体" w:hAnsi="宋体" w:cs="宋体" w:eastAsia="宋体" w:hint="default"/>
                <w:sz w:val="18"/>
                <w:szCs w:val="18"/>
              </w:rPr>
              <w:t>出席会议的股东全 票通过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时股东大会决议公 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5"/>
              <w:ind w:left="23"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日披露于巨潮资 讯网</w:t>
            </w:r>
          </w:p>
          <w:p>
            <w:pPr>
              <w:pStyle w:val="TableParagraph"/>
              <w:spacing w:line="300" w:lineRule="auto" w:before="31"/>
              <w:ind w:left="23" w:right="97"/>
              <w:jc w:val="both"/>
              <w:rPr>
                <w:rFonts w:ascii="宋体" w:hAnsi="宋体" w:cs="宋体" w:eastAsia="宋体" w:hint="default"/>
                <w:sz w:val="18"/>
                <w:szCs w:val="18"/>
              </w:rPr>
            </w:pPr>
            <w:r>
              <w:rPr>
                <w:rFonts w:ascii="宋体" w:hAnsi="宋体" w:cs="宋体" w:eastAsia="宋体" w:hint="default"/>
                <w:spacing w:val="-2"/>
                <w:sz w:val="18"/>
                <w:szCs w:val="18"/>
              </w:rPr>
              <w:t>（</w:t>
            </w:r>
            <w:hyperlink r:id="rId27">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）公告编号</w:t>
            </w:r>
          </w:p>
          <w:p>
            <w:pPr>
              <w:pStyle w:val="TableParagraph"/>
              <w:spacing w:line="240" w:lineRule="auto" w:before="55"/>
              <w:ind w:left="23" w:right="0"/>
              <w:jc w:val="both"/>
              <w:rPr>
                <w:rFonts w:ascii="Times New Roman" w:hAnsi="Times New Roman" w:cs="Times New Roman" w:eastAsia="Times New Roman" w:hint="default"/>
                <w:sz w:val="18"/>
                <w:szCs w:val="18"/>
              </w:rPr>
            </w:pPr>
            <w:r>
              <w:rPr>
                <w:rFonts w:ascii="Times New Roman"/>
                <w:sz w:val="18"/>
              </w:rPr>
              <w:t>2012-22</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《关于发行短期融 资券的议案》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出席会议的股东全 票通过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70"/>
              <w:ind w:left="23" w:right="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 时股东大会决议公</w:t>
            </w:r>
          </w:p>
        </w:tc>
      </w:tr>
    </w:tbl>
    <w:p>
      <w:pPr>
        <w:spacing w:after="0" w:line="297" w:lineRule="auto"/>
        <w:jc w:val="left"/>
        <w:rPr>
          <w:rFonts w:ascii="宋体" w:hAnsi="宋体" w:cs="宋体" w:eastAsia="宋体" w:hint="default"/>
          <w:sz w:val="18"/>
          <w:szCs w:val="18"/>
        </w:rPr>
        <w:sectPr>
          <w:headerReference w:type="default" r:id="rId25"/>
          <w:footerReference w:type="default" r:id="rId26"/>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92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3"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日披露于巨潮资 讯网</w:t>
            </w:r>
          </w:p>
          <w:p>
            <w:pPr>
              <w:pStyle w:val="TableParagraph"/>
              <w:spacing w:line="300" w:lineRule="auto" w:before="31"/>
              <w:ind w:left="23" w:right="97"/>
              <w:jc w:val="left"/>
              <w:rPr>
                <w:rFonts w:ascii="宋体" w:hAnsi="宋体" w:cs="宋体" w:eastAsia="宋体" w:hint="default"/>
                <w:sz w:val="18"/>
                <w:szCs w:val="18"/>
              </w:rPr>
            </w:pPr>
            <w:r>
              <w:rPr>
                <w:rFonts w:ascii="宋体" w:hAnsi="宋体" w:cs="宋体" w:eastAsia="宋体" w:hint="default"/>
                <w:spacing w:val="-2"/>
                <w:sz w:val="18"/>
                <w:szCs w:val="18"/>
              </w:rPr>
              <w:t>（</w:t>
            </w:r>
            <w:hyperlink r:id="rId27">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）公告编号</w:t>
            </w:r>
          </w:p>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sz w:val="18"/>
              </w:rPr>
              <w:t>2012-36</w:t>
            </w:r>
          </w:p>
        </w:tc>
      </w:tr>
      <w:tr>
        <w:trPr>
          <w:trHeight w:val="258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19"/>
              <w:jc w:val="left"/>
              <w:rPr>
                <w:rFonts w:ascii="宋体" w:hAnsi="宋体" w:cs="宋体" w:eastAsia="宋体" w:hint="default"/>
                <w:sz w:val="18"/>
                <w:szCs w:val="18"/>
              </w:rPr>
            </w:pPr>
            <w:r>
              <w:rPr>
                <w:rFonts w:ascii="宋体" w:hAnsi="宋体" w:cs="宋体" w:eastAsia="宋体" w:hint="default"/>
                <w:sz w:val="18"/>
                <w:szCs w:val="18"/>
              </w:rPr>
              <w:t>《选举独立董事候 选人的议案》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20"/>
              <w:jc w:val="left"/>
              <w:rPr>
                <w:rFonts w:ascii="宋体" w:hAnsi="宋体" w:cs="宋体" w:eastAsia="宋体" w:hint="default"/>
                <w:sz w:val="18"/>
                <w:szCs w:val="18"/>
              </w:rPr>
            </w:pPr>
            <w:r>
              <w:rPr>
                <w:rFonts w:ascii="宋体" w:hAnsi="宋体" w:cs="宋体" w:eastAsia="宋体" w:hint="default"/>
                <w:sz w:val="18"/>
                <w:szCs w:val="18"/>
              </w:rPr>
              <w:t>出席会议的股东全 票通过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 时股东大会决议公 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5"/>
              <w:ind w:left="23"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日披露于巨潮资 讯网</w:t>
            </w:r>
          </w:p>
          <w:p>
            <w:pPr>
              <w:pStyle w:val="TableParagraph"/>
              <w:spacing w:line="300" w:lineRule="auto" w:before="31"/>
              <w:ind w:left="23" w:right="97"/>
              <w:jc w:val="both"/>
              <w:rPr>
                <w:rFonts w:ascii="宋体" w:hAnsi="宋体" w:cs="宋体" w:eastAsia="宋体" w:hint="default"/>
                <w:sz w:val="18"/>
                <w:szCs w:val="18"/>
              </w:rPr>
            </w:pPr>
            <w:r>
              <w:rPr>
                <w:rFonts w:ascii="宋体" w:hAnsi="宋体" w:cs="宋体" w:eastAsia="宋体" w:hint="default"/>
                <w:spacing w:val="-2"/>
                <w:sz w:val="18"/>
                <w:szCs w:val="18"/>
              </w:rPr>
              <w:t>（</w:t>
            </w:r>
            <w:hyperlink r:id="rId27">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）公告编号</w:t>
            </w:r>
          </w:p>
          <w:p>
            <w:pPr>
              <w:pStyle w:val="TableParagraph"/>
              <w:spacing w:line="240" w:lineRule="auto" w:before="55"/>
              <w:ind w:left="23" w:right="0"/>
              <w:jc w:val="both"/>
              <w:rPr>
                <w:rFonts w:ascii="Times New Roman" w:hAnsi="Times New Roman" w:cs="Times New Roman" w:eastAsia="Times New Roman" w:hint="default"/>
                <w:sz w:val="18"/>
                <w:szCs w:val="18"/>
              </w:rPr>
            </w:pPr>
            <w:r>
              <w:rPr>
                <w:rFonts w:ascii="Times New Roman"/>
                <w:sz w:val="18"/>
              </w:rPr>
              <w:t>2012-37</w:t>
            </w:r>
          </w:p>
        </w:tc>
      </w:tr>
      <w:tr>
        <w:trPr>
          <w:trHeight w:val="258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19"/>
              <w:jc w:val="left"/>
              <w:rPr>
                <w:rFonts w:ascii="宋体" w:hAnsi="宋体" w:cs="宋体" w:eastAsia="宋体" w:hint="default"/>
                <w:sz w:val="18"/>
                <w:szCs w:val="18"/>
              </w:rPr>
            </w:pPr>
            <w:r>
              <w:rPr>
                <w:rFonts w:ascii="宋体" w:hAnsi="宋体" w:cs="宋体" w:eastAsia="宋体" w:hint="default"/>
                <w:sz w:val="18"/>
                <w:szCs w:val="18"/>
              </w:rPr>
              <w:t>《关于修改公司章 程的议案》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20"/>
              <w:jc w:val="left"/>
              <w:rPr>
                <w:rFonts w:ascii="宋体" w:hAnsi="宋体" w:cs="宋体" w:eastAsia="宋体" w:hint="default"/>
                <w:sz w:val="18"/>
                <w:szCs w:val="18"/>
              </w:rPr>
            </w:pPr>
            <w:r>
              <w:rPr>
                <w:rFonts w:ascii="宋体" w:hAnsi="宋体" w:cs="宋体" w:eastAsia="宋体" w:hint="default"/>
                <w:sz w:val="18"/>
                <w:szCs w:val="18"/>
              </w:rPr>
              <w:t>出席会议的股东全 票通过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 时股东大会决议公 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5"/>
              <w:ind w:left="23"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日披露于巨潮资 讯网</w:t>
            </w:r>
          </w:p>
          <w:p>
            <w:pPr>
              <w:pStyle w:val="TableParagraph"/>
              <w:spacing w:line="300" w:lineRule="auto" w:before="31"/>
              <w:ind w:left="23" w:right="97"/>
              <w:jc w:val="both"/>
              <w:rPr>
                <w:rFonts w:ascii="宋体" w:hAnsi="宋体" w:cs="宋体" w:eastAsia="宋体" w:hint="default"/>
                <w:sz w:val="18"/>
                <w:szCs w:val="18"/>
              </w:rPr>
            </w:pPr>
            <w:r>
              <w:rPr>
                <w:rFonts w:ascii="宋体" w:hAnsi="宋体" w:cs="宋体" w:eastAsia="宋体" w:hint="default"/>
                <w:spacing w:val="-2"/>
                <w:sz w:val="18"/>
                <w:szCs w:val="18"/>
              </w:rPr>
              <w:t>（</w:t>
            </w:r>
            <w:hyperlink r:id="rId27">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）公告编号</w:t>
            </w:r>
          </w:p>
          <w:p>
            <w:pPr>
              <w:pStyle w:val="TableParagraph"/>
              <w:spacing w:line="240" w:lineRule="auto" w:before="55"/>
              <w:ind w:left="23" w:right="0"/>
              <w:jc w:val="both"/>
              <w:rPr>
                <w:rFonts w:ascii="Times New Roman" w:hAnsi="Times New Roman" w:cs="Times New Roman" w:eastAsia="Times New Roman" w:hint="default"/>
                <w:sz w:val="18"/>
                <w:szCs w:val="18"/>
              </w:rPr>
            </w:pPr>
            <w:r>
              <w:rPr>
                <w:rFonts w:ascii="Times New Roman"/>
                <w:sz w:val="18"/>
              </w:rPr>
              <w:t>2012-45</w:t>
            </w:r>
          </w:p>
        </w:tc>
      </w:tr>
      <w:tr>
        <w:trPr>
          <w:trHeight w:val="258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《关于为青海蓓翔 新能源开发有限公 司申请银行融资提 </w:t>
            </w:r>
            <w:r>
              <w:rPr>
                <w:rFonts w:ascii="宋体" w:hAnsi="宋体" w:cs="宋体" w:eastAsia="宋体" w:hint="default"/>
                <w:spacing w:val="-27"/>
                <w:sz w:val="18"/>
                <w:szCs w:val="18"/>
              </w:rPr>
              <w:t>供担保的议案》、《关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于为新疆爱康电力 开发有限公司申请 项目贷款提供担保</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20"/>
              <w:jc w:val="left"/>
              <w:rPr>
                <w:rFonts w:ascii="宋体" w:hAnsi="宋体" w:cs="宋体" w:eastAsia="宋体" w:hint="default"/>
                <w:sz w:val="18"/>
                <w:szCs w:val="18"/>
              </w:rPr>
            </w:pPr>
            <w:r>
              <w:rPr>
                <w:rFonts w:ascii="宋体" w:hAnsi="宋体" w:cs="宋体" w:eastAsia="宋体" w:hint="default"/>
                <w:sz w:val="18"/>
                <w:szCs w:val="18"/>
              </w:rPr>
              <w:t>出席会议的股东全 票通过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年第六次临 时股东大会决议公 告》于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300" w:lineRule="auto" w:before="5"/>
              <w:ind w:left="23" w:right="24"/>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 资讯网</w:t>
            </w:r>
          </w:p>
          <w:p>
            <w:pPr>
              <w:pStyle w:val="TableParagraph"/>
              <w:spacing w:line="300" w:lineRule="auto" w:before="31"/>
              <w:ind w:left="23" w:right="97"/>
              <w:jc w:val="both"/>
              <w:rPr>
                <w:rFonts w:ascii="宋体" w:hAnsi="宋体" w:cs="宋体" w:eastAsia="宋体" w:hint="default"/>
                <w:sz w:val="18"/>
                <w:szCs w:val="18"/>
              </w:rPr>
            </w:pPr>
            <w:r>
              <w:rPr>
                <w:rFonts w:ascii="宋体" w:hAnsi="宋体" w:cs="宋体" w:eastAsia="宋体" w:hint="default"/>
                <w:spacing w:val="-2"/>
                <w:sz w:val="18"/>
                <w:szCs w:val="18"/>
              </w:rPr>
              <w:t>（</w:t>
            </w:r>
            <w:hyperlink r:id="rId27">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）公告编号</w:t>
            </w:r>
          </w:p>
          <w:p>
            <w:pPr>
              <w:pStyle w:val="TableParagraph"/>
              <w:spacing w:line="240" w:lineRule="auto" w:before="55"/>
              <w:ind w:left="23" w:right="0"/>
              <w:jc w:val="both"/>
              <w:rPr>
                <w:rFonts w:ascii="Times New Roman" w:hAnsi="Times New Roman" w:cs="Times New Roman" w:eastAsia="Times New Roman" w:hint="default"/>
                <w:sz w:val="18"/>
                <w:szCs w:val="18"/>
              </w:rPr>
            </w:pPr>
            <w:r>
              <w:rPr>
                <w:rFonts w:ascii="Times New Roman"/>
                <w:sz w:val="18"/>
              </w:rPr>
              <w:t>2012-63</w:t>
            </w:r>
          </w:p>
        </w:tc>
      </w:tr>
      <w:tr>
        <w:trPr>
          <w:trHeight w:val="258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22"/>
              <w:jc w:val="left"/>
              <w:rPr>
                <w:rFonts w:ascii="宋体" w:hAnsi="宋体" w:cs="宋体" w:eastAsia="宋体" w:hint="default"/>
                <w:sz w:val="18"/>
                <w:szCs w:val="18"/>
              </w:rPr>
            </w:pPr>
            <w:r>
              <w:rPr>
                <w:rFonts w:ascii="宋体" w:hAnsi="宋体" w:cs="宋体" w:eastAsia="宋体" w:hint="default"/>
                <w:sz w:val="18"/>
                <w:szCs w:val="18"/>
              </w:rPr>
              <w:t>《关于选举公司董 </w:t>
            </w:r>
            <w:r>
              <w:rPr>
                <w:rFonts w:ascii="宋体" w:hAnsi="宋体" w:cs="宋体" w:eastAsia="宋体" w:hint="default"/>
                <w:spacing w:val="-27"/>
                <w:sz w:val="18"/>
                <w:szCs w:val="18"/>
              </w:rPr>
              <w:t>事的议案》、《关于追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加为青海蓓翔新能 源开发有限公司申 请银行融资提供担 保的议案》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20"/>
              <w:jc w:val="left"/>
              <w:rPr>
                <w:rFonts w:ascii="宋体" w:hAnsi="宋体" w:cs="宋体" w:eastAsia="宋体" w:hint="default"/>
                <w:sz w:val="18"/>
                <w:szCs w:val="18"/>
              </w:rPr>
            </w:pPr>
            <w:r>
              <w:rPr>
                <w:rFonts w:ascii="宋体" w:hAnsi="宋体" w:cs="宋体" w:eastAsia="宋体" w:hint="default"/>
                <w:sz w:val="18"/>
                <w:szCs w:val="18"/>
              </w:rPr>
              <w:t>出席会议的股东全 票通过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 时股东大会决议公 告》于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300" w:lineRule="auto" w:before="5"/>
              <w:ind w:left="23" w:right="24"/>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 资讯网</w:t>
            </w:r>
          </w:p>
          <w:p>
            <w:pPr>
              <w:pStyle w:val="TableParagraph"/>
              <w:spacing w:line="300" w:lineRule="auto" w:before="31"/>
              <w:ind w:left="23" w:right="97"/>
              <w:jc w:val="both"/>
              <w:rPr>
                <w:rFonts w:ascii="宋体" w:hAnsi="宋体" w:cs="宋体" w:eastAsia="宋体" w:hint="default"/>
                <w:sz w:val="18"/>
                <w:szCs w:val="18"/>
              </w:rPr>
            </w:pPr>
            <w:r>
              <w:rPr>
                <w:rFonts w:ascii="宋体" w:hAnsi="宋体" w:cs="宋体" w:eastAsia="宋体" w:hint="default"/>
                <w:spacing w:val="-2"/>
                <w:sz w:val="18"/>
                <w:szCs w:val="18"/>
              </w:rPr>
              <w:t>（</w:t>
            </w:r>
            <w:hyperlink r:id="rId27">
              <w:r>
                <w:rPr>
                  <w:rFonts w:ascii="Times New Roman" w:hAnsi="Times New Roman" w:cs="Times New Roman" w:eastAsia="Times New Roman" w:hint="default"/>
                  <w:spacing w:val="-2"/>
                  <w:sz w:val="18"/>
                  <w:szCs w:val="18"/>
                </w:rPr>
                <w:t>www.cninfo.com.</w:t>
              </w:r>
            </w:hyperlink>
            <w:r>
              <w:rPr>
                <w:rFonts w:ascii="Times New Roman" w:hAnsi="Times New Roman" w:cs="Times New Roman" w:eastAsia="Times New Roman" w:hint="default"/>
                <w:spacing w:val="-33"/>
                <w:sz w:val="18"/>
                <w:szCs w:val="18"/>
              </w:rPr>
              <w:t> </w:t>
            </w:r>
            <w:r>
              <w:rPr>
                <w:rFonts w:ascii="Times New Roman" w:hAnsi="Times New Roman" w:cs="Times New Roman" w:eastAsia="Times New Roman" w:hint="default"/>
                <w:spacing w:val="-33"/>
                <w:sz w:val="18"/>
                <w:szCs w:val="18"/>
              </w:rPr>
            </w:r>
            <w:r>
              <w:rPr>
                <w:rFonts w:ascii="Times New Roman" w:hAnsi="Times New Roman" w:cs="Times New Roman" w:eastAsia="Times New Roman" w:hint="default"/>
                <w:sz w:val="18"/>
                <w:szCs w:val="18"/>
              </w:rPr>
              <w:t>cn</w:t>
            </w:r>
            <w:r>
              <w:rPr>
                <w:rFonts w:ascii="宋体" w:hAnsi="宋体" w:cs="宋体" w:eastAsia="宋体" w:hint="default"/>
                <w:sz w:val="18"/>
                <w:szCs w:val="18"/>
              </w:rPr>
              <w:t>）公告编号</w:t>
            </w:r>
          </w:p>
          <w:p>
            <w:pPr>
              <w:pStyle w:val="TableParagraph"/>
              <w:spacing w:line="240" w:lineRule="auto" w:before="55"/>
              <w:ind w:left="23" w:right="0"/>
              <w:jc w:val="both"/>
              <w:rPr>
                <w:rFonts w:ascii="Times New Roman" w:hAnsi="Times New Roman" w:cs="Times New Roman" w:eastAsia="Times New Roman" w:hint="default"/>
                <w:sz w:val="18"/>
                <w:szCs w:val="18"/>
              </w:rPr>
            </w:pPr>
            <w:r>
              <w:rPr>
                <w:rFonts w:ascii="Times New Roman"/>
                <w:sz w:val="18"/>
              </w:rPr>
              <w:t>2012-73</w:t>
            </w:r>
          </w:p>
        </w:tc>
      </w:tr>
    </w:tbl>
    <w:p>
      <w:pPr>
        <w:spacing w:after="0" w:line="240" w:lineRule="auto"/>
        <w:jc w:val="both"/>
        <w:rPr>
          <w:rFonts w:ascii="Times New Roman" w:hAnsi="Times New Roman" w:cs="Times New Roman" w:eastAsia="Times New Roman" w:hint="default"/>
          <w:sz w:val="18"/>
          <w:szCs w:val="18"/>
        </w:rPr>
        <w:sectPr>
          <w:footerReference w:type="default" r:id="rId28"/>
          <w:pgSz w:w="11910" w:h="16840"/>
          <w:pgMar w:footer="1340" w:header="877" w:top="1060" w:bottom="1540" w:left="980" w:right="0"/>
          <w:pgNumType w:start="54"/>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15"/>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w:t>
              <w:tab/>
              <w:t>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w:t>
              <w:tab/>
              <w:t>辉</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w:t>
              <w:tab/>
              <w:t>治</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15"/>
        <w:jc w:val="left"/>
      </w:pPr>
      <w:r>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4"/>
        <w:spacing w:line="240" w:lineRule="auto"/>
        <w:ind w:right="1115"/>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t>独立董事对公司有关建议是否被采纳</w:t>
      </w:r>
    </w:p>
    <w:p>
      <w:pPr>
        <w:spacing w:line="340" w:lineRule="auto" w:before="115"/>
        <w:ind w:left="152" w:right="67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w:t>
      </w:r>
      <w:r>
        <w:rPr>
          <w:rFonts w:ascii="宋体" w:hAnsi="宋体" w:cs="宋体" w:eastAsia="宋体" w:hint="default"/>
          <w:b/>
          <w:bCs/>
          <w:sz w:val="18"/>
          <w:szCs w:val="18"/>
        </w:rPr>
        <w:t>独立董事对公司有关建议被采纳或未被采纳的说明</w:t>
      </w:r>
      <w:r>
        <w:rPr>
          <w:rFonts w:ascii="宋体" w:hAnsi="宋体" w:cs="宋体" w:eastAsia="宋体" w:hint="default"/>
          <w:sz w:val="18"/>
          <w:szCs w:val="18"/>
        </w:rPr>
      </w:r>
    </w:p>
    <w:p>
      <w:pPr>
        <w:pStyle w:val="BodyText"/>
        <w:spacing w:line="314" w:lineRule="auto" w:before="41"/>
        <w:ind w:right="1034" w:firstLine="271"/>
        <w:jc w:val="left"/>
      </w:pPr>
      <w:r>
        <w:rPr>
          <w:spacing w:val="-4"/>
        </w:rPr>
        <w:t>公司独立董事在</w:t>
      </w:r>
      <w:r>
        <w:rPr>
          <w:rFonts w:ascii="Times New Roman" w:hAnsi="Times New Roman" w:cs="Times New Roman" w:eastAsia="Times New Roman" w:hint="default"/>
          <w:spacing w:val="-4"/>
        </w:rPr>
        <w:t>2012</w:t>
      </w:r>
      <w:r>
        <w:rPr>
          <w:spacing w:val="-4"/>
        </w:rPr>
        <w:t>年度勤勉尽责，忠实履行独立董事职务，独立董事利用自己的专业优势，密切关注公司的经营情况，</w:t>
      </w:r>
      <w:r>
        <w:rPr/>
        <w:t> </w:t>
      </w:r>
      <w:r>
        <w:rPr>
          <w:spacing w:val="-2"/>
        </w:rPr>
        <w:t>并利用召开董事会、股东大会的机会及其他时间，多次到公司现场工作，通过现场工作深入了解公司的经营情况，积极与其</w:t>
      </w:r>
      <w:r>
        <w:rPr>
          <w:spacing w:val="-65"/>
        </w:rPr>
        <w:t> </w:t>
      </w:r>
      <w:r>
        <w:rPr>
          <w:spacing w:val="-65"/>
        </w:rPr>
      </w:r>
      <w:r>
        <w:rPr>
          <w:spacing w:val="-2"/>
        </w:rPr>
        <w:t>他董事、监事、管理层沟通交流，及时掌握公司的经营动态，对公司总体发展战略以及面临的市场形势提出建设性意见。在</w:t>
      </w:r>
      <w:r>
        <w:rPr>
          <w:spacing w:val="-67"/>
        </w:rPr>
        <w:t> </w:t>
      </w:r>
      <w:r>
        <w:rPr>
          <w:spacing w:val="-67"/>
        </w:rPr>
      </w:r>
      <w:r>
        <w:rPr/>
        <w:t>董事会上发表意见、行使职权，对公司信息披露情况等进行监督和核查，对报告期内公司发生的选举副董事长、对外担保、</w:t>
      </w:r>
      <w:r>
        <w:rPr>
          <w:spacing w:val="-86"/>
        </w:rPr>
        <w:t> </w:t>
      </w:r>
      <w:r>
        <w:rPr>
          <w:spacing w:val="-86"/>
        </w:rPr>
      </w:r>
      <w:r>
        <w:rPr>
          <w:spacing w:val="-2"/>
        </w:rPr>
        <w:t>内部控制自我评价报告、日常关联交易、闲置募集资金补充流动资金、选举独立董事等事项及其他需要独立董事发表意见的</w:t>
      </w:r>
      <w:r>
        <w:rPr>
          <w:spacing w:val="-61"/>
        </w:rPr>
        <w:t> </w:t>
      </w:r>
      <w:r>
        <w:rPr>
          <w:spacing w:val="-61"/>
        </w:rPr>
      </w:r>
      <w:r>
        <w:rPr/>
        <w:t>事项出具了独立、公正的独立董事意见，积极有效地履行了独立董事的职责，维护了公司和中小股东的合法权益。</w:t>
      </w:r>
    </w:p>
    <w:p>
      <w:pPr>
        <w:spacing w:line="240" w:lineRule="auto" w:before="13"/>
        <w:rPr>
          <w:rFonts w:ascii="宋体" w:hAnsi="宋体" w:cs="宋体" w:eastAsia="宋体" w:hint="default"/>
          <w:sz w:val="20"/>
          <w:szCs w:val="20"/>
        </w:rPr>
      </w:pPr>
    </w:p>
    <w:p>
      <w:pPr>
        <w:pStyle w:val="Heading2"/>
        <w:spacing w:line="240" w:lineRule="auto"/>
        <w:ind w:right="1115"/>
        <w:jc w:val="left"/>
        <w:rPr>
          <w:b w:val="0"/>
          <w:bCs w:val="0"/>
        </w:rPr>
      </w:pPr>
      <w:r>
        <w:rPr/>
        <w:t>四、董事会下设专门委员会在报告期内履行职责情况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467" w:right="3599" w:hanging="315"/>
        <w:jc w:val="left"/>
      </w:pPr>
      <w:r>
        <w:rPr/>
        <w:t>（一）战略委员会的履职情况 报告期内，公司战略委员会勤勉尽责地履行职责，对公司战略规划进行了研究和指导。</w:t>
      </w:r>
    </w:p>
    <w:p>
      <w:pPr>
        <w:pStyle w:val="BodyText"/>
        <w:spacing w:line="316" w:lineRule="auto" w:before="19"/>
        <w:ind w:left="467" w:right="1115" w:hanging="315"/>
        <w:jc w:val="left"/>
      </w:pPr>
      <w:r>
        <w:rPr/>
        <w:t>（二）审计委员会的履职情况 </w:t>
      </w:r>
      <w:r>
        <w:rPr>
          <w:spacing w:val="-1"/>
        </w:rPr>
        <w:t>报告期内，审计委员会根据《公司法》、《证券法》、《上市公司治理准则》、《审计委员会工作细则》及《董事会审</w:t>
      </w:r>
    </w:p>
    <w:p>
      <w:pPr>
        <w:pStyle w:val="BodyText"/>
        <w:spacing w:line="309" w:lineRule="auto" w:before="19"/>
        <w:ind w:right="1128"/>
        <w:jc w:val="both"/>
      </w:pPr>
      <w:r>
        <w:rPr>
          <w:spacing w:val="-2"/>
        </w:rPr>
        <w:t>计委员会年报工作制度》等有关规定，积极履行职责。报告期内审计委员会召开了四次会议，审核了公司</w:t>
      </w:r>
      <w:r>
        <w:rPr>
          <w:rFonts w:ascii="Times New Roman" w:hAnsi="Times New Roman" w:cs="Times New Roman" w:eastAsia="Times New Roman" w:hint="default"/>
          <w:spacing w:val="-2"/>
        </w:rPr>
        <w:t>2011</w:t>
      </w:r>
      <w:r>
        <w:rPr>
          <w:spacing w:val="-2"/>
        </w:rPr>
        <w:t>年的相关财务</w:t>
      </w:r>
      <w:r>
        <w:rPr>
          <w:spacing w:val="-59"/>
        </w:rPr>
        <w:t> </w:t>
      </w:r>
      <w:r>
        <w:rPr>
          <w:spacing w:val="-59"/>
        </w:rPr>
      </w:r>
      <w:r>
        <w:rPr>
          <w:spacing w:val="-2"/>
        </w:rPr>
        <w:t>报告，审查了公司内部控制制度及执行情况，审议了每个季度的募集资金使用情况的内部审计报告，认真听取了公司内审部</w:t>
      </w:r>
      <w:r>
        <w:rPr>
          <w:spacing w:val="-63"/>
        </w:rPr>
        <w:t> </w:t>
      </w:r>
      <w:r>
        <w:rPr>
          <w:spacing w:val="-63"/>
        </w:rPr>
      </w:r>
      <w:r>
        <w:rPr>
          <w:spacing w:val="-2"/>
        </w:rPr>
        <w:t>门</w:t>
      </w:r>
      <w:r>
        <w:rPr>
          <w:rFonts w:ascii="Times New Roman" w:hAnsi="Times New Roman" w:cs="Times New Roman" w:eastAsia="Times New Roman" w:hint="default"/>
          <w:spacing w:val="-2"/>
        </w:rPr>
        <w:t>2011</w:t>
      </w:r>
      <w:r>
        <w:rPr>
          <w:spacing w:val="-2"/>
        </w:rPr>
        <w:t>年内审工作报告及</w:t>
      </w:r>
      <w:r>
        <w:rPr>
          <w:rFonts w:ascii="Times New Roman" w:hAnsi="Times New Roman" w:cs="Times New Roman" w:eastAsia="Times New Roman" w:hint="default"/>
          <w:spacing w:val="-2"/>
        </w:rPr>
        <w:t>2012</w:t>
      </w:r>
      <w:r>
        <w:rPr>
          <w:spacing w:val="-2"/>
        </w:rPr>
        <w:t>年内审工作计划，审核了公司所有重要的会计政策，督促和指导审计部对公司财务管理运行情</w:t>
      </w:r>
    </w:p>
    <w:p>
      <w:pPr>
        <w:pStyle w:val="BodyText"/>
        <w:spacing w:line="240" w:lineRule="auto" w:before="5"/>
        <w:ind w:right="0"/>
        <w:jc w:val="left"/>
      </w:pPr>
      <w:r>
        <w:rPr/>
        <w:t>况进行定期和不定期的检查和评估，委员会认为公司内控制度体系符合法律、法规及公司章程》的要求，适应当前公司生产</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15"/>
        <w:jc w:val="left"/>
      </w:pPr>
      <w:r>
        <w:rPr/>
        <w:t>经营实际情况的需要，并能够得到有效的执行。</w:t>
      </w:r>
    </w:p>
    <w:p>
      <w:pPr>
        <w:pStyle w:val="BodyText"/>
        <w:spacing w:line="316" w:lineRule="auto" w:before="77"/>
        <w:ind w:left="573" w:right="1129" w:hanging="421"/>
        <w:jc w:val="left"/>
      </w:pPr>
      <w:r>
        <w:rPr/>
        <w:t>（三）薪酬与绩效考核委员会的履职情况 </w:t>
      </w:r>
      <w:r>
        <w:rPr>
          <w:spacing w:val="-3"/>
        </w:rPr>
        <w:t>报告期内，董事会薪酬与考核委员会按照《公司章程》、《董事会薪酬与考核委员会工作细则》等相关规定规范运作，</w:t>
      </w:r>
    </w:p>
    <w:p>
      <w:pPr>
        <w:pStyle w:val="BodyText"/>
        <w:spacing w:line="300" w:lineRule="auto" w:before="19"/>
        <w:ind w:left="573" w:right="1153" w:hanging="421"/>
        <w:jc w:val="left"/>
      </w:pPr>
      <w:r>
        <w:rPr/>
        <w:t>对公司</w:t>
      </w:r>
      <w:r>
        <w:rPr>
          <w:rFonts w:ascii="Times New Roman" w:hAnsi="Times New Roman" w:cs="Times New Roman" w:eastAsia="Times New Roman" w:hint="default"/>
        </w:rPr>
        <w:t>2012</w:t>
      </w:r>
      <w:r>
        <w:rPr/>
        <w:t>年度董事薪酬、公司高级管理人员薪酬、年度公司高管薪酬发放情况等提出了意见和建议。 薪酬与考核委员会认真审查了公司</w:t>
      </w:r>
      <w:r>
        <w:rPr>
          <w:rFonts w:ascii="Times New Roman" w:hAnsi="Times New Roman" w:cs="Times New Roman" w:eastAsia="Times New Roman" w:hint="default"/>
        </w:rPr>
        <w:t>2012</w:t>
      </w:r>
      <w:r>
        <w:rPr/>
        <w:t>年年度报告中董事、监事和高级管理人员的薪酬与津贴，认为公司董事、监事</w:t>
      </w:r>
    </w:p>
    <w:p>
      <w:pPr>
        <w:pStyle w:val="BodyText"/>
        <w:spacing w:line="300" w:lineRule="auto" w:before="13"/>
        <w:ind w:right="1034"/>
        <w:jc w:val="left"/>
      </w:pPr>
      <w:r>
        <w:rPr/>
        <w:t>和高级管理人员的薪酬标准符合公司薪资的规定，公司</w:t>
      </w:r>
      <w:r>
        <w:rPr>
          <w:rFonts w:ascii="Times New Roman" w:hAnsi="Times New Roman" w:cs="Times New Roman" w:eastAsia="Times New Roman" w:hint="default"/>
        </w:rPr>
        <w:t>2012</w:t>
      </w:r>
      <w:r>
        <w:rPr/>
        <w:t>年年度报告中所披露的董事、监事和高级管理人员的薪酬真实、</w:t>
      </w:r>
      <w:r>
        <w:rPr>
          <w:spacing w:val="-86"/>
        </w:rPr>
        <w:t> </w:t>
      </w:r>
      <w:r>
        <w:rPr>
          <w:spacing w:val="-86"/>
        </w:rPr>
      </w:r>
      <w:r>
        <w:rPr/>
        <w:t>准确。</w:t>
      </w:r>
    </w:p>
    <w:p>
      <w:pPr>
        <w:pStyle w:val="BodyText"/>
        <w:spacing w:line="316" w:lineRule="auto" w:before="31"/>
        <w:ind w:left="467" w:right="1131" w:hanging="315"/>
        <w:jc w:val="left"/>
      </w:pPr>
      <w:r>
        <w:rPr/>
        <w:t>（四）提名委员会的履职情况 </w:t>
      </w:r>
      <w:r>
        <w:rPr>
          <w:spacing w:val="-1"/>
        </w:rPr>
        <w:t>报告期内，董事会提名委员会勤勉尽责地履行职责。在认真查阅了汤勇先生个人资料并广泛征求意见的基础上，提名汤</w:t>
      </w:r>
    </w:p>
    <w:p>
      <w:pPr>
        <w:pStyle w:val="BodyText"/>
        <w:spacing w:line="240" w:lineRule="auto" w:before="19"/>
        <w:ind w:right="1115"/>
        <w:jc w:val="left"/>
      </w:pPr>
      <w:r>
        <w:rPr/>
        <w:t>勇先生为第一届董事会董事候选人。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115"/>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Heading6"/>
        <w:spacing w:line="240" w:lineRule="auto"/>
        <w:ind w:right="1115"/>
        <w:jc w:val="left"/>
        <w:rPr>
          <w:b w:val="0"/>
          <w:bCs w:val="0"/>
        </w:rPr>
      </w:pPr>
      <w:r>
        <w:rPr/>
        <w:t>监事会在报告期内的监督活动中发现公司是否存在风险</w:t>
      </w:r>
      <w:r>
        <w:rPr>
          <w:b w:val="0"/>
          <w:bCs w:val="0"/>
        </w:rPr>
      </w:r>
    </w:p>
    <w:p>
      <w:pPr>
        <w:pStyle w:val="BodyText"/>
        <w:spacing w:line="240" w:lineRule="auto" w:before="115"/>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15"/>
        <w:jc w:val="left"/>
      </w:pPr>
      <w:r>
        <w:rPr/>
        <w:t>监事会对报告期内的监督事项无异</w:t>
      </w:r>
      <w:r>
        <w:rPr>
          <w:spacing w:val="1"/>
        </w:rPr>
        <w:t>议</w:t>
      </w:r>
      <w:r>
        <w:rPr>
          <w:spacing w:val="-92"/>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年度监事会</w:t>
      </w:r>
      <w:r>
        <w:rPr>
          <w:spacing w:val="-3"/>
        </w:rPr>
        <w:t>工</w:t>
      </w:r>
      <w:r>
        <w:rPr/>
        <w:t>作报告》</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r>
        <w:rPr>
          <w:spacing w:val="-3"/>
        </w:rPr>
        <w:t>披</w:t>
      </w:r>
      <w:r>
        <w:rPr/>
        <w:t>露于巨潮资讯网。</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r>
        <w:rPr/>
        <w:t>六、公司相对于控股股东在业务、人员、资产、机构、财务等方面的独立完整情况</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0" w:firstLine="360"/>
        <w:jc w:val="both"/>
      </w:pPr>
      <w:r>
        <w:rPr>
          <w:spacing w:val="-2"/>
        </w:rPr>
        <w:t>公司与控股股东在业务、人员、资产、机构、财务等方面完全分开，具有独立完整的业务及自主经营能力，控股股东依</w:t>
      </w:r>
      <w:r>
        <w:rPr/>
        <w:t> 法行使其权利并承担相应的义务，没有超越股东大会直接或间接干预公司经营活动。</w:t>
      </w:r>
      <w:r>
        <w:rPr>
          <w:rFonts w:ascii="Times New Roman" w:hAnsi="Times New Roman" w:cs="Times New Roman" w:eastAsia="Times New Roman" w:hint="default"/>
        </w:rPr>
        <w:t>1</w:t>
      </w:r>
      <w:r>
        <w:rPr/>
        <w:t>、业务方面：公司自主独立经营，业 </w:t>
      </w:r>
      <w:r>
        <w:rPr>
          <w:spacing w:val="-2"/>
        </w:rPr>
        <w:t>务结构完整，并拥有独立的采购、供应、生产、销售、财务系统，依照法定经营范围独立从事经营管理活动，不存在由控股</w:t>
      </w:r>
      <w:r>
        <w:rPr>
          <w:spacing w:val="-71"/>
        </w:rPr>
        <w:t> </w:t>
      </w:r>
      <w:r>
        <w:rPr>
          <w:spacing w:val="-71"/>
        </w:rPr>
      </w:r>
      <w:r>
        <w:rPr/>
        <w:t>股东直接或间接控制和干预供应及销售的情况，与控股股东保持业务完整和独立，与控股股东不存在同业竞争。</w:t>
      </w:r>
      <w:r>
        <w:rPr>
          <w:rFonts w:ascii="Times New Roman" w:hAnsi="Times New Roman" w:cs="Times New Roman" w:eastAsia="Times New Roman" w:hint="default"/>
        </w:rPr>
        <w:t>2</w:t>
      </w:r>
      <w:r>
        <w:rPr/>
        <w:t>、人员方</w:t>
      </w:r>
      <w:r>
        <w:rPr>
          <w:spacing w:val="-87"/>
        </w:rPr>
        <w:t> </w:t>
      </w:r>
      <w:r>
        <w:rPr>
          <w:spacing w:val="-2"/>
        </w:rPr>
        <w:t>面：公司在劳动、人事及工资管理体系等方面均独立于控股股东。高级管理人员均在本公司领取报酬，且未在控股股东单位</w:t>
      </w:r>
      <w:r>
        <w:rPr>
          <w:spacing w:val="-64"/>
        </w:rPr>
        <w:t> </w:t>
      </w:r>
      <w:r>
        <w:rPr>
          <w:spacing w:val="-64"/>
        </w:rPr>
      </w:r>
      <w:r>
        <w:rPr/>
        <w:t>领取报酬和担任除董事、监事外的其他职务。</w:t>
      </w:r>
      <w:r>
        <w:rPr>
          <w:rFonts w:ascii="Times New Roman" w:hAnsi="Times New Roman" w:cs="Times New Roman" w:eastAsia="Times New Roman" w:hint="default"/>
        </w:rPr>
        <w:t>3</w:t>
      </w:r>
      <w:r>
        <w:rPr/>
        <w:t>、资产方面：公司资产产权清晰、完整，拥有独立于控股股东的生产体系及 </w:t>
      </w:r>
      <w:r>
        <w:rPr>
          <w:spacing w:val="-2"/>
        </w:rPr>
        <w:t>配套设施，拥有独立的生产系统和配套设施，拥有独立的非专利技术、商标等无形资产，不存在控股股东及其他关联方无偿</w:t>
      </w:r>
      <w:r>
        <w:rPr>
          <w:spacing w:val="-63"/>
        </w:rPr>
        <w:t> </w:t>
      </w:r>
      <w:r>
        <w:rPr>
          <w:spacing w:val="-63"/>
        </w:rPr>
      </w:r>
      <w:r>
        <w:rPr/>
        <w:t>占用、挪用公司资产的现象。</w:t>
      </w:r>
      <w:r>
        <w:rPr>
          <w:rFonts w:ascii="Times New Roman" w:hAnsi="Times New Roman" w:cs="Times New Roman" w:eastAsia="Times New Roman" w:hint="default"/>
        </w:rPr>
        <w:t>4</w:t>
      </w:r>
      <w:r>
        <w:rPr/>
        <w:t>、机构方面：公司设立了健全的决策、组织及经营管理机构，各机构独立运作，不存在与控 </w:t>
      </w:r>
      <w:r>
        <w:rPr>
          <w:spacing w:val="-2"/>
        </w:rPr>
        <w:t>股股东职能部门之间的从属关系。公司股东大会、董事会、监事会和经理层各司其责、各负其职，公司控股股东均依照法定</w:t>
      </w:r>
      <w:r>
        <w:rPr>
          <w:spacing w:val="-65"/>
        </w:rPr>
        <w:t> </w:t>
      </w:r>
      <w:r>
        <w:rPr>
          <w:spacing w:val="-65"/>
        </w:rPr>
      </w:r>
      <w:r>
        <w:rPr/>
        <w:t>程序参与公司决策，未影响本公司经营管理的独立性。</w:t>
      </w:r>
      <w:r>
        <w:rPr>
          <w:rFonts w:ascii="Times New Roman" w:hAnsi="Times New Roman" w:cs="Times New Roman" w:eastAsia="Times New Roman" w:hint="default"/>
        </w:rPr>
        <w:t>5</w:t>
      </w:r>
      <w:r>
        <w:rPr/>
        <w:t>、财务方面：公司拥有独立的财务会计部门和财务人员，建立有独 </w:t>
      </w:r>
      <w:r>
        <w:rPr>
          <w:spacing w:val="-2"/>
        </w:rPr>
        <w:t>立的会计核算体系，具有规范的财务管理制度，独立进行财务决策，开立独立的银行账户，依法独立纳税，会计人员未在控</w:t>
      </w:r>
      <w:r>
        <w:rPr>
          <w:spacing w:val="-67"/>
        </w:rPr>
        <w:t> </w:t>
      </w:r>
      <w:r>
        <w:rPr>
          <w:spacing w:val="-67"/>
        </w:rPr>
      </w:r>
      <w:r>
        <w:rPr>
          <w:spacing w:val="-2"/>
        </w:rPr>
        <w:t>股股东单位兼职。公司不存在货币资金或其他资产被控股股东或其他关联方占用的情况，也不存在为控股股东及下属企业或</w:t>
      </w:r>
      <w:r>
        <w:rPr>
          <w:spacing w:val="-64"/>
        </w:rPr>
        <w:t> </w:t>
      </w:r>
      <w:r>
        <w:rPr>
          <w:spacing w:val="-64"/>
        </w:rPr>
      </w:r>
      <w:r>
        <w:rPr/>
        <w:t>其他关联方违规提供担保的情况。</w:t>
      </w:r>
    </w:p>
    <w:p>
      <w:pPr>
        <w:spacing w:line="240" w:lineRule="auto" w:before="3"/>
        <w:rPr>
          <w:rFonts w:ascii="宋体" w:hAnsi="宋体" w:cs="宋体" w:eastAsia="宋体" w:hint="default"/>
          <w:sz w:val="21"/>
          <w:szCs w:val="21"/>
        </w:rPr>
      </w:pPr>
    </w:p>
    <w:p>
      <w:pPr>
        <w:pStyle w:val="Heading2"/>
        <w:spacing w:line="240" w:lineRule="auto"/>
        <w:ind w:right="1115"/>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271"/>
        <w:jc w:val="both"/>
      </w:pPr>
      <w:r>
        <w:rPr/>
        <w:t>公司控股股东及其一致行动人均出具了避免同业竞争的承诺函，承诺不从事任何与公司构成同业竞争的业务。公司与控 </w:t>
      </w:r>
      <w:r>
        <w:rPr>
          <w:spacing w:val="-2"/>
        </w:rPr>
        <w:t>股股东、实际控制人间不存在同业竞争，目前公司主营业务与控股股东之间均无重叠，公司与控股股东及其控股、参股单位</w:t>
      </w:r>
      <w:r>
        <w:rPr>
          <w:spacing w:val="-65"/>
        </w:rPr>
        <w:t> </w:t>
      </w:r>
      <w:r>
        <w:rPr>
          <w:spacing w:val="-65"/>
        </w:rPr>
      </w:r>
      <w:r>
        <w:rPr/>
        <w:t>不存在同业竞争或显失公平的关联交易。</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1115"/>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公司建立了较为合理的高级管理人员的绩效评价标准和激励约束机制，根据高级管理人员的年度履职情况、绩效考核结</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31"/>
        <w:jc w:val="both"/>
      </w:pPr>
      <w:r>
        <w:rPr/>
        <w:t>果和公司经营业绩的情况决定其年度薪酬。</w:t>
      </w:r>
      <w:r>
        <w:rPr>
          <w:rFonts w:ascii="Times New Roman" w:hAnsi="Times New Roman" w:cs="Times New Roman" w:eastAsia="Times New Roman" w:hint="default"/>
        </w:rPr>
        <w:t>2012 </w:t>
      </w:r>
      <w:r>
        <w:rPr>
          <w:spacing w:val="-6"/>
        </w:rPr>
        <w:t>年公司高级管理人员能够严格按照《公司法》、《公司章程》及国家有关法</w:t>
      </w:r>
      <w:r>
        <w:rPr>
          <w:spacing w:val="-74"/>
        </w:rPr>
        <w:t> </w:t>
      </w:r>
      <w:r>
        <w:rPr>
          <w:spacing w:val="-74"/>
        </w:rPr>
      </w:r>
      <w:r>
        <w:rPr>
          <w:spacing w:val="-2"/>
        </w:rPr>
        <w:t>律法规认真履行职责，积极落实公司股东大会和董事会相关决议，认真履行了工作职责，基本完成了既定目标。公司各项考</w:t>
      </w:r>
      <w:r>
        <w:rPr>
          <w:spacing w:val="-64"/>
        </w:rPr>
        <w:t> </w:t>
      </w:r>
      <w:r>
        <w:rPr>
          <w:spacing w:val="-64"/>
        </w:rPr>
      </w:r>
      <w:r>
        <w:rPr/>
        <w:t>评及激励机制执行情况良好，起到了应有的激励和约束作用。</w:t>
      </w:r>
    </w:p>
    <w:p>
      <w:pPr>
        <w:spacing w:after="0" w:line="309" w:lineRule="auto"/>
        <w:jc w:val="both"/>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90"/>
        <w:jc w:val="center"/>
        <w:rPr>
          <w:b w:val="0"/>
          <w:bCs w:val="0"/>
        </w:rPr>
      </w:pPr>
      <w:r>
        <w:rPr/>
        <w:t>第九节</w:t>
      </w:r>
      <w:r>
        <w:rPr>
          <w:spacing w:val="-2"/>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5"/>
        <w:jc w:val="left"/>
        <w:rPr>
          <w:b w:val="0"/>
          <w:bCs w:val="0"/>
        </w:rPr>
      </w:pPr>
      <w:r>
        <w:rPr/>
        <w:t>一、内部控制建设情况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12"/>
        </w:rPr>
        <w:t>为规范经营管理，控制风险，保证经营业务活动的正常开展，公司根据《公司法》、《证券法》、《企业内部控制基本规范》</w:t>
      </w:r>
      <w:r>
        <w:rPr/>
        <w:t> </w:t>
      </w:r>
      <w:r>
        <w:rPr>
          <w:spacing w:val="-2"/>
        </w:rPr>
        <w:t>等有关法律、法规和规章制度，结合公司的实际情况、自身特点和管理需要，建立了股东大会、董事会、监事会及经理层的</w:t>
      </w:r>
      <w:r>
        <w:rPr>
          <w:spacing w:val="-67"/>
        </w:rPr>
        <w:t> </w:t>
      </w:r>
      <w:r>
        <w:rPr>
          <w:spacing w:val="-67"/>
        </w:rPr>
      </w:r>
      <w:r>
        <w:rPr>
          <w:spacing w:val="-2"/>
        </w:rPr>
        <w:t>治理结构，设置了人力资源中心、财务中心、生产品质中心、运营中心、法务审计中心、信息中心、研究院、董事会办公室</w:t>
      </w:r>
      <w:r>
        <w:rPr>
          <w:spacing w:val="-65"/>
        </w:rPr>
        <w:t> </w:t>
      </w:r>
      <w:r>
        <w:rPr>
          <w:spacing w:val="-65"/>
        </w:rPr>
      </w:r>
      <w:r>
        <w:rPr>
          <w:spacing w:val="-5"/>
        </w:rPr>
        <w:t>等职能部门，制定了贯穿于公司经营管理各层面、各环节的内部控制管理制度并不断完善，特别加强对财务报告、关联交易、</w:t>
      </w:r>
      <w:r>
        <w:rPr>
          <w:spacing w:val="-75"/>
        </w:rPr>
        <w:t> </w:t>
      </w:r>
      <w:r>
        <w:rPr>
          <w:spacing w:val="-75"/>
        </w:rPr>
      </w:r>
      <w:r>
        <w:rPr>
          <w:spacing w:val="-2"/>
        </w:rPr>
        <w:t>对外担保、重大投资决策、子公司、控股子公司等重大方面防范控制。公司内部控制建设基本符合有关法律法规的要求，内</w:t>
      </w:r>
      <w:r>
        <w:rPr>
          <w:spacing w:val="-67"/>
        </w:rPr>
        <w:t> </w:t>
      </w:r>
      <w:r>
        <w:rPr>
          <w:spacing w:val="-67"/>
        </w:rPr>
      </w:r>
      <w:r>
        <w:rPr/>
        <w:t>部控制体系具备了较好的完整性、合理性和有效性。</w:t>
      </w:r>
    </w:p>
    <w:p>
      <w:pPr>
        <w:spacing w:line="240" w:lineRule="auto" w:before="12"/>
        <w:rPr>
          <w:rFonts w:ascii="宋体" w:hAnsi="宋体" w:cs="宋体" w:eastAsia="宋体" w:hint="default"/>
          <w:sz w:val="20"/>
          <w:szCs w:val="20"/>
        </w:rPr>
      </w:pPr>
    </w:p>
    <w:p>
      <w:pPr>
        <w:pStyle w:val="Heading2"/>
        <w:spacing w:line="240" w:lineRule="auto"/>
        <w:ind w:right="1115"/>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0" w:firstLine="360"/>
        <w:jc w:val="left"/>
      </w:pPr>
      <w:r>
        <w:rPr/>
        <w:t>董事会认为</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spacing w:val="-7"/>
        </w:rPr>
        <w:t>对照《内部控制基本规范》、《内部控制评价指引》、《深圳证券交易所中小企业板上市公司规范运作指引》</w:t>
      </w:r>
      <w:r>
        <w:rPr/>
        <w:t> </w:t>
      </w:r>
      <w:r>
        <w:rPr>
          <w:spacing w:val="-2"/>
        </w:rPr>
        <w:t>及其他相关法律法规的要求，公司根据自身的实际情况，建立了较为健全的内部控制体系，符合有关法律法规和证券监管部</w:t>
      </w:r>
      <w:r>
        <w:rPr>
          <w:spacing w:val="-63"/>
        </w:rPr>
        <w:t> </w:t>
      </w:r>
      <w:r>
        <w:rPr>
          <w:spacing w:val="-63"/>
        </w:rPr>
      </w:r>
      <w:r>
        <w:rPr>
          <w:spacing w:val="-5"/>
        </w:rPr>
        <w:t>门的要求，公司的内部控制制度在所有重大方面完整、合理及有效，能够保证公司经营管理的正常运作和会计资料的真实性、</w:t>
      </w:r>
      <w:r>
        <w:rPr>
          <w:spacing w:val="-76"/>
        </w:rPr>
        <w:t> </w:t>
      </w:r>
      <w:r>
        <w:rPr>
          <w:spacing w:val="-76"/>
        </w:rPr>
      </w:r>
      <w:r>
        <w:rPr>
          <w:spacing w:val="-2"/>
        </w:rPr>
        <w:t>合法性、完整性，能够确保公司财产物资的安全完整。公司的各项内部控制能得到一贯、有效的执行，对控制和防范经营管</w:t>
      </w:r>
      <w:r>
        <w:rPr>
          <w:spacing w:val="-67"/>
        </w:rPr>
        <w:t> </w:t>
      </w:r>
      <w:r>
        <w:rPr>
          <w:spacing w:val="-67"/>
        </w:rPr>
      </w:r>
      <w:r>
        <w:rPr>
          <w:spacing w:val="-2"/>
        </w:rPr>
        <w:t>理风险、保护投资者的合法权益、促使公司规范运作和健康发展起到了积极的促进作用。随着经营环境的变化，公司发展中</w:t>
      </w:r>
      <w:r>
        <w:rPr>
          <w:spacing w:val="-63"/>
        </w:rPr>
        <w:t> </w:t>
      </w:r>
      <w:r>
        <w:rPr>
          <w:spacing w:val="-63"/>
        </w:rPr>
      </w:r>
      <w:r>
        <w:rPr>
          <w:spacing w:val="-2"/>
        </w:rPr>
        <w:t>难免会出现一些制度缺陷和管理漏洞，现有内部控制的有效性可能发生变化。公司将按照相关要求，进一步完善公司内部控</w:t>
      </w:r>
      <w:r>
        <w:rPr>
          <w:spacing w:val="-63"/>
        </w:rPr>
        <w:t> </w:t>
      </w:r>
      <w:r>
        <w:rPr>
          <w:spacing w:val="-63"/>
        </w:rPr>
      </w:r>
      <w:r>
        <w:rPr/>
        <w:t>制制度，使之始终适应公司发展的需要和国家有关法律法规的要求。</w:t>
      </w:r>
    </w:p>
    <w:p>
      <w:pPr>
        <w:spacing w:line="240" w:lineRule="auto" w:before="11"/>
        <w:rPr>
          <w:rFonts w:ascii="宋体" w:hAnsi="宋体" w:cs="宋体" w:eastAsia="宋体" w:hint="default"/>
          <w:sz w:val="20"/>
          <w:szCs w:val="20"/>
        </w:rPr>
      </w:pPr>
    </w:p>
    <w:p>
      <w:pPr>
        <w:pStyle w:val="Heading2"/>
        <w:spacing w:line="240" w:lineRule="auto"/>
        <w:ind w:right="1115"/>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3" w:firstLine="271"/>
        <w:jc w:val="both"/>
      </w:pPr>
      <w:r>
        <w:rPr/>
        <w:t>公司编制财务报告，以真实的交易和事项以及完整、准确的账簿记录等资料为依据，按照有关法律法规、国家统一的会 </w:t>
      </w:r>
      <w:r>
        <w:rPr>
          <w:spacing w:val="-2"/>
        </w:rPr>
        <w:t>计制度规定的编制基础、编制依据、编制原则和方法进行。在编制年度财务报告前，按照《企业财务会计报告条例》的有关</w:t>
      </w:r>
      <w:r>
        <w:rPr>
          <w:spacing w:val="-68"/>
        </w:rPr>
        <w:t> </w:t>
      </w:r>
      <w:r>
        <w:rPr>
          <w:spacing w:val="-68"/>
        </w:rPr>
      </w:r>
      <w:r>
        <w:rPr>
          <w:spacing w:val="-2"/>
        </w:rPr>
        <w:t>规定，全面清查资产、核实债务，并将清查、核实结果及其处理方法，以确保财务报告的真实可靠和资产的安全完整。经过</w:t>
      </w:r>
      <w:r>
        <w:rPr>
          <w:spacing w:val="-68"/>
        </w:rPr>
        <w:t> </w:t>
      </w:r>
      <w:r>
        <w:rPr>
          <w:spacing w:val="-68"/>
        </w:rPr>
      </w:r>
      <w:r>
        <w:rPr/>
        <w:t>审计的财务报告由公司法定代表人、财务负责人及会计机构负责人签名盖章。</w:t>
      </w:r>
    </w:p>
    <w:p>
      <w:pPr>
        <w:spacing w:line="240" w:lineRule="auto" w:before="11"/>
        <w:rPr>
          <w:rFonts w:ascii="宋体" w:hAnsi="宋体" w:cs="宋体" w:eastAsia="宋体" w:hint="default"/>
          <w:sz w:val="20"/>
          <w:szCs w:val="20"/>
        </w:rPr>
      </w:pPr>
    </w:p>
    <w:p>
      <w:pPr>
        <w:pStyle w:val="Heading2"/>
        <w:spacing w:line="240" w:lineRule="auto"/>
        <w:ind w:right="1115"/>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年度内部控制自我评</w:t>
            </w:r>
            <w:r>
              <w:rPr>
                <w:rFonts w:ascii="宋体" w:hAnsi="宋体" w:cs="宋体" w:eastAsia="宋体" w:hint="default"/>
                <w:spacing w:val="-3"/>
                <w:sz w:val="18"/>
                <w:szCs w:val="18"/>
              </w:rPr>
              <w:t>价</w:t>
            </w:r>
            <w:r>
              <w:rPr>
                <w:rFonts w:ascii="宋体" w:hAnsi="宋体" w:cs="宋体" w:eastAsia="宋体" w:hint="default"/>
                <w:sz w:val="18"/>
                <w:szCs w:val="18"/>
              </w:rPr>
              <w:t>报告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w:t>
            </w:r>
            <w:r>
              <w:rPr>
                <w:rFonts w:ascii="宋体" w:hAnsi="宋体" w:cs="宋体" w:eastAsia="宋体" w:hint="default"/>
                <w:spacing w:val="-3"/>
                <w:sz w:val="18"/>
                <w:szCs w:val="18"/>
              </w:rPr>
              <w:t>露</w:t>
            </w:r>
            <w:r>
              <w:rPr>
                <w:rFonts w:ascii="宋体" w:hAnsi="宋体" w:cs="宋体" w:eastAsia="宋体" w:hint="default"/>
                <w:sz w:val="18"/>
                <w:szCs w:val="18"/>
              </w:rPr>
              <w:t>于巨潮资讯网</w:t>
            </w:r>
          </w:p>
        </w:tc>
      </w:tr>
    </w:tbl>
    <w:p>
      <w:pPr>
        <w:spacing w:line="240" w:lineRule="auto" w:before="1"/>
        <w:rPr>
          <w:rFonts w:ascii="宋体" w:hAnsi="宋体" w:cs="宋体" w:eastAsia="宋体" w:hint="default"/>
          <w:b/>
          <w:bCs/>
          <w:sz w:val="18"/>
          <w:szCs w:val="18"/>
        </w:rPr>
      </w:pPr>
    </w:p>
    <w:p>
      <w:pPr>
        <w:spacing w:before="26"/>
        <w:ind w:left="152" w:right="1115" w:firstLine="0"/>
        <w:jc w:val="left"/>
        <w:rPr>
          <w:rFonts w:ascii="宋体" w:hAnsi="宋体" w:cs="宋体" w:eastAsia="宋体" w:hint="default"/>
          <w:sz w:val="24"/>
          <w:szCs w:val="24"/>
        </w:rPr>
      </w:pPr>
      <w:r>
        <w:rPr>
          <w:rFonts w:ascii="宋体" w:hAnsi="宋体" w:cs="宋体" w:eastAsia="宋体" w:hint="default"/>
          <w:b/>
          <w:bCs/>
          <w:sz w:val="24"/>
          <w:szCs w:val="24"/>
        </w:rPr>
        <w:t>五、内部控制审计报告</w:t>
      </w:r>
      <w:r>
        <w:rPr>
          <w:rFonts w:ascii="宋体" w:hAnsi="宋体" w:cs="宋体" w:eastAsia="宋体" w:hint="default"/>
          <w:sz w:val="24"/>
          <w:szCs w:val="24"/>
        </w:rPr>
      </w:r>
    </w:p>
    <w:p>
      <w:pPr>
        <w:spacing w:line="240" w:lineRule="auto" w:before="4"/>
        <w:rPr>
          <w:rFonts w:ascii="宋体" w:hAnsi="宋体" w:cs="宋体" w:eastAsia="宋体" w:hint="default"/>
          <w:b/>
          <w:bCs/>
          <w:sz w:val="19"/>
          <w:szCs w:val="19"/>
        </w:rPr>
      </w:pPr>
    </w:p>
    <w:p>
      <w:pPr>
        <w:spacing w:line="340" w:lineRule="atLeast" w:before="0"/>
        <w:ind w:left="152" w:right="64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会计师事务所是否出具非标准意见的内部控制审计报告</w:t>
      </w:r>
      <w:r>
        <w:rPr>
          <w:rFonts w:ascii="宋体" w:hAnsi="宋体" w:cs="宋体" w:eastAsia="宋体" w:hint="default"/>
          <w:sz w:val="18"/>
          <w:szCs w:val="18"/>
        </w:rPr>
      </w:r>
    </w:p>
    <w:p>
      <w:pPr>
        <w:spacing w:after="0" w:line="340" w:lineRule="atLeast"/>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b/>
          <w:bCs/>
          <w:sz w:val="25"/>
          <w:szCs w:val="25"/>
        </w:rPr>
      </w:pPr>
    </w:p>
    <w:p>
      <w:pPr>
        <w:pStyle w:val="Heading6"/>
        <w:spacing w:line="340" w:lineRule="auto" w:before="44"/>
        <w:ind w:right="4610"/>
        <w:jc w:val="left"/>
        <w:rPr>
          <w:b w:val="0"/>
          <w:bCs w:val="0"/>
        </w:rPr>
      </w:pPr>
      <w:r>
        <w:rPr>
          <w:rFonts w:ascii="Times New Roman" w:hAnsi="Times New Roman" w:cs="Times New Roman" w:eastAsia="Times New Roman" w:hint="default"/>
          <w:b w:val="0"/>
          <w:bCs w:val="0"/>
        </w:rPr>
        <w:t>□ </w:t>
      </w:r>
      <w:r>
        <w:rPr>
          <w:rFonts w:ascii="宋体" w:hAnsi="宋体" w:cs="宋体" w:eastAsia="宋体" w:hint="default"/>
          <w:b w:val="0"/>
          <w:bCs w:val="0"/>
        </w:rPr>
        <w:t>是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1"/>
        </w:rPr>
        <w:t> </w:t>
      </w:r>
      <w:r>
        <w:rPr>
          <w:rFonts w:ascii="宋体" w:hAnsi="宋体" w:cs="宋体" w:eastAsia="宋体" w:hint="default"/>
          <w:b w:val="0"/>
          <w:bCs w:val="0"/>
        </w:rPr>
        <w:t>否 </w:t>
      </w:r>
      <w:r>
        <w:rPr/>
        <w:t>会计师事务所出具的内部控制审计报告与董事会的自我评价报告意见是否一致</w:t>
      </w:r>
      <w:r>
        <w:rPr>
          <w:b w:val="0"/>
          <w:bCs w:val="0"/>
        </w:rPr>
      </w:r>
    </w:p>
    <w:p>
      <w:pPr>
        <w:pStyle w:val="BodyText"/>
        <w:spacing w:line="240" w:lineRule="auto" w:before="39"/>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19" w:firstLine="271"/>
        <w:jc w:val="left"/>
      </w:pPr>
      <w:r>
        <w:rPr/>
        <w:t>公司已建立了《年报信息披露重大差错责任追究制度》并于</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日披露于巨潮资讯网，报告期内公司未发生 重大会计差错更正、重大遗留信息补充等情况。</w:t>
      </w:r>
    </w:p>
    <w:p>
      <w:pPr>
        <w:spacing w:after="0" w:line="30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90"/>
        <w:jc w:val="center"/>
        <w:rPr>
          <w:b w:val="0"/>
          <w:bCs w:val="0"/>
        </w:rPr>
      </w:pP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5"/>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中瑞岳华会计师事务所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5923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5"/>
        <w:rPr>
          <w:rFonts w:ascii="宋体" w:hAnsi="宋体" w:cs="宋体" w:eastAsia="宋体" w:hint="default"/>
          <w:b/>
          <w:bCs/>
          <w:sz w:val="27"/>
          <w:szCs w:val="27"/>
        </w:rPr>
      </w:pPr>
    </w:p>
    <w:p>
      <w:pPr>
        <w:spacing w:line="357" w:lineRule="auto" w:before="44"/>
        <w:ind w:left="152" w:right="7140" w:firstLine="0"/>
        <w:jc w:val="left"/>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江苏爱康太阳能科技股份有限公司全体股东：</w:t>
      </w:r>
      <w:r>
        <w:rPr>
          <w:rFonts w:ascii="宋体" w:hAnsi="宋体" w:cs="宋体" w:eastAsia="宋体" w:hint="default"/>
          <w:sz w:val="18"/>
          <w:szCs w:val="18"/>
        </w:rPr>
      </w:r>
    </w:p>
    <w:p>
      <w:pPr>
        <w:spacing w:line="240" w:lineRule="auto" w:before="12"/>
        <w:rPr>
          <w:rFonts w:ascii="宋体" w:hAnsi="宋体" w:cs="宋体" w:eastAsia="宋体" w:hint="default"/>
          <w:b/>
          <w:bCs/>
          <w:sz w:val="22"/>
          <w:szCs w:val="22"/>
        </w:rPr>
      </w:pPr>
    </w:p>
    <w:p>
      <w:pPr>
        <w:pStyle w:val="BodyText"/>
        <w:spacing w:line="300" w:lineRule="auto"/>
        <w:ind w:right="1131" w:firstLine="480"/>
        <w:jc w:val="both"/>
      </w:pPr>
      <w:r>
        <w:rPr/>
        <w:t>我们审计了后附的江苏爱康太阳能科技股份有限公司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贵公司</w:t>
      </w:r>
      <w:r>
        <w:rPr>
          <w:rFonts w:ascii="Times New Roman" w:hAnsi="Times New Roman" w:cs="Times New Roman" w:eastAsia="Times New Roman" w:hint="default"/>
        </w:rPr>
        <w:t>”) </w:t>
      </w:r>
      <w:r>
        <w:rPr/>
        <w:t>及其子公司</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贵集团</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财务报表，包括</w:t>
      </w:r>
      <w:r>
        <w:rPr>
          <w:w w:val="99"/>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日的合并及公司的资产负债表，</w:t>
      </w:r>
      <w:r>
        <w:rPr>
          <w:rFonts w:ascii="Times New Roman" w:hAnsi="Times New Roman" w:cs="Times New Roman" w:eastAsia="Times New Roman" w:hint="default"/>
          <w:spacing w:val="-2"/>
        </w:rPr>
        <w:t>2012</w:t>
      </w:r>
      <w:r>
        <w:rPr>
          <w:spacing w:val="-2"/>
        </w:rPr>
        <w:t>年度合并及公司的利润表、合并及公司的现金流量表和合并及公司的所有</w:t>
      </w:r>
      <w:r>
        <w:rPr>
          <w:spacing w:val="-59"/>
        </w:rPr>
        <w:t> </w:t>
      </w:r>
      <w:r>
        <w:rPr>
          <w:spacing w:val="-59"/>
        </w:rPr>
      </w:r>
      <w:r>
        <w:rPr/>
        <w:t>者权益变动表以及财务报表附注。</w:t>
      </w:r>
    </w:p>
    <w:p>
      <w:pPr>
        <w:spacing w:line="240" w:lineRule="auto" w:before="3"/>
        <w:rPr>
          <w:rFonts w:ascii="宋体" w:hAnsi="宋体" w:cs="宋体" w:eastAsia="宋体" w:hint="default"/>
          <w:sz w:val="26"/>
          <w:szCs w:val="26"/>
        </w:rPr>
      </w:pPr>
    </w:p>
    <w:p>
      <w:pPr>
        <w:spacing w:line="316" w:lineRule="auto" w:before="0"/>
        <w:ind w:left="633" w:right="1115" w:firstLine="2"/>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编制和公允列报财务报表是贵公司管理层的责任。这种责任包括：（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）按照企业会计准则的规定编制财务报表，并</w:t>
      </w:r>
    </w:p>
    <w:p>
      <w:pPr>
        <w:pStyle w:val="BodyText"/>
        <w:spacing w:line="248" w:lineRule="exact"/>
        <w:ind w:right="1115"/>
        <w:jc w:val="left"/>
      </w:pPr>
      <w:r>
        <w:rPr/>
        <w:t>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633" w:right="1115"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我们的责任是在执行审计工作的基础上对财务报表发表审计意见。我们按照中国注册会计师审计准则的规定执行了审</w:t>
      </w:r>
    </w:p>
    <w:p>
      <w:pPr>
        <w:pStyle w:val="BodyText"/>
        <w:spacing w:line="316" w:lineRule="auto" w:before="19"/>
        <w:ind w:right="1115"/>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6" w:lineRule="auto" w:before="19"/>
        <w:ind w:right="0" w:firstLine="480"/>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pStyle w:val="BodyText"/>
        <w:spacing w:line="240" w:lineRule="auto" w:before="19"/>
        <w:ind w:left="633" w:right="1115"/>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9" w:lineRule="auto" w:before="153"/>
        <w:ind w:left="633" w:right="1115"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1"/>
        </w:rPr>
        <w:t>我们认为，上述财务报表在所有重大方面按照企业会计准则的规定编制，公允反映了江苏爱康太阳能科技股份有限公</w:t>
      </w:r>
    </w:p>
    <w:p>
      <w:pPr>
        <w:pStyle w:val="BodyText"/>
        <w:spacing w:line="300" w:lineRule="auto" w:before="17"/>
        <w:ind w:right="1115"/>
        <w:jc w:val="left"/>
      </w:pPr>
      <w:r>
        <w:rPr>
          <w:spacing w:val="-2"/>
        </w:rPr>
        <w:t>司及其子公司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日的合并财务状况以及</w:t>
      </w:r>
      <w:r>
        <w:rPr>
          <w:rFonts w:ascii="Times New Roman" w:hAnsi="Times New Roman" w:cs="Times New Roman" w:eastAsia="Times New Roman" w:hint="default"/>
          <w:spacing w:val="-2"/>
        </w:rPr>
        <w:t>2012</w:t>
      </w:r>
      <w:r>
        <w:rPr>
          <w:spacing w:val="-2"/>
        </w:rPr>
        <w:t>年度的合并经营成果和合并现金流量，以及江苏爱康太阳能科技股份</w:t>
      </w:r>
      <w:r>
        <w:rPr>
          <w:spacing w:val="-58"/>
        </w:rPr>
        <w:t> </w:t>
      </w:r>
      <w:r>
        <w:rPr>
          <w:spacing w:val="-58"/>
        </w:rPr>
      </w:r>
      <w:r>
        <w:rPr/>
        <w:t>有限公司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601" w:type="dxa"/>
        <w:tblLayout w:type="fixed"/>
        <w:tblCellMar>
          <w:top w:w="0" w:type="dxa"/>
          <w:left w:w="0" w:type="dxa"/>
          <w:bottom w:w="0" w:type="dxa"/>
          <w:right w:w="0" w:type="dxa"/>
        </w:tblCellMar>
        <w:tblLook w:val="01E0"/>
      </w:tblPr>
      <w:tblGrid>
        <w:gridCol w:w="3877"/>
        <w:gridCol w:w="3232"/>
      </w:tblGrid>
      <w:tr>
        <w:trPr>
          <w:trHeight w:val="257" w:hRule="exact"/>
        </w:trPr>
        <w:tc>
          <w:tcPr>
            <w:tcW w:w="3877" w:type="dxa"/>
            <w:tcBorders>
              <w:top w:val="nil" w:sz="6" w:space="0" w:color="auto"/>
              <w:left w:val="nil" w:sz="6" w:space="0" w:color="auto"/>
              <w:bottom w:val="nil" w:sz="6" w:space="0" w:color="auto"/>
              <w:right w:val="nil" w:sz="6" w:space="0" w:color="auto"/>
            </w:tcBorders>
          </w:tcPr>
          <w:p>
            <w:pPr>
              <w:pStyle w:val="TableParagraph"/>
              <w:spacing w:line="180" w:lineRule="exact"/>
              <w:ind w:right="235"/>
              <w:jc w:val="center"/>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c>
          <w:tcPr>
            <w:tcW w:w="3232" w:type="dxa"/>
            <w:tcBorders>
              <w:top w:val="nil" w:sz="6" w:space="0" w:color="auto"/>
              <w:left w:val="nil" w:sz="6" w:space="0" w:color="auto"/>
              <w:bottom w:val="nil" w:sz="6" w:space="0" w:color="auto"/>
              <w:right w:val="nil" w:sz="6" w:space="0" w:color="auto"/>
            </w:tcBorders>
          </w:tcPr>
          <w:p>
            <w:pPr>
              <w:pStyle w:val="TableParagraph"/>
              <w:spacing w:line="180" w:lineRule="exact"/>
              <w:ind w:left="437" w:right="0"/>
              <w:jc w:val="left"/>
              <w:rPr>
                <w:rFonts w:ascii="宋体" w:hAnsi="宋体" w:cs="宋体" w:eastAsia="宋体" w:hint="default"/>
                <w:sz w:val="18"/>
                <w:szCs w:val="18"/>
              </w:rPr>
            </w:pPr>
            <w:r>
              <w:rPr>
                <w:rFonts w:ascii="宋体" w:hAnsi="宋体" w:cs="宋体" w:eastAsia="宋体" w:hint="default"/>
                <w:sz w:val="18"/>
                <w:szCs w:val="18"/>
              </w:rPr>
              <w:t>中国注册会计师：何前</w:t>
            </w:r>
          </w:p>
        </w:tc>
      </w:tr>
      <w:tr>
        <w:trPr>
          <w:trHeight w:val="337" w:hRule="exact"/>
        </w:trPr>
        <w:tc>
          <w:tcPr>
            <w:tcW w:w="387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2"/>
              <w:jc w:val="center"/>
              <w:rPr>
                <w:rFonts w:ascii="宋体" w:hAnsi="宋体" w:cs="宋体" w:eastAsia="宋体" w:hint="default"/>
                <w:sz w:val="18"/>
                <w:szCs w:val="18"/>
              </w:rPr>
            </w:pPr>
            <w:r>
              <w:rPr>
                <w:rFonts w:ascii="宋体" w:hAnsi="宋体" w:cs="宋体" w:eastAsia="宋体" w:hint="default"/>
                <w:spacing w:val="-3"/>
                <w:sz w:val="18"/>
                <w:szCs w:val="18"/>
              </w:rPr>
              <w:t>中国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7" w:right="0"/>
              <w:jc w:val="left"/>
              <w:rPr>
                <w:rFonts w:ascii="宋体" w:hAnsi="宋体" w:cs="宋体" w:eastAsia="宋体" w:hint="default"/>
                <w:sz w:val="18"/>
                <w:szCs w:val="18"/>
              </w:rPr>
            </w:pPr>
            <w:r>
              <w:rPr>
                <w:rFonts w:ascii="宋体" w:hAnsi="宋体" w:cs="宋体" w:eastAsia="宋体" w:hint="default"/>
                <w:sz w:val="18"/>
                <w:szCs w:val="18"/>
              </w:rPr>
              <w:t>中国注册会计师：秦松涛</w:t>
            </w:r>
          </w:p>
        </w:tc>
      </w:tr>
      <w:tr>
        <w:trPr>
          <w:trHeight w:val="261" w:hRule="exact"/>
        </w:trPr>
        <w:tc>
          <w:tcPr>
            <w:tcW w:w="3877" w:type="dxa"/>
            <w:tcBorders>
              <w:top w:val="nil" w:sz="6" w:space="0" w:color="auto"/>
              <w:left w:val="nil" w:sz="6" w:space="0" w:color="auto"/>
              <w:bottom w:val="nil" w:sz="6" w:space="0" w:color="auto"/>
              <w:right w:val="nil" w:sz="6" w:space="0" w:color="auto"/>
            </w:tcBorders>
          </w:tcPr>
          <w:p>
            <w:pPr/>
          </w:p>
        </w:tc>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5"/>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5"/>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编制单位：江苏爱康太阳能科技股份有限公司</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691,433,729.35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894,117,843.09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368,000.00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23,445,798.99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9,150,000.00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319,878,488.25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200,997,071.46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8,586,571.65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70,556,067.17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956,295.38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2,108,793.83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120,526,351.21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59,191,461.48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240,796,402.62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206,873,093.48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55,414,952.37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3,169,582.45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1,461,038,589.82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1,446,531,912.96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101,283,805.04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95,157,985.70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1,005,486,310.46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666,210,492.46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405,972,429.98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270,560,869.19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189,650,275.87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1,816,175.24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162,601,343.82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163,844,530.42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6,220,626.54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7,758,936.15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7,758,936.15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24,418,730.66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18,361,414.55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29,060,066.62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6,678,825.85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120,905,723.27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34,089,835.91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2,053,358,248.41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1,264,479,065.47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3,514,396,838.23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2,711,010,978.43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818,687,655.00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616,201,689.99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354,070,631.89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120,198,240.00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482,793,017.39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209,715,981.51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4,358,305.61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5,484,842.03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11,717,271.06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9,355,026.62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10,370,023.36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-61,121,536.42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3,780,339.97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4,278,422.27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10,623,484.83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59,534,696.07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4,162,815.80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819,374.72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1,779,563,544.91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974,466,736.79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361,700,000.00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254,700,000.00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98,921,100.00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80,662,800.00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463,651,100.00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335,418,000.00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2,243,214,644.91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1,309,884,736.79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823,825,067.87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927,721,373.49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32,361,256.25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32,361,256.25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71,591,564.14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227,631,287.99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-17,108.16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1,227,760,780.10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1,387,713,917.73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43,421,413.22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13,412,323.91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1,271,182,193.32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1,401,126,241.64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3,514,396,838.23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2,711,010,978.43</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1115"/>
        <w:jc w:val="left"/>
      </w:pPr>
      <w:r>
        <w:rPr/>
        <w:t>法定代表人：邹承慧</w:t>
        <w:tab/>
      </w:r>
      <w:r>
        <w:rPr>
          <w:spacing w:val="-1"/>
        </w:rPr>
        <w:t>主管会计工作负责人：易美怀</w:t>
        <w:tab/>
      </w:r>
      <w:r>
        <w:rPr/>
        <w:t>会计机构负责人：王能海</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编制单位：江苏爱康太阳能科技股份有限公司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450,472,842.99</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391,841,836.86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130,284,457.66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267,639,771.60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2,164,870.11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65,661,795.75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941,458.34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1,274,023.80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620,271,225.18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87,993,748.60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69,673,079.08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149,034,334.06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6,452,415.30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1,591,816.65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1,283,560,348.66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968,505,327.32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1,016,969,103.06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948,484,225.14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1,027,609.50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1,085,877.34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145,281,093.37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146,007,583.64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1,723,078.46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2,297,386.89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46,028,135.52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44,751,186.08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17,091,616.61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15,105,971.32</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11,691,609.49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56,589.92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2,447,731.63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7,612,436.62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1,242,259,977.64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1,165,401,256.95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2,525,820,326.30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2,133,906,584.27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703,687,655.00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526,201,689.99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338,140,000.00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54,843,491.53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39,911,409.87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3,549,465.47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3,488,723.34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7,085,681.71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6,576,077.71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531,489.13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-5,304,132.05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2,665,749.43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3,647,983.88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139,779,302.14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2,607,569.80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1,807,314.05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499,374.72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1,281,090,148.46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699,628,697.26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55,200.00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20,055,200.00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1,281,090,148.46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719,683,897.26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827,491,194.90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927,491,194.90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32,361,256.25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32,361,256.25</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84,877,726.69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254,370,235.86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1,244,730,177.84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1,414,222,687.01</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2,525,820,326.30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2,133,906,584.27</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1115"/>
        <w:jc w:val="left"/>
      </w:pPr>
      <w:r>
        <w:rPr/>
        <w:t>法定代表人：邹承慧</w:t>
        <w:tab/>
      </w:r>
      <w:r>
        <w:rPr>
          <w:spacing w:val="-1"/>
        </w:rPr>
        <w:t>主管会计工作负责人：易美怀</w:t>
        <w:tab/>
      </w:r>
      <w:r>
        <w:rPr/>
        <w:t>会计机构负责人：王能海</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编制单位：江苏爱康太阳能科技股份有限公司</w:t>
      </w:r>
    </w:p>
    <w:p>
      <w:pPr>
        <w:pStyle w:val="BodyText"/>
        <w:spacing w:line="240" w:lineRule="auto" w:before="115"/>
        <w:ind w:left="0" w:right="1131"/>
        <w:jc w:val="right"/>
      </w:pPr>
      <w:r>
        <w:rPr/>
        <w:pict>
          <v:shape style="position:absolute;margin-left:57pt;margin-top:22.981709pt;width:478.7pt;height:625.8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1,362,435,009.36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1,524,113,975.03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1,362,435,009.36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1,524,113,975.03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1,494,947,391.69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1,499,202,535.92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1,258,499,677.89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1,294,956,419.54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2,299,891.33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2,761,891.02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36,203,768.74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33,805,995.67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145,628,936.34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126,642,774.70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48,320,462.34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39,452,690.78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3,994,655.05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1,582,764.21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2,730,680.00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6,895,979.34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181,078,052.57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5,125,819.34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21,552,530.28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-125,984,402.99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208,720,171.68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60,053,232.26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11,801,615.79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2,185,815.92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789,047.33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1,170,004.46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386,108.81</w:t>
                        </w:r>
                      </w:p>
                    </w:tc>
                  </w:tr>
                </w:tbl>
                <w:p>
                  <w:pPr/>
                </w:p>
              </w:txbxContent>
            </v:textbox>
            <w10:wrap type="none"/>
          </v:shape>
        </w:pict>
      </w:r>
      <w:r>
        <w:rPr/>
        <w:t>单位：元</w:t>
      </w:r>
    </w:p>
    <w:p>
      <w:pPr>
        <w:spacing w:after="0" w:line="240" w:lineRule="auto"/>
        <w:jc w:val="right"/>
        <w:sectPr>
          <w:pgSz w:w="11910" w:h="16840"/>
          <w:pgMar w:header="877" w:footer="1340" w:top="1060" w:bottom="15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-68,116,986.65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219,732,740.14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-14,590,046.49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24,689,785.83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-53,526,940.16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195,042,954.31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-56,039,723.85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197,263,945.56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2,512,783.69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-2,220,991.25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-53,544,048.32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195,043,511.68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-56,056,832.01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197,264,363.59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2,512,783.69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-2,220,851.91</w:t>
            </w:r>
          </w:p>
        </w:tc>
      </w:tr>
    </w:tbl>
    <w:p>
      <w:pPr>
        <w:pStyle w:val="BodyText"/>
        <w:spacing w:line="240" w:lineRule="auto" w:before="49"/>
        <w:ind w:right="1115"/>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41"/>
        <w:ind w:right="1115"/>
        <w:jc w:val="left"/>
      </w:pPr>
      <w:r>
        <w:rPr/>
        <w:t>法定代表人：邹承慧</w:t>
        <w:tab/>
      </w:r>
      <w:r>
        <w:rPr>
          <w:spacing w:val="-1"/>
        </w:rPr>
        <w:t>主管会计工作负责人：易美怀</w:t>
        <w:tab/>
      </w:r>
      <w:r>
        <w:rPr/>
        <w:t>会计机构负责人：王能海</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编制单位：江苏爱康太阳能科技股份有限公司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917,014,999.01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1,259,785,380.07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842,454,393.20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1,049,151,475.96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1,833,527.06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2,542,367.86</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17,130,494.28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22,955,983.16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93,245,771.20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93,708,415.67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48,416,761.44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35,711,528.78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4,816,983.10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412,841.28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2,730,680.00</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6,895,979.34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181,078,052.57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67216" coordorigin="9206,15298" coordsize="2700,1540">
            <v:shape style="position:absolute;left:9206;top:15298;width:2700;height:1540" type="#_x0000_t75" stroked="false">
              <v:imagedata r:id="rId21"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68</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5,125,819.34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21,552,530.28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-84,354,951.93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239,111,499.93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2,874,907.35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7,020,961.84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508,199.51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401,293.45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33,086.58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-81,988,244.09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245,731,168.32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-12,495,734.92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29,342,004.81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-69,492,509.17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216,389,163.51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0.87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-69,492,509.17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216,389,163.51</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1115"/>
        <w:jc w:val="left"/>
      </w:pPr>
      <w:r>
        <w:rPr/>
        <w:t>法定代表人：邹承慧</w:t>
        <w:tab/>
      </w:r>
      <w:r>
        <w:rPr>
          <w:spacing w:val="-1"/>
        </w:rPr>
        <w:t>主管会计工作负责人：易美怀</w:t>
        <w:tab/>
      </w:r>
      <w:r>
        <w:rPr/>
        <w:t>会计机构负责人：王能海</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编制单位：江苏爱康太阳能科技股份有限公司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1,234,394,903.36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1,360,142,347.69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9"/>
          <w:footerReference w:type="default" r:id="rId30"/>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67168" coordorigin="9206,15298" coordsize="2700,1540">
            <v:shape style="position:absolute;left:9206;top:15298;width:2700;height:1540" type="#_x0000_t75" stroked="false">
              <v:imagedata r:id="rId21"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69</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111,821,856.07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132,363,519.37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40,851,770.82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50,236,793.76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1,387,068,530.25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1,542,742,660.82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741,335,556.83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1,438,597,940.99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154,367,126.98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121,394,637.77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25,412,068.65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46,948,293.99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318,791,721.47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189,265,516.52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1,239,906,473.93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1,796,206,389.27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147,162,056.32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-253,463,728.45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1,770,160.00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761,291.01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132,596.63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5,740,440.00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8,271,891.01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185,432,596.63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711,227,182.96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554,946,032.76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7,257,930.71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9,412,190.00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767,257,182.96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586,616,153.47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-758,985,291.95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-401,183,556.84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783,400,557.37</w:t>
            </w:r>
          </w:p>
        </w:tc>
      </w:tr>
    </w:tbl>
    <w:p>
      <w:pPr>
        <w:spacing w:after="0" w:line="240" w:lineRule="auto"/>
        <w:jc w:val="right"/>
        <w:rPr>
          <w:rFonts w:ascii="Times New Roman" w:hAnsi="Times New Roman" w:cs="Times New Roman" w:eastAsia="Times New Roman" w:hint="default"/>
          <w:sz w:val="18"/>
          <w:szCs w:val="18"/>
        </w:rPr>
        <w:sectPr>
          <w:headerReference w:type="default" r:id="rId31"/>
          <w:footerReference w:type="default" r:id="rId32"/>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67120" coordorigin="9206,15298" coordsize="2700,1540">
            <v:shape style="position:absolute;left:9206;top:15298;width:2700;height:1540" type="#_x0000_t75" stroked="false">
              <v:imagedata r:id="rId21"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15,400,557.37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1,521,560,081.00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1,190,774,743.12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1,546,160,081.00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1,974,175,300.49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1,143,074,115.99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572,219,522.75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187,070,397.85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34,810,634.44</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11,054,183.99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1,469,644,513.84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618,084,341.18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76,515,567.16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1,356,090,959.31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-3,756,179.83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-4,027,912.07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-539,063,848.30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697,415,761.95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799,764,226.66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102,348,464.71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260,700,378.36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799,764,226.66</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1115"/>
        <w:jc w:val="left"/>
      </w:pPr>
      <w:r>
        <w:rPr/>
        <w:t>法定代表人：邹承慧</w:t>
        <w:tab/>
      </w:r>
      <w:r>
        <w:rPr>
          <w:spacing w:val="-1"/>
        </w:rPr>
        <w:t>主管会计工作负责人：易美怀</w:t>
        <w:tab/>
      </w:r>
      <w:r>
        <w:rPr/>
        <w:t>会计机构负责人：王能海</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编制单位：江苏爱康太阳能科技股份有限公司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1,096,675,449.52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1,119,772,649.64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89,610,037.98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129,793,637.79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52,318,932.24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99,132,977.68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1,238,604,419.74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1,348,699,265.11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804,289,654.98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1,184,190,381.03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84,394,270.13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79,317,475.29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16,846,168.15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31,033,085.56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364,544,199.52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172,010,204.02</w:t>
            </w:r>
          </w:p>
        </w:tc>
      </w:tr>
    </w:tbl>
    <w:p>
      <w:pPr>
        <w:spacing w:after="0" w:line="240" w:lineRule="auto"/>
        <w:jc w:val="right"/>
        <w:rPr>
          <w:rFonts w:ascii="Times New Roman" w:hAnsi="Times New Roman" w:cs="Times New Roman" w:eastAsia="Times New Roman" w:hint="default"/>
          <w:sz w:val="18"/>
          <w:szCs w:val="18"/>
        </w:rPr>
        <w:sectPr>
          <w:headerReference w:type="default" r:id="rId33"/>
          <w:footerReference w:type="default" r:id="rId34"/>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67072" coordorigin="9206,15298" coordsize="2700,1540">
            <v:shape style="position:absolute;left:9206;top:15298;width:2700;height:1540" type="#_x0000_t75" stroked="false">
              <v:imagedata r:id="rId21"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71</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1,270,074,292.78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1,466,551,145.90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-31,469,873.04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-117,851,880.79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1,770,160.00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129,805.31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213,899,965.31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140,123,000.00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20,571,562.84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96,556,877.21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279,387,773.85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705,556,000.00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3,671,750.00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349,959,336.69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805,784,627.21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-136,059,371.38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-665,661,627.21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1,174,560,081.00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847,074,743.12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1,174,560,081.00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1,615,074,743.12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998,074,115.99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542,219,522.75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144,476,174.42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23,220,273.37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9,349,325.34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1,231,050,290.41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574,789,121.46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-56,490,209.41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1,040,285,621.66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-2,565,766.21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-3,734,500.64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-226,585,220.04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253,037,613.02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309,421,460.43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56,383,847.41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82,836,240.39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309,421,460.43</w:t>
            </w:r>
          </w:p>
        </w:tc>
      </w:tr>
    </w:tbl>
    <w:p>
      <w:pPr>
        <w:spacing w:after="0" w:line="240" w:lineRule="auto"/>
        <w:jc w:val="right"/>
        <w:rPr>
          <w:rFonts w:ascii="Times New Roman" w:hAnsi="Times New Roman" w:cs="Times New Roman" w:eastAsia="Times New Roman" w:hint="default"/>
          <w:sz w:val="18"/>
          <w:szCs w:val="18"/>
        </w:rPr>
        <w:sectPr>
          <w:headerReference w:type="default" r:id="rId35"/>
          <w:footerReference w:type="default" r:id="rId36"/>
          <w:pgSz w:w="11910" w:h="16840"/>
          <w:pgMar w:header="877" w:footer="0" w:top="1060" w:bottom="0" w:left="980" w:right="0"/>
        </w:sectPr>
      </w:pPr>
    </w:p>
    <w:p>
      <w:pPr>
        <w:spacing w:line="240" w:lineRule="auto" w:before="3"/>
        <w:rPr>
          <w:rFonts w:ascii="Times New Roman" w:hAnsi="Times New Roman" w:cs="Times New Roman" w:eastAsia="Times New Roman" w:hint="default"/>
          <w:sz w:val="29"/>
          <w:szCs w:val="29"/>
        </w:rPr>
      </w:pPr>
    </w:p>
    <w:p>
      <w:pPr>
        <w:pStyle w:val="BodyText"/>
        <w:tabs>
          <w:tab w:pos="3578" w:val="left" w:leader="none"/>
          <w:tab w:pos="7721" w:val="left" w:leader="none"/>
        </w:tabs>
        <w:spacing w:line="240" w:lineRule="auto" w:before="44"/>
        <w:ind w:right="1115"/>
        <w:jc w:val="left"/>
      </w:pPr>
      <w:r>
        <w:rPr/>
        <w:t>法定代表人：邹承慧</w:t>
        <w:tab/>
      </w:r>
      <w:r>
        <w:rPr>
          <w:spacing w:val="-1"/>
        </w:rPr>
        <w:t>主管会计工作负责人：易美怀</w:t>
        <w:tab/>
      </w:r>
      <w:r>
        <w:rPr/>
        <w:t>会计机构负责人：王能海</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37"/>
          <w:pgSz w:w="11910" w:h="16840"/>
          <w:pgMar w:footer="1330" w:header="877" w:top="1060" w:bottom="1520" w:left="980" w:right="0"/>
          <w:pgNumType w:start="72"/>
        </w:sectPr>
      </w:pPr>
    </w:p>
    <w:p>
      <w:pPr>
        <w:pStyle w:val="BodyText"/>
        <w:spacing w:line="357" w:lineRule="auto" w:before="44"/>
        <w:ind w:right="-20"/>
        <w:jc w:val="left"/>
      </w:pPr>
      <w:r>
        <w:rPr/>
        <w:t>编制单位：江苏爱康太阳能科技股份有限公司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753" w:space="516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927,721,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373.49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32,361,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256.25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227,631,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287.99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13,412,32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3.91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1,401,126,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241.64</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927,721,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373.49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32,361,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256.25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227,631,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287.99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13,412,32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3.91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1,401,126,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241.64</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-103,89</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6,305.62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-156,03</w:t>
            </w:r>
          </w:p>
          <w:p>
            <w:pPr>
              <w:pStyle w:val="TableParagraph"/>
              <w:spacing w:line="240" w:lineRule="auto" w:before="102"/>
              <w:ind w:left="26" w:right="0"/>
              <w:jc w:val="left"/>
              <w:rPr>
                <w:rFonts w:ascii="Times New Roman" w:hAnsi="Times New Roman" w:cs="Times New Roman" w:eastAsia="Times New Roman" w:hint="default"/>
                <w:sz w:val="18"/>
                <w:szCs w:val="18"/>
              </w:rPr>
            </w:pPr>
            <w:r>
              <w:rPr>
                <w:rFonts w:ascii="Times New Roman"/>
                <w:sz w:val="18"/>
              </w:rPr>
              <w:t>9,723.85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-17,108.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30,009,08</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9.31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-129,944,0</w:t>
            </w:r>
          </w:p>
          <w:p>
            <w:pPr>
              <w:pStyle w:val="TableParagraph"/>
              <w:spacing w:line="240" w:lineRule="auto" w:before="102"/>
              <w:ind w:left="456" w:right="0"/>
              <w:jc w:val="left"/>
              <w:rPr>
                <w:rFonts w:ascii="Times New Roman" w:hAnsi="Times New Roman" w:cs="Times New Roman" w:eastAsia="Times New Roman" w:hint="default"/>
                <w:sz w:val="18"/>
                <w:szCs w:val="18"/>
              </w:rPr>
            </w:pPr>
            <w:r>
              <w:rPr>
                <w:rFonts w:ascii="Times New Roman"/>
                <w:sz w:val="18"/>
              </w:rPr>
              <w:t>48.32</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-56,039,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723.85</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2,512,783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-53,526,94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0.16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-17,108.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16</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-17,108.16</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-56,039,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723.85</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2,512,783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-53,544,04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8.32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-3,896,3</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05.62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27,496,30</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5.62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24,600,00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-3,896,3</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05.62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2,896,305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26" w:right="0"/>
              <w:jc w:val="left"/>
              <w:rPr>
                <w:rFonts w:ascii="Times New Roman" w:hAnsi="Times New Roman" w:cs="Times New Roman" w:eastAsia="Times New Roman" w:hint="default"/>
                <w:sz w:val="18"/>
                <w:szCs w:val="18"/>
              </w:rPr>
            </w:pPr>
            <w:r>
              <w:rPr>
                <w:rFonts w:ascii="Times New Roman"/>
                <w:sz w:val="18"/>
              </w:rPr>
              <w:t>0,000.00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6"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26" w:right="0"/>
              <w:jc w:val="left"/>
              <w:rPr>
                <w:rFonts w:ascii="Times New Roman" w:hAnsi="Times New Roman" w:cs="Times New Roman" w:eastAsia="Times New Roman" w:hint="default"/>
                <w:sz w:val="18"/>
                <w:szCs w:val="18"/>
              </w:rPr>
            </w:pPr>
            <w:r>
              <w:rPr>
                <w:rFonts w:ascii="Times New Roman"/>
                <w:sz w:val="18"/>
              </w:rPr>
              <w:t>0,000.00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456"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823,825,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067.87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32,361,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256.25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71,591,5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64.14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43,421,41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3.22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1,271,182,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193.32</w:t>
            </w:r>
          </w:p>
        </w:tc>
      </w:tr>
    </w:tbl>
    <w:p>
      <w:pPr>
        <w:pStyle w:val="BodyText"/>
        <w:spacing w:line="240" w:lineRule="auto" w:before="49"/>
        <w:ind w:right="1115"/>
        <w:jc w:val="left"/>
      </w:pPr>
      <w:r>
        <w:rPr/>
        <w:t>上年金额</w:t>
      </w:r>
    </w:p>
    <w:p>
      <w:pPr>
        <w:pStyle w:val="BodyText"/>
        <w:spacing w:line="240" w:lineRule="auto" w:before="115"/>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401"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55"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219,070,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280.80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10,722,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339.90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52,006,2</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58.78</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172,909.8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431,971,78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9.33</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219,070,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280.80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10,722,</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339.90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52,006,2</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58.78</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172,909.8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431,971,78</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9.33</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708,651,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092.69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21,638,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916.35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175,625,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029.21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13,239,41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4.06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969,154,45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2.31</w:t>
            </w: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Times New Roman" w:hAnsi="Times New Roman" w:cs="Times New Roman" w:eastAsia="Times New Roman" w:hint="default"/>
                <w:sz w:val="18"/>
                <w:szCs w:val="18"/>
              </w:rPr>
            </w:pPr>
            <w:r>
              <w:rPr>
                <w:rFonts w:ascii="Times New Roman"/>
                <w:sz w:val="18"/>
              </w:rPr>
              <w:t>197,263,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6" w:right="0"/>
              <w:jc w:val="left"/>
              <w:rPr>
                <w:rFonts w:ascii="Times New Roman" w:hAnsi="Times New Roman" w:cs="Times New Roman" w:eastAsia="Times New Roman" w:hint="default"/>
                <w:sz w:val="18"/>
                <w:szCs w:val="18"/>
              </w:rPr>
            </w:pPr>
            <w:r>
              <w:rPr>
                <w:rFonts w:ascii="Times New Roman"/>
                <w:sz w:val="18"/>
              </w:rPr>
              <w:t>-2,220,99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195,042,95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3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3" w:right="0"/>
              <w:jc w:val="left"/>
              <w:rPr>
                <w:rFonts w:ascii="Times New Roman" w:hAnsi="Times New Roman" w:cs="Times New Roman" w:eastAsia="Times New Roman" w:hint="default"/>
                <w:sz w:val="18"/>
                <w:szCs w:val="18"/>
              </w:rPr>
            </w:pPr>
            <w:r>
              <w:rPr>
                <w:rFonts w:ascii="Times New Roman"/>
                <w:sz w:val="18"/>
              </w:rPr>
              <w:t>945.56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4.31</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557.37</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418.03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197,263,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945.56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-2,220,85</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1.91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195,043,51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1.68</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708,650,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674.66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15,400,00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774,050,67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4.66</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708,650,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674.66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15,400,00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774,050,67</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4.66</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21,638,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916.35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-21,638,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916.35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21,638,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916.35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-21,638,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916.35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60,265.97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60,265.97</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927,721,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373.49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32,361,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256.25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227,631,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287.99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13,412,32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3.91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1,401,126,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241.64</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1115"/>
        <w:jc w:val="left"/>
      </w:pPr>
      <w:r>
        <w:rPr/>
        <w:t>法定代表人：邹承慧</w:t>
        <w:tab/>
      </w:r>
      <w:r>
        <w:rPr>
          <w:spacing w:val="-1"/>
        </w:rPr>
        <w:t>主管会计工作负责人：易美怀</w:t>
        <w:tab/>
      </w:r>
      <w:r>
        <w:rPr/>
        <w:t>会计机构负责人：王能海</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编制单位：江苏爱康太阳能科技股份有限公司</w:t>
      </w:r>
    </w:p>
    <w:p>
      <w:pPr>
        <w:spacing w:after="0" w:line="240" w:lineRule="auto"/>
        <w:jc w:val="left"/>
        <w:sectPr>
          <w:pgSz w:w="11910" w:h="16840"/>
          <w:pgMar w:header="877" w:footer="1330" w:top="1060" w:bottom="1540" w:left="980" w:right="0"/>
        </w:sectPr>
      </w:pPr>
    </w:p>
    <w:p>
      <w:pPr>
        <w:spacing w:line="240" w:lineRule="auto" w:before="9"/>
        <w:rPr>
          <w:rFonts w:ascii="宋体" w:hAnsi="宋体" w:cs="宋体" w:eastAsia="宋体" w:hint="default"/>
          <w:sz w:val="25"/>
          <w:szCs w:val="25"/>
        </w:rPr>
      </w:pPr>
      <w:r>
        <w:rPr/>
        <w:pict>
          <v:shape style="position:absolute;margin-left:138.600006pt;margin-top:685.899963pt;width:84.8pt;height:22.05pt;mso-position-horizontal-relative:page;mso-position-vertical-relative:page;z-index:-967048"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（或股本）</w:t>
                  </w:r>
                </w:p>
              </w:txbxContent>
            </v:textbox>
            <w10:wrap type="none"/>
          </v:shape>
        </w:pict>
      </w:r>
      <w:r>
        <w:rPr/>
        <w:pict>
          <v:shape style="position:absolute;margin-left:138.600006pt;margin-top:721.539978pt;width:84.8pt;height:19.7pt;mso-position-horizontal-relative:page;mso-position-vertical-relative:page;z-index:-967024"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1.940002pt;margin-top:685.899963pt;width:41.45pt;height:17.650pt;mso-position-horizontal-relative:page;mso-position-vertical-relative:page;z-index:-967000" coordorigin="3639,13718" coordsize="829,353">
            <v:shape style="position:absolute;left:3639;top:13718;width:829;height:353" coordorigin="3639,13718" coordsize="829,353" path="m3639,14071l4467,14071,4467,13718,3639,13718,3639,14071xe" filled="true" fillcolor="#ffffff" stroked="false">
              <v:path arrowok="t"/>
              <v:fill type="solid"/>
            </v:shape>
            <w10:wrap type="none"/>
          </v:group>
        </w:pict>
      </w:r>
      <w:r>
        <w:rPr/>
        <w:pict>
          <v:group style="position:absolute;margin-left:180.740005pt;margin-top:720.940002pt;width:42.65pt;height:20.9pt;mso-position-horizontal-relative:page;mso-position-vertical-relative:page;z-index:-966976" coordorigin="3615,14419" coordsize="853,418">
            <v:group style="position:absolute;left:3627;top:14431;width:2;height:394" coordorigin="3627,14431" coordsize="2,394">
              <v:shape style="position:absolute;left:3627;top:14431;width:2;height:394" coordorigin="3627,14431" coordsize="0,394" path="m3627,14431l3627,14824e" filled="false" stroked="true" strokeweight="1.2pt" strokecolor="#ffffff">
                <v:path arrowok="t"/>
              </v:shape>
            </v:group>
            <v:group style="position:absolute;left:3639;top:14431;width:829;height:394" coordorigin="3639,14431" coordsize="829,394">
              <v:shape style="position:absolute;left:3639;top:14431;width:829;height:394" coordorigin="3639,14431" coordsize="829,394" path="m3639,14824l4467,14824,4467,14431,3639,14431,3639,14824xe" filled="true" fillcolor="#ffffff" stroked="false">
                <v:path arrowok="t"/>
                <v:fill type="solid"/>
              </v:shape>
            </v:group>
            <w10:wrap type="none"/>
          </v:group>
        </w:pict>
      </w:r>
    </w:p>
    <w:p>
      <w:pPr>
        <w:pStyle w:val="BodyText"/>
        <w:spacing w:line="240" w:lineRule="auto" w:before="44"/>
        <w:ind w:right="1115"/>
        <w:jc w:val="left"/>
      </w:pPr>
      <w:r>
        <w:rPr/>
        <w:t>本期金额</w:t>
      </w:r>
    </w:p>
    <w:p>
      <w:pPr>
        <w:pStyle w:val="BodyText"/>
        <w:spacing w:line="240" w:lineRule="auto" w:before="117"/>
        <w:ind w:left="0" w:right="1131"/>
        <w:jc w:val="right"/>
      </w:pPr>
      <w:r>
        <w:rPr/>
        <w:t>单位：元</w:t>
      </w:r>
    </w:p>
    <w:p>
      <w:pPr>
        <w:spacing w:line="240" w:lineRule="auto" w:before="5"/>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58"/>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99"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927,491,19</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4.90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32,361,256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254,370,23</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5.86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0"/>
              <w:ind w:left="93" w:right="0"/>
              <w:jc w:val="left"/>
              <w:rPr>
                <w:rFonts w:ascii="Times New Roman" w:hAnsi="Times New Roman" w:cs="Times New Roman" w:eastAsia="Times New Roman" w:hint="default"/>
                <w:sz w:val="18"/>
                <w:szCs w:val="18"/>
              </w:rPr>
            </w:pPr>
            <w:r>
              <w:rPr>
                <w:rFonts w:ascii="Times New Roman"/>
                <w:sz w:val="18"/>
              </w:rPr>
              <w:t>1,414,222,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687.01</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1"/>
              <w:ind w:left="45"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1"/>
              <w:ind w:left="43" w:right="0"/>
              <w:jc w:val="left"/>
              <w:rPr>
                <w:rFonts w:ascii="Times New Roman" w:hAnsi="Times New Roman" w:cs="Times New Roman" w:eastAsia="Times New Roman" w:hint="default"/>
                <w:sz w:val="18"/>
                <w:szCs w:val="18"/>
              </w:rPr>
            </w:pPr>
            <w:r>
              <w:rPr>
                <w:rFonts w:ascii="Times New Roman"/>
                <w:sz w:val="18"/>
              </w:rPr>
              <w:t>927,491,19</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4.90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32,361,256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1"/>
              <w:ind w:left="45" w:right="0"/>
              <w:jc w:val="left"/>
              <w:rPr>
                <w:rFonts w:ascii="Times New Roman" w:hAnsi="Times New Roman" w:cs="Times New Roman" w:eastAsia="Times New Roman" w:hint="default"/>
                <w:sz w:val="18"/>
                <w:szCs w:val="18"/>
              </w:rPr>
            </w:pPr>
            <w:r>
              <w:rPr>
                <w:rFonts w:ascii="Times New Roman"/>
                <w:sz w:val="18"/>
              </w:rPr>
              <w:t>254,370,23</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5.86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1"/>
              <w:ind w:left="93" w:right="0"/>
              <w:jc w:val="left"/>
              <w:rPr>
                <w:rFonts w:ascii="Times New Roman" w:hAnsi="Times New Roman" w:cs="Times New Roman" w:eastAsia="Times New Roman" w:hint="default"/>
                <w:sz w:val="18"/>
                <w:szCs w:val="18"/>
              </w:rPr>
            </w:pPr>
            <w:r>
              <w:rPr>
                <w:rFonts w:ascii="Times New Roman"/>
                <w:sz w:val="18"/>
              </w:rPr>
              <w:t>1,414,222,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687.01</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40"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-169,492,5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09.17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9" w:right="0"/>
              <w:jc w:val="left"/>
              <w:rPr>
                <w:rFonts w:ascii="Times New Roman" w:hAnsi="Times New Roman" w:cs="Times New Roman" w:eastAsia="Times New Roman" w:hint="default"/>
                <w:sz w:val="18"/>
                <w:szCs w:val="18"/>
              </w:rPr>
            </w:pPr>
            <w:r>
              <w:rPr>
                <w:rFonts w:ascii="Times New Roman"/>
                <w:sz w:val="18"/>
              </w:rPr>
              <w:t>-169,492,5</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09.17</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-69,492,50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9.17</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0"/>
              <w:ind w:left="79" w:right="0"/>
              <w:jc w:val="left"/>
              <w:rPr>
                <w:rFonts w:ascii="Times New Roman" w:hAnsi="Times New Roman" w:cs="Times New Roman" w:eastAsia="Times New Roman" w:hint="default"/>
                <w:sz w:val="18"/>
                <w:szCs w:val="18"/>
              </w:rPr>
            </w:pPr>
            <w:r>
              <w:rPr>
                <w:rFonts w:ascii="Times New Roman"/>
                <w:sz w:val="18"/>
              </w:rPr>
              <w:t>-69,492,50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9.17</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-69,492,50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9.17</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0"/>
              <w:ind w:left="79" w:right="0"/>
              <w:jc w:val="left"/>
              <w:rPr>
                <w:rFonts w:ascii="Times New Roman" w:hAnsi="Times New Roman" w:cs="Times New Roman" w:eastAsia="Times New Roman" w:hint="default"/>
                <w:sz w:val="18"/>
                <w:szCs w:val="18"/>
              </w:rPr>
            </w:pPr>
            <w:r>
              <w:rPr>
                <w:rFonts w:ascii="Times New Roman"/>
                <w:sz w:val="18"/>
              </w:rPr>
              <w:t>-69,492,50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9.17</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2"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0"/>
              <w:ind w:left="79"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0"/>
              <w:ind w:left="79"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00.00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left="7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13" w:space="0" w:color="FFFFFF"/>
            </w:tcBorders>
            <w:shd w:val="clear" w:color="auto" w:fill="D2D2D2"/>
          </w:tcPr>
          <w:p>
            <w:pPr/>
          </w:p>
        </w:tc>
        <w:tc>
          <w:tcPr>
            <w:tcW w:w="896" w:type="dxa"/>
            <w:tcBorders>
              <w:top w:val="single" w:sz="4" w:space="0" w:color="000000"/>
              <w:left w:val="single" w:sz="13" w:space="0" w:color="FFFFFF"/>
              <w:bottom w:val="nil" w:sz="6" w:space="0" w:color="auto"/>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left="7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53"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96" w:type="dxa"/>
            <w:tcBorders>
              <w:top w:val="nil" w:sz="6" w:space="0" w:color="auto"/>
              <w:left w:val="single" w:sz="10" w:space="0" w:color="FFFFFF"/>
              <w:bottom w:val="nil" w:sz="6" w:space="0" w:color="auto"/>
              <w:right w:val="single" w:sz="4" w:space="0" w:color="000000"/>
            </w:tcBorders>
          </w:tcPr>
          <w:p>
            <w:pPr>
              <w:pStyle w:val="TableParagraph"/>
              <w:spacing w:line="152" w:lineRule="exact"/>
              <w:ind w:left="45"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184" w:lineRule="exact"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13" w:space="0" w:color="FFFFFF"/>
            </w:tcBorders>
            <w:shd w:val="clear" w:color="auto" w:fill="D2D2D2"/>
          </w:tcPr>
          <w:p>
            <w:pPr/>
          </w:p>
        </w:tc>
        <w:tc>
          <w:tcPr>
            <w:tcW w:w="896" w:type="dxa"/>
            <w:tcBorders>
              <w:top w:val="nil" w:sz="6" w:space="0" w:color="auto"/>
              <w:left w:val="single" w:sz="13" w:space="0" w:color="FFFFFF"/>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0" w:top="1060" w:bottom="16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827,491,19</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4.90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32,361,256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84,877,726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1,244,730,</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177.84</w:t>
            </w:r>
          </w:p>
        </w:tc>
      </w:tr>
    </w:tbl>
    <w:p>
      <w:pPr>
        <w:pStyle w:val="BodyText"/>
        <w:spacing w:line="240" w:lineRule="auto" w:before="49"/>
        <w:ind w:right="1115"/>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4"/>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4"/>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4"/>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218,840,52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0.24</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10,722,339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59,619,988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439,182,84</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8.84</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218,840,52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0.24</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10,722,339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59,619,988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439,182,84</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8.84</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708,650,67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4.66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21,638,916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194,750,24</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7.16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975,039,83</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8.17</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216,389,16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3.51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216,389,16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3.51</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216,389,16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3.51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216,389,16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3.51</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708,650,67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4.66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758,650,67</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4.66</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708,650,67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4.66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758,650,67</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4.66</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21,638,916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-21,638,91</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6.35</w:t>
            </w: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21,638,916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-21,638,91</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6.35</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330" w:top="1060" w:bottom="1540" w:left="980" w:right="0"/>
        </w:sectPr>
      </w:pPr>
    </w:p>
    <w:p>
      <w:pPr>
        <w:spacing w:line="240" w:lineRule="auto" w:before="6"/>
        <w:rPr>
          <w:rFonts w:ascii="宋体" w:hAnsi="宋体" w:cs="宋体" w:eastAsia="宋体" w:hint="default"/>
          <w:sz w:val="28"/>
          <w:szCs w:val="28"/>
        </w:rPr>
      </w:pPr>
      <w:r>
        <w:rPr/>
        <w:pict>
          <v:shape style="position:absolute;margin-left:139.554001pt;margin-top:152.899979pt;width:84.8pt;height:19.6pt;mso-position-horizontal-relative:page;mso-position-vertical-relative:page;z-index:-966952"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9.554001pt;margin-top:173.059982pt;width:84.8pt;height:19.6pt;mso-position-horizontal-relative:page;mso-position-vertical-relative:page;z-index:-966928"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152.899979pt;width:41.45pt;height:39.75pt;mso-position-horizontal-relative:page;mso-position-vertical-relative:page;z-index:-966904" coordorigin="3658,3058" coordsize="829,795">
            <v:group style="position:absolute;left:3658;top:3058;width:829;height:392" coordorigin="3658,3058" coordsize="829,392">
              <v:shape style="position:absolute;left:3658;top:3058;width:829;height:392" coordorigin="3658,3058" coordsize="829,392" path="m3658,3449l4486,3449,4486,3058,3658,3058,3658,3449xe" filled="true" fillcolor="#ffffff" stroked="false">
                <v:path arrowok="t"/>
                <v:fill type="solid"/>
              </v:shape>
            </v:group>
            <v:group style="position:absolute;left:3658;top:3461;width:829;height:392" coordorigin="3658,3461" coordsize="829,392">
              <v:shape style="position:absolute;left:3658;top:3461;width:829;height:392" coordorigin="3658,3461" coordsize="829,392" path="m3658,3852l4486,3852,4486,3461,3658,3461,3658,385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927,491,19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4.90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32,361,256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254,370,23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5.86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1,414,222,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687.01</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1115"/>
        <w:jc w:val="left"/>
      </w:pPr>
      <w:r>
        <w:rPr/>
        <w:t>法定代表人：邹承慧</w:t>
        <w:tab/>
      </w:r>
      <w:r>
        <w:rPr>
          <w:spacing w:val="-1"/>
        </w:rPr>
        <w:t>主管会计工作负责人：易美怀</w:t>
        <w:tab/>
      </w:r>
      <w:r>
        <w:rPr/>
        <w:t>会计机构负责人：王能海</w:t>
      </w:r>
    </w:p>
    <w:p>
      <w:pPr>
        <w:spacing w:line="240" w:lineRule="auto" w:before="1"/>
        <w:rPr>
          <w:rFonts w:ascii="宋体" w:hAnsi="宋体" w:cs="宋体" w:eastAsia="宋体" w:hint="default"/>
          <w:sz w:val="25"/>
          <w:szCs w:val="25"/>
        </w:rPr>
      </w:pPr>
    </w:p>
    <w:p>
      <w:pPr>
        <w:pStyle w:val="Heading2"/>
        <w:spacing w:line="240" w:lineRule="auto"/>
        <w:ind w:right="1115"/>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2" w:firstLine="480"/>
        <w:jc w:val="both"/>
      </w:pPr>
      <w:r>
        <w:rPr/>
        <w:t>江苏爱康太阳能科技股份有限公司（以下简称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）是经江苏爱康太阳能科技有限公司（原名江阴爱康 太阳能器材有限公司）整体变更设立。本公司于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日完成工商变更登记，取得无锡市江阴工商行政管理局颁发的</w:t>
      </w:r>
      <w:r>
        <w:rPr>
          <w:spacing w:val="-85"/>
        </w:rPr>
        <w:t> </w:t>
      </w:r>
      <w:r>
        <w:rPr>
          <w:spacing w:val="-85"/>
        </w:rPr>
      </w:r>
      <w:r>
        <w:rPr/>
        <w:t>企业法人营业执照，注册号为</w:t>
      </w:r>
      <w:r>
        <w:rPr>
          <w:rFonts w:ascii="Times New Roman" w:hAnsi="Times New Roman" w:cs="Times New Roman" w:eastAsia="Times New Roman" w:hint="default"/>
        </w:rPr>
        <w:t>320281400010819</w:t>
      </w:r>
      <w:r>
        <w:rPr/>
        <w:t>号。注册地址为江阴市华士工业集中区红苗园区勤丰路</w:t>
      </w:r>
      <w:r>
        <w:rPr>
          <w:rFonts w:ascii="Times New Roman" w:hAnsi="Times New Roman" w:cs="Times New Roman" w:eastAsia="Times New Roman" w:hint="default"/>
        </w:rPr>
        <w:t>1015</w:t>
      </w:r>
      <w:r>
        <w:rPr/>
        <w:t>号。</w:t>
      </w:r>
    </w:p>
    <w:p>
      <w:pPr>
        <w:pStyle w:val="BodyText"/>
        <w:spacing w:line="307" w:lineRule="auto" w:before="13"/>
        <w:ind w:right="1034" w:firstLine="480"/>
        <w:jc w:val="left"/>
      </w:pPr>
      <w:r>
        <w:rPr/>
        <w:t>本公司经中国证券监督管理委员会《关于核准江苏爱康太阳能科技股份有限公司首次公开发行股票的批复》（证监许 可</w:t>
      </w:r>
      <w:r>
        <w:rPr>
          <w:rFonts w:ascii="Times New Roman" w:hAnsi="Times New Roman" w:cs="Times New Roman" w:eastAsia="Times New Roman" w:hint="default"/>
        </w:rPr>
        <w:t>[2011]1169</w:t>
      </w:r>
      <w:r>
        <w:rPr/>
        <w:t>号文）核准，并经深圳证券交易所同意，公开发行</w:t>
      </w:r>
      <w:r>
        <w:rPr>
          <w:rFonts w:ascii="Times New Roman" w:hAnsi="Times New Roman" w:cs="Times New Roman" w:eastAsia="Times New Roman" w:hint="default"/>
        </w:rPr>
        <w:t>5,000</w:t>
      </w:r>
      <w:r>
        <w:rPr/>
        <w:t>万股人民币普通股</w:t>
      </w:r>
      <w:r>
        <w:rPr>
          <w:rFonts w:ascii="Times New Roman" w:hAnsi="Times New Roman" w:cs="Times New Roman" w:eastAsia="Times New Roman" w:hint="default"/>
        </w:rPr>
        <w:t>(A </w:t>
      </w:r>
      <w:r>
        <w:rPr/>
        <w:t>股</w:t>
      </w:r>
      <w:r>
        <w:rPr>
          <w:rFonts w:ascii="Times New Roman" w:hAnsi="Times New Roman" w:cs="Times New Roman" w:eastAsia="Times New Roman" w:hint="default"/>
        </w:rPr>
        <w:t>)</w:t>
      </w:r>
      <w:r>
        <w:rPr/>
        <w:t>，发行价格为</w:t>
      </w:r>
      <w:r>
        <w:rPr>
          <w:rFonts w:ascii="Times New Roman" w:hAnsi="Times New Roman" w:cs="Times New Roman" w:eastAsia="Times New Roman" w:hint="default"/>
        </w:rPr>
        <w:t>16.00</w:t>
      </w:r>
      <w:r>
        <w:rPr/>
        <w:t>元</w:t>
      </w:r>
      <w:r>
        <w:rPr>
          <w:rFonts w:ascii="Times New Roman" w:hAnsi="Times New Roman" w:cs="Times New Roman" w:eastAsia="Times New Roman" w:hint="default"/>
        </w:rPr>
        <w:t>/</w:t>
      </w:r>
      <w:r>
        <w:rPr/>
        <w:t>股，扣</w:t>
      </w:r>
      <w:r>
        <w:rPr>
          <w:spacing w:val="-60"/>
        </w:rPr>
        <w:t> </w:t>
      </w:r>
      <w:r>
        <w:rPr>
          <w:spacing w:val="-60"/>
        </w:rPr>
      </w:r>
      <w:r>
        <w:rPr/>
        <w:t>除承销及保荐费用、发行登记费以及其他交易费用共计人民币</w:t>
      </w:r>
      <w:r>
        <w:rPr>
          <w:rFonts w:ascii="Times New Roman" w:hAnsi="Times New Roman" w:cs="Times New Roman" w:eastAsia="Times New Roman" w:hint="default"/>
        </w:rPr>
        <w:t>41,349,325.34</w:t>
      </w:r>
      <w:r>
        <w:rPr/>
        <w:t>元后，净募集资金共计人民币</w:t>
      </w:r>
      <w:r>
        <w:rPr>
          <w:rFonts w:ascii="Times New Roman" w:hAnsi="Times New Roman" w:cs="Times New Roman" w:eastAsia="Times New Roman" w:hint="default"/>
        </w:rPr>
        <w:t>758,650,674.66</w:t>
      </w:r>
      <w:r>
        <w:rPr/>
        <w:t>元， 上述资金于 </w:t>
      </w:r>
      <w:r>
        <w:rPr>
          <w:rFonts w:ascii="Times New Roman" w:hAnsi="Times New Roman" w:cs="Times New Roman" w:eastAsia="Times New Roman" w:hint="default"/>
        </w:rPr>
        <w:t>2011 </w:t>
      </w:r>
      <w:r>
        <w:rPr>
          <w:rFonts w:ascii="Times New Roman" w:hAnsi="Times New Roman" w:cs="Times New Roman" w:eastAsia="Times New Roman" w:hint="default"/>
          <w:spacing w:val="22"/>
        </w:rPr>
        <w:t>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日到位，业经安永华明会计师事务所验证并出具安永华明</w:t>
      </w:r>
      <w:r>
        <w:rPr>
          <w:rFonts w:ascii="Times New Roman" w:hAnsi="Times New Roman" w:cs="Times New Roman" w:eastAsia="Times New Roman" w:hint="default"/>
        </w:rPr>
        <w:t>(2011)</w:t>
      </w:r>
      <w:r>
        <w:rPr/>
        <w:t>验字第</w:t>
      </w:r>
      <w:r>
        <w:rPr>
          <w:rFonts w:ascii="Times New Roman" w:hAnsi="Times New Roman" w:cs="Times New Roman" w:eastAsia="Times New Roman" w:hint="default"/>
        </w:rPr>
        <w:t>60763124_B01</w:t>
      </w:r>
      <w:r>
        <w:rPr/>
        <w:t>号验资报告。</w:t>
      </w:r>
    </w:p>
    <w:p>
      <w:pPr>
        <w:pStyle w:val="BodyText"/>
        <w:spacing w:line="240" w:lineRule="auto" w:before="7"/>
        <w:ind w:left="633" w:right="0"/>
        <w:jc w:val="left"/>
      </w:pPr>
      <w:r>
        <w:rPr/>
        <w:t>根据本公司</w:t>
      </w:r>
      <w:r>
        <w:rPr>
          <w:rFonts w:ascii="Times New Roman" w:hAnsi="Times New Roman" w:cs="Times New Roman" w:eastAsia="Times New Roman" w:hint="default"/>
        </w:rPr>
        <w:t>2011</w:t>
      </w:r>
      <w:r>
        <w:rPr/>
        <w:t>年年度股东大会决议和章程修正案规定，本公司以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200,000,000</w:t>
      </w:r>
      <w:r>
        <w:rPr/>
        <w:t>股为基数，以每</w:t>
      </w:r>
    </w:p>
    <w:p>
      <w:pPr>
        <w:pStyle w:val="BodyText"/>
        <w:spacing w:line="240" w:lineRule="auto" w:before="63"/>
        <w:ind w:right="1115"/>
        <w:jc w:val="left"/>
      </w:pP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5</w:t>
      </w:r>
      <w:r>
        <w:rPr>
          <w:spacing w:val="5"/>
        </w:rPr>
        <w:t>股的比例用资本公积向全体股东转增股份</w:t>
      </w:r>
      <w:r>
        <w:rPr>
          <w:rFonts w:ascii="Times New Roman" w:hAnsi="Times New Roman" w:cs="Times New Roman" w:eastAsia="Times New Roman" w:hint="default"/>
          <w:spacing w:val="5"/>
        </w:rPr>
        <w:t>100,000,000</w:t>
      </w:r>
      <w:r>
        <w:rPr>
          <w:spacing w:val="5"/>
        </w:rPr>
        <w:t>股，并于</w:t>
      </w:r>
      <w:r>
        <w:rPr>
          <w:rFonts w:ascii="Times New Roman" w:hAnsi="Times New Roman" w:cs="Times New Roman" w:eastAsia="Times New Roman" w:hint="default"/>
          <w:spacing w:val="5"/>
        </w:rPr>
        <w:t>2012</w:t>
      </w:r>
      <w:r>
        <w:rPr>
          <w:spacing w:val="5"/>
        </w:rPr>
        <w:t>年度实施。转增后，注册资本增至人民币</w:t>
      </w:r>
    </w:p>
    <w:p>
      <w:pPr>
        <w:pStyle w:val="BodyText"/>
        <w:spacing w:line="240" w:lineRule="auto" w:before="63"/>
        <w:ind w:right="1115"/>
        <w:jc w:val="left"/>
      </w:pPr>
      <w:r>
        <w:rPr>
          <w:rFonts w:ascii="Times New Roman" w:hAnsi="Times New Roman" w:cs="Times New Roman" w:eastAsia="Times New Roman" w:hint="default"/>
        </w:rPr>
        <w:t>300,000,000.00</w:t>
      </w:r>
      <w:r>
        <w:rPr/>
        <w:t>元。</w:t>
      </w:r>
    </w:p>
    <w:p>
      <w:pPr>
        <w:pStyle w:val="BodyText"/>
        <w:spacing w:line="300" w:lineRule="auto" w:before="63"/>
        <w:ind w:right="1132" w:firstLine="480"/>
        <w:jc w:val="both"/>
      </w:pPr>
      <w:r>
        <w:rPr/>
        <w:t>本公司及子公司（统称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）主要从事研究、开发、生产、加工太阳能器材专用高档五金件、太阳能发电安装系 统、太阳能发电板封膜</w:t>
      </w:r>
      <w:r>
        <w:rPr>
          <w:rFonts w:ascii="Times New Roman" w:hAnsi="Times New Roman" w:cs="Times New Roman" w:eastAsia="Times New Roman" w:hint="default"/>
        </w:rPr>
        <w:t>;</w:t>
      </w:r>
      <w:r>
        <w:rPr/>
        <w:t>太阳能发电系统的设计、施工；铝锭的批发及进出口业务。</w:t>
      </w:r>
    </w:p>
    <w:p>
      <w:pPr>
        <w:pStyle w:val="BodyText"/>
        <w:spacing w:line="319" w:lineRule="auto" w:before="13"/>
        <w:ind w:right="1664" w:firstLine="480"/>
        <w:jc w:val="left"/>
      </w:pPr>
      <w:r>
        <w:rPr/>
        <w:t>本集团的母公司为江苏爱康实业有限责任公司，实际控制人为邹承慧先生。 本财务报表业经本公司董事会于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日决议批准报出。根据本公司章程，本财务报表将提交股东大会审议。</w:t>
      </w:r>
    </w:p>
    <w:p>
      <w:pPr>
        <w:spacing w:line="240" w:lineRule="auto" w:before="2"/>
        <w:rPr>
          <w:rFonts w:ascii="宋体" w:hAnsi="宋体" w:cs="宋体" w:eastAsia="宋体" w:hint="default"/>
          <w:sz w:val="19"/>
          <w:szCs w:val="19"/>
        </w:rPr>
      </w:pPr>
    </w:p>
    <w:p>
      <w:pPr>
        <w:pStyle w:val="Heading2"/>
        <w:spacing w:line="240" w:lineRule="auto"/>
        <w:ind w:right="1115"/>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6"/>
        <w:rPr>
          <w:rFonts w:ascii="宋体" w:hAnsi="宋体" w:cs="宋体" w:eastAsia="宋体" w:hint="default"/>
          <w:b/>
          <w:bCs/>
          <w:sz w:val="21"/>
          <w:szCs w:val="21"/>
        </w:rPr>
      </w:pPr>
    </w:p>
    <w:p>
      <w:pPr>
        <w:pStyle w:val="BodyText"/>
        <w:spacing w:line="310" w:lineRule="atLeast"/>
        <w:ind w:right="1127" w:firstLine="480"/>
        <w:jc w:val="both"/>
      </w:pPr>
      <w:r>
        <w:rPr/>
        <w:t>本集团财务报表以持续经营假设为基础编制，根据实际发生的交易和事项，按照财政部于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 </w:t>
      </w:r>
      <w:r>
        <w:rPr>
          <w:spacing w:val="-5"/>
        </w:rPr>
        <w:t>业会计准则</w:t>
      </w:r>
      <w:r>
        <w:rPr>
          <w:rFonts w:ascii="Times New Roman" w:hAnsi="Times New Roman" w:cs="Times New Roman" w:eastAsia="Times New Roman" w:hint="default"/>
          <w:spacing w:val="-5"/>
        </w:rPr>
        <w:t>——</w:t>
      </w:r>
      <w:r>
        <w:rPr>
          <w:spacing w:val="-5"/>
        </w:rPr>
        <w:t>基本准则》和</w:t>
      </w:r>
      <w:r>
        <w:rPr>
          <w:rFonts w:ascii="Times New Roman" w:hAnsi="Times New Roman" w:cs="Times New Roman" w:eastAsia="Times New Roman" w:hint="default"/>
          <w:spacing w:val="-5"/>
        </w:rPr>
        <w:t>38</w:t>
      </w:r>
      <w:r>
        <w:rPr>
          <w:spacing w:val="-5"/>
        </w:rPr>
        <w:t>项具体会计准则、其后颁布的企业会计准则应用指南、企业会计准则解释及其他相关规定（以</w:t>
      </w:r>
      <w:r>
        <w:rPr>
          <w:spacing w:val="-71"/>
        </w:rPr>
        <w:t> </w:t>
      </w:r>
      <w:r>
        <w:rPr>
          <w:spacing w:val="-71"/>
        </w:rPr>
      </w:r>
      <w:r>
        <w:rPr>
          <w:spacing w:val="-2"/>
        </w:rPr>
        <w:t>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w:t>
      </w:r>
    </w:p>
    <w:p>
      <w:pPr>
        <w:spacing w:after="0" w:line="310" w:lineRule="atLeast"/>
        <w:jc w:val="both"/>
        <w:sectPr>
          <w:pgSz w:w="11910" w:h="16840"/>
          <w:pgMar w:header="877" w:footer="1330" w:top="1060" w:bottom="152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15"/>
        <w:jc w:val="left"/>
      </w:pPr>
      <w:r>
        <w:rPr/>
        <w:t>般规定》（</w:t>
      </w:r>
      <w:r>
        <w:rPr>
          <w:rFonts w:ascii="Times New Roman" w:hAnsi="Times New Roman" w:cs="Times New Roman" w:eastAsia="Times New Roman" w:hint="default"/>
        </w:rPr>
        <w:t>2010</w:t>
      </w:r>
      <w:r>
        <w:rPr/>
        <w:t>年修订）的披露规定编制。</w:t>
      </w:r>
    </w:p>
    <w:p>
      <w:pPr>
        <w:spacing w:line="312" w:lineRule="exact" w:before="45"/>
        <w:ind w:left="152" w:right="1171" w:firstLine="480"/>
        <w:jc w:val="both"/>
        <w:rPr>
          <w:rFonts w:ascii="宋体" w:hAnsi="宋体" w:cs="宋体" w:eastAsia="宋体" w:hint="default"/>
          <w:sz w:val="25"/>
          <w:szCs w:val="25"/>
        </w:rPr>
      </w:pPr>
      <w:r>
        <w:rPr>
          <w:rFonts w:ascii="宋体" w:hAnsi="宋体" w:cs="宋体" w:eastAsia="宋体" w:hint="default"/>
          <w:i/>
          <w:w w:val="95"/>
          <w:sz w:val="25"/>
          <w:szCs w:val="25"/>
        </w:rPr>
        <w:t>根据企业会计准则的相关规定，本集团会计核算以权责发生制为基础。除某些金融工具</w:t>
      </w:r>
      <w:r>
        <w:rPr>
          <w:rFonts w:ascii="宋体" w:hAnsi="宋体" w:cs="宋体" w:eastAsia="宋体" w:hint="default"/>
          <w:i/>
          <w:w w:val="96"/>
          <w:sz w:val="25"/>
          <w:szCs w:val="25"/>
        </w:rPr>
        <w:t> </w:t>
      </w:r>
      <w:r>
        <w:rPr>
          <w:rFonts w:ascii="宋体" w:hAnsi="宋体" w:cs="宋体" w:eastAsia="宋体" w:hint="default"/>
          <w:i/>
          <w:w w:val="95"/>
          <w:sz w:val="25"/>
          <w:szCs w:val="25"/>
        </w:rPr>
        <w:t>外，本财务报表均以历史成本为计量基础。资产如果发生减值，则按照相关规定计提相应的</w:t>
      </w:r>
      <w:r>
        <w:rPr>
          <w:rFonts w:ascii="宋体" w:hAnsi="宋体" w:cs="宋体" w:eastAsia="宋体" w:hint="default"/>
          <w:i/>
          <w:spacing w:val="-19"/>
          <w:w w:val="95"/>
          <w:sz w:val="25"/>
          <w:szCs w:val="25"/>
        </w:rPr>
        <w:t> </w:t>
      </w:r>
      <w:r>
        <w:rPr>
          <w:rFonts w:ascii="宋体" w:hAnsi="宋体" w:cs="宋体" w:eastAsia="宋体" w:hint="default"/>
          <w:i/>
          <w:sz w:val="25"/>
          <w:szCs w:val="25"/>
        </w:rPr>
        <w:t>减值准备。</w:t>
      </w:r>
      <w:r>
        <w:rPr>
          <w:rFonts w:ascii="宋体" w:hAnsi="宋体" w:cs="宋体" w:eastAsia="宋体" w:hint="default"/>
          <w:sz w:val="25"/>
          <w:szCs w:val="25"/>
        </w:rPr>
      </w:r>
    </w:p>
    <w:p>
      <w:pPr>
        <w:spacing w:line="240" w:lineRule="auto" w:before="9"/>
        <w:rPr>
          <w:rFonts w:ascii="宋体" w:hAnsi="宋体" w:cs="宋体" w:eastAsia="宋体" w:hint="default"/>
          <w:i/>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043" w:firstLine="480"/>
        <w:jc w:val="both"/>
      </w:pPr>
      <w:r>
        <w:rPr/>
        <w:t>本集团编制的财务报表符合企业会计准则的要求，真实、完整地反映了本公司及本集团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 </w:t>
      </w:r>
      <w:r>
        <w:rPr>
          <w:rFonts w:ascii="Times New Roman" w:hAnsi="Times New Roman" w:cs="Times New Roman" w:eastAsia="Times New Roman" w:hint="default"/>
          <w:spacing w:val="-2"/>
        </w:rPr>
        <w:t>2012</w:t>
      </w:r>
      <w:r>
        <w:rPr>
          <w:spacing w:val="-2"/>
        </w:rPr>
        <w:t>年度的经营成果和现金流量等有关信息。此外，本公司及本集团的财务报表在所有重大方面符合中国证券监督管理委员</w:t>
      </w:r>
      <w:r>
        <w:rPr>
          <w:spacing w:val="-62"/>
        </w:rPr>
        <w:t> </w:t>
      </w:r>
      <w:r>
        <w:rPr>
          <w:spacing w:val="-62"/>
        </w:rPr>
      </w:r>
      <w:r>
        <w:rPr>
          <w:spacing w:val="-4"/>
        </w:rPr>
        <w:t>会</w:t>
      </w:r>
      <w:r>
        <w:rPr>
          <w:rFonts w:ascii="Times New Roman" w:hAnsi="Times New Roman" w:cs="Times New Roman" w:eastAsia="Times New Roman" w:hint="default"/>
          <w:spacing w:val="-4"/>
        </w:rPr>
        <w:t>2010</w:t>
      </w:r>
      <w:r>
        <w:rPr>
          <w:spacing w:val="-4"/>
        </w:rPr>
        <w:t>年修订的《公开发行证券的公司信息披露编报规则第</w:t>
      </w:r>
      <w:r>
        <w:rPr>
          <w:rFonts w:ascii="Times New Roman" w:hAnsi="Times New Roman" w:cs="Times New Roman" w:eastAsia="Times New Roman" w:hint="default"/>
          <w:spacing w:val="-4"/>
        </w:rPr>
        <w:t>15</w:t>
      </w:r>
      <w:r>
        <w:rPr>
          <w:spacing w:val="-4"/>
        </w:rPr>
        <w:t>号－财务报告的一般规定》有关财务报表及其附注的披露要求。</w:t>
      </w:r>
    </w:p>
    <w:p>
      <w:pPr>
        <w:spacing w:line="240" w:lineRule="auto" w:before="4"/>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41" w:firstLine="480"/>
        <w:jc w:val="both"/>
      </w:pPr>
      <w:r>
        <w:rPr>
          <w:spacing w:val="-3"/>
        </w:rPr>
        <w:t>本集团的会计期间分为年度和中期，会计中期指短于一个完整的会计年度的报告期间。本集团会计年度采用公历年度，</w:t>
      </w:r>
      <w:r>
        <w:rPr/>
        <w:t>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4"/>
        <w:rPr>
          <w:rFonts w:ascii="宋体" w:hAnsi="宋体" w:cs="宋体" w:eastAsia="宋体" w:hint="default"/>
          <w:sz w:val="21"/>
          <w:szCs w:val="21"/>
        </w:rPr>
      </w:pPr>
    </w:p>
    <w:p>
      <w:pPr>
        <w:pStyle w:val="Heading4"/>
        <w:spacing w:line="240" w:lineRule="auto"/>
        <w:ind w:right="1115"/>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5" w:firstLine="480"/>
        <w:jc w:val="both"/>
      </w:pPr>
      <w:r>
        <w:rPr>
          <w:spacing w:val="-1"/>
        </w:rPr>
        <w:t>人民币为本公司及境内子公司经营所处的主要经济环境中的货币，本公司及境内子公司以人民币为记账本位币。本集</w:t>
      </w:r>
      <w:r>
        <w:rPr/>
        <w:t> 团编制本财务报表时所采用的货币为人民币。</w:t>
      </w:r>
    </w:p>
    <w:p>
      <w:pPr>
        <w:spacing w:line="240" w:lineRule="auto" w:before="10"/>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316" w:lineRule="auto"/>
        <w:ind w:right="0" w:firstLine="480"/>
        <w:jc w:val="left"/>
      </w:pPr>
      <w:r>
        <w:rPr/>
        <w:t>参与合并的企业在合并前后均受同一方或相同的多方最终控制，且该控制并非暂时性的，为同一控制下的企业合并。 </w:t>
      </w:r>
      <w:r>
        <w:rPr>
          <w:spacing w:val="-2"/>
        </w:rPr>
        <w:t>同一控制下的企业合并，在合并日取得对其他参与合并企业控制权的一方为合并方，参与合并的其他企业为被合并方。合并</w:t>
      </w:r>
      <w:r>
        <w:rPr>
          <w:spacing w:val="-63"/>
        </w:rPr>
        <w:t> </w:t>
      </w:r>
      <w:r>
        <w:rPr>
          <w:spacing w:val="-63"/>
        </w:rPr>
      </w:r>
      <w:r>
        <w:rPr/>
        <w:t>日，是指合并方实际取得对被合并方控制权的日期。</w:t>
      </w:r>
    </w:p>
    <w:p>
      <w:pPr>
        <w:pStyle w:val="BodyText"/>
        <w:spacing w:line="316" w:lineRule="auto" w:before="19"/>
        <w:ind w:right="1130" w:firstLine="480"/>
        <w:jc w:val="both"/>
      </w:pPr>
      <w:r>
        <w:rPr>
          <w:spacing w:val="-1"/>
        </w:rPr>
        <w:t>合并方取得的资产和负债均按合并日在被合并方的账面价值计量。合并方取得的净资产账面价值与支付的合并对价账</w:t>
      </w:r>
      <w:r>
        <w:rPr/>
        <w:t> </w:t>
      </w:r>
      <w:r>
        <w:rPr>
          <w:spacing w:val="-5"/>
        </w:rPr>
        <w:t>面价值（或发行股份面值总额）的差额，调整资本公积（股本溢价）；资本公积（股本溢价）不足以冲减的，调整留存收益。</w:t>
      </w:r>
    </w:p>
    <w:p>
      <w:pPr>
        <w:pStyle w:val="BodyText"/>
        <w:spacing w:line="240" w:lineRule="auto" w:before="19"/>
        <w:ind w:left="633" w:right="1115"/>
        <w:jc w:val="left"/>
      </w:pPr>
      <w:r>
        <w:rPr/>
        <w:t>合并方为进行企业合并发生的各项直接费用，于发生时计入当期损益。</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31" w:firstLine="480"/>
        <w:jc w:val="both"/>
      </w:pPr>
      <w:r>
        <w:rPr>
          <w:spacing w:val="-1"/>
        </w:rPr>
        <w:t>参与合并的企业在合并前后不受同一方或相同的多方最终控制的，为非同一控制下的企业合并。非同一控制下的企业</w:t>
      </w:r>
      <w:r>
        <w:rPr/>
        <w:t> </w:t>
      </w:r>
      <w:r>
        <w:rPr>
          <w:spacing w:val="-2"/>
        </w:rPr>
        <w:t>合并，在购买日取得对其他参与合并企业控制权的一方为购买方，参与合并的其他企业为被购买方。购买日，是指为购买方</w:t>
      </w:r>
      <w:r>
        <w:rPr>
          <w:spacing w:val="-64"/>
        </w:rPr>
        <w:t> </w:t>
      </w:r>
      <w:r>
        <w:rPr>
          <w:spacing w:val="-64"/>
        </w:rPr>
      </w:r>
      <w:r>
        <w:rPr/>
        <w:t>实际取得对被购买方控制权的日期。</w:t>
      </w:r>
    </w:p>
    <w:p>
      <w:pPr>
        <w:pStyle w:val="BodyText"/>
        <w:spacing w:line="314" w:lineRule="auto" w:before="17"/>
        <w:ind w:right="1131" w:firstLine="480"/>
        <w:jc w:val="both"/>
      </w:pPr>
      <w:r>
        <w:rPr>
          <w:spacing w:val="-1"/>
        </w:rPr>
        <w:t>对于非同一控制下的企业合并，合并成本包含购买日购买方为取得对被购买方的控制权而付出的资产、发生或承担的</w:t>
      </w:r>
      <w:r>
        <w:rPr/>
        <w:t>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r>
        <w:rPr>
          <w:spacing w:val="-62"/>
        </w:rPr>
        <w:t> </w:t>
      </w:r>
      <w:r>
        <w:rPr>
          <w:spacing w:val="-62"/>
        </w:rPr>
      </w:r>
      <w:r>
        <w:rPr/>
        <w:t>一步证据而需要调整或有对价的，相应调整合并商誉。</w:t>
      </w:r>
    </w:p>
    <w:p>
      <w:pPr>
        <w:pStyle w:val="BodyText"/>
        <w:spacing w:line="316" w:lineRule="auto" w:before="20"/>
        <w:ind w:right="1129" w:firstLine="480"/>
        <w:jc w:val="both"/>
      </w:pPr>
      <w:r>
        <w:rPr>
          <w:spacing w:val="-1"/>
        </w:rPr>
        <w:t>购买方发生的合并成本及在合并中取得的可辨认净资产按购买日的公允价值计量。合并成本大于合并中取得的被购买</w:t>
      </w:r>
      <w:r>
        <w:rPr/>
        <w:t> </w:t>
      </w:r>
      <w:r>
        <w:rPr>
          <w:spacing w:val="-2"/>
        </w:rPr>
        <w:t>方于购买日可辨认净资产公允价值份额的差额，确认为商誉。合并成本小于合并中取得的被购买方可辨认净资产公允价值份</w:t>
      </w:r>
    </w:p>
    <w:p>
      <w:pPr>
        <w:pStyle w:val="BodyText"/>
        <w:spacing w:line="240" w:lineRule="auto" w:before="19"/>
        <w:ind w:right="0"/>
        <w:jc w:val="left"/>
      </w:pPr>
      <w:r>
        <w:rPr/>
        <w:t>额的，首先对取得的被购买方各项可辨认资产、负债及或有负债的公允价值以及合并成本的计量进行复核，复核后合并成本</w:t>
      </w:r>
    </w:p>
    <w:p>
      <w:pPr>
        <w:spacing w:after="0" w:line="240" w:lineRule="auto"/>
        <w:jc w:val="left"/>
        <w:sectPr>
          <w:pgSz w:w="11910" w:h="16840"/>
          <w:pgMar w:header="877" w:footer="1330" w:top="1060" w:bottom="152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633" w:right="1115" w:hanging="481"/>
        <w:jc w:val="left"/>
        <w:rPr>
          <w:rFonts w:ascii="Times New Roman" w:hAnsi="Times New Roman" w:cs="Times New Roman" w:eastAsia="Times New Roman" w:hint="default"/>
        </w:rPr>
      </w:pPr>
      <w:r>
        <w:rPr/>
        <w:t>仍小于合并中取得的被购买方可辨认净资产公允价值份额的，其差额计入当期损益。 </w:t>
      </w: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rFonts w:ascii="Times New Roman" w:hAnsi="Times New Roman" w:cs="Times New Roman" w:eastAsia="Times New Roman" w:hint="default"/>
        </w:rPr>
      </w:r>
    </w:p>
    <w:p>
      <w:pPr>
        <w:pStyle w:val="BodyText"/>
        <w:spacing w:line="316" w:lineRule="auto"/>
        <w:ind w:right="1133"/>
        <w:jc w:val="both"/>
      </w:pP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7"/>
        </w:rPr>
        <w:t> </w:t>
      </w:r>
      <w:r>
        <w:rPr>
          <w:spacing w:val="-67"/>
        </w:rPr>
      </w:r>
      <w:r>
        <w:rPr/>
        <w:t>以外，确认与企业合并相关的递延所得税资产的，计入当期损益。</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9" w:lineRule="auto"/>
        <w:ind w:right="1131" w:firstLine="480"/>
        <w:jc w:val="both"/>
      </w:pPr>
      <w:r>
        <w:rPr>
          <w:spacing w:val="-1"/>
        </w:rPr>
        <w:t>从取得子公司的净资产和生产经营决策的实际控制权之日起，本集团开始将其纳入合并范围；从丧失实际控制权之日</w:t>
      </w:r>
      <w:r>
        <w:rPr/>
        <w:t> </w:t>
      </w: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4"/>
        </w:rPr>
        <w:t> </w:t>
      </w:r>
      <w:r>
        <w:rPr>
          <w:spacing w:val="-64"/>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并增加的子公司及吸收合并下的被合并方，其自合并当期期初至合并日的经营成果和现金流量已经适当地包括在合并利润表</w:t>
      </w:r>
      <w:r>
        <w:rPr>
          <w:spacing w:val="-63"/>
        </w:rPr>
        <w:t> </w:t>
      </w:r>
      <w:r>
        <w:rPr>
          <w:spacing w:val="-63"/>
        </w:rPr>
      </w:r>
      <w:r>
        <w:rPr/>
        <w:t>和合并现金流量表中，并且同时调整合并财务报表的期初数和对比数。</w:t>
      </w:r>
    </w:p>
    <w:p>
      <w:pPr>
        <w:pStyle w:val="BodyText"/>
        <w:spacing w:line="316" w:lineRule="auto" w:before="17"/>
        <w:ind w:right="1133" w:firstLine="480"/>
        <w:jc w:val="both"/>
      </w:pPr>
      <w:r>
        <w:rPr>
          <w:spacing w:val="-1"/>
        </w:rPr>
        <w:t>在编制合并财务报表时，子公司与本公司采用的会计政策或会计期间不一致的，按照本公司的会计政策和会计期间对</w:t>
      </w:r>
      <w:r>
        <w:rPr/>
        <w:t> </w:t>
      </w:r>
      <w:r>
        <w:rPr>
          <w:spacing w:val="-2"/>
        </w:rPr>
        <w:t>子公司财务报表进行必要的调整。对于非同一控制下企业合并取得的子公司，以购买日可辨认净资产公允价值为基础对其财</w:t>
      </w:r>
      <w:r>
        <w:rPr>
          <w:spacing w:val="-64"/>
        </w:rPr>
        <w:t> </w:t>
      </w:r>
      <w:r>
        <w:rPr>
          <w:spacing w:val="-64"/>
        </w:rPr>
      </w:r>
      <w:r>
        <w:rPr/>
        <w:t>务报表进行调整。</w:t>
      </w:r>
    </w:p>
    <w:p>
      <w:pPr>
        <w:pStyle w:val="BodyText"/>
        <w:spacing w:line="316" w:lineRule="auto" w:before="19"/>
        <w:ind w:left="633" w:right="1115"/>
        <w:jc w:val="left"/>
      </w:pPr>
      <w:r>
        <w:rPr/>
        <w:t>集团内所有重大往来余额、交易及未实现利润在合并财务报表编制时予以抵销。 </w:t>
      </w:r>
      <w:r>
        <w:rPr>
          <w:spacing w:val="2"/>
        </w:rPr>
        <w:t>子公司的股东权益及当期净损益中不属于本公司所拥有的部分分别作为少数股东权益及少数股东损益在合并财务报</w:t>
      </w:r>
    </w:p>
    <w:p>
      <w:pPr>
        <w:pStyle w:val="BodyText"/>
        <w:spacing w:line="300" w:lineRule="auto" w:before="19"/>
        <w:ind w:right="1131"/>
        <w:jc w:val="both"/>
      </w:pPr>
      <w:r>
        <w:rPr/>
        <w:t>表中股东权益及净利润项下单独列示。子公司当期净损益中属于少数股东权益的份额，在合并利润表中净利润项目下以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w:t>
      </w:r>
      <w:r>
        <w:rPr>
          <w:spacing w:val="-73"/>
        </w:rPr>
        <w:t> </w:t>
      </w:r>
      <w:r>
        <w:rPr/>
        <w:t>数股东损益</w:t>
      </w:r>
      <w:r>
        <w:rPr>
          <w:rFonts w:ascii="Times New Roman" w:hAnsi="Times New Roman" w:cs="Times New Roman" w:eastAsia="Times New Roman" w:hint="default"/>
        </w:rPr>
        <w:t>”</w:t>
      </w:r>
      <w:r>
        <w:rPr/>
        <w:t>项目列示。少数股东分担的子公司的亏损超过了少数股东在该子公司期初所有者权益中所享有的份额，冲减少</w:t>
      </w:r>
      <w:r>
        <w:rPr>
          <w:spacing w:val="-76"/>
        </w:rPr>
        <w:t> </w:t>
      </w:r>
      <w:r>
        <w:rPr>
          <w:spacing w:val="-76"/>
        </w:rPr>
      </w:r>
      <w:r>
        <w:rPr/>
        <w:t>数股东权益。</w:t>
      </w:r>
    </w:p>
    <w:p>
      <w:pPr>
        <w:pStyle w:val="BodyText"/>
        <w:spacing w:line="314" w:lineRule="auto" w:before="32"/>
        <w:ind w:right="1128" w:firstLine="480"/>
        <w:jc w:val="both"/>
      </w:pPr>
      <w:r>
        <w:rPr>
          <w:spacing w:val="-1"/>
        </w:rPr>
        <w:t>当因处置部分股权投资或其他原因丧失了对原有子公司的控制权时，对于剩余股权，按照其在丧失控制权日的公允价</w:t>
      </w:r>
      <w:r>
        <w:rPr/>
        <w:t>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1"/>
        </w:rPr>
        <w:t> </w:t>
      </w:r>
      <w:r>
        <w:rPr>
          <w:spacing w:val="-61"/>
        </w:rPr>
      </w:r>
      <w:r>
        <w:rPr/>
        <w:t>控制权时一并转为当期投资收益。其后，对该部分剩余股权按照《企业会计准则第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长期股权投资》或《企业会计准</w:t>
      </w:r>
      <w:r>
        <w:rPr>
          <w:spacing w:val="-83"/>
        </w:rPr>
        <w:t> </w:t>
      </w:r>
      <w:r>
        <w:rPr>
          <w:spacing w:val="-83"/>
        </w:rPr>
      </w:r>
      <w:r>
        <w:rPr/>
        <w:t>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w:t>
      </w:r>
    </w:p>
    <w:p>
      <w:pPr>
        <w:spacing w:line="240" w:lineRule="auto" w:before="6"/>
        <w:rPr>
          <w:rFonts w:ascii="宋体" w:hAnsi="宋体" w:cs="宋体" w:eastAsia="宋体" w:hint="default"/>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9" w:lineRule="auto"/>
        <w:ind w:right="1132" w:firstLine="480"/>
        <w:jc w:val="both"/>
      </w:pPr>
      <w:r>
        <w:rPr>
          <w:spacing w:val="-1"/>
        </w:rPr>
        <w:t>本集团现金及现金等价物包括库存现金、可以随时用于支付的存款以及本集团持有的期限短（一般为从购买日起，三</w:t>
      </w:r>
      <w:r>
        <w:rPr/>
        <w:t> 个月内到期）、流动性强、易于转换为已知金额的现金、价值变动风险很小的投资。</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00" w:lineRule="auto"/>
        <w:ind w:left="633" w:right="1115"/>
        <w:jc w:val="left"/>
      </w:pPr>
      <w:r>
        <w:rPr>
          <w:rFonts w:ascii="Times New Roman" w:hAnsi="Times New Roman" w:cs="Times New Roman" w:eastAsia="Times New Roman" w:hint="default"/>
        </w:rPr>
        <w:t>a.</w:t>
      </w:r>
      <w:r>
        <w:rPr/>
        <w:t>外币交易的折算方法 </w:t>
      </w:r>
      <w:r>
        <w:rPr>
          <w:spacing w:val="-1"/>
        </w:rPr>
        <w:t>本集团发生的外币交易在初始确认时，按交易日的即期汇率（通常指中国人民银行公布的当日外汇牌价的中间价，下</w:t>
      </w:r>
    </w:p>
    <w:p>
      <w:pPr>
        <w:pStyle w:val="BodyText"/>
        <w:spacing w:line="316" w:lineRule="auto" w:before="31"/>
        <w:ind w:right="1133"/>
        <w:jc w:val="both"/>
      </w:pPr>
      <w:r>
        <w:rPr>
          <w:spacing w:val="-2"/>
        </w:rPr>
        <w:t>同）折算为记账本位币金额，但公司发生的外币兑换业务或涉及外币兑换的交易事项，按照实际采用的汇率折算为记账本位</w:t>
      </w:r>
      <w:r>
        <w:rPr>
          <w:spacing w:val="-65"/>
        </w:rPr>
        <w:t> </w:t>
      </w:r>
      <w:r>
        <w:rPr>
          <w:spacing w:val="-65"/>
        </w:rPr>
      </w:r>
      <w:r>
        <w:rPr/>
        <w:t>币金额。</w:t>
      </w:r>
    </w:p>
    <w:p>
      <w:pPr>
        <w:spacing w:after="0" w:line="316" w:lineRule="auto"/>
        <w:jc w:val="both"/>
        <w:sectPr>
          <w:footerReference w:type="default" r:id="rId38"/>
          <w:pgSz w:w="11910" w:h="16840"/>
          <w:pgMar w:footer="1250" w:header="877" w:top="1060" w:bottom="1440" w:left="980" w:right="0"/>
          <w:pgNumType w:start="79"/>
        </w:sectPr>
      </w:pPr>
    </w:p>
    <w:p>
      <w:pPr>
        <w:spacing w:line="240" w:lineRule="auto" w:before="9"/>
        <w:rPr>
          <w:rFonts w:ascii="宋体" w:hAnsi="宋体" w:cs="宋体" w:eastAsia="宋体" w:hint="default"/>
          <w:sz w:val="25"/>
          <w:szCs w:val="25"/>
        </w:rPr>
      </w:pPr>
    </w:p>
    <w:p>
      <w:pPr>
        <w:pStyle w:val="BodyText"/>
        <w:spacing w:line="300" w:lineRule="auto" w:before="44"/>
        <w:ind w:left="633" w:right="1115"/>
        <w:jc w:val="left"/>
      </w:pPr>
      <w:r>
        <w:rPr>
          <w:rFonts w:ascii="Times New Roman" w:hAnsi="Times New Roman" w:cs="Times New Roman" w:eastAsia="Times New Roman" w:hint="default"/>
        </w:rPr>
        <w:t>b.</w:t>
      </w:r>
      <w:r>
        <w:rPr/>
        <w:t>对于外币货币性项目和外币非货币性项目的折算方法 </w:t>
      </w:r>
      <w:r>
        <w:rPr>
          <w:spacing w:val="-1"/>
        </w:rPr>
        <w:t>资产负债表日，对于外币货币性项目采用资产负债表日即期汇率折算，由此产生的汇兑差额，除：①属于与购建符合</w:t>
      </w:r>
    </w:p>
    <w:p>
      <w:pPr>
        <w:pStyle w:val="BodyText"/>
        <w:spacing w:line="316" w:lineRule="auto" w:before="31"/>
        <w:ind w:right="1131"/>
        <w:jc w:val="both"/>
      </w:pPr>
      <w:r>
        <w:rPr>
          <w:spacing w:val="-2"/>
        </w:rPr>
        <w:t>资本化条件的资产相关的外币专门借款产生的汇兑差额按照借款费用资本化的原则处理；②用于境外经营净投资有效套期的</w:t>
      </w:r>
      <w:r>
        <w:rPr>
          <w:spacing w:val="-63"/>
        </w:rPr>
        <w:t> </w:t>
      </w:r>
      <w:r>
        <w:rPr>
          <w:spacing w:val="-63"/>
        </w:rPr>
      </w:r>
      <w:r>
        <w:rPr>
          <w:spacing w:val="-2"/>
        </w:rPr>
        <w:t>套期工具的汇兑差额（该差额计入其他综合收益，直至净投资被处置才被确认为当期损益）；以及③可供出售的外币货币性</w:t>
      </w:r>
      <w:r>
        <w:rPr>
          <w:spacing w:val="-64"/>
        </w:rPr>
        <w:t> </w:t>
      </w:r>
      <w:r>
        <w:rPr>
          <w:spacing w:val="-64"/>
        </w:rPr>
      </w:r>
      <w:r>
        <w:rPr/>
        <w:t>项目除摊余成本之外的其他账面余额变动产生的汇兑差额计入其他综合收益之外，均计入当期损益。</w:t>
      </w:r>
    </w:p>
    <w:p>
      <w:pPr>
        <w:pStyle w:val="BodyText"/>
        <w:spacing w:line="316" w:lineRule="auto" w:before="19"/>
        <w:ind w:right="1130" w:firstLine="480"/>
        <w:jc w:val="both"/>
      </w:pPr>
      <w:r>
        <w:rPr>
          <w:spacing w:val="-1"/>
        </w:rPr>
        <w:t>以历史成本计量的外币非货币性项目，仍采用交易发生日的即期汇率折算的记账本位币金额计量。以公允价值计量的</w:t>
      </w:r>
      <w:r>
        <w:rPr/>
        <w:t> </w:t>
      </w:r>
      <w:r>
        <w:rPr>
          <w:spacing w:val="-2"/>
        </w:rPr>
        <w:t>外币非货币性项目，采用公允价值确定日的即期汇率折算，折算后的记账本位币金额与原记账本位币金额的差额，作为公允</w:t>
      </w:r>
      <w:r>
        <w:rPr>
          <w:spacing w:val="-63"/>
        </w:rPr>
        <w:t> </w:t>
      </w:r>
      <w:r>
        <w:rPr>
          <w:spacing w:val="-63"/>
        </w:rPr>
      </w:r>
      <w:r>
        <w:rPr/>
        <w:t>价值变动（含汇率变动）处理，计入当期损益或确认为其他综合收益并计入资本公积。</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15" w:firstLine="480"/>
        <w:jc w:val="left"/>
      </w:pPr>
      <w:r>
        <w:rPr>
          <w:spacing w:val="-1"/>
        </w:rPr>
        <w:t>编制合并财务报表涉及境外经营的，如有实质上构成对境外经营净投资的外币货币性项目，因汇率变动而产生的汇兑</w:t>
      </w:r>
      <w:r>
        <w:rPr/>
        <w:t> 差额，列入所有者权益</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项目；处置境外经营时，计入处置当期损益。</w:t>
      </w:r>
    </w:p>
    <w:p>
      <w:pPr>
        <w:pStyle w:val="BodyText"/>
        <w:spacing w:line="314" w:lineRule="auto"/>
        <w:ind w:right="0" w:firstLine="480"/>
        <w:jc w:val="left"/>
      </w:pPr>
      <w:r>
        <w:rPr/>
        <w:t>境外经营的外币财务报表按以下方法折算为人民币报表：资产负债表中的资产和负债项目，采用资产负债表日的即期 汇率折算；所有者权益类项目除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项目外，其他项目采用发生时的即期汇率折算。利润表中的收入和费用项目，</w:t>
      </w:r>
      <w:r>
        <w:rPr>
          <w:spacing w:val="-66"/>
        </w:rPr>
        <w:t> </w:t>
      </w:r>
      <w:r>
        <w:rPr>
          <w:spacing w:val="-66"/>
        </w:rPr>
      </w:r>
      <w:r>
        <w:rPr>
          <w:spacing w:val="-2"/>
        </w:rPr>
        <w:t>采用交易发生日的即期汇率折算。年初未分配利润为上一年折算后的年末未分配利润；年末未分配利润按折算后的利润分配</w:t>
      </w:r>
      <w:r>
        <w:rPr>
          <w:spacing w:val="-64"/>
        </w:rPr>
        <w:t> </w:t>
      </w:r>
      <w:r>
        <w:rPr>
          <w:spacing w:val="-64"/>
        </w:rPr>
      </w:r>
      <w:r>
        <w:rPr>
          <w:spacing w:val="-2"/>
        </w:rPr>
        <w:t>各项目计算列示；折算后资产类项目与负债类项目和所有者权益类项目合计数的差额，作为外币报表折算差额，确认为其他</w:t>
      </w:r>
      <w:r>
        <w:rPr>
          <w:spacing w:val="-63"/>
        </w:rPr>
        <w:t> </w:t>
      </w:r>
      <w:r>
        <w:rPr>
          <w:spacing w:val="-63"/>
        </w:rPr>
      </w:r>
      <w:r>
        <w:rPr>
          <w:spacing w:val="-2"/>
        </w:rPr>
        <w:t>综合收益并在资产负债表中股东权益项目下单独列示。处置境外经营并丧失控制权时，将资产负债表中所有者权益项目下列</w:t>
      </w:r>
      <w:r>
        <w:rPr>
          <w:spacing w:val="-64"/>
        </w:rPr>
        <w:t> </w:t>
      </w:r>
      <w:r>
        <w:rPr>
          <w:spacing w:val="-64"/>
        </w:rPr>
      </w:r>
      <w:r>
        <w:rPr/>
        <w:t>示的、与该境外经营相关的外币报表折算差额，全部或按处置该境外经营的比例转入处置当期损益。</w:t>
      </w:r>
    </w:p>
    <w:p>
      <w:pPr>
        <w:pStyle w:val="BodyText"/>
        <w:spacing w:line="316" w:lineRule="auto" w:before="20"/>
        <w:ind w:right="1115" w:firstLine="480"/>
        <w:jc w:val="left"/>
      </w:pPr>
      <w:r>
        <w:rPr>
          <w:spacing w:val="-1"/>
        </w:rPr>
        <w:t>外币现金流量以及境外子公司的现金流量，采用现金流量发生日的即期汇率折算。汇率变动对现金的影响额作为调节</w:t>
      </w:r>
      <w:r>
        <w:rPr/>
        <w:t> 项目，在现金流量表中单独列报。</w:t>
      </w:r>
    </w:p>
    <w:p>
      <w:pPr>
        <w:pStyle w:val="BodyText"/>
        <w:spacing w:line="240" w:lineRule="auto" w:before="19"/>
        <w:ind w:left="604" w:right="1115"/>
        <w:jc w:val="left"/>
      </w:pPr>
      <w:r>
        <w:rPr/>
        <w:t>年初数和上年实际数按照上年财务报表折算后的数额列示。</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8"/>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00" w:lineRule="auto"/>
        <w:ind w:left="633" w:right="0"/>
        <w:jc w:val="left"/>
      </w:pPr>
      <w:r>
        <w:rPr/>
        <w:t>（</w:t>
      </w:r>
      <w:r>
        <w:rPr>
          <w:rFonts w:ascii="Times New Roman" w:hAnsi="Times New Roman" w:cs="Times New Roman" w:eastAsia="Times New Roman" w:hint="default"/>
        </w:rPr>
        <w:t>1</w:t>
      </w:r>
      <w:r>
        <w:rPr/>
        <w:t>）金融资产和金融负债的公允价值确定方法 公允价值，指在公平交易中，熟悉情况的交易双方自愿进行资产交换或债务清偿的金额。金融工具存在活跃市场的，</w:t>
      </w:r>
    </w:p>
    <w:p>
      <w:pPr>
        <w:pStyle w:val="BodyText"/>
        <w:spacing w:line="316" w:lineRule="auto" w:before="31"/>
        <w:ind w:right="1130"/>
        <w:jc w:val="both"/>
      </w:pPr>
      <w:r>
        <w:rPr>
          <w:spacing w:val="-2"/>
        </w:rPr>
        <w:t>本集团采用活跃市场中的报价确定其公允价值。活跃市场中的报价是指易于定期从交易所、经纪商、行业协会、定价服务机</w:t>
      </w:r>
      <w:r>
        <w:rPr>
          <w:spacing w:val="-66"/>
        </w:rPr>
        <w:t> </w:t>
      </w:r>
      <w:r>
        <w:rPr>
          <w:spacing w:val="-66"/>
        </w:rPr>
      </w:r>
      <w:r>
        <w:rPr>
          <w:spacing w:val="-2"/>
        </w:rPr>
        <w:t>构等获得的价格，且代表了在公平交易中实际发生的市场交易的价格。金融工具不存在活跃市场的，本集团采用估值技术确</w:t>
      </w:r>
      <w:r>
        <w:rPr>
          <w:spacing w:val="-63"/>
        </w:rPr>
        <w:t> </w:t>
      </w:r>
      <w:r>
        <w:rPr>
          <w:spacing w:val="-63"/>
        </w:rPr>
      </w:r>
      <w:r>
        <w:rPr>
          <w:spacing w:val="-2"/>
        </w:rPr>
        <w:t>定其公允价值。估值技术包括参考熟悉情况并自愿交易的各方最近进行的市场交易中使用的价格、参照实质上相同的其他金</w:t>
      </w:r>
      <w:r>
        <w:rPr>
          <w:spacing w:val="-64"/>
        </w:rPr>
        <w:t> </w:t>
      </w:r>
      <w:r>
        <w:rPr>
          <w:spacing w:val="-64"/>
        </w:rPr>
      </w:r>
      <w:r>
        <w:rPr/>
        <w:t>融工具当前的公允价值、现金流量折现法和期权定价模型等。</w:t>
      </w:r>
    </w:p>
    <w:p>
      <w:pPr>
        <w:pStyle w:val="BodyText"/>
        <w:spacing w:line="300" w:lineRule="auto" w:before="19"/>
        <w:ind w:left="633" w:right="1115"/>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以常规方式买卖金融资产，按交易日进行会计确认和终止确认。金融资产在初始确认时划分为以公允价值计量且其变</w:t>
      </w:r>
    </w:p>
    <w:p>
      <w:pPr>
        <w:pStyle w:val="BodyText"/>
        <w:spacing w:line="316" w:lineRule="auto" w:before="32"/>
        <w:ind w:right="1130"/>
        <w:jc w:val="both"/>
      </w:pPr>
      <w:r>
        <w:rPr>
          <w:spacing w:val="-2"/>
        </w:rPr>
        <w:t>动计入当期损益的金融资产、持有至到期投资、贷款和应收款项以及可供出售金融资产。初始确认金融资产，以公允价值计</w:t>
      </w:r>
      <w:r>
        <w:rPr>
          <w:spacing w:val="-65"/>
        </w:rPr>
        <w:t> </w:t>
      </w:r>
      <w:r>
        <w:rPr>
          <w:spacing w:val="-65"/>
        </w:rPr>
      </w:r>
      <w:r>
        <w:rPr>
          <w:spacing w:val="-5"/>
        </w:rPr>
        <w:t>量。对于以公允价值计量且其变动计入当期损益的金融资产，相关的交易费用直接计入当期损益，对于其他类别的金融资产，</w:t>
      </w:r>
      <w:r>
        <w:rPr>
          <w:spacing w:val="-76"/>
        </w:rPr>
        <w:t> </w:t>
      </w:r>
      <w:r>
        <w:rPr>
          <w:spacing w:val="-76"/>
        </w:rPr>
      </w:r>
      <w:r>
        <w:rPr/>
        <w:t>相关交易费用计入初始确认金额。</w:t>
      </w:r>
    </w:p>
    <w:p>
      <w:pPr>
        <w:pStyle w:val="BodyText"/>
        <w:spacing w:line="316" w:lineRule="auto" w:before="19"/>
        <w:ind w:left="633" w:right="1113"/>
        <w:jc w:val="left"/>
      </w:pPr>
      <w:r>
        <w:rPr/>
        <w:t>①</w:t>
      </w:r>
      <w:r>
        <w:rPr>
          <w:spacing w:val="-18"/>
        </w:rPr>
        <w:t> </w:t>
      </w:r>
      <w:r>
        <w:rPr/>
        <w:t>以公允价值计量且其变动计入当期损益的金融资产</w:t>
      </w:r>
      <w:r>
        <w:rPr/>
        <w:t>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w:t>
      </w:r>
    </w:p>
    <w:p>
      <w:pPr>
        <w:pStyle w:val="BodyText"/>
        <w:spacing w:line="309" w:lineRule="auto"/>
        <w:ind w:right="1131"/>
        <w:jc w:val="both"/>
      </w:pPr>
      <w:r>
        <w:rPr>
          <w:spacing w:val="-2"/>
        </w:rPr>
        <w:t>集中管理的可辨认金融工具组合的一部分，且有客观证据表明本集团近期采用短期获利方式对该组合进行管理；</w:t>
      </w:r>
      <w:r>
        <w:rPr>
          <w:rFonts w:ascii="Times New Roman" w:hAnsi="Times New Roman" w:cs="Times New Roman" w:eastAsia="Times New Roman" w:hint="default"/>
          <w:spacing w:val="-2"/>
        </w:rPr>
        <w:t>C.</w:t>
      </w:r>
      <w:r>
        <w:rPr>
          <w:spacing w:val="-2"/>
        </w:rPr>
        <w:t>属于衍生</w:t>
      </w:r>
      <w:r>
        <w:rPr>
          <w:spacing w:val="-47"/>
        </w:rPr>
        <w:t> </w:t>
      </w:r>
      <w:r>
        <w:rPr>
          <w:spacing w:val="-2"/>
        </w:rPr>
        <w:t>工具，但是，被指定且为有效套期工具的衍生工具、属于财务担保合同的衍生工具、与在活跃市场中没有报价且其公允价值</w:t>
      </w:r>
      <w:r>
        <w:rPr>
          <w:spacing w:val="-64"/>
        </w:rPr>
        <w:t> </w:t>
      </w:r>
      <w:r>
        <w:rPr>
          <w:spacing w:val="-64"/>
        </w:rPr>
      </w:r>
      <w:r>
        <w:rPr/>
        <w:t>不能可靠计量的权益工具投资挂钩并须通过交付该权益工具结算的衍生工具除外。</w:t>
      </w:r>
    </w:p>
    <w:p>
      <w:pPr>
        <w:pStyle w:val="BodyText"/>
        <w:spacing w:line="240" w:lineRule="auto" w:before="24"/>
        <w:ind w:left="633" w:right="0"/>
        <w:jc w:val="left"/>
      </w:pPr>
      <w:r>
        <w:rPr/>
        <w:t>符合下述条件之一的金融资产，在初始确认时可指定为以公允价值计量且其变动计入当期损益的金融资产：</w:t>
      </w:r>
      <w:r>
        <w:rPr>
          <w:rFonts w:ascii="Times New Roman" w:hAnsi="Times New Roman" w:cs="Times New Roman" w:eastAsia="Times New Roman" w:hint="default"/>
        </w:rPr>
        <w:t>A.</w:t>
      </w:r>
      <w:r>
        <w:rPr/>
        <w:t>该指定</w:t>
      </w:r>
    </w:p>
    <w:p>
      <w:pPr>
        <w:spacing w:after="0" w:line="240" w:lineRule="auto"/>
        <w:jc w:val="left"/>
        <w:sectPr>
          <w:pgSz w:w="11910" w:h="16840"/>
          <w:pgMar w:header="877" w:footer="1250" w:top="1060" w:bottom="144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31"/>
        <w:jc w:val="both"/>
      </w:pPr>
      <w:r>
        <w:rPr>
          <w:spacing w:val="-2"/>
        </w:rPr>
        <w:t>可以消除或明显减少由于该金融资产的计量基础不同所导致的相关利得或损失在确认或计量方面不一致的情况；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本集团风</w:t>
      </w:r>
      <w:r>
        <w:rPr>
          <w:spacing w:val="-47"/>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6" w:lineRule="auto" w:before="24"/>
        <w:ind w:right="1132" w:firstLine="480"/>
        <w:jc w:val="both"/>
      </w:pPr>
      <w:r>
        <w:rPr>
          <w:spacing w:val="-1"/>
        </w:rPr>
        <w:t>以公允价值计量且其变动计入当期损益的金融资产采用公允价值进行后续计量，公允价值变动形成的利得或损失以及</w:t>
      </w:r>
      <w:r>
        <w:rPr/>
        <w:t> 与该等金融资产相关的股利和利息收入计入当期损益。</w:t>
      </w:r>
    </w:p>
    <w:p>
      <w:pPr>
        <w:pStyle w:val="BodyText"/>
        <w:spacing w:line="316" w:lineRule="auto" w:before="19"/>
        <w:ind w:left="633" w:right="1115"/>
        <w:jc w:val="left"/>
      </w:pPr>
      <w:r>
        <w:rPr/>
        <w:t>②</w:t>
      </w:r>
      <w:r>
        <w:rPr>
          <w:spacing w:val="-18"/>
        </w:rPr>
        <w:t> </w:t>
      </w:r>
      <w:r>
        <w:rPr/>
        <w:t>持有至到期投资</w:t>
      </w:r>
      <w:r>
        <w:rPr/>
        <w:t> 是指到期日固定、回收金额固定或可确定，且本集团有明确意图和能力持有至到期的非衍生金融资产。 </w:t>
      </w:r>
      <w:r>
        <w:rPr>
          <w:spacing w:val="-1"/>
        </w:rPr>
        <w:t>持有至到期投资采用实际利率法，按摊余成本进行后续计量，在终止确认、发生减值或摊销时产生的利得或损失，计</w:t>
      </w:r>
    </w:p>
    <w:p>
      <w:pPr>
        <w:pStyle w:val="BodyText"/>
        <w:spacing w:line="240" w:lineRule="auto" w:before="19"/>
        <w:ind w:right="1115"/>
        <w:jc w:val="left"/>
      </w:pPr>
      <w:r>
        <w:rPr/>
        <w:t>入当期损益。</w:t>
      </w:r>
    </w:p>
    <w:p>
      <w:pPr>
        <w:pStyle w:val="BodyText"/>
        <w:spacing w:line="316" w:lineRule="auto" w:before="76"/>
        <w:ind w:right="1133" w:firstLine="480"/>
        <w:jc w:val="both"/>
      </w:pPr>
      <w:r>
        <w:rPr>
          <w:spacing w:val="-1"/>
        </w:rPr>
        <w:t>实际利率法是指按照金融资产或金融负债（含一组金融资产或金融负债）的实际利率计算其摊余成本及各期利息收入</w:t>
      </w:r>
      <w:r>
        <w:rPr/>
        <w:t>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19"/>
        <w:ind w:right="1129" w:firstLine="480"/>
        <w:jc w:val="both"/>
      </w:pPr>
      <w:r>
        <w:rPr>
          <w:spacing w:val="-1"/>
        </w:rPr>
        <w:t>在计算实际利率时，本集团将在考虑金融资产或金融负债所有合同条款的基础上预计未来现金流量（不考虑未来的信</w:t>
      </w:r>
      <w:r>
        <w:rPr/>
        <w:t> </w:t>
      </w:r>
      <w:r>
        <w:rPr>
          <w:spacing w:val="-2"/>
        </w:rPr>
        <w:t>用损失），同时还将考虑金融资产或金融负债合同各方之间支付或收取的、属于实际利率组成部分的各项收费、交易费用及</w:t>
      </w:r>
      <w:r>
        <w:rPr>
          <w:spacing w:val="-63"/>
        </w:rPr>
        <w:t> </w:t>
      </w:r>
      <w:r>
        <w:rPr>
          <w:spacing w:val="-63"/>
        </w:rPr>
      </w:r>
      <w:r>
        <w:rPr/>
        <w:t>折价或溢价等。</w:t>
      </w:r>
    </w:p>
    <w:p>
      <w:pPr>
        <w:pStyle w:val="BodyText"/>
        <w:spacing w:line="316" w:lineRule="auto" w:before="19"/>
        <w:ind w:left="633" w:right="1115"/>
        <w:jc w:val="left"/>
      </w:pPr>
      <w:r>
        <w:rPr/>
        <w:t>③</w:t>
      </w:r>
      <w:r>
        <w:rPr>
          <w:spacing w:val="-18"/>
        </w:rPr>
        <w:t> </w:t>
      </w:r>
      <w:r>
        <w:rPr/>
        <w:t>贷款和应收款项</w:t>
      </w:r>
      <w:r>
        <w:rPr/>
        <w:t> </w:t>
      </w:r>
      <w:r>
        <w:rPr>
          <w:spacing w:val="-1"/>
        </w:rPr>
        <w:t>是指在活跃市场中没有报价、回收金额固定或可确定的非衍生金融资产。本集团划分为贷款和应收款的金融资产包括</w:t>
      </w:r>
    </w:p>
    <w:p>
      <w:pPr>
        <w:pStyle w:val="BodyText"/>
        <w:spacing w:line="316" w:lineRule="auto" w:before="19"/>
        <w:ind w:left="633" w:right="1115" w:hanging="481"/>
        <w:jc w:val="left"/>
      </w:pPr>
      <w:r>
        <w:rPr/>
        <w:t>应收票据、应收账款、应收利息、应收股利及其他应收款等。 </w:t>
      </w:r>
      <w:r>
        <w:rPr>
          <w:spacing w:val="-1"/>
        </w:rPr>
        <w:t>贷款和应收款项采用实际利率法，按摊余成本进行后续计量，在终止确认、发生减值或摊销时产生的利得或损失，计</w:t>
      </w:r>
    </w:p>
    <w:p>
      <w:pPr>
        <w:pStyle w:val="BodyText"/>
        <w:spacing w:line="240" w:lineRule="auto" w:before="19"/>
        <w:ind w:right="1115"/>
        <w:jc w:val="left"/>
      </w:pPr>
      <w:r>
        <w:rPr/>
        <w:t>入当期损益。</w:t>
      </w:r>
    </w:p>
    <w:p>
      <w:pPr>
        <w:pStyle w:val="BodyText"/>
        <w:spacing w:line="316" w:lineRule="auto" w:before="76"/>
        <w:ind w:left="633" w:right="0"/>
        <w:jc w:val="left"/>
      </w:pPr>
      <w:r>
        <w:rPr/>
        <w:t>④</w:t>
      </w:r>
      <w:r>
        <w:rPr>
          <w:spacing w:val="-18"/>
        </w:rPr>
        <w:t> </w:t>
      </w:r>
      <w:r>
        <w:rPr/>
        <w:t>可供出售金融资产</w:t>
      </w:r>
      <w:r>
        <w:rPr/>
        <w:t> </w:t>
      </w:r>
      <w:r>
        <w:rPr>
          <w:spacing w:val="-1"/>
        </w:rPr>
        <w:t>包括初始确认时即被指定为可供出售的非衍生金融资产，以及除了以公允价值计量且其变动计入当期损益的金融资产、</w:t>
      </w:r>
    </w:p>
    <w:p>
      <w:pPr>
        <w:pStyle w:val="BodyText"/>
        <w:spacing w:line="316" w:lineRule="auto" w:before="19"/>
        <w:ind w:left="633" w:right="1115" w:hanging="481"/>
        <w:jc w:val="left"/>
      </w:pPr>
      <w:r>
        <w:rPr/>
        <w:t>贷款和应收款项、持有至到期投资以外的金融资产。 </w:t>
      </w:r>
      <w:r>
        <w:rPr>
          <w:spacing w:val="-1"/>
        </w:rPr>
        <w:t>可供出售金融资产采用公允价值进行后续计量，公允价值变动形成的利得或损失，除减值损失和外币货币性金融资产</w:t>
      </w:r>
    </w:p>
    <w:p>
      <w:pPr>
        <w:pStyle w:val="BodyText"/>
        <w:spacing w:line="316" w:lineRule="auto" w:before="19"/>
        <w:ind w:right="1130"/>
        <w:jc w:val="both"/>
      </w:pPr>
      <w:r>
        <w:rPr>
          <w:spacing w:val="-2"/>
        </w:rPr>
        <w:t>与摊余成本相关的汇兑差额计入当期损益外，确认为其他综合收益并计入资本公积，在该金融资产终止确认时转出，计入当</w:t>
      </w:r>
      <w:r>
        <w:rPr>
          <w:spacing w:val="-63"/>
        </w:rPr>
        <w:t> </w:t>
      </w:r>
      <w:r>
        <w:rPr>
          <w:spacing w:val="-63"/>
        </w:rPr>
      </w:r>
      <w:r>
        <w:rPr/>
        <w:t>期损益。</w:t>
      </w:r>
    </w:p>
    <w:p>
      <w:pPr>
        <w:pStyle w:val="BodyText"/>
        <w:spacing w:line="240" w:lineRule="auto" w:before="19"/>
        <w:ind w:left="633" w:right="1115"/>
        <w:jc w:val="left"/>
      </w:pPr>
      <w:r>
        <w:rPr/>
        <w:t>可供出售金融资产持有期间取得的利息及被投资单位宣告发放的现金股利，计入投资收益。</w:t>
      </w:r>
    </w:p>
    <w:p>
      <w:pPr>
        <w:pStyle w:val="BodyText"/>
        <w:spacing w:line="300" w:lineRule="auto" w:before="76"/>
        <w:ind w:left="633" w:right="1115"/>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除了以公允价值计量且其变动计入当期损益的金融资产外，本集团在每个资产负债表日对其他金融资产的账面价值进</w:t>
      </w:r>
    </w:p>
    <w:p>
      <w:pPr>
        <w:pStyle w:val="BodyText"/>
        <w:spacing w:line="316" w:lineRule="auto" w:before="31"/>
        <w:ind w:left="633" w:right="1115" w:hanging="481"/>
        <w:jc w:val="left"/>
      </w:pPr>
      <w:r>
        <w:rPr/>
        <w:t>行检查，有客观证据表明金融资产发生减值的，计提减值准备。 </w:t>
      </w:r>
      <w:r>
        <w:rPr>
          <w:spacing w:val="-1"/>
        </w:rPr>
        <w:t>本集团对单项金额重大的金融资产单独进行减值测试；对单项金额不重大的金融资产，单独进行减值测试或包括在具</w:t>
      </w:r>
    </w:p>
    <w:p>
      <w:pPr>
        <w:pStyle w:val="BodyText"/>
        <w:spacing w:line="316" w:lineRule="auto" w:before="19"/>
        <w:ind w:right="1131"/>
        <w:jc w:val="both"/>
      </w:pP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r>
        <w:rPr>
          <w:spacing w:val="-64"/>
        </w:rPr>
        <w:t> </w:t>
      </w:r>
      <w:r>
        <w:rPr>
          <w:spacing w:val="-64"/>
        </w:rPr>
      </w:r>
      <w:r>
        <w:rPr/>
        <w:t>类似信用风险特征的金融资产组合中进行减值测试。</w:t>
      </w:r>
    </w:p>
    <w:p>
      <w:pPr>
        <w:pStyle w:val="BodyText"/>
        <w:spacing w:line="319" w:lineRule="auto" w:before="19"/>
        <w:ind w:left="633" w:right="1115"/>
        <w:jc w:val="left"/>
      </w:pPr>
      <w:r>
        <w:rPr/>
        <w:t>①</w:t>
      </w:r>
      <w:r>
        <w:rPr>
          <w:spacing w:val="-18"/>
        </w:rPr>
        <w:t> </w:t>
      </w:r>
      <w:r>
        <w:rPr/>
        <w:t>持有至到期投资、贷款和应收款项减值</w:t>
      </w:r>
      <w:r>
        <w:rPr/>
        <w:t> </w:t>
      </w:r>
      <w:r>
        <w:rPr>
          <w:spacing w:val="-1"/>
        </w:rPr>
        <w:t>以成本或摊余成本计量的金融资产将其账面价值减记至预计未来现金流量现值，减记金额确认为减值损失，计入当期</w:t>
      </w:r>
    </w:p>
    <w:p>
      <w:pPr>
        <w:pStyle w:val="BodyText"/>
        <w:spacing w:line="316" w:lineRule="auto" w:before="17"/>
        <w:ind w:right="1034"/>
        <w:jc w:val="left"/>
      </w:pPr>
      <w:r>
        <w:rPr/>
        <w:t>损益。金融资产在确认减值损失后，如有客观证据表明该金融资产价值已恢复，且客观上与确认该损失后发生的事项有关，</w:t>
      </w:r>
      <w:r>
        <w:rPr>
          <w:spacing w:val="-86"/>
        </w:rPr>
        <w:t> </w:t>
      </w:r>
      <w:r>
        <w:rPr>
          <w:spacing w:val="-86"/>
        </w:rPr>
      </w:r>
      <w:r>
        <w:rPr>
          <w:spacing w:val="-2"/>
        </w:rPr>
        <w:t>原确认的减值损失予以转回，金融资产转回减值损失后的账面价值不超过假定不计提减值准备情况下该金融资产在转回日的</w:t>
      </w:r>
      <w:r>
        <w:rPr>
          <w:spacing w:val="-64"/>
        </w:rPr>
        <w:t> </w:t>
      </w:r>
      <w:r>
        <w:rPr>
          <w:spacing w:val="-64"/>
        </w:rPr>
      </w:r>
      <w:r>
        <w:rPr/>
        <w:t>摊余成本。</w:t>
      </w:r>
    </w:p>
    <w:p>
      <w:pPr>
        <w:pStyle w:val="BodyText"/>
        <w:spacing w:line="316" w:lineRule="auto" w:before="19"/>
        <w:ind w:left="633" w:right="1115"/>
        <w:jc w:val="left"/>
      </w:pPr>
      <w:r>
        <w:rPr/>
        <w:t>②</w:t>
      </w:r>
      <w:r>
        <w:rPr>
          <w:spacing w:val="-18"/>
        </w:rPr>
        <w:t> </w:t>
      </w:r>
      <w:r>
        <w:rPr/>
        <w:t>可供出售金融资产减值</w:t>
      </w:r>
      <w:r>
        <w:rPr/>
        <w:t> </w:t>
      </w:r>
      <w:r>
        <w:rPr>
          <w:spacing w:val="-1"/>
        </w:rPr>
        <w:t>当综合相关因素判断可供出售权益工具投资公允价值下跌是严重或非暂时性下跌时，表明该可供出售权益工具投资发</w:t>
      </w:r>
    </w:p>
    <w:p>
      <w:pPr>
        <w:pStyle w:val="BodyText"/>
        <w:spacing w:line="300" w:lineRule="auto" w:before="19"/>
        <w:ind w:left="633" w:right="1115" w:hanging="481"/>
        <w:jc w:val="left"/>
      </w:pPr>
      <w:r>
        <w:rPr/>
        <w:t>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w:t>
      </w:r>
      <w:r>
        <w:rPr>
          <w:spacing w:val="-1"/>
        </w:rPr>
        <w:t>可供出售金融资产发生减值时，将原计入资本公积的因公允价值下降形成的累计损失予以转出并计入当期损益，该转</w:t>
      </w:r>
    </w:p>
    <w:p>
      <w:pPr>
        <w:pStyle w:val="BodyText"/>
        <w:spacing w:line="240" w:lineRule="auto" w:before="31"/>
        <w:ind w:right="1115"/>
        <w:jc w:val="left"/>
      </w:pPr>
      <w:r>
        <w:rPr/>
        <w:t>出的累计损失为该资产初始取得成本扣除已收回本金和已摊销金额、当前公允价值和原已计入损益的减值损失后的余额。</w:t>
      </w:r>
    </w:p>
    <w:p>
      <w:pPr>
        <w:spacing w:after="0" w:line="240" w:lineRule="auto"/>
        <w:jc w:val="left"/>
        <w:sectPr>
          <w:pgSz w:w="11910" w:h="16840"/>
          <w:pgMar w:header="877" w:footer="1250" w:top="1060" w:bottom="14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firstLine="480"/>
        <w:jc w:val="both"/>
      </w:pPr>
      <w:r>
        <w:rPr>
          <w:spacing w:val="-1"/>
        </w:rPr>
        <w:t>在确认减值损失后，期后如有客观证据表明该金融资产价值已恢复，且客观上与确认该损失后发生的事项有关，原确</w:t>
      </w:r>
      <w:r>
        <w:rPr/>
        <w:t> </w:t>
      </w: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before="17"/>
        <w:ind w:right="1131" w:firstLine="480"/>
        <w:jc w:val="both"/>
      </w:pPr>
      <w:r>
        <w:rPr>
          <w:spacing w:val="-1"/>
        </w:rPr>
        <w:t>在活跃市场中没有报价且其公允价值不能可靠计量的权益工具投资，或与该权益工具挂钩并须通过交付该权益工具结</w:t>
      </w:r>
      <w:r>
        <w:rPr/>
        <w:t> 算的衍生金融资产的减值损失，不予转回。</w:t>
      </w:r>
    </w:p>
    <w:p>
      <w:pPr>
        <w:pStyle w:val="BodyText"/>
        <w:spacing w:line="240" w:lineRule="auto" w:before="19"/>
        <w:ind w:left="633" w:right="1115"/>
        <w:jc w:val="left"/>
      </w:pPr>
      <w:r>
        <w:rPr/>
        <w:t>（</w:t>
      </w:r>
      <w:r>
        <w:rPr>
          <w:rFonts w:ascii="Times New Roman" w:hAnsi="Times New Roman" w:cs="Times New Roman" w:eastAsia="Times New Roman" w:hint="default"/>
        </w:rPr>
        <w:t>4</w:t>
      </w:r>
      <w:r>
        <w:rPr/>
        <w:t>）金融资产转移的确认依据和计量方法</w:t>
      </w:r>
    </w:p>
    <w:p>
      <w:pPr>
        <w:pStyle w:val="BodyText"/>
        <w:spacing w:line="316" w:lineRule="auto" w:before="63"/>
        <w:ind w:right="1131" w:firstLine="480"/>
        <w:jc w:val="both"/>
      </w:pPr>
      <w:r>
        <w:rPr>
          <w:spacing w:val="-6"/>
        </w:rPr>
        <w:t>满足下列条件之一的金融资产，予以终止确认：① </w:t>
      </w:r>
      <w:r>
        <w:rPr>
          <w:spacing w:val="-3"/>
        </w:rPr>
        <w:t>收取该金融资产现金流量的合同权利终止；②</w:t>
      </w:r>
      <w:r>
        <w:rPr>
          <w:spacing w:val="-7"/>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316" w:lineRule="auto" w:before="19"/>
        <w:ind w:right="1129" w:firstLine="480"/>
        <w:jc w:val="both"/>
      </w:pPr>
      <w:r>
        <w:rPr>
          <w:spacing w:val="-1"/>
        </w:rPr>
        <w:t>若企业既没有转移也没有保留金融资产所有权上几乎所有的风险和报酬，且未放弃对该金融资产的控制的，则按照继</w:t>
      </w:r>
      <w:r>
        <w:rPr/>
        <w:t> </w:t>
      </w:r>
      <w:r>
        <w:rPr>
          <w:spacing w:val="-2"/>
        </w:rPr>
        <w:t>续涉入所转移金融资产的程度确认有关金融资产，并相应确认有关负债。继续涉入所转移金融资产的程度，是指该金融资产</w:t>
      </w:r>
      <w:r>
        <w:rPr>
          <w:spacing w:val="-62"/>
        </w:rPr>
        <w:t> </w:t>
      </w:r>
      <w:r>
        <w:rPr>
          <w:spacing w:val="-62"/>
        </w:rPr>
      </w:r>
      <w:r>
        <w:rPr/>
        <w:t>价值变动使企业面临的风险水平。</w:t>
      </w:r>
    </w:p>
    <w:p>
      <w:pPr>
        <w:pStyle w:val="BodyText"/>
        <w:spacing w:line="316" w:lineRule="auto" w:before="19"/>
        <w:ind w:right="1132" w:firstLine="480"/>
        <w:jc w:val="both"/>
      </w:pPr>
      <w:r>
        <w:rPr>
          <w:spacing w:val="-1"/>
        </w:rPr>
        <w:t>金融资产整体转移满足终止确认条件的，将所转移金融资产的账面价值及因转移而收到的对价与原计入其他综合收益</w:t>
      </w:r>
      <w:r>
        <w:rPr/>
        <w:t> 的公允价值变动累计额之和的差额计入当期损益。</w:t>
      </w:r>
    </w:p>
    <w:p>
      <w:pPr>
        <w:pStyle w:val="BodyText"/>
        <w:spacing w:line="316" w:lineRule="auto" w:before="19"/>
        <w:ind w:right="1132" w:firstLine="480"/>
        <w:jc w:val="both"/>
      </w:pPr>
      <w:r>
        <w:rPr>
          <w:spacing w:val="-1"/>
        </w:rPr>
        <w:t>金融资产部分转移满足终止确认条件的，将所转移金融资产的账面价值在终止确认及未终止确认部分之间按其相对的</w:t>
      </w:r>
      <w:r>
        <w:rPr/>
        <w:t>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300" w:lineRule="auto" w:before="19"/>
        <w:ind w:left="633" w:right="0"/>
        <w:jc w:val="left"/>
      </w:pPr>
      <w:r>
        <w:rPr/>
        <w:t>（</w:t>
      </w:r>
      <w:r>
        <w:rPr>
          <w:rFonts w:ascii="Times New Roman" w:hAnsi="Times New Roman" w:cs="Times New Roman" w:eastAsia="Times New Roman" w:hint="default"/>
        </w:rPr>
        <w:t>5</w:t>
      </w:r>
      <w:r>
        <w:rPr/>
        <w:t>）金融负债的分类和计量 </w:t>
      </w:r>
      <w:r>
        <w:rPr>
          <w:spacing w:val="-1"/>
        </w:rPr>
        <w:t>金融负债在初始确认时划分为以公允价值计量且其变动计入当期损益的金融负债和其他金融负债。初始确认金融负债，</w:t>
      </w:r>
    </w:p>
    <w:p>
      <w:pPr>
        <w:pStyle w:val="BodyText"/>
        <w:spacing w:line="316" w:lineRule="auto" w:before="31"/>
        <w:ind w:right="1130"/>
        <w:jc w:val="both"/>
      </w:pPr>
      <w:r>
        <w:rPr>
          <w:spacing w:val="-2"/>
        </w:rPr>
        <w:t>以公允价值计量。对于以公允价值计量且其变动计入当期损益的金融负债，相关的交易费用直接计入当期损益，对于其他金</w:t>
      </w:r>
      <w:r>
        <w:rPr>
          <w:spacing w:val="-63"/>
        </w:rPr>
        <w:t> </w:t>
      </w:r>
      <w:r>
        <w:rPr>
          <w:spacing w:val="-63"/>
        </w:rPr>
      </w:r>
      <w:r>
        <w:rPr/>
        <w:t>融负债，相关交易费用计入初始确认金额。</w:t>
      </w:r>
    </w:p>
    <w:p>
      <w:pPr>
        <w:pStyle w:val="BodyText"/>
        <w:spacing w:line="316" w:lineRule="auto" w:before="19"/>
        <w:ind w:left="633" w:right="1273"/>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w:t>
      </w:r>
    </w:p>
    <w:p>
      <w:pPr>
        <w:pStyle w:val="BodyText"/>
        <w:spacing w:line="319" w:lineRule="auto" w:before="19"/>
        <w:ind w:left="633" w:right="1115" w:hanging="481"/>
        <w:jc w:val="left"/>
      </w:pPr>
      <w:r>
        <w:rPr/>
        <w:t>易性金融资产和在初始确认时指定为以公允价值计量且其变动计入当期损益的金融资产的条件一致。 </w:t>
      </w:r>
      <w:r>
        <w:rPr>
          <w:spacing w:val="-1"/>
        </w:rPr>
        <w:t>以公允价值计量且其变动计入当期损益的金融负债采用公允价值进行后续计量，公允价值的变动形成的利得或损失以</w:t>
      </w:r>
    </w:p>
    <w:p>
      <w:pPr>
        <w:pStyle w:val="BodyText"/>
        <w:spacing w:line="240" w:lineRule="auto" w:before="17"/>
        <w:ind w:right="0"/>
        <w:jc w:val="both"/>
      </w:pPr>
      <w:r>
        <w:rPr/>
        <w:t>及与该等金融负债相关的股利和利息支出计入当期损益。</w:t>
      </w:r>
    </w:p>
    <w:p>
      <w:pPr>
        <w:pStyle w:val="BodyText"/>
        <w:spacing w:line="240" w:lineRule="auto" w:before="76"/>
        <w:ind w:left="633" w:right="1115"/>
        <w:jc w:val="left"/>
      </w:pPr>
      <w:r>
        <w:rPr/>
        <w:t>②</w:t>
      </w:r>
      <w:r>
        <w:rPr>
          <w:spacing w:val="-18"/>
        </w:rPr>
        <w:t> </w:t>
      </w:r>
      <w:r>
        <w:rPr/>
        <w:t>其他金融负债</w:t>
      </w:r>
    </w:p>
    <w:p>
      <w:pPr>
        <w:spacing w:line="300" w:lineRule="auto" w:before="64"/>
        <w:ind w:left="152" w:right="1132" w:firstLine="480"/>
        <w:jc w:val="both"/>
        <w:rPr>
          <w:rFonts w:ascii="宋体" w:hAnsi="宋体" w:cs="宋体" w:eastAsia="宋体" w:hint="default"/>
          <w:sz w:val="19"/>
          <w:szCs w:val="19"/>
        </w:rPr>
      </w:pPr>
      <w:r>
        <w:rPr>
          <w:rFonts w:ascii="宋体" w:hAnsi="宋体" w:cs="宋体" w:eastAsia="宋体" w:hint="default"/>
          <w:i/>
          <w:spacing w:val="-1"/>
          <w:w w:val="95"/>
          <w:sz w:val="19"/>
          <w:szCs w:val="19"/>
        </w:rPr>
        <w:t>与在活跃市场中没有报价、公允价值不能可靠计量的权益工具挂钩并须通过交付该权益工具结算的衍生金融负债，按</w:t>
      </w:r>
      <w:r>
        <w:rPr>
          <w:rFonts w:ascii="宋体" w:hAnsi="宋体" w:cs="宋体" w:eastAsia="宋体" w:hint="default"/>
          <w:i/>
          <w:w w:val="94"/>
          <w:sz w:val="19"/>
          <w:szCs w:val="19"/>
        </w:rPr>
        <w:t> </w:t>
      </w:r>
      <w:r>
        <w:rPr>
          <w:rFonts w:ascii="宋体" w:hAnsi="宋体" w:cs="宋体" w:eastAsia="宋体" w:hint="default"/>
          <w:i/>
          <w:spacing w:val="-2"/>
          <w:w w:val="95"/>
          <w:sz w:val="19"/>
          <w:szCs w:val="19"/>
        </w:rPr>
        <w:t>照成本进行后续计量。其他金融负债采用实际利率法，按摊余成本进行后续计量，终止确认或摊销产生的利得或损失计入当</w:t>
      </w:r>
      <w:r>
        <w:rPr>
          <w:rFonts w:ascii="宋体" w:hAnsi="宋体" w:cs="宋体" w:eastAsia="宋体" w:hint="default"/>
          <w:i/>
          <w:w w:val="94"/>
          <w:sz w:val="19"/>
          <w:szCs w:val="19"/>
        </w:rPr>
        <w:t> </w:t>
      </w:r>
      <w:r>
        <w:rPr>
          <w:rFonts w:ascii="宋体" w:hAnsi="宋体" w:cs="宋体" w:eastAsia="宋体" w:hint="default"/>
          <w:i/>
          <w:sz w:val="19"/>
          <w:szCs w:val="19"/>
        </w:rPr>
        <w:t>期损益。</w:t>
      </w:r>
      <w:r>
        <w:rPr>
          <w:rFonts w:ascii="宋体" w:hAnsi="宋体" w:cs="宋体" w:eastAsia="宋体" w:hint="default"/>
          <w:sz w:val="19"/>
          <w:szCs w:val="19"/>
        </w:rPr>
      </w:r>
    </w:p>
    <w:p>
      <w:pPr>
        <w:pStyle w:val="BodyText"/>
        <w:spacing w:line="316" w:lineRule="auto" w:before="27"/>
        <w:ind w:left="633" w:right="1115"/>
        <w:jc w:val="left"/>
      </w:pPr>
      <w:r>
        <w:rPr/>
        <w:t>③</w:t>
      </w:r>
      <w:r>
        <w:rPr>
          <w:spacing w:val="-18"/>
        </w:rPr>
        <w:t> </w:t>
      </w:r>
      <w:r>
        <w:rPr/>
        <w:t>财务担保合同及贷款承诺</w:t>
      </w:r>
      <w:r>
        <w:rPr/>
        <w:t> </w:t>
      </w:r>
      <w:r>
        <w:rPr>
          <w:spacing w:val="-1"/>
        </w:rPr>
        <w:t>不属于指定为以公允价值计量且其变动计入当期损益的金融负债的财务担保合同，或没有指定为以公允价值计量且其</w:t>
      </w:r>
    </w:p>
    <w:p>
      <w:pPr>
        <w:pStyle w:val="BodyText"/>
        <w:spacing w:line="300" w:lineRule="auto" w:before="19"/>
        <w:ind w:right="1128"/>
        <w:jc w:val="both"/>
      </w:pPr>
      <w:r>
        <w:rPr>
          <w:spacing w:val="-2"/>
        </w:rPr>
        <w:t>变动计入损益并将以低于市场利率贷款的贷款承诺，以公允价值进行初始确认，在初始确认后按照《企业会计准则第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5"/>
        </w:rPr>
        <w:t> </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w:t>
      </w:r>
      <w:r>
        <w:rPr>
          <w:spacing w:val="-61"/>
        </w:rPr>
        <w:t> </w:t>
      </w:r>
      <w:r>
        <w:rPr>
          <w:spacing w:val="-61"/>
        </w:rPr>
      </w:r>
      <w:r>
        <w:rPr/>
        <w:t>高者进行后续计量。</w:t>
      </w:r>
    </w:p>
    <w:p>
      <w:pPr>
        <w:pStyle w:val="BodyText"/>
        <w:spacing w:line="300" w:lineRule="auto" w:before="32"/>
        <w:ind w:left="633" w:right="1115"/>
        <w:jc w:val="left"/>
      </w:pPr>
      <w:r>
        <w:rPr/>
        <w:t>（</w:t>
      </w:r>
      <w:r>
        <w:rPr>
          <w:rFonts w:ascii="Times New Roman" w:hAnsi="Times New Roman" w:cs="Times New Roman" w:eastAsia="Times New Roman" w:hint="default"/>
        </w:rPr>
        <w:t>6</w:t>
      </w:r>
      <w:r>
        <w:rPr/>
        <w:t>）金融负债的终止确认 </w:t>
      </w:r>
      <w:r>
        <w:rPr>
          <w:spacing w:val="-1"/>
        </w:rPr>
        <w:t>金融负债的现时义务全部或部分已经解除的，才能终止确认该金融负债或其一部分。本集团（债务人）与债权人之间</w:t>
      </w:r>
    </w:p>
    <w:p>
      <w:pPr>
        <w:pStyle w:val="BodyText"/>
        <w:spacing w:line="316" w:lineRule="auto" w:before="31"/>
        <w:ind w:right="1129"/>
        <w:jc w:val="both"/>
      </w:pPr>
      <w:r>
        <w:rPr>
          <w:spacing w:val="-2"/>
        </w:rPr>
        <w:t>签订协议，以承担新金融负债方式替换现存金融负债，且新金融负债与现存金融负债的合同条款实质上不同的，终止确认现</w:t>
      </w:r>
      <w:r>
        <w:rPr>
          <w:spacing w:val="-62"/>
        </w:rPr>
        <w:t> </w:t>
      </w:r>
      <w:r>
        <w:rPr>
          <w:spacing w:val="-62"/>
        </w:rPr>
      </w:r>
      <w:r>
        <w:rPr/>
        <w:t>存金融负债，并同时确认新金融负债。</w:t>
      </w:r>
    </w:p>
    <w:p>
      <w:pPr>
        <w:pStyle w:val="BodyText"/>
        <w:spacing w:line="316" w:lineRule="auto" w:before="19"/>
        <w:ind w:right="1135" w:firstLine="480"/>
        <w:jc w:val="both"/>
      </w:pPr>
      <w:r>
        <w:rPr>
          <w:spacing w:val="-1"/>
        </w:rPr>
        <w:t>金融负债全部或部分终止确认的，将终止确认部分的账面价值与支付的对价（包括转出的非现金资产或承担的新金融</w:t>
      </w:r>
      <w:r>
        <w:rPr/>
        <w:t> 负债）之间的差额，计入当期损益。</w:t>
      </w:r>
    </w:p>
    <w:p>
      <w:pPr>
        <w:pStyle w:val="BodyText"/>
        <w:spacing w:line="300" w:lineRule="auto" w:before="19"/>
        <w:ind w:left="633" w:right="1115"/>
        <w:jc w:val="left"/>
      </w:pPr>
      <w:r>
        <w:rPr/>
        <w:t>（</w:t>
      </w:r>
      <w:r>
        <w:rPr>
          <w:rFonts w:ascii="Times New Roman" w:hAnsi="Times New Roman" w:cs="Times New Roman" w:eastAsia="Times New Roman" w:hint="default"/>
        </w:rPr>
        <w:t>7</w:t>
      </w:r>
      <w:r>
        <w:rPr/>
        <w:t>）衍生工具及嵌入衍生工具 </w:t>
      </w:r>
      <w:r>
        <w:rPr>
          <w:spacing w:val="-1"/>
        </w:rPr>
        <w:t>衍生工具于相关合同签署日以公允价值进行初始计量，并以公允价值进行后续计量。除指定为套期工具且套期高度有</w:t>
      </w:r>
    </w:p>
    <w:p>
      <w:pPr>
        <w:pStyle w:val="BodyText"/>
        <w:spacing w:line="240" w:lineRule="auto" w:before="31"/>
        <w:ind w:right="0"/>
        <w:jc w:val="both"/>
      </w:pPr>
      <w:r>
        <w:rPr/>
        <w:t>效的衍生工具，其公允价值变动形成的利得或损失将根据套期关系的性质按照套期会计的要求确定计入损益的期间外，其余</w:t>
      </w:r>
    </w:p>
    <w:p>
      <w:pPr>
        <w:spacing w:after="0" w:line="240" w:lineRule="auto"/>
        <w:jc w:val="both"/>
        <w:sectPr>
          <w:pgSz w:w="11910" w:h="16840"/>
          <w:pgMar w:header="877" w:footer="1250" w:top="1060" w:bottom="144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633" w:right="1115" w:hanging="481"/>
        <w:jc w:val="left"/>
      </w:pPr>
      <w:r>
        <w:rPr/>
        <w:t>衍生工具的公允价值变动计入当期损益。 </w:t>
      </w:r>
      <w:r>
        <w:rPr>
          <w:spacing w:val="-1"/>
        </w:rPr>
        <w:t>对包含嵌入衍生工具的混合工具，如未指定为以公允价值计量且其变动计入当期损益的金融资产或金融负债，嵌入衍</w:t>
      </w:r>
    </w:p>
    <w:p>
      <w:pPr>
        <w:pStyle w:val="BodyText"/>
        <w:spacing w:line="316" w:lineRule="auto" w:before="17"/>
        <w:ind w:right="1130"/>
        <w:jc w:val="both"/>
      </w:pPr>
      <w:r>
        <w:rPr>
          <w:spacing w:val="-2"/>
        </w:rPr>
        <w:t>生工具与该主合同在经济特征及风险方面不存在紧密关系，且与嵌入衍生工具条件相同，单独存在的工具符合衍生工具定义</w:t>
      </w:r>
      <w:r>
        <w:rPr>
          <w:spacing w:val="-64"/>
        </w:rPr>
        <w:t> </w:t>
      </w:r>
      <w:r>
        <w:rPr>
          <w:spacing w:val="-64"/>
        </w:rPr>
      </w:r>
      <w:r>
        <w:rPr>
          <w:spacing w:val="-2"/>
        </w:rPr>
        <w:t>的，嵌入衍生工具从混合工具中分拆，作为单独的衍生金融工具处理。如果无法在取得时或后续的资产负债表日对嵌入衍生</w:t>
      </w:r>
      <w:r>
        <w:rPr>
          <w:spacing w:val="-63"/>
        </w:rPr>
        <w:t> </w:t>
      </w:r>
      <w:r>
        <w:rPr>
          <w:spacing w:val="-63"/>
        </w:rPr>
      </w:r>
      <w:r>
        <w:rPr/>
        <w:t>工具进行单独计量，则将混合工具整体指定为以公允价值计量且其变动计入当期损益的金融资产或金融负债。</w:t>
      </w:r>
    </w:p>
    <w:p>
      <w:pPr>
        <w:pStyle w:val="BodyText"/>
        <w:spacing w:line="300" w:lineRule="auto" w:before="19"/>
        <w:ind w:left="633" w:right="1115"/>
        <w:jc w:val="left"/>
      </w:pPr>
      <w:r>
        <w:rPr/>
        <w:t>（</w:t>
      </w:r>
      <w:r>
        <w:rPr>
          <w:rFonts w:ascii="Times New Roman" w:hAnsi="Times New Roman" w:cs="Times New Roman" w:eastAsia="Times New Roman" w:hint="default"/>
        </w:rPr>
        <w:t>8</w:t>
      </w:r>
      <w:r>
        <w:rPr/>
        <w:t>）金融资产和金融负债的抵销 </w:t>
      </w:r>
      <w:r>
        <w:rPr>
          <w:spacing w:val="-1"/>
        </w:rPr>
        <w:t>当本集团具有抵销已确认金融资产和金融负债的法定权利，且目前可执行该种法定权利，同时本集团计划以净额结算</w:t>
      </w:r>
    </w:p>
    <w:p>
      <w:pPr>
        <w:pStyle w:val="BodyText"/>
        <w:spacing w:line="316" w:lineRule="auto" w:before="31"/>
        <w:ind w:right="1130"/>
        <w:jc w:val="both"/>
      </w:pPr>
      <w:r>
        <w:rPr>
          <w:spacing w:val="-2"/>
        </w:rPr>
        <w:t>或同时变现该金融资产和清偿该金融负债时，金融资产和金融负债以相互抵销后的金额在资产负债表内列示。除此以外，金</w:t>
      </w:r>
      <w:r>
        <w:rPr>
          <w:spacing w:val="-63"/>
        </w:rPr>
        <w:t> </w:t>
      </w:r>
      <w:r>
        <w:rPr>
          <w:spacing w:val="-63"/>
        </w:rPr>
      </w:r>
      <w:r>
        <w:rPr/>
        <w:t>融资产和金融负债在资产负债表内分别列示，不予相互抵销。</w:t>
      </w:r>
    </w:p>
    <w:p>
      <w:pPr>
        <w:pStyle w:val="BodyText"/>
        <w:spacing w:line="300" w:lineRule="auto" w:before="19"/>
        <w:ind w:left="633" w:right="1115"/>
        <w:jc w:val="left"/>
      </w:pPr>
      <w:r>
        <w:rPr/>
        <w:t>（</w:t>
      </w:r>
      <w:r>
        <w:rPr>
          <w:rFonts w:ascii="Times New Roman" w:hAnsi="Times New Roman" w:cs="Times New Roman" w:eastAsia="Times New Roman" w:hint="default"/>
        </w:rPr>
        <w:t>9</w:t>
      </w:r>
      <w:r>
        <w:rPr/>
        <w:t>）权益工具 </w:t>
      </w:r>
      <w:r>
        <w:rPr>
          <w:spacing w:val="-1"/>
        </w:rPr>
        <w:t>权益工具是指能证明拥有本集团在扣除所有负债后的资产中的剩余权益的合同。企业合并中合并方发行权益工具发生</w:t>
      </w:r>
    </w:p>
    <w:p>
      <w:pPr>
        <w:pStyle w:val="BodyText"/>
        <w:spacing w:line="319" w:lineRule="auto" w:before="31"/>
        <w:ind w:right="1133"/>
        <w:jc w:val="both"/>
      </w:pPr>
      <w:r>
        <w:rPr>
          <w:spacing w:val="-2"/>
        </w:rPr>
        <w:t>的交易费用抵减权益工具的溢价收入，不足抵减的，冲减留存收益。其余权益工具，在发行时收到的对价扣除交易费用后增</w:t>
      </w:r>
      <w:r>
        <w:rPr>
          <w:spacing w:val="-66"/>
        </w:rPr>
        <w:t> </w:t>
      </w:r>
      <w:r>
        <w:rPr>
          <w:spacing w:val="-66"/>
        </w:rPr>
      </w:r>
      <w:r>
        <w:rPr/>
        <w:t>加所有者权益。</w:t>
      </w:r>
    </w:p>
    <w:p>
      <w:pPr>
        <w:pStyle w:val="BodyText"/>
        <w:spacing w:line="240" w:lineRule="auto" w:before="17"/>
        <w:ind w:left="633" w:right="0"/>
        <w:jc w:val="left"/>
      </w:pPr>
      <w:r>
        <w:rPr/>
        <w:t>本集团对权益工具持有方的各种分配（不包括股票股利），减少所有者权益。本集团不确认权益工具的公允价值变动</w:t>
      </w:r>
    </w:p>
    <w:p>
      <w:pPr>
        <w:pStyle w:val="BodyText"/>
        <w:spacing w:line="240" w:lineRule="auto" w:before="76"/>
        <w:ind w:right="1115"/>
        <w:jc w:val="left"/>
      </w:pPr>
      <w:r>
        <w:rPr/>
        <w:t>额。</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）将尚未到期的持有至到期投资重分类为可供出售金融资产的，说明持有意图或能力发生改变的依据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、应收款项坏账准备的确认标准和计提方法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633" w:right="1115"/>
        <w:jc w:val="left"/>
      </w:pPr>
      <w:r>
        <w:rPr/>
        <w:t>应收款项包括应收账款、其他应收款等。</w:t>
      </w:r>
    </w:p>
    <w:p>
      <w:pPr>
        <w:pStyle w:val="BodyText"/>
        <w:spacing w:line="300" w:lineRule="auto" w:before="76"/>
        <w:ind w:left="633" w:right="0"/>
        <w:jc w:val="left"/>
      </w:pPr>
      <w:r>
        <w:rPr/>
        <w:t>（</w:t>
      </w:r>
      <w:r>
        <w:rPr>
          <w:rFonts w:ascii="Times New Roman" w:hAnsi="Times New Roman" w:cs="Times New Roman" w:eastAsia="Times New Roman" w:hint="default"/>
        </w:rPr>
        <w:t>1</w:t>
      </w:r>
      <w:r>
        <w:rPr/>
        <w:t>）坏账准备的确认标准 </w:t>
      </w:r>
      <w:r>
        <w:rPr>
          <w:spacing w:val="-3"/>
        </w:rPr>
        <w:t>本集团在资产负债表日对应收款项账面价值进行检查，对存在下列客观证据表明应收款项发生减值的，计提减值准备：</w:t>
      </w:r>
    </w:p>
    <w:p>
      <w:pPr>
        <w:pStyle w:val="BodyText"/>
        <w:spacing w:line="316" w:lineRule="auto" w:before="31"/>
        <w:ind w:right="1117"/>
        <w:jc w:val="left"/>
      </w:pPr>
      <w:r>
        <w:rPr/>
        <w:t>①债务人发生严重的财务困难；②债务人违反合同条款（如偿付利息或本金发生违约或逾期等）；</w:t>
      </w:r>
      <w:r>
        <w:rPr>
          <w:spacing w:val="7"/>
        </w:rPr>
        <w:t> </w:t>
      </w:r>
      <w:r>
        <w:rPr/>
        <w:t>③债务人很可能倒闭或</w:t>
      </w:r>
      <w:r>
        <w:rPr>
          <w:spacing w:val="-88"/>
        </w:rPr>
        <w:t> </w:t>
      </w:r>
      <w:r>
        <w:rPr>
          <w:spacing w:val="-88"/>
        </w:rPr>
      </w:r>
      <w:r>
        <w:rPr/>
        <w:t>进行其他财务重组；</w:t>
      </w:r>
      <w:r>
        <w:rPr>
          <w:spacing w:val="-18"/>
        </w:rPr>
        <w:t> </w:t>
      </w:r>
      <w:r>
        <w:rPr/>
        <w:t>④其他表明应收款项发生减值的客观依据。</w:t>
      </w:r>
    </w:p>
    <w:p>
      <w:pPr>
        <w:pStyle w:val="BodyText"/>
        <w:spacing w:line="240" w:lineRule="auto" w:before="19"/>
        <w:ind w:left="633" w:right="1115"/>
        <w:jc w:val="left"/>
      </w:pPr>
      <w:r>
        <w:rPr/>
        <w:t>（</w:t>
      </w:r>
      <w:r>
        <w:rPr>
          <w:rFonts w:ascii="Times New Roman" w:hAnsi="Times New Roman" w:cs="Times New Roman" w:eastAsia="Times New Roman" w:hint="default"/>
        </w:rPr>
        <w:t>2</w:t>
      </w:r>
      <w:r>
        <w:rPr/>
        <w:t>）坏账准备的计提方法</w:t>
      </w:r>
    </w:p>
    <w:p>
      <w:pPr>
        <w:pStyle w:val="BodyText"/>
        <w:spacing w:line="309" w:lineRule="auto" w:before="63"/>
        <w:ind w:left="633" w:right="1115"/>
        <w:jc w:val="left"/>
      </w:pPr>
      <w:r>
        <w:rPr/>
        <w:t>①</w:t>
      </w:r>
      <w:r>
        <w:rPr>
          <w:spacing w:val="-18"/>
        </w:rPr>
        <w:t> </w:t>
      </w:r>
      <w:r>
        <w:rPr/>
        <w:t>单项金额重大并单项计提坏账准备的应收款项坏账准备的确认标准、计提方法</w:t>
      </w:r>
      <w:r>
        <w:rPr/>
        <w:t> 本集团将金额为人民币</w:t>
      </w:r>
      <w:r>
        <w:rPr>
          <w:rFonts w:ascii="Times New Roman" w:hAnsi="Times New Roman" w:cs="Times New Roman" w:eastAsia="Times New Roman" w:hint="default"/>
        </w:rPr>
        <w:t>50</w:t>
      </w:r>
      <w:r>
        <w:rPr/>
        <w:t>万元以上的应收款项确认为单项金额重大的应收款项。 </w:t>
      </w:r>
      <w:r>
        <w:rPr>
          <w:spacing w:val="-1"/>
        </w:rPr>
        <w:t>本集团对单项金额重大的应收款项单独进行减值测试，单独测试未发生减值的金融资产，包括在具有类似信用风险特</w:t>
      </w:r>
    </w:p>
    <w:p>
      <w:pPr>
        <w:pStyle w:val="BodyText"/>
        <w:spacing w:line="316" w:lineRule="auto" w:before="24"/>
        <w:ind w:right="1115"/>
        <w:jc w:val="left"/>
      </w:pPr>
      <w:r>
        <w:rPr>
          <w:spacing w:val="-2"/>
        </w:rPr>
        <w:t>征的金融资产组合中进行减值测试。单项测试已确认减值损失的应收款项，不再包括在具有类似信用风险特征的应收款项组</w:t>
      </w:r>
      <w:r>
        <w:rPr>
          <w:spacing w:val="-64"/>
        </w:rPr>
        <w:t> </w:t>
      </w:r>
      <w:r>
        <w:rPr>
          <w:spacing w:val="-64"/>
        </w:rPr>
      </w:r>
      <w:r>
        <w:rPr/>
        <w:t>合中进行减值测试。</w:t>
      </w:r>
    </w:p>
    <w:p>
      <w:pPr>
        <w:pStyle w:val="BodyText"/>
        <w:spacing w:line="240" w:lineRule="auto" w:before="19"/>
        <w:ind w:left="633" w:right="1115"/>
        <w:jc w:val="left"/>
      </w:pPr>
      <w:r>
        <w:rPr/>
        <w:t>②</w:t>
      </w:r>
      <w:r>
        <w:rPr>
          <w:spacing w:val="-18"/>
        </w:rPr>
        <w:t> </w:t>
      </w:r>
      <w:r>
        <w:rPr/>
        <w:t>按信用风险组合计提坏账准备的应收款项的确定依据、坏账准备计提方法</w:t>
      </w:r>
    </w:p>
    <w:p>
      <w:pPr>
        <w:pStyle w:val="BodyText"/>
        <w:spacing w:line="300" w:lineRule="auto" w:before="76"/>
        <w:ind w:left="633" w:right="1115"/>
        <w:jc w:val="left"/>
      </w:pPr>
      <w:r>
        <w:rPr>
          <w:rFonts w:ascii="Times New Roman" w:hAnsi="Times New Roman" w:cs="Times New Roman" w:eastAsia="Times New Roman" w:hint="default"/>
        </w:rPr>
        <w:t>A</w:t>
      </w:r>
      <w:r>
        <w:rPr/>
        <w:t>．信用风险特征组合的确定依据 </w:t>
      </w:r>
      <w:r>
        <w:rPr>
          <w:spacing w:val="-1"/>
        </w:rPr>
        <w:t>本集团对单项金额不重大以及金额重大但单项测试未发生减值的应收款项，按信用风险特征的相似性和相关性对金融</w:t>
      </w:r>
    </w:p>
    <w:p>
      <w:pPr>
        <w:pStyle w:val="BodyText"/>
        <w:spacing w:line="240" w:lineRule="auto" w:before="31"/>
        <w:ind w:right="0"/>
        <w:jc w:val="left"/>
      </w:pPr>
      <w:r>
        <w:rPr/>
        <w:t>资产进行分组。这些信用风险通常反映债务人按照该等资产的合同条款偿还所有到期金额的能力，并且与被检查资产的未来</w:t>
      </w:r>
    </w:p>
    <w:p>
      <w:pPr>
        <w:spacing w:after="0" w:line="240" w:lineRule="auto"/>
        <w:jc w:val="left"/>
        <w:sectPr>
          <w:pgSz w:w="11910" w:h="16840"/>
          <w:pgMar w:header="877" w:footer="1250" w:top="1060" w:bottom="144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633" w:right="8473" w:hanging="481"/>
        <w:jc w:val="left"/>
      </w:pPr>
      <w:r>
        <w:rPr/>
        <w:t>现金流量测算相关。 不同组合的确定依据：</w:t>
      </w:r>
    </w:p>
    <w:tbl>
      <w:tblPr>
        <w:tblW w:w="0" w:type="auto"/>
        <w:jc w:val="left"/>
        <w:tblInd w:w="148" w:type="dxa"/>
        <w:tblLayout w:type="fixed"/>
        <w:tblCellMar>
          <w:top w:w="0" w:type="dxa"/>
          <w:left w:w="0" w:type="dxa"/>
          <w:bottom w:w="0" w:type="dxa"/>
          <w:right w:w="0" w:type="dxa"/>
        </w:tblCellMar>
        <w:tblLook w:val="01E0"/>
      </w:tblPr>
      <w:tblGrid>
        <w:gridCol w:w="3347"/>
        <w:gridCol w:w="5727"/>
      </w:tblGrid>
      <w:tr>
        <w:trPr>
          <w:trHeight w:val="341"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3"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无风险的组合</w:t>
            </w:r>
          </w:p>
        </w:tc>
        <w:tc>
          <w:tcPr>
            <w:tcW w:w="5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left"/>
              <w:rPr>
                <w:rFonts w:ascii="宋体" w:hAnsi="宋体" w:cs="宋体" w:eastAsia="宋体" w:hint="default"/>
                <w:sz w:val="18"/>
                <w:szCs w:val="18"/>
              </w:rPr>
            </w:pPr>
            <w:r>
              <w:rPr>
                <w:rFonts w:ascii="宋体" w:hAnsi="宋体" w:cs="宋体" w:eastAsia="宋体" w:hint="default"/>
                <w:sz w:val="18"/>
                <w:szCs w:val="18"/>
              </w:rPr>
              <w:t>按交易对象信誉、款项性质、交易保障措施等进行归类组合</w:t>
            </w:r>
          </w:p>
        </w:tc>
      </w:tr>
      <w:tr>
        <w:trPr>
          <w:trHeight w:val="713"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合并范围内公司往来款项的组合</w:t>
            </w:r>
          </w:p>
        </w:tc>
        <w:tc>
          <w:tcPr>
            <w:tcW w:w="5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7"/>
              <w:ind w:left="4" w:right="3"/>
              <w:jc w:val="left"/>
              <w:rPr>
                <w:rFonts w:ascii="宋体" w:hAnsi="宋体" w:cs="宋体" w:eastAsia="宋体" w:hint="default"/>
                <w:sz w:val="18"/>
                <w:szCs w:val="18"/>
              </w:rPr>
            </w:pPr>
            <w:r>
              <w:rPr>
                <w:rFonts w:ascii="宋体" w:hAnsi="宋体" w:cs="宋体" w:eastAsia="宋体" w:hint="default"/>
                <w:spacing w:val="-2"/>
                <w:sz w:val="18"/>
                <w:szCs w:val="18"/>
              </w:rPr>
              <w:t>合并范围内的各会计主体之间的应收款项，除非有证据表明不能收回，一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般不计提坏账准备</w:t>
            </w:r>
          </w:p>
        </w:tc>
      </w:tr>
      <w:tr>
        <w:trPr>
          <w:trHeight w:val="403"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职工周转用备用金的组合</w:t>
            </w:r>
          </w:p>
        </w:tc>
        <w:tc>
          <w:tcPr>
            <w:tcW w:w="5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4" w:right="0"/>
              <w:jc w:val="left"/>
              <w:rPr>
                <w:rFonts w:ascii="宋体" w:hAnsi="宋体" w:cs="宋体" w:eastAsia="宋体" w:hint="default"/>
                <w:sz w:val="18"/>
                <w:szCs w:val="18"/>
              </w:rPr>
            </w:pPr>
            <w:r>
              <w:rPr>
                <w:rFonts w:ascii="宋体" w:hAnsi="宋体" w:cs="宋体" w:eastAsia="宋体" w:hint="default"/>
                <w:sz w:val="18"/>
                <w:szCs w:val="18"/>
              </w:rPr>
              <w:t>职工周转用备用金除非有证据表明不能收回，一般不计提坏账准备</w:t>
            </w:r>
          </w:p>
        </w:tc>
      </w:tr>
    </w:tbl>
    <w:p>
      <w:pPr>
        <w:pStyle w:val="BodyText"/>
        <w:spacing w:line="240" w:lineRule="auto" w:before="17"/>
        <w:ind w:left="633" w:right="1115"/>
        <w:jc w:val="left"/>
      </w:pPr>
      <w:r>
        <w:rPr/>
        <w:t>注：</w:t>
      </w:r>
      <w:r>
        <w:rPr>
          <w:rFonts w:ascii="Times New Roman" w:hAnsi="Times New Roman" w:cs="Times New Roman" w:eastAsia="Times New Roman" w:hint="default"/>
        </w:rPr>
        <w:t>“</w:t>
      </w:r>
      <w:r>
        <w:rPr/>
        <w:t>合并范围内公司</w:t>
      </w:r>
      <w:r>
        <w:rPr>
          <w:rFonts w:ascii="Times New Roman" w:hAnsi="Times New Roman" w:cs="Times New Roman" w:eastAsia="Times New Roman" w:hint="default"/>
        </w:rPr>
        <w:t>”</w:t>
      </w:r>
      <w:r>
        <w:rPr/>
        <w:t>指本公司的母公司及其所属其他子公司。</w:t>
      </w:r>
    </w:p>
    <w:p>
      <w:pPr>
        <w:pStyle w:val="BodyText"/>
        <w:spacing w:line="300" w:lineRule="auto" w:before="63"/>
        <w:ind w:left="633" w:right="1115"/>
        <w:jc w:val="left"/>
      </w:pPr>
      <w:r>
        <w:rPr>
          <w:rFonts w:ascii="Times New Roman" w:hAnsi="Times New Roman" w:cs="Times New Roman" w:eastAsia="Times New Roman" w:hint="default"/>
        </w:rPr>
        <w:t>B</w:t>
      </w:r>
      <w:r>
        <w:rPr/>
        <w:t>．根据信用风险特征组合确定的坏账准备计提方法 </w:t>
      </w:r>
      <w:r>
        <w:rPr>
          <w:spacing w:val="-1"/>
        </w:rPr>
        <w:t>按组合方式实施减值测试时，坏账准备金额系根据应收款项组合结构及类似信用风险特征（债务人根据合同条款偿还</w:t>
      </w:r>
    </w:p>
    <w:p>
      <w:pPr>
        <w:pStyle w:val="BodyText"/>
        <w:spacing w:line="319" w:lineRule="auto" w:before="31"/>
        <w:ind w:left="633" w:right="3194" w:hanging="481"/>
        <w:jc w:val="left"/>
      </w:pPr>
      <w:r>
        <w:rPr/>
        <w:t>欠款的能力）按历史损失经验及目前经济状况与预计应收款项组合中已经存在的损失评估确定。 不同组合计提坏账准备的计提方法：</w:t>
      </w:r>
    </w:p>
    <w:tbl>
      <w:tblPr>
        <w:tblW w:w="0" w:type="auto"/>
        <w:jc w:val="left"/>
        <w:tblInd w:w="148" w:type="dxa"/>
        <w:tblLayout w:type="fixed"/>
        <w:tblCellMar>
          <w:top w:w="0" w:type="dxa"/>
          <w:left w:w="0" w:type="dxa"/>
          <w:bottom w:w="0" w:type="dxa"/>
          <w:right w:w="0" w:type="dxa"/>
        </w:tblCellMar>
        <w:tblLook w:val="01E0"/>
      </w:tblPr>
      <w:tblGrid>
        <w:gridCol w:w="3625"/>
        <w:gridCol w:w="5449"/>
      </w:tblGrid>
      <w:tr>
        <w:trPr>
          <w:trHeight w:val="343" w:hRule="exact"/>
        </w:trPr>
        <w:tc>
          <w:tcPr>
            <w:tcW w:w="3625" w:type="dxa"/>
            <w:tcBorders>
              <w:top w:val="single" w:sz="4" w:space="0" w:color="000000"/>
              <w:left w:val="single" w:sz="4" w:space="0" w:color="000000"/>
              <w:bottom w:val="single" w:sz="4" w:space="0" w:color="000000"/>
              <w:right w:val="single" w:sz="4" w:space="0" w:color="000000"/>
            </w:tcBorders>
          </w:tcPr>
          <w:p>
            <w:pPr>
              <w:pStyle w:val="TableParagraph"/>
              <w:tabs>
                <w:tab w:pos="467"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5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341" w:hRule="exact"/>
        </w:trPr>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无风险的组合</w:t>
            </w:r>
          </w:p>
        </w:tc>
        <w:tc>
          <w:tcPr>
            <w:tcW w:w="5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个别认定法</w:t>
            </w:r>
          </w:p>
        </w:tc>
      </w:tr>
      <w:tr>
        <w:trPr>
          <w:trHeight w:val="343" w:hRule="exact"/>
        </w:trPr>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合并范围内公司往来款项的组合</w:t>
            </w:r>
          </w:p>
        </w:tc>
        <w:tc>
          <w:tcPr>
            <w:tcW w:w="5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一般不计提</w:t>
            </w:r>
          </w:p>
        </w:tc>
      </w:tr>
      <w:tr>
        <w:trPr>
          <w:trHeight w:val="341" w:hRule="exact"/>
        </w:trPr>
        <w:tc>
          <w:tcPr>
            <w:tcW w:w="3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职工周转用备用金的组合</w:t>
            </w:r>
          </w:p>
        </w:tc>
        <w:tc>
          <w:tcPr>
            <w:tcW w:w="5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一般不计提</w:t>
            </w:r>
          </w:p>
        </w:tc>
      </w:tr>
    </w:tbl>
    <w:p>
      <w:pPr>
        <w:pStyle w:val="BodyText"/>
        <w:spacing w:line="316" w:lineRule="auto" w:before="17"/>
        <w:ind w:left="633" w:right="1115"/>
        <w:jc w:val="left"/>
      </w:pPr>
      <w:r>
        <w:rPr/>
        <w:t>③</w:t>
      </w:r>
      <w:r>
        <w:rPr>
          <w:spacing w:val="-18"/>
        </w:rPr>
        <w:t> </w:t>
      </w:r>
      <w:r>
        <w:rPr/>
        <w:t>单项金额虽不重大但单项计提坏账准备的应收款项</w:t>
      </w:r>
      <w:r>
        <w:rPr/>
        <w:t> </w:t>
      </w:r>
      <w:r>
        <w:rPr>
          <w:spacing w:val="-1"/>
        </w:rPr>
        <w:t>本集团对于单项金额虽不重大但具备以下特征的应收款项，单独进行减值测试，有客观证据表明其发生了减值的，根</w:t>
      </w:r>
    </w:p>
    <w:p>
      <w:pPr>
        <w:pStyle w:val="BodyText"/>
        <w:spacing w:line="316" w:lineRule="auto" w:before="19"/>
        <w:ind w:right="1115"/>
        <w:jc w:val="left"/>
      </w:pPr>
      <w:r>
        <w:rPr>
          <w:spacing w:val="-2"/>
        </w:rPr>
        <w:t>据其未来现金流量现值低于其账面价值的差额，确认减值损失，计提坏账准备：应收关联方款项；与对方存在争议或涉及诉</w:t>
      </w:r>
      <w:r>
        <w:rPr>
          <w:spacing w:val="-64"/>
        </w:rPr>
        <w:t> </w:t>
      </w:r>
      <w:r>
        <w:rPr>
          <w:spacing w:val="-64"/>
        </w:rPr>
      </w:r>
      <w:r>
        <w:rPr/>
        <w:t>讼、仲裁的应收款项；已有明显迹象表明债务人很可能无法履行还款义务的应收款项。</w:t>
      </w:r>
    </w:p>
    <w:p>
      <w:pPr>
        <w:pStyle w:val="BodyText"/>
        <w:spacing w:line="300" w:lineRule="auto" w:before="19"/>
        <w:ind w:left="633" w:right="0"/>
        <w:jc w:val="left"/>
      </w:pPr>
      <w:r>
        <w:rPr/>
        <w:t>（</w:t>
      </w:r>
      <w:r>
        <w:rPr>
          <w:rFonts w:ascii="Times New Roman" w:hAnsi="Times New Roman" w:cs="Times New Roman" w:eastAsia="Times New Roman" w:hint="default"/>
        </w:rPr>
        <w:t>3</w:t>
      </w:r>
      <w:r>
        <w:rPr/>
        <w:t>）坏账准备的转回 如有客观证据表明该应收款项价值已恢复，且客观上与确认该损失后发生的事项有关，原确认的减值损失予以转回，</w:t>
      </w:r>
    </w:p>
    <w:p>
      <w:pPr>
        <w:pStyle w:val="BodyText"/>
        <w:spacing w:line="316" w:lineRule="auto" w:before="32"/>
        <w:ind w:right="1115"/>
        <w:jc w:val="left"/>
      </w:pPr>
      <w:r>
        <w:rPr/>
        <w:t>计入当期损益。但是，该转回后的账面价值不超过假定不计提减值准备情况下该应收款项在转回日的摊余成本。 </w:t>
      </w:r>
      <w:r>
        <w:rPr>
          <w:spacing w:val="-2"/>
        </w:rPr>
        <w:t>本集团向金融机构以不附追索权方式转让应收款项的，按交易款项扣除已转销应收账款的账面价值和相关税费后的差额计入</w:t>
      </w:r>
      <w:r>
        <w:rPr>
          <w:spacing w:val="-64"/>
        </w:rPr>
        <w:t> </w:t>
      </w:r>
      <w:r>
        <w:rPr>
          <w:spacing w:val="-64"/>
        </w:rPr>
      </w:r>
      <w:r>
        <w:rPr/>
        <w:t>当期损益。</w:t>
      </w:r>
    </w:p>
    <w:p>
      <w:pPr>
        <w:spacing w:line="240" w:lineRule="auto" w:before="10"/>
        <w:rPr>
          <w:rFonts w:ascii="宋体" w:hAnsi="宋体" w:cs="宋体" w:eastAsia="宋体" w:hint="default"/>
          <w:sz w:val="22"/>
          <w:szCs w:val="22"/>
        </w:rPr>
      </w:pPr>
    </w:p>
    <w:p>
      <w:pPr>
        <w:pStyle w:val="Heading4"/>
        <w:spacing w:line="240" w:lineRule="auto"/>
        <w:ind w:right="1115"/>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bl>
    <w:p>
      <w:pPr>
        <w:pStyle w:val="BodyText"/>
        <w:spacing w:line="240" w:lineRule="auto" w:before="49"/>
        <w:ind w:right="1115"/>
        <w:jc w:val="left"/>
      </w:pPr>
      <w:r>
        <w:rPr/>
        <w:t>组合中，采用账龄分析法计提坏账准备的</w:t>
      </w:r>
    </w:p>
    <w:p>
      <w:pPr>
        <w:pStyle w:val="BodyText"/>
        <w:spacing w:line="340" w:lineRule="auto" w:before="115"/>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w:t>
      </w:r>
    </w:p>
    <w:p>
      <w:pPr>
        <w:pStyle w:val="BodyText"/>
        <w:spacing w:line="338" w:lineRule="auto" w:before="41"/>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250" w:top="1060" w:bottom="14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存货主要包括原材料、委托加工物资、在产品、周转材料、库存商品等。</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633" w:right="1273" w:hanging="481"/>
        <w:jc w:val="left"/>
      </w:pPr>
      <w:r>
        <w:rPr/>
        <w:t>计价方法：加权平均法 存货在取得时按实际成本计价，存货成本包括采购成本、加工成本和其他成本。领用和发出时按加权平均法计价。</w:t>
      </w:r>
    </w:p>
    <w:p>
      <w:pPr>
        <w:spacing w:line="240" w:lineRule="auto" w:before="5"/>
        <w:rPr>
          <w:rFonts w:ascii="宋体" w:hAnsi="宋体" w:cs="宋体" w:eastAsia="宋体" w:hint="default"/>
          <w:sz w:val="20"/>
          <w:szCs w:val="20"/>
        </w:rPr>
      </w:pPr>
    </w:p>
    <w:p>
      <w:pPr>
        <w:pStyle w:val="Heading4"/>
        <w:spacing w:line="240" w:lineRule="auto"/>
        <w:ind w:right="1115"/>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480"/>
        <w:jc w:val="right"/>
      </w:pPr>
      <w:r>
        <w:rPr>
          <w:spacing w:val="-1"/>
        </w:rPr>
        <w:t>可变现净值是指在日常活动中，存货的估计售价减去至完工时估计将要发生的成本、估计的销售费用以及相关税费后</w:t>
      </w:r>
      <w:r>
        <w:rPr/>
        <w:t> </w:t>
      </w:r>
      <w:r>
        <w:rPr>
          <w:spacing w:val="-5"/>
        </w:rPr>
        <w:t>的金额。在确定存货的可变现净值时，以取得的确凿证据为基础，同时考虑持有存货的目的以及资产负债表日后事项的影响。</w:t>
      </w:r>
      <w:r>
        <w:rPr>
          <w:spacing w:val="-85"/>
        </w:rPr>
        <w:t> </w:t>
      </w:r>
      <w:r>
        <w:rPr>
          <w:spacing w:val="-85"/>
        </w:rPr>
      </w:r>
      <w:r>
        <w:rPr>
          <w:spacing w:val="-1"/>
        </w:rPr>
        <w:t>在资产负债表日，存货按照成本与可变现净值孰低计量。当其可变现净值低于成本时，提取存货跌价准备。存货跌价</w:t>
      </w:r>
      <w:r>
        <w:rPr/>
        <w:t> </w:t>
      </w:r>
      <w:r>
        <w:rPr>
          <w:spacing w:val="-2"/>
        </w:rPr>
        <w:t>准备通常按单个存货项目的成本高于其可变现净值的差额提取。对于数量繁多、单价较低的存货，按存货类别计提存货跌价</w:t>
      </w:r>
      <w:r>
        <w:rPr>
          <w:spacing w:val="-78"/>
        </w:rPr>
        <w:t> </w:t>
      </w:r>
      <w:r>
        <w:rPr>
          <w:spacing w:val="-78"/>
        </w:rPr>
      </w:r>
      <w:r>
        <w:rPr>
          <w:spacing w:val="-2"/>
        </w:rPr>
        <w:t>准备；对在同一地区生产和销售的产品系列相关、具有相同或类似最终用途或目的，且难以与其他项目分开计量的存货，可</w:t>
      </w:r>
    </w:p>
    <w:p>
      <w:pPr>
        <w:pStyle w:val="BodyText"/>
        <w:spacing w:line="316" w:lineRule="auto" w:before="19"/>
        <w:ind w:left="633" w:right="1115" w:hanging="481"/>
        <w:jc w:val="left"/>
      </w:pPr>
      <w:r>
        <w:rPr/>
        <w:t>合并计提存货跌价准备。 </w:t>
      </w:r>
      <w:r>
        <w:rPr>
          <w:spacing w:val="-1"/>
        </w:rPr>
        <w:t>计提存货跌价准备后，如果以前减记存货价值的影响因素已经消失，导致存货的可变现净值高于其账面价值的，在原</w:t>
      </w:r>
    </w:p>
    <w:p>
      <w:pPr>
        <w:pStyle w:val="BodyText"/>
        <w:spacing w:line="240" w:lineRule="auto" w:before="19"/>
        <w:ind w:right="1115"/>
        <w:jc w:val="left"/>
      </w:pPr>
      <w:r>
        <w:rPr/>
        <w:t>已计提的存货跌价准备金额内予以转回，转回的金额计入当期损益。</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盘存制度：永续盘存制</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2"/>
        <w:rPr>
          <w:rFonts w:ascii="宋体" w:hAnsi="宋体" w:cs="宋体" w:eastAsia="宋体" w:hint="default"/>
          <w:b/>
          <w:bCs/>
          <w:sz w:val="26"/>
          <w:szCs w:val="26"/>
        </w:rPr>
      </w:pPr>
    </w:p>
    <w:p>
      <w:pPr>
        <w:pStyle w:val="BodyText"/>
        <w:spacing w:line="357" w:lineRule="auto"/>
        <w:ind w:right="8954"/>
        <w:jc w:val="left"/>
      </w:pPr>
      <w:r>
        <w:rPr/>
        <w:t>低值易耗品 摊销方法：分次摊销法 包装物 摊销方法：分次摊销法</w:t>
      </w:r>
    </w:p>
    <w:p>
      <w:pPr>
        <w:spacing w:line="240" w:lineRule="auto" w:before="6"/>
        <w:rPr>
          <w:rFonts w:ascii="宋体" w:hAnsi="宋体" w:cs="宋体" w:eastAsia="宋体" w:hint="default"/>
          <w:sz w:val="20"/>
          <w:szCs w:val="20"/>
        </w:rPr>
      </w:pPr>
    </w:p>
    <w:p>
      <w:pPr>
        <w:pStyle w:val="Heading4"/>
        <w:spacing w:line="240" w:lineRule="auto"/>
        <w:ind w:right="1115"/>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both"/>
      </w:pPr>
      <w:r>
        <w:rPr>
          <w:spacing w:val="-2"/>
        </w:rPr>
        <w:t>对于企业合并形成的长期股权投资，如为同一控制下的企业合并取得的长期股权投资，在合并日按照取得被合并方所有</w:t>
      </w:r>
      <w:r>
        <w:rPr/>
        <w:t> </w:t>
      </w:r>
      <w:r>
        <w:rPr>
          <w:spacing w:val="-2"/>
        </w:rPr>
        <w:t>者权益账面价值的份额作为初始投资成本。通过非同一控制下的企业合并取得的长期股权投资，企业合并成本包括购买方付</w:t>
      </w:r>
      <w:r>
        <w:rPr>
          <w:spacing w:val="-64"/>
        </w:rPr>
        <w:t> </w:t>
      </w:r>
      <w:r>
        <w:rPr>
          <w:spacing w:val="-64"/>
        </w:rPr>
      </w:r>
      <w:r>
        <w:rPr>
          <w:spacing w:val="-2"/>
        </w:rPr>
        <w:t>出的资产、发生或承担的负债、发行的权益性证券的公允价值之和；购买方为企业合并发生的审计、法律服务、评估咨询等</w:t>
      </w:r>
      <w:r>
        <w:rPr>
          <w:spacing w:val="-67"/>
        </w:rPr>
        <w:t> </w:t>
      </w:r>
      <w:r>
        <w:rPr>
          <w:spacing w:val="-67"/>
        </w:rPr>
      </w:r>
      <w:r>
        <w:rPr>
          <w:spacing w:val="-2"/>
        </w:rPr>
        <w:t>中介费用以及其他相关管理费用，应当于发生时计入当期损益；购买方作为合并对价发行的权益性证券或债务性证券的交易</w:t>
      </w:r>
      <w:r>
        <w:rPr>
          <w:spacing w:val="-64"/>
        </w:rPr>
        <w:t> </w:t>
      </w:r>
      <w:r>
        <w:rPr>
          <w:spacing w:val="-64"/>
        </w:rPr>
      </w:r>
      <w:r>
        <w:rPr>
          <w:spacing w:val="-2"/>
        </w:rPr>
        <w:t>费用，应当计入权益性证券或债务性证券的初始确认金额。除企业合并形成的长期股权投资外的其他股权投资，按成本进行</w:t>
      </w:r>
    </w:p>
    <w:p>
      <w:pPr>
        <w:spacing w:after="0" w:line="316" w:lineRule="auto"/>
        <w:jc w:val="both"/>
        <w:sectPr>
          <w:pgSz w:w="11910" w:h="16840"/>
          <w:pgMar w:header="877" w:footer="1250" w:top="1060" w:bottom="14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spacing w:val="-2"/>
        </w:rPr>
        <w:t>初始计量，该成本视长期股权投资取得方式的不同，分别按照本集团实际支付的现金购买价款、本集团发行的权益性证券的</w:t>
      </w:r>
      <w:r>
        <w:rPr>
          <w:spacing w:val="-63"/>
        </w:rPr>
        <w:t> </w:t>
      </w:r>
      <w:r>
        <w:rPr>
          <w:spacing w:val="-63"/>
        </w:rPr>
      </w:r>
      <w:r>
        <w:rPr>
          <w:spacing w:val="-2"/>
        </w:rPr>
        <w:t>公允价值、投资合同或协议约定的价值、非货币性资产交换交易中换出资产的公允价值或原账面价值、该项长期股权投资自</w:t>
      </w:r>
      <w:r>
        <w:rPr>
          <w:spacing w:val="-63"/>
        </w:rPr>
        <w:t> </w:t>
      </w:r>
      <w:r>
        <w:rPr>
          <w:spacing w:val="-63"/>
        </w:rPr>
      </w:r>
      <w:r>
        <w:rPr/>
        <w:t>身的公允价值等方式确定。与取得长期股权投资直接相关的费用、税金及其他必要支出也计入投资成本。</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both"/>
      </w:pPr>
      <w:r>
        <w:rPr>
          <w:spacing w:val="-2"/>
        </w:rPr>
        <w:t>对被投资单位不具有共同控制或重大影响并且在活跃市场中没有报价、公允价值不能可靠计量的长期股权投资，采用成</w:t>
      </w:r>
      <w:r>
        <w:rPr/>
        <w:t> </w:t>
      </w:r>
      <w:r>
        <w:rPr>
          <w:spacing w:val="-2"/>
        </w:rPr>
        <w:t>本法核算；对被投资单位具有共同控制或重大影响的长期股权投资，采用权益法核算；对被投资单位不具有控制、共同控制</w:t>
      </w:r>
      <w:r>
        <w:rPr>
          <w:spacing w:val="-63"/>
        </w:rPr>
        <w:t> </w:t>
      </w:r>
      <w:r>
        <w:rPr>
          <w:spacing w:val="-63"/>
        </w:rPr>
      </w:r>
      <w:r>
        <w:rPr>
          <w:spacing w:val="-2"/>
        </w:rPr>
        <w:t>或重大影响并且公允价值能够可靠计量的长期股权投资，作为可供出售金融资产或以公允价值计量且其变动计入当期损益的</w:t>
      </w:r>
      <w:r>
        <w:rPr>
          <w:spacing w:val="-64"/>
        </w:rPr>
        <w:t> </w:t>
      </w:r>
      <w:r>
        <w:rPr>
          <w:spacing w:val="-64"/>
        </w:rPr>
      </w:r>
      <w:r>
        <w:rPr/>
        <w:t>金融资产核算。此外，公司财务报表采用成本法核算能够对被投资单位实施控制的长期股权投资。①</w:t>
      </w:r>
      <w:r>
        <w:rPr>
          <w:spacing w:val="1"/>
        </w:rPr>
        <w:t> </w:t>
      </w:r>
      <w:r>
        <w:rPr/>
        <w:t>成本法核算的长期股</w:t>
      </w:r>
      <w:r>
        <w:rPr/>
        <w:t> </w:t>
      </w:r>
      <w:r>
        <w:rPr>
          <w:spacing w:val="-2"/>
        </w:rPr>
        <w:t>权投资采用成本法核算时，长期股权投资按初始投资成本计价，除取得投资时实际支付的价款或者对价中包含的已宣告但尚</w:t>
      </w:r>
      <w:r>
        <w:rPr>
          <w:spacing w:val="-64"/>
        </w:rPr>
        <w:t> </w:t>
      </w:r>
      <w:r>
        <w:rPr>
          <w:spacing w:val="-64"/>
        </w:rPr>
      </w:r>
      <w:r>
        <w:rPr/>
        <w:t>未发放的现金股利或者利润外，当期投资收益按照享有被投资单位宣告发放的现金股利或利润确认。②</w:t>
      </w:r>
      <w:r>
        <w:rPr>
          <w:spacing w:val="2"/>
        </w:rPr>
        <w:t> </w:t>
      </w:r>
      <w:r>
        <w:rPr/>
        <w:t>权益法核算的长期</w:t>
      </w:r>
      <w:r>
        <w:rPr/>
        <w:t> </w:t>
      </w:r>
      <w:r>
        <w:rPr>
          <w:spacing w:val="-2"/>
        </w:rPr>
        <w:t>股权投资采用权益法核算时，长期股权投资的初始投资成本大于投资时应享有被投资单位可辨认净资产公允价值份额的，不</w:t>
      </w:r>
      <w:r>
        <w:rPr>
          <w:spacing w:val="-64"/>
        </w:rPr>
        <w:t> </w:t>
      </w:r>
      <w:r>
        <w:rPr>
          <w:spacing w:val="-64"/>
        </w:rPr>
      </w:r>
      <w:r>
        <w:rPr>
          <w:spacing w:val="-2"/>
        </w:rPr>
        <w:t>调整长期股权投资的初始投资成本；初始投资成本小于投资时应享有被投资单位可辨认净资产公允价值份额的，其差额计入</w:t>
      </w:r>
      <w:r>
        <w:rPr>
          <w:spacing w:val="-64"/>
        </w:rPr>
        <w:t> </w:t>
      </w:r>
      <w:r>
        <w:rPr>
          <w:spacing w:val="-64"/>
        </w:rPr>
      </w:r>
      <w:r>
        <w:rPr>
          <w:spacing w:val="-2"/>
        </w:rPr>
        <w:t>当期损益，同时调整长期股权投资的成本。采用权益法核算时，当期投资损益为应享有或应分担的被投资单位当年实现的净</w:t>
      </w:r>
      <w:r>
        <w:rPr>
          <w:spacing w:val="-63"/>
        </w:rPr>
        <w:t> </w:t>
      </w:r>
      <w:r>
        <w:rPr>
          <w:spacing w:val="-63"/>
        </w:rPr>
      </w:r>
      <w:r>
        <w:rPr>
          <w:spacing w:val="-2"/>
        </w:rPr>
        <w:t>损益的份额。在确认应享有被投资单位净损益的份额时，以取得投资时被投资单位各项可辨认资产等的公允价值为基础，并</w:t>
      </w:r>
      <w:r>
        <w:rPr>
          <w:spacing w:val="-63"/>
        </w:rPr>
        <w:t> </w:t>
      </w:r>
      <w:r>
        <w:rPr>
          <w:spacing w:val="-63"/>
        </w:rPr>
      </w:r>
      <w:r>
        <w:rPr>
          <w:spacing w:val="-2"/>
        </w:rPr>
        <w:t>按照本集团的会计政策及会计期间，对被投资单位的净利润进行调整后确认。对于本集团与联营企业及合营之间发生的未实</w:t>
      </w:r>
      <w:r>
        <w:rPr>
          <w:spacing w:val="-62"/>
        </w:rPr>
        <w:t> </w:t>
      </w:r>
      <w:r>
        <w:rPr>
          <w:spacing w:val="-62"/>
        </w:rPr>
      </w:r>
      <w:r>
        <w:rPr>
          <w:spacing w:val="-2"/>
        </w:rPr>
        <w:t>现内部交易损益，按照持股比例计算属于本集团的部分予以抵销，在此基础上确认投资损益。但本集团与被投资单位发生的</w:t>
      </w:r>
      <w:r>
        <w:rPr>
          <w:spacing w:val="-63"/>
        </w:rPr>
        <w:t> </w:t>
      </w:r>
      <w:r>
        <w:rPr>
          <w:spacing w:val="-63"/>
        </w:rPr>
      </w:r>
      <w:r>
        <w:rPr>
          <w:spacing w:val="-2"/>
        </w:rPr>
        <w:t>未实现内部交易损失，按照《企业会计准则第</w:t>
      </w:r>
      <w:r>
        <w:rPr>
          <w:spacing w:val="-37"/>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spacing w:val="-2"/>
        </w:rPr>
        <w:t>号</w:t>
      </w:r>
      <w:r>
        <w:rPr>
          <w:rFonts w:ascii="Times New Roman" w:hAnsi="Times New Roman" w:cs="Times New Roman" w:eastAsia="Times New Roman" w:hint="default"/>
          <w:spacing w:val="-2"/>
        </w:rPr>
        <w:t>——</w:t>
      </w:r>
      <w:r>
        <w:rPr>
          <w:spacing w:val="-2"/>
        </w:rPr>
        <w:t>资产减值》等规定属于所转让资产减值损失的，不予以抵销。对被投</w:t>
      </w:r>
      <w:r>
        <w:rPr>
          <w:spacing w:val="-88"/>
        </w:rPr>
        <w:t> </w:t>
      </w:r>
      <w:r>
        <w:rPr>
          <w:spacing w:val="-88"/>
        </w:rPr>
      </w:r>
      <w:r>
        <w:rPr>
          <w:spacing w:val="-2"/>
        </w:rPr>
        <w:t>资单位的其他综合收益，相应调整长期股权投资的账面价值确认为其他综合收益并计入资本公积。在确认应分担被投资单位</w:t>
      </w:r>
      <w:r>
        <w:rPr>
          <w:spacing w:val="-64"/>
        </w:rPr>
        <w:t> </w:t>
      </w:r>
      <w:r>
        <w:rPr>
          <w:spacing w:val="-64"/>
        </w:rPr>
      </w:r>
      <w:r>
        <w:rPr>
          <w:spacing w:val="-2"/>
        </w:rPr>
        <w:t>发生的净亏损时，以长期股权投资的账面价值和其他实质上构成对被投资单位净投资的长期权益减记至零为限。此外，如本</w:t>
      </w:r>
      <w:r>
        <w:rPr>
          <w:spacing w:val="-65"/>
        </w:rPr>
        <w:t> </w:t>
      </w:r>
      <w:r>
        <w:rPr>
          <w:spacing w:val="-65"/>
        </w:rPr>
      </w:r>
      <w:r>
        <w:rPr>
          <w:spacing w:val="-2"/>
        </w:rPr>
        <w:t>集团对被投资单位负有承担额外损失的义务，则按预计承担的义务确认预计负债，计入当期投资损失。被投资单位以后期间</w:t>
      </w:r>
      <w:r>
        <w:rPr>
          <w:spacing w:val="-61"/>
        </w:rPr>
        <w:t> </w:t>
      </w:r>
      <w:r>
        <w:rPr>
          <w:spacing w:val="-61"/>
        </w:rPr>
      </w:r>
      <w:r>
        <w:rPr/>
        <w:t>实现净利润的，本集团在收益分享额弥补未确认的亏损分担额后，恢复确认收益分享额。对于本集团</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日首次 </w:t>
      </w:r>
      <w:r>
        <w:rPr>
          <w:spacing w:val="-2"/>
        </w:rPr>
        <w:t>执行新会计准则之前已经持有的对联营企业和合营企业的长期股权投资，如存在与该投资相关的股权投资借方差额，按原剩</w:t>
      </w:r>
      <w:r>
        <w:rPr>
          <w:spacing w:val="-64"/>
        </w:rPr>
        <w:t> </w:t>
      </w:r>
      <w:r>
        <w:rPr>
          <w:spacing w:val="-64"/>
        </w:rPr>
      </w:r>
      <w:r>
        <w:rPr/>
        <w:t>余期限直线摊销的金额计入当期损益。③</w:t>
      </w:r>
      <w:r>
        <w:rPr>
          <w:spacing w:val="1"/>
        </w:rPr>
        <w:t> </w:t>
      </w:r>
      <w:r>
        <w:rPr/>
        <w:t>收购少数股权在编制合并财务报表时，因购买少数股权新增的长期股权投资与按</w:t>
      </w:r>
      <w:r>
        <w:rPr/>
        <w:t> </w:t>
      </w:r>
      <w:r>
        <w:rPr>
          <w:spacing w:val="-2"/>
        </w:rPr>
        <w:t>照新增持股比例计算应享有子公司自购买日（或合并日）开始持续计算的净资产份额之间的差额，调整资本公积，资本公积</w:t>
      </w:r>
      <w:r>
        <w:rPr>
          <w:spacing w:val="-66"/>
        </w:rPr>
        <w:t> </w:t>
      </w:r>
      <w:r>
        <w:rPr>
          <w:spacing w:val="-66"/>
        </w:rPr>
      </w:r>
      <w:r>
        <w:rPr/>
        <w:t>不足冲减的，调整留存收益。④</w:t>
      </w:r>
      <w:r>
        <w:rPr>
          <w:spacing w:val="1"/>
        </w:rPr>
        <w:t> </w:t>
      </w:r>
      <w:r>
        <w:rPr/>
        <w:t>处置长期股权投资在合并财务报表中，母公司在不丧失控制权的情况下部分处置对子公司</w:t>
      </w:r>
      <w:r>
        <w:rPr/>
        <w:t> </w:t>
      </w:r>
      <w:r>
        <w:rPr>
          <w:spacing w:val="-2"/>
        </w:rPr>
        <w:t>的长期股权投资，处置价款与处置长期股权投资相对应享有子公司净资产的差额计入所有者权益；母公司部分处置对子公司</w:t>
      </w:r>
      <w:r>
        <w:rPr>
          <w:spacing w:val="-64"/>
        </w:rPr>
        <w:t> </w:t>
      </w:r>
      <w:r>
        <w:rPr>
          <w:spacing w:val="-64"/>
        </w:rPr>
      </w:r>
      <w:r>
        <w:rPr>
          <w:spacing w:val="-5"/>
          <w:w w:val="100"/>
        </w:rPr>
        <w:t>的长期股权投资导致丧失对子公司控制权的，按本附注四、</w:t>
      </w:r>
      <w:r>
        <w:rPr>
          <w:rFonts w:ascii="Times New Roman" w:hAnsi="Times New Roman" w:cs="Times New Roman" w:eastAsia="Times New Roman" w:hint="default"/>
          <w:spacing w:val="-5"/>
          <w:w w:val="100"/>
        </w:rPr>
        <w:t>4</w:t>
      </w:r>
      <w:r>
        <w:rPr>
          <w:spacing w:val="-5"/>
          <w:w w:val="100"/>
        </w:rPr>
        <w:t>、（</w:t>
      </w:r>
      <w:r>
        <w:rPr>
          <w:rFonts w:ascii="Times New Roman" w:hAnsi="Times New Roman" w:cs="Times New Roman" w:eastAsia="Times New Roman" w:hint="default"/>
          <w:spacing w:val="-5"/>
          <w:w w:val="100"/>
        </w:rPr>
        <w:t>2</w:t>
      </w:r>
      <w:r>
        <w:rPr>
          <w:spacing w:val="-5"/>
          <w:w w:val="100"/>
        </w:rPr>
        <w:t>）</w:t>
      </w:r>
      <w:r>
        <w:rPr>
          <w:rFonts w:ascii="Times New Roman" w:hAnsi="Times New Roman" w:cs="Times New Roman" w:eastAsia="Times New Roman" w:hint="default"/>
          <w:spacing w:val="-5"/>
          <w:w w:val="100"/>
        </w:rPr>
        <w:t>“</w:t>
      </w:r>
      <w:r>
        <w:rPr>
          <w:spacing w:val="-5"/>
          <w:w w:val="100"/>
        </w:rPr>
        <w:t>合并财务报表编制的方法</w:t>
      </w:r>
      <w:r>
        <w:rPr>
          <w:rFonts w:ascii="Times New Roman" w:hAnsi="Times New Roman" w:cs="Times New Roman" w:eastAsia="Times New Roman" w:hint="default"/>
          <w:spacing w:val="-5"/>
          <w:w w:val="100"/>
        </w:rPr>
        <w:t>”</w:t>
      </w:r>
      <w:r>
        <w:rPr>
          <w:spacing w:val="-5"/>
          <w:w w:val="100"/>
        </w:rPr>
        <w:t>中所述的相关会计政策处理。</w:t>
      </w:r>
      <w:r>
        <w:rPr>
          <w:spacing w:val="-52"/>
          <w:w w:val="100"/>
        </w:rPr>
        <w:t> </w:t>
      </w:r>
      <w:r>
        <w:rPr>
          <w:spacing w:val="-2"/>
        </w:rPr>
        <w:t>其他情形下的长期股权投资处置，对于处置的股权，其账面价值与实际取得价款的差额，计入当期损益；采用权益法核算的</w:t>
      </w:r>
      <w:r>
        <w:rPr>
          <w:spacing w:val="-64"/>
        </w:rPr>
        <w:t> </w:t>
      </w:r>
      <w:r>
        <w:rPr>
          <w:spacing w:val="-64"/>
        </w:rPr>
      </w:r>
      <w:r>
        <w:rPr>
          <w:spacing w:val="-2"/>
        </w:rPr>
        <w:t>长期股权投资，在处置时将原计入股东权益的其他综合收益部分按相应的比例转入当期损益。对于剩余股权，按其账面价值</w:t>
      </w:r>
      <w:r>
        <w:rPr>
          <w:spacing w:val="-66"/>
        </w:rPr>
        <w:t> </w:t>
      </w:r>
      <w:r>
        <w:rPr>
          <w:spacing w:val="-66"/>
        </w:rPr>
      </w:r>
      <w:r>
        <w:rPr>
          <w:spacing w:val="-2"/>
        </w:rPr>
        <w:t>确认为长期股权投资或其他相关金融资产，并按前述长期股权投资或金融资产的会计政策进行后续计量。涉及对剩余股权由</w:t>
      </w:r>
      <w:r>
        <w:rPr>
          <w:spacing w:val="-64"/>
        </w:rPr>
        <w:t> </w:t>
      </w:r>
      <w:r>
        <w:rPr>
          <w:spacing w:val="-64"/>
        </w:rPr>
      </w:r>
      <w:r>
        <w:rPr/>
        <w:t>成本法转为权益法核算的，按相关规定进行追溯调整。</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t>控制是指有权决定一个企业的财务和经营政策，并能据以从该企业的经营活动中获取利益。共同控制是指按照合同约定 对某项经济活动所共有的控制，仅在与该项经济活动相关的重要财务和经营决策需要分享控制权的投资方一致同意时存在。</w:t>
      </w:r>
      <w:r>
        <w:rPr>
          <w:spacing w:val="-86"/>
        </w:rPr>
        <w:t> </w:t>
      </w:r>
      <w:r>
        <w:rPr>
          <w:spacing w:val="-86"/>
        </w:rPr>
      </w:r>
      <w:r>
        <w:rPr>
          <w:spacing w:val="-2"/>
        </w:rPr>
        <w:t>重大影响是指对一个企业的财务和经营政策有参与决策的权力，但并不能够控制或者与其他方一起共同控制这些政策的制定。</w:t>
      </w:r>
      <w:r>
        <w:rPr>
          <w:spacing w:val="-61"/>
        </w:rPr>
        <w:t> </w:t>
      </w:r>
      <w:r>
        <w:rPr>
          <w:spacing w:val="-61"/>
        </w:rPr>
      </w:r>
      <w:r>
        <w:rPr/>
        <w:t>在确定能否对被投资单位实施控制或施加重大影响时，已考虑投资企业和其他持有的被投资单位当期可转换公司债券、当期</w:t>
      </w:r>
      <w:r>
        <w:rPr/>
        <w:t> 可执行认股权证等潜在表决权因素。</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33" w:right="0"/>
        <w:jc w:val="left"/>
      </w:pPr>
      <w:r>
        <w:rPr/>
        <w:t>本集团在每一个资产负债表日检查长期股权投资是否存在可能发生减值的迹象。如果该资产存在减值迹象，则估计其</w:t>
      </w:r>
    </w:p>
    <w:p>
      <w:pPr>
        <w:spacing w:after="0" w:line="240" w:lineRule="auto"/>
        <w:jc w:val="left"/>
        <w:sectPr>
          <w:pgSz w:w="11910" w:h="16840"/>
          <w:pgMar w:header="877" w:footer="1250" w:top="1060" w:bottom="144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633" w:right="2654" w:hanging="481"/>
        <w:jc w:val="left"/>
      </w:pPr>
      <w:r>
        <w:rPr/>
        <w:t>可收回金额。如果资产的可收回金额低于其账面价值，按其差额计提资产减值准备，并计入当期损益。 长期股权投资的减值损失一经确认，在以后会计期间不予转回。</w:t>
      </w:r>
    </w:p>
    <w:p>
      <w:pPr>
        <w:spacing w:line="240" w:lineRule="auto" w:before="9"/>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5" w:firstLine="480"/>
        <w:jc w:val="left"/>
      </w:pPr>
      <w:r>
        <w:rPr>
          <w:spacing w:val="-1"/>
        </w:rPr>
        <w:t>投资性房地产是指为赚取租金或资本增值，或两者兼有而持有的房地产。包括已出租的土地使用权、持有并准备增值</w:t>
      </w:r>
      <w:r>
        <w:rPr/>
        <w:t> 后转让的土地使用权、已出租的建筑物等。</w:t>
      </w:r>
    </w:p>
    <w:p>
      <w:pPr>
        <w:pStyle w:val="BodyText"/>
        <w:spacing w:line="316" w:lineRule="auto" w:before="19"/>
        <w:ind w:right="1115" w:firstLine="480"/>
        <w:jc w:val="left"/>
      </w:pPr>
      <w:r>
        <w:rPr>
          <w:spacing w:val="-1"/>
        </w:rPr>
        <w:t>投资性房地产按成本进行初始计量。与投资性房地产有关的后续支出，如果与该资产有关的经济利益很可能流入且其</w:t>
      </w:r>
      <w:r>
        <w:rPr/>
        <w:t> 成本能可靠地计量，则计入投资性房地产成本。其他后续支出，在发生时计入当期损益。</w:t>
      </w:r>
    </w:p>
    <w:p>
      <w:pPr>
        <w:pStyle w:val="BodyText"/>
        <w:spacing w:line="316" w:lineRule="auto" w:before="19"/>
        <w:ind w:left="633" w:right="0"/>
        <w:jc w:val="left"/>
      </w:pPr>
      <w:r>
        <w:rPr/>
        <w:t>本集团采用成本模式对投资性房地产进行后续计量，并按照与房屋建筑物或土地使用权一致的政策进行折旧或摊销。</w:t>
      </w:r>
      <w:r>
        <w:rPr>
          <w:spacing w:val="-37"/>
        </w:rPr>
        <w:t> </w:t>
      </w:r>
      <w:r>
        <w:rPr>
          <w:spacing w:val="-37"/>
        </w:rPr>
      </w:r>
      <w:r>
        <w:rPr/>
        <w:t>自用房地产或存货转换为投资性房地产或投资性房地产转换为自用房地产时，按转换前的账面价值作为转换后的入账</w:t>
      </w:r>
    </w:p>
    <w:p>
      <w:pPr>
        <w:pStyle w:val="BodyText"/>
        <w:spacing w:line="240" w:lineRule="auto" w:before="19"/>
        <w:ind w:right="1115"/>
        <w:jc w:val="left"/>
      </w:pPr>
      <w:r>
        <w:rPr/>
        <w:t>价值。</w:t>
      </w:r>
    </w:p>
    <w:p>
      <w:pPr>
        <w:pStyle w:val="BodyText"/>
        <w:spacing w:line="316" w:lineRule="auto" w:before="77"/>
        <w:ind w:right="0" w:firstLine="480"/>
        <w:jc w:val="left"/>
      </w:pPr>
      <w:r>
        <w:rPr/>
        <w:t>投资性房地产的用途改变为自用时，自改变之日起，将该投资性房地产转换为固定资产或无形资产。自用房地产的用 </w:t>
      </w:r>
      <w:r>
        <w:rPr>
          <w:spacing w:val="-2"/>
        </w:rPr>
        <w:t>途改变为赚取租金或资本增值时，自改变之日起，将固定资产或无形资产转换为投资性房地产。发生转换时，转换为采用成</w:t>
      </w:r>
      <w:r>
        <w:rPr>
          <w:spacing w:val="-66"/>
        </w:rPr>
        <w:t> </w:t>
      </w:r>
      <w:r>
        <w:rPr>
          <w:spacing w:val="-66"/>
        </w:rPr>
      </w:r>
      <w:r>
        <w:rPr>
          <w:spacing w:val="-4"/>
        </w:rPr>
        <w:t>本模式计量的投资性房地产的，以转换前的账面价值作为转换后的入账价值；转换为以公允价值模式计量的投资性房地产的，</w:t>
      </w:r>
      <w:r>
        <w:rPr>
          <w:spacing w:val="-44"/>
        </w:rPr>
        <w:t> </w:t>
      </w:r>
      <w:r>
        <w:rPr>
          <w:spacing w:val="-44"/>
        </w:rPr>
      </w:r>
      <w:r>
        <w:rPr/>
        <w:t>以转换日的公允价值作为转换后的入账价值。</w:t>
      </w:r>
    </w:p>
    <w:p>
      <w:pPr>
        <w:pStyle w:val="BodyText"/>
        <w:spacing w:line="316" w:lineRule="auto" w:before="19"/>
        <w:ind w:right="1130"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10"/>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424" w:right="1115"/>
        <w:jc w:val="left"/>
      </w:pPr>
      <w:r>
        <w:rPr/>
        <w:t>固定资产是指为生产商品、提供劳务、出租或经营管理而持有的，使用寿命超过一个会计年度的有形资产。</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3"/>
        </w:rPr>
        <w:t> </w:t>
      </w:r>
      <w:r>
        <w:rPr>
          <w:spacing w:val="-63"/>
        </w:rPr>
      </w:r>
      <w:r>
        <w:rPr/>
        <w:t>两者中较短的期间内计提折旧。</w:t>
      </w:r>
    </w:p>
    <w:p>
      <w:pPr>
        <w:spacing w:line="240" w:lineRule="auto" w:before="10"/>
        <w:rPr>
          <w:rFonts w:ascii="宋体" w:hAnsi="宋体" w:cs="宋体" w:eastAsia="宋体" w:hint="default"/>
          <w:sz w:val="22"/>
          <w:szCs w:val="22"/>
        </w:rPr>
      </w:pPr>
    </w:p>
    <w:p>
      <w:pPr>
        <w:pStyle w:val="Heading4"/>
        <w:spacing w:line="240" w:lineRule="auto"/>
        <w:ind w:right="1115"/>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424" w:right="1122"/>
        <w:jc w:val="left"/>
      </w:pPr>
      <w:r>
        <w:rPr/>
        <w:t>固定资产按成本并考虑预计弃置费用因素的影响进行初始计量。 固定资产从达到预定可使用状态的次月起，采用年限平均法在使用寿命内计提折旧。 预计净残值是指假定固定资产预计使用寿命已满并处于使用寿命终了时的预期状态，本集团目前从该项资产处置中获得</w:t>
      </w:r>
    </w:p>
    <w:p>
      <w:pPr>
        <w:pStyle w:val="BodyText"/>
        <w:spacing w:line="316" w:lineRule="auto" w:before="17"/>
        <w:ind w:left="424" w:right="5982" w:hanging="272"/>
        <w:jc w:val="left"/>
      </w:pPr>
      <w:r>
        <w:rPr/>
        <w:pict>
          <v:group style="position:absolute;margin-left:460.320007pt;margin-top:121.101723pt;width:135pt;height:77pt;mso-position-horizontal-relative:page;mso-position-vertical-relative:paragraph;z-index:-966856" coordorigin="9206,2422" coordsize="2700,1540">
            <v:shape style="position:absolute;left:9206;top:2422;width:2700;height:1540" type="#_x0000_t75" stroked="false">
              <v:imagedata r:id="rId21" o:title=""/>
            </v:shape>
            <v:shape style="position:absolute;left:10593;top:2782;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87</w:t>
                    </w:r>
                  </w:p>
                </w:txbxContent>
              </v:textbox>
              <w10:wrap type="none"/>
            </v:shape>
            <w10:wrap type="none"/>
          </v:group>
        </w:pict>
      </w:r>
      <w:r>
        <w:rPr/>
        <w:t>的扣除预计处置费用后的金额。 各类固定资产的使用寿命、预计净残值和年折旧率如下：</w:t>
      </w: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0"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1"/>
              <w:ind w:left="3" w:right="0"/>
              <w:jc w:val="center"/>
              <w:rPr>
                <w:rFonts w:ascii="Arial Narrow" w:hAnsi="Arial Narrow" w:cs="Arial Narrow" w:eastAsia="Arial Narrow" w:hint="default"/>
                <w:sz w:val="18"/>
                <w:szCs w:val="18"/>
              </w:rPr>
            </w:pPr>
            <w:r>
              <w:rPr>
                <w:rFonts w:ascii="Arial Narrow"/>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Arial Narrow" w:hAnsi="Arial Narrow" w:cs="Arial Narrow" w:eastAsia="Arial Narrow" w:hint="default"/>
                <w:sz w:val="18"/>
                <w:szCs w:val="18"/>
              </w:rPr>
            </w:pPr>
            <w:r>
              <w:rPr>
                <w:rFonts w:ascii="Arial Narrow"/>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Arial Narrow" w:hAnsi="Arial Narrow" w:cs="Arial Narrow" w:eastAsia="Arial Narrow" w:hint="default"/>
                <w:sz w:val="18"/>
                <w:szCs w:val="18"/>
              </w:rPr>
            </w:pPr>
            <w:r>
              <w:rPr>
                <w:rFonts w:ascii="Arial Narrow"/>
                <w:sz w:val="18"/>
              </w:rPr>
              <w:t>4.75</w:t>
            </w:r>
          </w:p>
        </w:tc>
      </w:tr>
      <w:tr>
        <w:trPr>
          <w:trHeight w:val="49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2"/>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41"/>
              <w:ind w:right="1"/>
              <w:jc w:val="center"/>
              <w:rPr>
                <w:rFonts w:ascii="Arial Narrow" w:hAnsi="Arial Narrow" w:cs="Arial Narrow" w:eastAsia="Arial Narrow" w:hint="default"/>
                <w:sz w:val="18"/>
                <w:szCs w:val="18"/>
              </w:rPr>
            </w:pPr>
            <w:r>
              <w:rPr>
                <w:rFonts w:ascii="Arial Narrow"/>
                <w:sz w:val="18"/>
              </w:rPr>
              <w:t>5-10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Arial Narrow" w:hAnsi="Arial Narrow" w:cs="Arial Narrow" w:eastAsia="Arial Narrow" w:hint="default"/>
                <w:sz w:val="18"/>
                <w:szCs w:val="18"/>
              </w:rPr>
            </w:pPr>
            <w:r>
              <w:rPr>
                <w:rFonts w:ascii="Arial Narrow"/>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Arial Narrow" w:hAnsi="Arial Narrow" w:cs="Arial Narrow" w:eastAsia="Arial Narrow" w:hint="default"/>
                <w:sz w:val="18"/>
                <w:szCs w:val="18"/>
              </w:rPr>
            </w:pPr>
            <w:r>
              <w:rPr>
                <w:rFonts w:ascii="Arial Narrow"/>
                <w:sz w:val="18"/>
              </w:rPr>
              <w:t>9.50-19.00</w:t>
            </w:r>
          </w:p>
        </w:tc>
      </w:tr>
      <w:tr>
        <w:trPr>
          <w:trHeight w:val="490"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12" w:right="0"/>
              <w:jc w:val="left"/>
              <w:rPr>
                <w:rFonts w:ascii="宋体" w:hAnsi="宋体" w:cs="宋体" w:eastAsia="宋体" w:hint="default"/>
                <w:sz w:val="18"/>
                <w:szCs w:val="18"/>
              </w:rPr>
            </w:pPr>
            <w:r>
              <w:rPr>
                <w:rFonts w:ascii="宋体" w:hAnsi="宋体" w:cs="宋体" w:eastAsia="宋体" w:hint="default"/>
                <w:sz w:val="18"/>
                <w:szCs w:val="18"/>
              </w:rPr>
              <w:t>发电及输电设备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8"/>
              <w:ind w:left="3" w:right="0"/>
              <w:jc w:val="center"/>
              <w:rPr>
                <w:rFonts w:ascii="Arial Narrow" w:hAnsi="Arial Narrow" w:cs="Arial Narrow" w:eastAsia="Arial Narrow" w:hint="default"/>
                <w:sz w:val="18"/>
                <w:szCs w:val="18"/>
              </w:rPr>
            </w:pPr>
            <w:r>
              <w:rPr>
                <w:rFonts w:ascii="Arial Narrow"/>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3" w:right="0"/>
              <w:jc w:val="center"/>
              <w:rPr>
                <w:rFonts w:ascii="Arial Narrow" w:hAnsi="Arial Narrow" w:cs="Arial Narrow" w:eastAsia="Arial Narrow" w:hint="default"/>
                <w:sz w:val="18"/>
                <w:szCs w:val="18"/>
              </w:rPr>
            </w:pPr>
            <w:r>
              <w:rPr>
                <w:rFonts w:ascii="Arial Narrow"/>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Arial Narrow" w:hAnsi="Arial Narrow" w:cs="Arial Narrow" w:eastAsia="Arial Narrow" w:hint="default"/>
                <w:sz w:val="18"/>
                <w:szCs w:val="18"/>
              </w:rPr>
            </w:pPr>
            <w:r>
              <w:rPr>
                <w:rFonts w:ascii="Arial Narrow"/>
                <w:sz w:val="18"/>
              </w:rPr>
              <w:t>4.75</w:t>
            </w:r>
          </w:p>
        </w:tc>
      </w:tr>
    </w:tbl>
    <w:p>
      <w:pPr>
        <w:spacing w:after="0" w:line="240" w:lineRule="auto"/>
        <w:jc w:val="center"/>
        <w:rPr>
          <w:rFonts w:ascii="Arial Narrow" w:hAnsi="Arial Narrow" w:cs="Arial Narrow" w:eastAsia="Arial Narrow" w:hint="default"/>
          <w:sz w:val="18"/>
          <w:szCs w:val="18"/>
        </w:rPr>
        <w:sectPr>
          <w:headerReference w:type="default" r:id="rId39"/>
          <w:footerReference w:type="default" r:id="rId40"/>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17"/>
        <w:gridCol w:w="2105"/>
        <w:gridCol w:w="2220"/>
        <w:gridCol w:w="2727"/>
      </w:tblGrid>
      <w:tr>
        <w:trPr>
          <w:trHeight w:val="490" w:hRule="exact"/>
        </w:trPr>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Arial Narrow" w:hAnsi="Arial Narrow" w:cs="Arial Narrow" w:eastAsia="Arial Narrow" w:hint="default"/>
                <w:sz w:val="18"/>
                <w:szCs w:val="18"/>
              </w:rPr>
            </w:pPr>
            <w:r>
              <w:rPr>
                <w:rFonts w:ascii="Arial Narrow"/>
                <w:sz w:val="18"/>
              </w:rPr>
              <w:t>5-10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66" w:right="0"/>
              <w:jc w:val="left"/>
              <w:rPr>
                <w:rFonts w:ascii="Arial Narrow" w:hAnsi="Arial Narrow" w:cs="Arial Narrow" w:eastAsia="Arial Narrow" w:hint="default"/>
                <w:sz w:val="18"/>
                <w:szCs w:val="18"/>
              </w:rPr>
            </w:pPr>
            <w:r>
              <w:rPr>
                <w:rFonts w:ascii="Arial Narrow"/>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Arial Narrow" w:hAnsi="Arial Narrow" w:cs="Arial Narrow" w:eastAsia="Arial Narrow" w:hint="default"/>
                <w:sz w:val="18"/>
                <w:szCs w:val="18"/>
              </w:rPr>
            </w:pPr>
            <w:r>
              <w:rPr>
                <w:rFonts w:ascii="Arial Narrow"/>
                <w:sz w:val="18"/>
              </w:rPr>
              <w:t>9.50-19.00</w:t>
            </w:r>
          </w:p>
        </w:tc>
      </w:tr>
      <w:tr>
        <w:trPr>
          <w:trHeight w:val="492" w:hRule="exact"/>
        </w:trPr>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2" w:right="0"/>
              <w:jc w:val="left"/>
              <w:rPr>
                <w:rFonts w:ascii="宋体" w:hAnsi="宋体" w:cs="宋体" w:eastAsia="宋体" w:hint="default"/>
                <w:sz w:val="20"/>
                <w:szCs w:val="20"/>
              </w:rPr>
            </w:pPr>
            <w:r>
              <w:rPr>
                <w:rFonts w:ascii="宋体" w:hAnsi="宋体" w:cs="宋体" w:eastAsia="宋体" w:hint="default"/>
                <w:sz w:val="20"/>
                <w:szCs w:val="20"/>
              </w:rPr>
              <w:t>办公及其他设备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Arial Narrow" w:hAnsi="Arial Narrow" w:cs="Arial Narrow" w:eastAsia="Arial Narrow" w:hint="default"/>
                <w:sz w:val="18"/>
                <w:szCs w:val="18"/>
              </w:rPr>
            </w:pPr>
            <w:r>
              <w:rPr>
                <w:rFonts w:ascii="Arial Narrow"/>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66" w:right="0"/>
              <w:jc w:val="left"/>
              <w:rPr>
                <w:rFonts w:ascii="Arial Narrow" w:hAnsi="Arial Narrow" w:cs="Arial Narrow" w:eastAsia="Arial Narrow" w:hint="default"/>
                <w:sz w:val="18"/>
                <w:szCs w:val="18"/>
              </w:rPr>
            </w:pPr>
            <w:r>
              <w:rPr>
                <w:rFonts w:ascii="Arial Narrow"/>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Arial Narrow" w:hAnsi="Arial Narrow" w:cs="Arial Narrow" w:eastAsia="Arial Narrow" w:hint="default"/>
                <w:sz w:val="18"/>
                <w:szCs w:val="18"/>
              </w:rPr>
            </w:pPr>
            <w:r>
              <w:rPr>
                <w:rFonts w:ascii="Arial Narrow"/>
                <w:sz w:val="18"/>
              </w:rPr>
              <w:t>19.00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034" w:firstLine="271"/>
        <w:jc w:val="left"/>
      </w:pPr>
      <w:r>
        <w:rPr/>
        <w:t>在每期末判断固定资产是否存在可能发生减值的迹象。固定资产存在减值迹象的，估计其可收回金额。可收回金额根据 </w:t>
      </w:r>
      <w:r>
        <w:rPr>
          <w:spacing w:val="-2"/>
        </w:rPr>
        <w:t>固定资产的公允价值减去处置费用后的净额与固定资产预计未来现金流量的现值两者之间较高者确定。当固定资产的可收回</w:t>
      </w:r>
      <w:r>
        <w:rPr>
          <w:spacing w:val="-64"/>
        </w:rPr>
        <w:t> </w:t>
      </w:r>
      <w:r>
        <w:rPr>
          <w:spacing w:val="-64"/>
        </w:rPr>
      </w:r>
      <w:r>
        <w:rPr/>
        <w:t>金额低于其账面价值的，将固定资产的账面价值减记至可收回金额，减记的金额确认为固定资产减值损失，计入当期损益，</w:t>
      </w:r>
      <w:r>
        <w:rPr>
          <w:spacing w:val="-86"/>
        </w:rPr>
        <w:t> </w:t>
      </w:r>
      <w:r>
        <w:rPr>
          <w:spacing w:val="-86"/>
        </w:rPr>
      </w:r>
      <w:r>
        <w:rPr>
          <w:spacing w:val="-2"/>
        </w:rPr>
        <w:t>同时计提相应的固定资产减值准备。固定资产减值损失确认后，减值固定资产的折旧在未来期间作相应调整，以使该固定资</w:t>
      </w:r>
      <w:r>
        <w:rPr>
          <w:spacing w:val="-63"/>
        </w:rPr>
        <w:t> </w:t>
      </w:r>
      <w:r>
        <w:rPr>
          <w:spacing w:val="-63"/>
        </w:rPr>
      </w:r>
      <w:r>
        <w:rPr/>
        <w:t>产在剩余使用寿命内，系统地分摊调整后的固定资产账面价值（扣除预计净残值）。</w:t>
      </w:r>
      <w:r>
        <w:rPr>
          <w:spacing w:val="-17"/>
        </w:rPr>
        <w:t> </w:t>
      </w:r>
      <w:r>
        <w:rPr/>
        <w:t>固定资产的减值损失一经确认，在以</w:t>
      </w:r>
      <w:r>
        <w:rPr/>
        <w:t> 后会计期间不再转回。</w:t>
      </w:r>
      <w:r>
        <w:rPr>
          <w:spacing w:val="-18"/>
        </w:rPr>
        <w:t> </w:t>
      </w:r>
      <w:r>
        <w:rPr/>
        <w:t>有迹象表明一项固定资产可能发生减值的，企业以单项固定资产为基础估计其可收回金额。企业难</w:t>
      </w:r>
      <w:r>
        <w:rPr/>
        <w:t> 以对单项固定资产的可收回金额进行估计的，以该固定资产所属的资产组为基础确定资产组的可收回金额。</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3" w:firstLine="271"/>
        <w:jc w:val="left"/>
      </w:pPr>
      <w:r>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BodyText"/>
        <w:spacing w:line="316" w:lineRule="auto" w:before="19"/>
        <w:ind w:left="424" w:right="1115"/>
        <w:jc w:val="left"/>
      </w:pPr>
      <w:r>
        <w:rPr/>
        <w:t>固定资产出售、转让、报废或毁损的处置收入扣除其账面价值和相关税费后的差额计入当期损益。 </w:t>
      </w:r>
      <w:r>
        <w:rPr>
          <w:spacing w:val="-4"/>
        </w:rPr>
        <w:t>本集团至少于年度终了对固定资产的使用寿命、预计净残值和折旧方法进行复核，如发生改变则作为会计估计变更处理。</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316" w:lineRule="auto"/>
        <w:ind w:right="1115" w:firstLine="362"/>
        <w:jc w:val="left"/>
      </w:pPr>
      <w:r>
        <w:rPr>
          <w:spacing w:val="-2"/>
        </w:rPr>
        <w:t>在建工程成本按实际工程支出确定，包括在建期间发生的各项工程支出、工程达到预定可使用状态前的资本化的借款费</w:t>
      </w:r>
      <w:r>
        <w:rPr/>
        <w:t> 用以及其他相关费用等。</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333" w:right="1115"/>
        <w:jc w:val="left"/>
      </w:pPr>
      <w:r>
        <w:rPr/>
        <w:t>在建工程在达到预定可使用状态后结转为固定资产。</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424" w:right="1122"/>
        <w:jc w:val="left"/>
      </w:pPr>
      <w:r>
        <w:rPr/>
        <w:t>公司在每期末判断在建工程是否存在可能发生减值的迹象。 在建工程存在减值迹象的，估计其可收回金额。有迹象表明一项在建工程可能发生减值的，企业以单项在建工程为基础</w:t>
      </w:r>
    </w:p>
    <w:p>
      <w:pPr>
        <w:pStyle w:val="BodyText"/>
        <w:spacing w:line="316" w:lineRule="auto" w:before="17"/>
        <w:ind w:right="1133"/>
        <w:jc w:val="both"/>
      </w:pPr>
      <w:r>
        <w:rPr>
          <w:spacing w:val="-2"/>
        </w:rPr>
        <w:t>估计其可收回金额。企业难以对单项在建工程的可收回金额进行估计的，以该在建工程所属的资产组为基础确定资产组的可</w:t>
      </w:r>
      <w:r>
        <w:rPr>
          <w:spacing w:val="-64"/>
        </w:rPr>
        <w:t> </w:t>
      </w:r>
      <w:r>
        <w:rPr>
          <w:spacing w:val="-64"/>
        </w:rPr>
      </w:r>
      <w:r>
        <w:rPr/>
        <w:t>收回金额。</w:t>
      </w:r>
      <w:r>
        <w:rPr>
          <w:spacing w:val="-18"/>
        </w:rPr>
        <w:t> </w:t>
      </w:r>
      <w:r>
        <w:rPr/>
        <w:t>可收回金额根据在建工程的公允价值减去处置费用后的净额与在建工程预计未来现金流量的现值两者之间较高</w:t>
      </w:r>
      <w:r>
        <w:rPr/>
        <w:t> 者确定。</w:t>
      </w:r>
      <w:r>
        <w:rPr>
          <w:spacing w:val="-18"/>
        </w:rPr>
        <w:t> </w:t>
      </w:r>
      <w:r>
        <w:rPr/>
        <w:t>当在建工程的可收回金额低于其账面价值的，将在建工程的账面价值减记至可收回金额，减记的金额确认为在建</w:t>
      </w:r>
      <w:r>
        <w:rPr/>
        <w:t> 工程减值损失，计入当期损益，同时计提相应的在建工程减值准备。</w:t>
      </w:r>
      <w:r>
        <w:rPr>
          <w:spacing w:val="-17"/>
        </w:rPr>
        <w:t> </w:t>
      </w:r>
      <w:r>
        <w:rPr/>
        <w:t>在建工程的减值损失一经确认，在以后会计期间不再</w:t>
      </w:r>
      <w:r>
        <w:rPr/>
        <w:t> 转回。</w:t>
      </w:r>
    </w:p>
    <w:p>
      <w:pPr>
        <w:spacing w:after="0" w:line="316" w:lineRule="auto"/>
        <w:jc w:val="both"/>
        <w:sectPr>
          <w:footerReference w:type="default" r:id="rId41"/>
          <w:pgSz w:w="11910" w:h="16840"/>
          <w:pgMar w:footer="1315" w:header="877" w:top="1060" w:bottom="1500" w:left="980" w:right="0"/>
          <w:pgNumType w:start="88"/>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128" w:firstLine="271"/>
        <w:jc w:val="both"/>
      </w:pPr>
      <w:r>
        <w:rPr>
          <w:spacing w:val="-4"/>
        </w:rPr>
        <w:t>借款费用，包括借款利息、折价或者溢价的摊销、辅助费用以及因外币借款而发生的汇兑差额等。公司发生的借款费用，</w:t>
      </w:r>
      <w:r>
        <w:rPr/>
        <w:t> </w:t>
      </w:r>
      <w:r>
        <w:rPr>
          <w:spacing w:val="-2"/>
        </w:rPr>
        <w:t>可直接归属于符合资本化条件的资产的购建或者生产的，予以资本化，计入相关资产成本；其他借款费用，在发生时根据其</w:t>
      </w:r>
      <w:r>
        <w:rPr>
          <w:spacing w:val="-64"/>
        </w:rPr>
        <w:t> </w:t>
      </w:r>
      <w:r>
        <w:rPr>
          <w:spacing w:val="-64"/>
        </w:rPr>
      </w:r>
      <w:r>
        <w:rPr/>
        <w:t>发生额确认为费用，计入当期损益。</w:t>
      </w:r>
      <w:r>
        <w:rPr>
          <w:spacing w:val="-17"/>
        </w:rPr>
        <w:t> </w:t>
      </w:r>
      <w:r>
        <w:rPr/>
        <w:t>符合资本化条件的资产，是指需要经过相当长时间的购建或者生产活动才能达到预定</w:t>
      </w:r>
      <w:r>
        <w:rPr/>
        <w:t> 可使用或者可销售状态的固定资产、投资性房地产和存货等资产。</w:t>
      </w:r>
      <w:r>
        <w:rPr>
          <w:spacing w:val="-44"/>
        </w:rPr>
        <w:t> </w:t>
      </w:r>
      <w:r>
        <w:rPr/>
        <w:t>借款费用同时满足下列条件时开始资本化：①</w:t>
      </w:r>
      <w:r>
        <w:rPr>
          <w:spacing w:val="-34"/>
        </w:rPr>
        <w:t> </w:t>
      </w:r>
      <w:r>
        <w:rPr/>
        <w:t>资产支出</w:t>
      </w:r>
      <w:r>
        <w:rPr/>
        <w:t> </w:t>
      </w:r>
      <w:r>
        <w:rPr>
          <w:spacing w:val="-2"/>
        </w:rPr>
        <w:t>已经发生，资产支出包括为购建或者生产符合资本化条件的资产而以支付现金、转移非现金资产或者承担带息债务形式发生</w:t>
      </w:r>
      <w:r>
        <w:rPr>
          <w:spacing w:val="-64"/>
        </w:rPr>
        <w:t> </w:t>
      </w:r>
      <w:r>
        <w:rPr>
          <w:spacing w:val="-64"/>
        </w:rPr>
      </w:r>
      <w:r>
        <w:rPr/>
        <w:t>的支出；② 借款费用已经发生；③</w:t>
      </w:r>
      <w:r>
        <w:rPr>
          <w:spacing w:val="-36"/>
        </w:rPr>
        <w:t> </w:t>
      </w:r>
      <w:r>
        <w:rPr/>
        <w:t>为使资产达到预定可使用或者可销售状态所必要的购建或者生产活动已经开始。</w:t>
      </w:r>
    </w:p>
    <w:p>
      <w:pPr>
        <w:spacing w:line="240" w:lineRule="auto" w:before="10"/>
        <w:rPr>
          <w:rFonts w:ascii="宋体" w:hAnsi="宋体" w:cs="宋体" w:eastAsia="宋体" w:hint="default"/>
          <w:sz w:val="22"/>
          <w:szCs w:val="22"/>
        </w:rPr>
      </w:pPr>
    </w:p>
    <w:p>
      <w:pPr>
        <w:pStyle w:val="Heading4"/>
        <w:spacing w:line="240" w:lineRule="auto"/>
        <w:ind w:right="1115"/>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firstLine="271"/>
        <w:jc w:val="both"/>
      </w:pPr>
      <w:r>
        <w:rPr>
          <w:spacing w:val="-1"/>
        </w:rPr>
        <w:t>资本化期间，指从借款费用开始资本化时点到停止资本化时点的期间，借款费用暂停资本化的期间不包括在内。</w:t>
      </w:r>
      <w:r>
        <w:rPr>
          <w:spacing w:val="-35"/>
        </w:rPr>
        <w:t> </w:t>
      </w:r>
      <w:r>
        <w:rPr/>
        <w:t>当购建</w:t>
      </w:r>
      <w:r>
        <w:rPr/>
        <w:t> </w:t>
      </w:r>
      <w:r>
        <w:rPr>
          <w:spacing w:val="-2"/>
        </w:rPr>
        <w:t>或者生产符合资本化条件的资产达到预定可使用或者可销售状态时，借款费用停止资本化。当购建或者生产符合资本化条件</w:t>
      </w:r>
      <w:r>
        <w:rPr>
          <w:spacing w:val="-64"/>
        </w:rPr>
        <w:t> </w:t>
      </w:r>
      <w:r>
        <w:rPr>
          <w:spacing w:val="-64"/>
        </w:rPr>
      </w:r>
      <w:r>
        <w:rPr/>
        <w:t>的资产中部分项目分别完工且可单独使用时，该部分资产借款费用停止资本化。</w:t>
      </w:r>
      <w:r>
        <w:rPr>
          <w:spacing w:val="-17"/>
        </w:rPr>
        <w:t> </w:t>
      </w:r>
      <w:r>
        <w:rPr/>
        <w:t>购建或者生产的资产的各部分分别完工，</w:t>
      </w:r>
      <w:r>
        <w:rPr/>
        <w:t> 但必须等到整体完工后才可使用或可对外销售的，在该资产整体完工时停止借款费用资本化。</w:t>
      </w:r>
    </w:p>
    <w:p>
      <w:pPr>
        <w:spacing w:line="240" w:lineRule="auto" w:before="10"/>
        <w:rPr>
          <w:rFonts w:ascii="宋体" w:hAnsi="宋体" w:cs="宋体" w:eastAsia="宋体" w:hint="default"/>
          <w:sz w:val="22"/>
          <w:szCs w:val="22"/>
        </w:rPr>
      </w:pPr>
    </w:p>
    <w:p>
      <w:pPr>
        <w:pStyle w:val="Heading4"/>
        <w:spacing w:line="240" w:lineRule="auto"/>
        <w:ind w:right="1115"/>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131" w:firstLine="360"/>
        <w:jc w:val="both"/>
      </w:pPr>
      <w:r>
        <w:rPr>
          <w:spacing w:val="-4"/>
        </w:rPr>
        <w:t>符合资本化条件的资产在购建或生产过程中发生的非正常中断、且中断时间连续超过</w:t>
      </w:r>
      <w:r>
        <w:rPr>
          <w:rFonts w:ascii="Times New Roman" w:hAnsi="Times New Roman" w:cs="Times New Roman" w:eastAsia="Times New Roman" w:hint="default"/>
          <w:spacing w:val="-4"/>
        </w:rPr>
        <w:t>3</w:t>
      </w:r>
      <w:r>
        <w:rPr>
          <w:spacing w:val="-4"/>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240" w:lineRule="auto" w:before="3"/>
        <w:rPr>
          <w:rFonts w:ascii="宋体" w:hAnsi="宋体" w:cs="宋体" w:eastAsia="宋体" w:hint="default"/>
          <w:sz w:val="23"/>
          <w:szCs w:val="23"/>
        </w:rPr>
      </w:pPr>
    </w:p>
    <w:p>
      <w:pPr>
        <w:pStyle w:val="Heading4"/>
        <w:spacing w:line="240" w:lineRule="auto"/>
        <w:ind w:right="1115"/>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对于为购建或者生产符合资本化条件的资产而借入的专门借款，以专门借款当期实际发生的借款费用，减去尚未动用的</w:t>
      </w:r>
      <w:r>
        <w:rPr/>
        <w:t> 借款资金存入银行取得的利息收入或进行暂时性投资取得的投资收益后的金额，来确定借款费用的资本化金额。</w:t>
      </w:r>
      <w:r>
        <w:rPr>
          <w:spacing w:val="-16"/>
        </w:rPr>
        <w:t> </w:t>
      </w:r>
      <w:r>
        <w:rPr/>
        <w:t>对于为购</w:t>
      </w:r>
      <w:r>
        <w:rPr/>
        <w:t> </w:t>
      </w:r>
      <w:r>
        <w:rPr>
          <w:spacing w:val="-2"/>
        </w:rPr>
        <w:t>建或者生产符合资本化条件的资产而占用的一般借款，根据累计资产支出超过专门借款部分的资产支出加权平均数乘以所占</w:t>
      </w:r>
      <w:r>
        <w:rPr>
          <w:spacing w:val="-64"/>
        </w:rPr>
        <w:t> </w:t>
      </w:r>
      <w:r>
        <w:rPr>
          <w:spacing w:val="-64"/>
        </w:rPr>
      </w:r>
      <w:r>
        <w:rPr/>
        <w:t>用一般借款的资本化率，计算确定一般借款应予资本化的利息金额。资本化率根据一般借款加权平均利率计算确定。</w:t>
      </w:r>
      <w:r>
        <w:rPr>
          <w:spacing w:val="-16"/>
        </w:rPr>
        <w:t> </w:t>
      </w:r>
      <w:r>
        <w:rPr/>
        <w:t>借款</w:t>
      </w:r>
      <w:r>
        <w:rPr/>
        <w:t> 存在折价或者溢价的，按照实际利率法确定每一会计期间应摊销的折价或者溢价金额，调整每期利息金额。</w:t>
      </w:r>
    </w:p>
    <w:p>
      <w:pPr>
        <w:spacing w:line="240" w:lineRule="auto" w:before="10"/>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pStyle w:val="BodyText"/>
        <w:spacing w:line="310" w:lineRule="atLeast"/>
        <w:ind w:right="1130" w:firstLine="271"/>
        <w:jc w:val="both"/>
      </w:pPr>
      <w:r>
        <w:rPr/>
        <w:t>①公司取得无形资产时按成本进行初始计量。</w:t>
      </w:r>
      <w:r>
        <w:rPr>
          <w:spacing w:val="-24"/>
        </w:rPr>
        <w:t> </w:t>
      </w:r>
      <w:r>
        <w:rPr>
          <w:spacing w:val="-2"/>
        </w:rPr>
        <w:t>外购无形资产的成本，包括购买价款、相关税费以及直接归属于使该项资</w:t>
      </w:r>
      <w:r>
        <w:rPr/>
        <w:t> </w:t>
      </w:r>
      <w:r>
        <w:rPr>
          <w:spacing w:val="-2"/>
        </w:rPr>
        <w:t>产达到预定用途所发生的其他支出。购买无形资产的价款超过正常信用条件延期支付，实质上具有融资性质的，无形资产的</w:t>
      </w:r>
      <w:r>
        <w:rPr>
          <w:spacing w:val="-63"/>
        </w:rPr>
        <w:t> </w:t>
      </w:r>
      <w:r>
        <w:rPr>
          <w:spacing w:val="-63"/>
        </w:rPr>
      </w:r>
      <w:r>
        <w:rPr/>
        <w:t>成本以购买价款的现值为基础确定。</w:t>
      </w:r>
      <w:r>
        <w:rPr>
          <w:spacing w:val="-17"/>
        </w:rPr>
        <w:t> </w:t>
      </w:r>
      <w:r>
        <w:rPr/>
        <w:t>债务重组取得债务人用以抵债的无形资产，以该无形资产的公允价值为基础确定其入</w:t>
      </w:r>
      <w:r>
        <w:rPr/>
        <w:t> 账价值，并将重组债务的账面价值与该用以抵债的无形资产公允价值之间的差额，计入当期损益。</w:t>
      </w:r>
      <w:r>
        <w:rPr>
          <w:spacing w:val="-16"/>
        </w:rPr>
        <w:t> </w:t>
      </w:r>
      <w:r>
        <w:rPr/>
        <w:t>在非货币性资产交换具</w:t>
      </w:r>
      <w:r>
        <w:rPr/>
        <w:t> </w:t>
      </w:r>
      <w:r>
        <w:rPr>
          <w:spacing w:val="-2"/>
        </w:rPr>
        <w:t>备商业实质且换入资产或换出资产的公允价值能够可靠计量的前提下，非货币性资产交换换入的无形资产以换出资产的公允</w:t>
      </w:r>
    </w:p>
    <w:p>
      <w:pPr>
        <w:spacing w:after="0" w:line="310" w:lineRule="atLeast"/>
        <w:jc w:val="both"/>
        <w:sectPr>
          <w:pgSz w:w="11910" w:h="16840"/>
          <w:pgMar w:header="877" w:footer="1315" w:top="1060" w:bottom="1540" w:left="980" w:right="0"/>
        </w:sectPr>
      </w:pPr>
    </w:p>
    <w:p>
      <w:pPr>
        <w:spacing w:line="240" w:lineRule="auto" w:before="9"/>
        <w:rPr>
          <w:rFonts w:ascii="宋体" w:hAnsi="宋体" w:cs="宋体" w:eastAsia="宋体" w:hint="default"/>
          <w:sz w:val="25"/>
          <w:szCs w:val="25"/>
        </w:rPr>
      </w:pPr>
    </w:p>
    <w:p>
      <w:pPr>
        <w:pStyle w:val="BodyText"/>
        <w:spacing w:line="314" w:lineRule="auto" w:before="44"/>
        <w:ind w:right="1115"/>
        <w:jc w:val="left"/>
      </w:pPr>
      <w:r>
        <w:rPr>
          <w:spacing w:val="-2"/>
        </w:rPr>
        <w:t>价值为基础确定其入账价值，除非有确凿证据表明换入资产的公允价值更加可靠；不满足上述前提的非货币性资产交换，以</w:t>
      </w:r>
      <w:r>
        <w:rPr>
          <w:spacing w:val="-63"/>
        </w:rPr>
        <w:t> </w:t>
      </w:r>
      <w:r>
        <w:rPr>
          <w:spacing w:val="-63"/>
        </w:rPr>
      </w:r>
      <w:r>
        <w:rPr/>
        <w:t>换出资产的账面价值和应支付的相关税费作为换入无形资产的成本，不确认损益。</w:t>
      </w:r>
      <w:r>
        <w:rPr>
          <w:spacing w:val="-17"/>
        </w:rPr>
        <w:t> </w:t>
      </w:r>
      <w:r>
        <w:rPr/>
        <w:t>以同一控制下的企业吸收合并方式取得</w:t>
      </w:r>
      <w:r>
        <w:rPr/>
        <w:t> </w:t>
      </w:r>
      <w:r>
        <w:rPr>
          <w:spacing w:val="-2"/>
        </w:rPr>
        <w:t>的无形资产按被合并方的账面价值确定其入账价值；以非同一控制下的企业吸收合并方式取得的无形资产按公允价值确定其</w:t>
      </w:r>
      <w:r>
        <w:rPr>
          <w:spacing w:val="-64"/>
        </w:rPr>
        <w:t> </w:t>
      </w:r>
      <w:r>
        <w:rPr>
          <w:spacing w:val="-64"/>
        </w:rPr>
      </w:r>
      <w:r>
        <w:rPr/>
        <w:t>入账价值。</w:t>
      </w:r>
      <w:r>
        <w:rPr>
          <w:spacing w:val="-18"/>
        </w:rPr>
        <w:t> </w:t>
      </w:r>
      <w:r>
        <w:rPr/>
        <w:t>内部自行开发的无形资产，其成本包括：开发该无形资产时耗用的材料、劳务成本、注册费、在开发过程中使</w:t>
      </w:r>
      <w:r>
        <w:rPr/>
        <w:t> </w:t>
      </w:r>
      <w:r>
        <w:rPr>
          <w:spacing w:val="-2"/>
        </w:rPr>
        <w:t>用的其他专利权和特许权的摊销以及满足资本化条件的利息费用，以及为使该无形资产达到预定用途前所发生的其他直接费</w:t>
      </w:r>
      <w:r>
        <w:rPr>
          <w:spacing w:val="-64"/>
        </w:rPr>
        <w:t> </w:t>
      </w:r>
      <w:r>
        <w:rPr>
          <w:spacing w:val="-64"/>
        </w:rPr>
      </w:r>
      <w:r>
        <w:rPr/>
        <w:t>用。 ②后续计量 在取得无形资产时分析判断其使用寿命。 海润光伏科技股份有限公司 </w:t>
      </w:r>
      <w:r>
        <w:rPr>
          <w:rFonts w:ascii="Times New Roman" w:hAnsi="Times New Roman" w:cs="Times New Roman" w:eastAsia="Times New Roman" w:hint="default"/>
        </w:rPr>
        <w:t>2012 </w:t>
      </w:r>
      <w:r>
        <w:rPr/>
        <w:t>年年度报告</w:t>
      </w:r>
      <w:r>
        <w:rPr>
          <w:spacing w:val="-64"/>
        </w:rPr>
        <w:t> </w:t>
      </w:r>
      <w:r>
        <w:rPr>
          <w:rFonts w:ascii="Times New Roman" w:hAnsi="Times New Roman" w:cs="Times New Roman" w:eastAsia="Times New Roman" w:hint="default"/>
        </w:rPr>
        <w:t>127 </w:t>
      </w: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spacing w:line="240" w:lineRule="auto" w:before="12"/>
        <w:rPr>
          <w:rFonts w:ascii="宋体" w:hAnsi="宋体" w:cs="宋体" w:eastAsia="宋体" w:hint="default"/>
          <w:sz w:val="22"/>
          <w:szCs w:val="22"/>
        </w:rPr>
      </w:pPr>
    </w:p>
    <w:p>
      <w:pPr>
        <w:pStyle w:val="Heading4"/>
        <w:spacing w:line="240" w:lineRule="auto"/>
        <w:ind w:right="1115"/>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9"/>
        <w:gridCol w:w="2216"/>
        <w:gridCol w:w="5075"/>
      </w:tblGrid>
      <w:tr>
        <w:trPr>
          <w:trHeight w:val="401"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3"/>
        <w:rPr>
          <w:rFonts w:ascii="宋体" w:hAnsi="宋体" w:cs="宋体" w:eastAsia="宋体" w:hint="default"/>
          <w:b/>
          <w:bCs/>
          <w:sz w:val="19"/>
          <w:szCs w:val="19"/>
        </w:rPr>
      </w:pPr>
    </w:p>
    <w:p>
      <w:pPr>
        <w:spacing w:before="36"/>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both"/>
      </w:pPr>
      <w:r>
        <w:rPr/>
        <w:t>对于使用寿命确定的无形资产，如有明显减值迹象的，期末进行减值测试。</w:t>
      </w:r>
      <w:r>
        <w:rPr>
          <w:spacing w:val="-18"/>
        </w:rPr>
        <w:t> </w:t>
      </w:r>
      <w:r>
        <w:rPr/>
        <w:t>对于使用寿命不确定的无形资产，每期末</w:t>
      </w:r>
      <w:r>
        <w:rPr/>
        <w:t> 进行减值测试。</w:t>
      </w:r>
      <w:r>
        <w:rPr>
          <w:spacing w:val="-18"/>
        </w:rPr>
        <w:t> </w:t>
      </w:r>
      <w:r>
        <w:rPr/>
        <w:t>对无形资产进行减值测试，估计其可收回金额。有迹象表明一项无形资产可能发生减值的，公司以单项无</w:t>
      </w:r>
      <w:r>
        <w:rPr/>
        <w:t> </w:t>
      </w:r>
      <w:r>
        <w:rPr>
          <w:spacing w:val="-2"/>
        </w:rPr>
        <w:t>形资产为基础估计其可收回金额。公司难以对单项资产的可收回金额进行估计的，以该无形资产所属的资产组为基础确定无</w:t>
      </w:r>
      <w:r>
        <w:rPr>
          <w:spacing w:val="-64"/>
        </w:rPr>
        <w:t> </w:t>
      </w:r>
      <w:r>
        <w:rPr>
          <w:spacing w:val="-64"/>
        </w:rPr>
      </w:r>
      <w:r>
        <w:rPr/>
        <w:t>形资产组的可收回金额。</w:t>
      </w:r>
      <w:r>
        <w:rPr>
          <w:spacing w:val="-18"/>
        </w:rPr>
        <w:t> </w:t>
      </w:r>
      <w:r>
        <w:rPr/>
        <w:t>可收回金额根据无形资产的公允价值减去处置费用后的净额与无形资产预计未来现金流量的现值</w:t>
      </w:r>
      <w:r>
        <w:rPr/>
        <w:t> 两者之间较高者确定。</w:t>
      </w:r>
      <w:r>
        <w:rPr>
          <w:spacing w:val="-18"/>
        </w:rPr>
        <w:t> </w:t>
      </w:r>
      <w:r>
        <w:rPr/>
        <w:t>当无形资产的可收回金额低于其账面价值的，将无形资产的账面价值减记至可收回金额，减记的金</w:t>
      </w:r>
      <w:r>
        <w:rPr/>
        <w:t> 额确认为无形资产减值损失，计入当期损益，同时计提相应的无形资产减值准备。</w:t>
      </w:r>
      <w:r>
        <w:rPr>
          <w:spacing w:val="-17"/>
        </w:rPr>
        <w:t> </w:t>
      </w:r>
      <w:r>
        <w:rPr/>
        <w:t>无形资产减值损失确认后，减值无形资</w:t>
      </w:r>
      <w:r>
        <w:rPr/>
        <w:t> </w:t>
      </w:r>
      <w:r>
        <w:rPr>
          <w:spacing w:val="-2"/>
        </w:rPr>
        <w:t>产的折耗或者摊销费用在未来期间作相应调整，以使该无形资产在剩余使用寿命内，系统地分摊调整后的无形资产账面价值</w:t>
      </w:r>
    </w:p>
    <w:p>
      <w:pPr>
        <w:pStyle w:val="BodyText"/>
        <w:spacing w:line="240" w:lineRule="auto" w:before="19"/>
        <w:ind w:right="1115"/>
        <w:jc w:val="left"/>
      </w:pPr>
      <w:r>
        <w:rPr/>
        <w:t>（扣除预计净残值）。</w:t>
      </w:r>
      <w:r>
        <w:rPr>
          <w:spacing w:val="-18"/>
        </w:rPr>
        <w:t> </w:t>
      </w:r>
      <w:r>
        <w:rPr/>
        <w:t>无形资产的减值损失一经确认，在以后会计期间不再转回。</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5083" w:firstLine="271"/>
        <w:jc w:val="left"/>
      </w:pPr>
      <w:r>
        <w:rPr/>
        <w:t>本集团内部研究开发项目的支出分为研究阶段支出与开发阶段支出。 研究阶段的支出，于发生时计入当期损益。</w:t>
      </w:r>
    </w:p>
    <w:p>
      <w:pPr>
        <w:pStyle w:val="BodyText"/>
        <w:spacing w:line="240" w:lineRule="auto" w:before="19"/>
        <w:ind w:left="633" w:right="1115"/>
        <w:jc w:val="left"/>
      </w:pPr>
      <w:r>
        <w:rPr/>
        <w:t>开发阶段的支出同时满足下列条件的，确认为无形资产，不能满足下述条件的开发阶段的支出计入当期损益：</w:t>
      </w:r>
    </w:p>
    <w:p>
      <w:pPr>
        <w:pStyle w:val="BodyText"/>
        <w:spacing w:line="240" w:lineRule="auto" w:before="76"/>
        <w:ind w:left="633" w:right="1115"/>
        <w:jc w:val="left"/>
      </w:pPr>
      <w:r>
        <w:rPr/>
        <w:t>①</w:t>
      </w:r>
      <w:r>
        <w:rPr>
          <w:spacing w:val="-18"/>
        </w:rPr>
        <w:t> </w:t>
      </w:r>
      <w:r>
        <w:rPr/>
        <w:t>完成该无形资产以使其能够使用或出售在技术上具有可行性；</w:t>
      </w:r>
    </w:p>
    <w:p>
      <w:pPr>
        <w:pStyle w:val="BodyText"/>
        <w:spacing w:line="240" w:lineRule="auto" w:before="76"/>
        <w:ind w:left="633" w:right="1115"/>
        <w:jc w:val="left"/>
      </w:pPr>
      <w:r>
        <w:rPr/>
        <w:t>②</w:t>
      </w:r>
      <w:r>
        <w:rPr>
          <w:spacing w:val="-18"/>
        </w:rPr>
        <w:t> </w:t>
      </w:r>
      <w:r>
        <w:rPr/>
        <w:t>具有完成该无形资产并使用或出售的意图；</w:t>
      </w:r>
    </w:p>
    <w:p>
      <w:pPr>
        <w:pStyle w:val="BodyText"/>
        <w:spacing w:line="316" w:lineRule="auto" w:before="76"/>
        <w:ind w:right="1202" w:firstLine="480"/>
        <w:jc w:val="left"/>
      </w:pPr>
      <w:r>
        <w:rPr/>
        <w:t>③</w:t>
      </w:r>
      <w:r>
        <w:rPr>
          <w:spacing w:val="-18"/>
        </w:rPr>
        <w:t> </w:t>
      </w:r>
      <w:r>
        <w:rPr/>
        <w:t>无形资产产生经济利益的方式，包括能够证明运用该无形资产生产的产品存在市场或无形资产自身存在市场，无</w:t>
      </w:r>
      <w:r>
        <w:rPr/>
        <w:t> 形资产将在内部使用的，能够证明其有用性；</w:t>
      </w:r>
    </w:p>
    <w:p>
      <w:pPr>
        <w:pStyle w:val="BodyText"/>
        <w:spacing w:line="240" w:lineRule="auto" w:before="19"/>
        <w:ind w:left="633" w:right="1115"/>
        <w:jc w:val="left"/>
      </w:pPr>
      <w:r>
        <w:rPr/>
        <w:t>④</w:t>
      </w:r>
      <w:r>
        <w:rPr>
          <w:spacing w:val="-18"/>
        </w:rPr>
        <w:t> </w:t>
      </w:r>
      <w:r>
        <w:rPr/>
        <w:t>有足够的技术、财务资源和其他资源支持，以完成该无形资产的开发，并有能力使用或出售该无形资产；</w:t>
      </w:r>
    </w:p>
    <w:p>
      <w:pPr>
        <w:pStyle w:val="BodyText"/>
        <w:spacing w:line="316" w:lineRule="auto" w:before="76"/>
        <w:ind w:right="4274" w:firstLine="480"/>
        <w:jc w:val="left"/>
      </w:pPr>
      <w:r>
        <w:rPr/>
        <w:t>⑤</w:t>
      </w:r>
      <w:r>
        <w:rPr>
          <w:spacing w:val="-18"/>
        </w:rPr>
        <w:t> </w:t>
      </w:r>
      <w:r>
        <w:rPr/>
        <w:t>归属于该无形资产开发阶段的支出能够可靠地计量。</w:t>
      </w:r>
      <w:r>
        <w:rPr/>
        <w:t> 无法区分研究阶段支出和开发阶段支出的，将发生的研发支出全部计入当期损益。</w:t>
      </w:r>
    </w:p>
    <w:p>
      <w:pPr>
        <w:spacing w:line="240" w:lineRule="auto" w:before="10"/>
        <w:rPr>
          <w:rFonts w:ascii="宋体" w:hAnsi="宋体" w:cs="宋体" w:eastAsia="宋体" w:hint="default"/>
          <w:sz w:val="22"/>
          <w:szCs w:val="22"/>
        </w:rPr>
      </w:pPr>
    </w:p>
    <w:p>
      <w:pPr>
        <w:pStyle w:val="Heading4"/>
        <w:spacing w:line="240" w:lineRule="auto"/>
        <w:ind w:right="1115"/>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633" w:right="0"/>
        <w:jc w:val="left"/>
      </w:pPr>
      <w:r>
        <w:rPr/>
        <w:t>长期待摊费用为已经发生但应由报告期和以后各期负担的分摊期限在一年以上的各项费用。长期待摊费用在预计受益</w:t>
      </w:r>
    </w:p>
    <w:p>
      <w:pPr>
        <w:spacing w:after="0" w:line="240" w:lineRule="auto"/>
        <w:jc w:val="left"/>
        <w:sectPr>
          <w:pgSz w:w="11910" w:h="16840"/>
          <w:pgMar w:header="877" w:footer="1315"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15"/>
        <w:jc w:val="left"/>
      </w:pPr>
      <w:r>
        <w:rPr/>
        <w:t>期间按直线法摊销。</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00" w:lineRule="auto"/>
        <w:ind w:right="1115" w:firstLine="480"/>
        <w:jc w:val="left"/>
      </w:pPr>
      <w:r>
        <w:rPr>
          <w:spacing w:val="-1"/>
        </w:rPr>
        <w:t>当与或有事项相关的义务同时符合以下条件，确认为预计负债：（</w:t>
      </w:r>
      <w:r>
        <w:rPr>
          <w:rFonts w:ascii="Times New Roman" w:hAnsi="Times New Roman" w:cs="Times New Roman" w:eastAsia="Times New Roman" w:hint="default"/>
          <w:spacing w:val="-1"/>
        </w:rPr>
        <w:t>1</w:t>
      </w:r>
      <w:r>
        <w:rPr>
          <w:spacing w:val="-1"/>
        </w:rPr>
        <w:t>）该义务是本集团承担的现时义务；（</w:t>
      </w:r>
      <w:r>
        <w:rPr>
          <w:rFonts w:ascii="Times New Roman" w:hAnsi="Times New Roman" w:cs="Times New Roman" w:eastAsia="Times New Roman" w:hint="default"/>
          <w:spacing w:val="-1"/>
        </w:rPr>
        <w:t>2</w:t>
      </w:r>
      <w:r>
        <w:rPr>
          <w:spacing w:val="-1"/>
        </w:rPr>
        <w:t>）履行该</w:t>
      </w:r>
      <w:r>
        <w:rPr/>
        <w:t> 义务很可能导致经济利益流出；（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right="1115" w:firstLine="480"/>
        <w:jc w:val="left"/>
      </w:pPr>
      <w:r>
        <w:rPr>
          <w:spacing w:val="-1"/>
        </w:rPr>
        <w:t>在资产负债表日，考虑与或有事项有关的风险、不确定性和货币时间价值等因素，按照履行相关现时义务所需支出的</w:t>
      </w:r>
      <w:r>
        <w:rPr/>
        <w:t> 最佳估计数对预计负债进行计量。</w:t>
      </w:r>
    </w:p>
    <w:p>
      <w:pPr>
        <w:pStyle w:val="BodyText"/>
        <w:spacing w:line="316" w:lineRule="auto" w:before="19"/>
        <w:ind w:right="0" w:firstLine="480"/>
        <w:jc w:val="left"/>
      </w:pPr>
      <w:r>
        <w:rPr/>
        <w:t>如果清偿预计负债所需支出全部或部分预期由第三方补偿的，补偿金额在基本确定能够收到时，作为资产单独确认， 且确认的补偿金额不超过预计负债的账面价值。</w:t>
      </w:r>
    </w:p>
    <w:p>
      <w:pPr>
        <w:spacing w:line="240" w:lineRule="auto" w:before="11"/>
        <w:rPr>
          <w:rFonts w:ascii="宋体" w:hAnsi="宋体" w:cs="宋体" w:eastAsia="宋体" w:hint="default"/>
          <w:sz w:val="22"/>
          <w:szCs w:val="22"/>
        </w:rPr>
      </w:pPr>
    </w:p>
    <w:p>
      <w:pPr>
        <w:pStyle w:val="Heading4"/>
        <w:spacing w:line="240" w:lineRule="auto"/>
        <w:ind w:right="1115"/>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、回购本公司股份</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130" w:firstLine="271"/>
        <w:jc w:val="both"/>
      </w:pPr>
      <w:r>
        <w:rPr/>
        <w:t>在已将商品所有权上的主要风险和报酬转移给买方，既没有保留通常与所有权相联系的继续管理权，也没有对已售商品 </w:t>
      </w:r>
      <w:r>
        <w:rPr>
          <w:spacing w:val="-2"/>
        </w:rPr>
        <w:t>实施有效控制，收入的金额能够可靠地计量，相关的经济利益很可能流入企业，相关的已发生或将发生的成本能够可靠地计</w:t>
      </w:r>
      <w:r>
        <w:rPr>
          <w:spacing w:val="-63"/>
        </w:rPr>
        <w:t> </w:t>
      </w:r>
      <w:r>
        <w:rPr>
          <w:spacing w:val="-63"/>
        </w:rPr>
      </w:r>
      <w:r>
        <w:rPr/>
        <w:t>量时，确认商品销售收入的实现。</w:t>
      </w:r>
    </w:p>
    <w:p>
      <w:pPr>
        <w:spacing w:line="240" w:lineRule="auto" w:before="11"/>
        <w:rPr>
          <w:rFonts w:ascii="宋体" w:hAnsi="宋体" w:cs="宋体" w:eastAsia="宋体" w:hint="default"/>
          <w:sz w:val="22"/>
          <w:szCs w:val="22"/>
        </w:rPr>
      </w:pPr>
    </w:p>
    <w:p>
      <w:pPr>
        <w:pStyle w:val="Heading4"/>
        <w:spacing w:line="240" w:lineRule="auto"/>
        <w:ind w:right="1115"/>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271"/>
        <w:jc w:val="both"/>
      </w:pPr>
      <w:r>
        <w:rPr>
          <w:spacing w:val="-4"/>
        </w:rPr>
        <w:t>与交易相关的经济利益很可能流入公司；收入的金额能够可靠地计量时，分别下列情况确定让渡资产使用权收入金额：①</w:t>
      </w:r>
      <w:r>
        <w:rPr/>
        <w:t> 利息收入金额，按照他人使用本公司货币资金的时间和实际利率计算确定。</w:t>
      </w:r>
      <w:r>
        <w:rPr>
          <w:spacing w:val="-17"/>
        </w:rPr>
        <w:t> </w:t>
      </w:r>
      <w:r>
        <w:rPr/>
        <w:t>②使用费收入金额，按照有关合同或协议约定</w:t>
      </w:r>
      <w:r>
        <w:rPr/>
        <w:t> 的收费时间和方法计算确定。</w:t>
      </w:r>
    </w:p>
    <w:p>
      <w:pPr>
        <w:spacing w:after="0" w:line="316" w:lineRule="auto"/>
        <w:jc w:val="both"/>
        <w:sectPr>
          <w:pgSz w:w="11910" w:h="16840"/>
          <w:pgMar w:header="877" w:footer="1315"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5" w:firstLine="480"/>
        <w:jc w:val="both"/>
      </w:pPr>
      <w:r>
        <w:rPr>
          <w:spacing w:val="-1"/>
        </w:rPr>
        <w:t>在提供劳务交易的结果能够可靠估计的情况下，于资产负债表日按照完工百分比法确认提供的劳务收入。劳务交易的</w:t>
      </w:r>
      <w:r>
        <w:rPr/>
        <w:t> 完工进度按已经发生的劳务成本占估计总成本的比例确定。</w:t>
      </w:r>
    </w:p>
    <w:p>
      <w:pPr>
        <w:pStyle w:val="BodyText"/>
        <w:spacing w:line="240" w:lineRule="auto" w:before="19"/>
        <w:ind w:left="633" w:right="0"/>
        <w:jc w:val="left"/>
      </w:pPr>
      <w:r>
        <w:rPr>
          <w:spacing w:val="-3"/>
        </w:rPr>
        <w:t>提供劳务交易的结果能够可靠估计是指同时满足：①收入的金额能够可靠地计量；②相关的经济利益很可能流入企业；</w:t>
      </w:r>
    </w:p>
    <w:p>
      <w:pPr>
        <w:pStyle w:val="BodyText"/>
        <w:spacing w:line="316" w:lineRule="auto" w:before="76"/>
        <w:ind w:left="633" w:right="0" w:hanging="481"/>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316" w:lineRule="auto" w:before="19"/>
        <w:ind w:left="633" w:right="1115" w:hanging="481"/>
        <w:jc w:val="left"/>
      </w:pPr>
      <w:r>
        <w:rPr/>
        <w:t>并将已发生的劳务成本作为当期费用。已经发生的劳务成本如预计不能得到补偿的，则不确认收入。 </w:t>
      </w:r>
      <w:r>
        <w:rPr>
          <w:spacing w:val="-1"/>
        </w:rPr>
        <w:t>本集团与其他企业签订的合同或协议包括销售商品和提供劳务时，如销售商品部分和提供劳务部分能够区分并单独计</w:t>
      </w:r>
    </w:p>
    <w:p>
      <w:pPr>
        <w:pStyle w:val="BodyText"/>
        <w:spacing w:line="316" w:lineRule="auto" w:before="19"/>
        <w:ind w:right="1115"/>
        <w:jc w:val="left"/>
      </w:pPr>
      <w:r>
        <w:rPr>
          <w:spacing w:val="-2"/>
        </w:rPr>
        <w:t>量的，将销售商品部分和提供劳务部分分别处理；如销售商品部分和提供劳务部分不能够区分，或虽能区分但不能够单独计</w:t>
      </w:r>
      <w:r>
        <w:rPr>
          <w:spacing w:val="-63"/>
        </w:rPr>
        <w:t> </w:t>
      </w:r>
      <w:r>
        <w:rPr>
          <w:spacing w:val="-63"/>
        </w:rPr>
      </w:r>
      <w:r>
        <w:rPr/>
        <w:t>量的，将该合同全部作为销售商品处理。</w:t>
      </w:r>
    </w:p>
    <w:p>
      <w:pPr>
        <w:spacing w:line="240" w:lineRule="auto" w:before="11"/>
        <w:rPr>
          <w:rFonts w:ascii="宋体" w:hAnsi="宋体" w:cs="宋体" w:eastAsia="宋体" w:hint="default"/>
          <w:sz w:val="22"/>
          <w:szCs w:val="22"/>
        </w:rPr>
      </w:pPr>
    </w:p>
    <w:p>
      <w:pPr>
        <w:pStyle w:val="Heading4"/>
        <w:spacing w:line="240" w:lineRule="auto"/>
        <w:ind w:right="1115"/>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123" w:firstLine="271"/>
        <w:jc w:val="left"/>
      </w:pPr>
      <w:r>
        <w:rPr/>
        <w:t>政府补助是指本集团从政府无偿取得货币性资产和非货币性资产，不包括政府作为所有者投入的资本。政府补助分为与 资产相关的政府补助和与收益相关的政府补助。</w:t>
      </w:r>
    </w:p>
    <w:p>
      <w:pPr>
        <w:spacing w:line="240" w:lineRule="auto" w:before="10"/>
        <w:rPr>
          <w:rFonts w:ascii="宋体" w:hAnsi="宋体" w:cs="宋体" w:eastAsia="宋体" w:hint="default"/>
          <w:sz w:val="22"/>
          <w:szCs w:val="22"/>
        </w:rPr>
      </w:pPr>
    </w:p>
    <w:p>
      <w:pPr>
        <w:pStyle w:val="Heading4"/>
        <w:spacing w:line="240" w:lineRule="auto"/>
        <w:ind w:right="1115"/>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0" w:firstLine="480"/>
        <w:jc w:val="both"/>
      </w:pPr>
      <w:r>
        <w:rPr>
          <w:spacing w:val="-1"/>
        </w:rPr>
        <w:t>政府补助为货币性资产的，按照收到或应收的金额计量。政府补助为非货币性资产的，按照公允价值计量；公允价值</w:t>
      </w:r>
      <w:r>
        <w:rPr/>
        <w:t> 不能够可靠取得的，按照名义金额计量。按照名义金额计量的政府补助，直接计入当期损益。</w:t>
      </w:r>
    </w:p>
    <w:p>
      <w:pPr>
        <w:pStyle w:val="BodyText"/>
        <w:spacing w:line="316" w:lineRule="auto" w:before="17"/>
        <w:ind w:right="1131" w:firstLine="480"/>
        <w:jc w:val="both"/>
      </w:pPr>
      <w:r>
        <w:rPr>
          <w:spacing w:val="-1"/>
        </w:rPr>
        <w:t>与资产相关的政府补助，确认为递延收益，并在相关资产的使用寿命内平均分配计入当期损益。与收益相关的政府补</w:t>
      </w:r>
      <w:r>
        <w:rPr/>
        <w:t> </w:t>
      </w:r>
      <w:r>
        <w:rPr>
          <w:spacing w:val="-2"/>
        </w:rPr>
        <w:t>助，用于补偿以后期间的相关费用和损失的，确认为递延收益，并在确认相关费用的期间计入当期损益；用于补偿已经发生</w:t>
      </w:r>
      <w:r>
        <w:rPr>
          <w:spacing w:val="-65"/>
        </w:rPr>
        <w:t> </w:t>
      </w:r>
      <w:r>
        <w:rPr>
          <w:spacing w:val="-65"/>
        </w:rPr>
      </w:r>
      <w:r>
        <w:rPr/>
        <w:t>的相关费用和损失的，直接计入当期损益。</w:t>
      </w:r>
    </w:p>
    <w:p>
      <w:pPr>
        <w:pStyle w:val="BodyText"/>
        <w:spacing w:line="316" w:lineRule="auto" w:before="19"/>
        <w:ind w:right="1132" w:firstLine="480"/>
        <w:jc w:val="both"/>
      </w:pPr>
      <w:r>
        <w:rPr>
          <w:spacing w:val="-1"/>
        </w:rPr>
        <w:t>已确认的政府补助需要返还时，存在相关递延收益余额的，冲减相关递延收益账面余额，超出部分计入当期损益；不</w:t>
      </w:r>
      <w:r>
        <w:rPr/>
        <w:t> 存在相关递延收益的，直接计入当期损益。</w:t>
      </w:r>
    </w:p>
    <w:p>
      <w:pPr>
        <w:spacing w:line="240" w:lineRule="auto" w:before="10"/>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4" w:lineRule="auto"/>
        <w:ind w:right="1115" w:firstLine="271"/>
        <w:jc w:val="left"/>
      </w:pPr>
      <w:r>
        <w:rPr>
          <w:spacing w:val="-2"/>
        </w:rPr>
        <w:t>（</w:t>
      </w:r>
      <w:r>
        <w:rPr>
          <w:rFonts w:ascii="Times New Roman" w:hAnsi="Times New Roman" w:cs="Times New Roman" w:eastAsia="Times New Roman" w:hint="default"/>
          <w:spacing w:val="-2"/>
        </w:rPr>
        <w:t>1</w:t>
      </w:r>
      <w:r>
        <w:rPr>
          <w:spacing w:val="-2"/>
        </w:rPr>
        <w:t>）当期所得税资产负债表日，对于当期和以前期间形成的当期所得税负债（或资产），以按照税法规定计算的预期应</w:t>
      </w:r>
      <w:r>
        <w:rPr/>
        <w:t> </w:t>
      </w:r>
      <w:r>
        <w:rPr>
          <w:spacing w:val="-2"/>
        </w:rPr>
        <w:t>交纳（或返还）的所得税金额计量。计算当期所得税费用所依据的应纳税所得额系根据有关税法规定对本报告期税前会计利</w:t>
      </w:r>
      <w:r>
        <w:rPr>
          <w:spacing w:val="-65"/>
        </w:rPr>
        <w:t> </w:t>
      </w:r>
      <w:r>
        <w:rPr>
          <w:spacing w:val="-65"/>
        </w:rPr>
      </w:r>
      <w:r>
        <w:rPr>
          <w:spacing w:val="-7"/>
        </w:rPr>
        <w:t>润作相应调整后计算得出。（</w:t>
      </w:r>
      <w:r>
        <w:rPr>
          <w:rFonts w:ascii="Times New Roman" w:hAnsi="Times New Roman" w:cs="Times New Roman" w:eastAsia="Times New Roman" w:hint="default"/>
          <w:spacing w:val="-7"/>
        </w:rPr>
        <w:t>2</w:t>
      </w:r>
      <w:r>
        <w:rPr>
          <w:spacing w:val="-7"/>
        </w:rPr>
        <w:t>）递延所得税资产及递延所得税负债某些资产、负债项目的账面价值与其计税基础之间的差额，</w:t>
      </w:r>
      <w:r>
        <w:rPr>
          <w:spacing w:val="-51"/>
        </w:rPr>
        <w:t> </w:t>
      </w:r>
      <w:r>
        <w:rPr>
          <w:spacing w:val="-51"/>
        </w:rPr>
      </w:r>
      <w:r>
        <w:rPr/>
        <w:t>以及未作为资产和负债确认但按照税法规定可以确定其计税基础的项目的账面价值与计税基础之间的差额产生的暂时性差 </w:t>
      </w:r>
      <w:r>
        <w:rPr>
          <w:spacing w:val="-2"/>
        </w:rPr>
        <w:t>异，采用资产负债表债务法确认递延所得税资产及递延所得税负债。与商誉的初始确认有关，以及与既不是企业合并、发生</w:t>
      </w:r>
      <w:r>
        <w:rPr>
          <w:spacing w:val="-64"/>
        </w:rPr>
        <w:t> </w:t>
      </w:r>
      <w:r>
        <w:rPr>
          <w:spacing w:val="-64"/>
        </w:rPr>
      </w:r>
      <w:r>
        <w:rPr>
          <w:spacing w:val="-2"/>
        </w:rPr>
        <w:t>时也不影响会计利润和应纳税所得额（或可抵扣亏损）的交易中产生的资产或负债的初始确认有关的应纳税暂时性差异，不</w:t>
      </w:r>
      <w:r>
        <w:rPr>
          <w:spacing w:val="-66"/>
        </w:rPr>
        <w:t> </w:t>
      </w:r>
      <w:r>
        <w:rPr>
          <w:spacing w:val="-66"/>
        </w:rPr>
      </w:r>
      <w:r>
        <w:rPr>
          <w:spacing w:val="-2"/>
        </w:rPr>
        <w:t>予确认有关的递延所得税负债。此外，对与子公司、联营企业及合营企业投资相关的应纳税暂时性差异，如果本集团能够控</w:t>
      </w:r>
      <w:r>
        <w:rPr>
          <w:spacing w:val="-65"/>
        </w:rPr>
        <w:t> </w:t>
      </w:r>
      <w:r>
        <w:rPr>
          <w:spacing w:val="-65"/>
        </w:rPr>
      </w:r>
      <w:r>
        <w:rPr>
          <w:spacing w:val="-2"/>
        </w:rPr>
        <w:t>制暂时性差异转回的时间，而且该暂时性差异在可预见的未来很可能不会转回，也不予确认有关的递延所得税负债。除上述</w:t>
      </w:r>
      <w:r>
        <w:rPr>
          <w:spacing w:val="-63"/>
        </w:rPr>
        <w:t> </w:t>
      </w:r>
      <w:r>
        <w:rPr>
          <w:spacing w:val="-63"/>
        </w:rPr>
      </w:r>
      <w:r>
        <w:rPr>
          <w:spacing w:val="-2"/>
        </w:rPr>
        <w:t>例外情况，本集团确认其他所有应纳税暂时性差异产生的递延所得税负债。与既不是企业合并、发生时也不影响会计利润和</w:t>
      </w:r>
    </w:p>
    <w:p>
      <w:pPr>
        <w:pStyle w:val="BodyText"/>
        <w:spacing w:line="240" w:lineRule="auto" w:before="20"/>
        <w:ind w:right="0"/>
        <w:jc w:val="left"/>
      </w:pPr>
      <w:r>
        <w:rPr/>
        <w:t>应纳税所得额（或可抵扣亏损）的交易中产生的资产或负债的初始确认有关的可抵扣暂时性差异，不予确认有关的递延所得</w:t>
      </w:r>
    </w:p>
    <w:p>
      <w:pPr>
        <w:spacing w:after="0" w:line="240" w:lineRule="auto"/>
        <w:jc w:val="left"/>
        <w:sectPr>
          <w:pgSz w:w="11910" w:h="16840"/>
          <w:pgMar w:header="877" w:footer="1315" w:top="1060" w:bottom="1500" w:left="980" w:right="0"/>
        </w:sectPr>
      </w:pPr>
    </w:p>
    <w:p>
      <w:pPr>
        <w:spacing w:line="240" w:lineRule="auto" w:before="9"/>
        <w:rPr>
          <w:rFonts w:ascii="宋体" w:hAnsi="宋体" w:cs="宋体" w:eastAsia="宋体" w:hint="default"/>
          <w:sz w:val="25"/>
          <w:szCs w:val="25"/>
        </w:rPr>
      </w:pPr>
    </w:p>
    <w:p>
      <w:pPr>
        <w:pStyle w:val="BodyText"/>
        <w:spacing w:line="314" w:lineRule="auto" w:before="44"/>
        <w:ind w:right="1128"/>
        <w:jc w:val="both"/>
      </w:pPr>
      <w:r>
        <w:rPr>
          <w:spacing w:val="-2"/>
        </w:rPr>
        <w:t>税资产。此外，对与子公司、联营企业及合营企业投资相关的可抵扣暂时性差异，如果暂时性差异在可预见的未来不是很可</w:t>
      </w:r>
      <w:r>
        <w:rPr>
          <w:spacing w:val="-66"/>
        </w:rPr>
        <w:t> </w:t>
      </w:r>
      <w:r>
        <w:rPr>
          <w:spacing w:val="-66"/>
        </w:rPr>
      </w:r>
      <w:r>
        <w:rPr>
          <w:spacing w:val="-2"/>
        </w:rPr>
        <w:t>能转回，或者未来不是很可能获得用来抵扣可抵扣暂时性差异的应纳税所得额，不予确认有关的递延所得税资产。除上述例</w:t>
      </w:r>
      <w:r>
        <w:rPr>
          <w:spacing w:val="-62"/>
        </w:rPr>
        <w:t> </w:t>
      </w:r>
      <w:r>
        <w:rPr>
          <w:spacing w:val="-62"/>
        </w:rPr>
      </w:r>
      <w:r>
        <w:rPr>
          <w:spacing w:val="-2"/>
        </w:rPr>
        <w:t>外情况，本集团以很可能取得用来抵扣可抵扣暂时性差异的应纳税所得额为限，确认其他可抵扣暂时性差异产生的递延所得</w:t>
      </w:r>
      <w:r>
        <w:rPr>
          <w:spacing w:val="-64"/>
        </w:rPr>
        <w:t> </w:t>
      </w:r>
      <w:r>
        <w:rPr>
          <w:spacing w:val="-64"/>
        </w:rPr>
      </w:r>
      <w:r>
        <w:rPr>
          <w:spacing w:val="-2"/>
        </w:rPr>
        <w:t>税资产。对于能够结转以后年度的可抵扣亏损和税款抵减，以很可能获得用来抵扣可抵扣亏损和税款抵减的未来应纳税所得</w:t>
      </w:r>
      <w:r>
        <w:rPr>
          <w:spacing w:val="-64"/>
        </w:rPr>
        <w:t> </w:t>
      </w:r>
      <w:r>
        <w:rPr>
          <w:spacing w:val="-64"/>
        </w:rPr>
      </w:r>
      <w:r>
        <w:rPr>
          <w:spacing w:val="-2"/>
        </w:rPr>
        <w:t>额为限，确认相应的递延所得税资产。资产负债表日，对于递延所得税资产和递延所得税负债，根据税法规定，按照预期收</w:t>
      </w:r>
      <w:r>
        <w:rPr>
          <w:spacing w:val="-67"/>
        </w:rPr>
        <w:t> </w:t>
      </w:r>
      <w:r>
        <w:rPr>
          <w:spacing w:val="-67"/>
        </w:rPr>
      </w:r>
      <w:r>
        <w:rPr>
          <w:spacing w:val="-2"/>
        </w:rPr>
        <w:t>回相关资产或清偿相关负债期间的适用税率计量。于资产负债表日，对递延所得税资产的账面价值进行复核，如果未来很可</w:t>
      </w:r>
      <w:r>
        <w:rPr>
          <w:spacing w:val="-61"/>
        </w:rPr>
        <w:t> </w:t>
      </w:r>
      <w:r>
        <w:rPr>
          <w:spacing w:val="-61"/>
        </w:rPr>
      </w:r>
      <w:r>
        <w:rPr>
          <w:spacing w:val="-2"/>
        </w:rPr>
        <w:t>能无法获得足够的应纳税所得额用以抵扣递延所得税资产的利益，则减记递延所得税资产的账面价值。在很可能获得足够的</w:t>
      </w:r>
      <w:r>
        <w:rPr>
          <w:spacing w:val="-64"/>
        </w:rPr>
        <w:t> </w:t>
      </w:r>
      <w:r>
        <w:rPr>
          <w:spacing w:val="-64"/>
        </w:rPr>
      </w:r>
      <w:r>
        <w:rPr>
          <w:spacing w:val="-4"/>
        </w:rPr>
        <w:t>应纳税所得额时，减记的金额予以转回。（</w:t>
      </w:r>
      <w:r>
        <w:rPr>
          <w:rFonts w:ascii="Times New Roman" w:hAnsi="Times New Roman" w:cs="Times New Roman" w:eastAsia="Times New Roman" w:hint="default"/>
          <w:spacing w:val="-4"/>
        </w:rPr>
        <w:t>3</w:t>
      </w:r>
      <w:r>
        <w:rPr>
          <w:spacing w:val="-4"/>
        </w:rPr>
        <w:t>）所得税费用所得税费用包括当期所得税和递延所得税。除确认为其他综合收益</w:t>
      </w:r>
      <w:r>
        <w:rPr>
          <w:spacing w:val="-41"/>
        </w:rPr>
        <w:t> </w:t>
      </w:r>
      <w:r>
        <w:rPr>
          <w:spacing w:val="-41"/>
        </w:rPr>
      </w:r>
      <w:r>
        <w:rPr>
          <w:spacing w:val="-2"/>
        </w:rPr>
        <w:t>或直接计入所有者权益的交易和事项相关的当期所得税和递延所得税计入其他综合收益或所有者权益，以及企业合并产生的</w:t>
      </w:r>
      <w:r>
        <w:rPr>
          <w:spacing w:val="-64"/>
        </w:rPr>
        <w:t> </w:t>
      </w:r>
      <w:r>
        <w:rPr>
          <w:spacing w:val="-64"/>
        </w:rPr>
      </w:r>
      <w:r>
        <w:rPr>
          <w:spacing w:val="-4"/>
        </w:rPr>
        <w:t>递延所得税调整商誉的账面价值外，其余当期所得税和递延所得税费用或收益计入当期损益。（</w:t>
      </w:r>
      <w:r>
        <w:rPr>
          <w:rFonts w:ascii="Times New Roman" w:hAnsi="Times New Roman" w:cs="Times New Roman" w:eastAsia="Times New Roman" w:hint="default"/>
          <w:spacing w:val="-4"/>
        </w:rPr>
        <w:t>4</w:t>
      </w:r>
      <w:r>
        <w:rPr>
          <w:spacing w:val="-4"/>
        </w:rPr>
        <w:t>）所得税的抵销当拥有以净</w:t>
      </w:r>
      <w:r>
        <w:rPr>
          <w:spacing w:val="-43"/>
        </w:rPr>
        <w:t> </w:t>
      </w:r>
      <w:r>
        <w:rPr>
          <w:spacing w:val="-43"/>
        </w:rPr>
      </w:r>
      <w:r>
        <w:rPr>
          <w:spacing w:val="-2"/>
        </w:rPr>
        <w:t>额结算的法定权利，且意图以净额结算或取得资产、清偿负债同时进行时，本集团当期所得税资产及当期所得税负债以抵销</w:t>
      </w:r>
      <w:r>
        <w:rPr>
          <w:spacing w:val="-62"/>
        </w:rPr>
        <w:t> </w:t>
      </w:r>
      <w:r>
        <w:rPr>
          <w:spacing w:val="-62"/>
        </w:rPr>
      </w:r>
      <w:r>
        <w:rPr>
          <w:spacing w:val="-2"/>
        </w:rPr>
        <w:t>后的净额列报。当拥有以净额结算当期所得税资产及当期所得税负债的法定权利，且递延所得税资产及递延所得税负债是与</w:t>
      </w:r>
      <w:r>
        <w:rPr>
          <w:spacing w:val="-64"/>
        </w:rPr>
        <w:t> </w:t>
      </w:r>
      <w:r>
        <w:rPr>
          <w:spacing w:val="-64"/>
        </w:rPr>
      </w:r>
      <w:r>
        <w:rPr>
          <w:spacing w:val="-2"/>
        </w:rPr>
        <w:t>同一税收征管部门对同一纳税主体征收的所得税相关或者是对不同的纳税主体相关，但在未来每一具有重要性的递延所得税</w:t>
      </w:r>
      <w:r>
        <w:rPr>
          <w:spacing w:val="-64"/>
        </w:rPr>
        <w:t> </w:t>
      </w:r>
      <w:r>
        <w:rPr>
          <w:spacing w:val="-64"/>
        </w:rPr>
      </w:r>
      <w:r>
        <w:rPr>
          <w:spacing w:val="-2"/>
        </w:rPr>
        <w:t>资产及负债转回的期间内，涉及的纳税主体意图以净额结算当期所得税资产和负债或是同时取得资产、清偿负债时，本集团</w:t>
      </w:r>
      <w:r>
        <w:rPr>
          <w:spacing w:val="-66"/>
        </w:rPr>
        <w:t> </w:t>
      </w:r>
      <w:r>
        <w:rPr>
          <w:spacing w:val="-66"/>
        </w:rPr>
      </w:r>
      <w:r>
        <w:rPr/>
        <w:t>递延所得税资产及递延所得税负债以抵销后的净额列报。</w:t>
      </w:r>
    </w:p>
    <w:p>
      <w:pPr>
        <w:spacing w:line="240" w:lineRule="auto" w:before="12"/>
        <w:rPr>
          <w:rFonts w:ascii="宋体" w:hAnsi="宋体" w:cs="宋体" w:eastAsia="宋体" w:hint="default"/>
          <w:sz w:val="22"/>
          <w:szCs w:val="22"/>
        </w:rPr>
      </w:pPr>
    </w:p>
    <w:p>
      <w:pPr>
        <w:pStyle w:val="Heading4"/>
        <w:spacing w:line="240" w:lineRule="auto"/>
        <w:ind w:right="1115"/>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、经营租赁、融资租赁</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right="1034"/>
        <w:jc w:val="left"/>
      </w:pPr>
      <w:r>
        <w:rPr/>
        <w:t>①</w:t>
      </w:r>
      <w:r>
        <w:rPr>
          <w:spacing w:val="-18"/>
        </w:rPr>
        <w:t> </w:t>
      </w:r>
      <w:r>
        <w:rPr/>
        <w:t>公司租入资产所支付的租赁费，在不扣除免租期的整个租赁期内，按直线法进行分摊，计入当期费用。公司支付的与租</w:t>
      </w:r>
      <w:r>
        <w:rPr/>
        <w:t> 赁交易相关的初始直接费用，计入当期费用。</w:t>
      </w:r>
      <w:r>
        <w:rPr>
          <w:spacing w:val="-17"/>
        </w:rPr>
        <w:t> </w:t>
      </w:r>
      <w:r>
        <w:rPr/>
        <w:t>资产出租方承担了应由公司承担的与租赁相关的费用时，公司将该部分费用</w:t>
      </w:r>
      <w:r>
        <w:rPr/>
        <w:t> 从租金总额中扣除，按扣除后的租金费用在租赁期内分摊，计入当期费用。 ②</w:t>
      </w:r>
      <w:r>
        <w:rPr>
          <w:spacing w:val="-70"/>
        </w:rPr>
        <w:t> </w:t>
      </w:r>
      <w:r>
        <w:rPr/>
        <w:t>公司出租资产所收取的租赁费，在不扣除免</w:t>
      </w:r>
      <w:r>
        <w:rPr/>
        <w:t> 租期的整个租赁期内，按直线法进行分摊，确认为租赁收入。公司支付的与租赁交易相关的初始直接费用，计入当期费用；</w:t>
      </w:r>
      <w:r>
        <w:rPr>
          <w:spacing w:val="-86"/>
        </w:rPr>
        <w:t> </w:t>
      </w:r>
      <w:r>
        <w:rPr>
          <w:spacing w:val="-86"/>
        </w:rPr>
      </w:r>
      <w:r>
        <w:rPr/>
        <w:t>如金额较大的，则予以资本化，在整个租赁期间内按照与租赁收入确认相同的基础分期计入当期收益。</w:t>
      </w:r>
      <w:r>
        <w:rPr>
          <w:spacing w:val="-18"/>
        </w:rPr>
        <w:t> </w:t>
      </w:r>
      <w:r>
        <w:rPr/>
        <w:t>公司承担了应由承</w:t>
      </w:r>
      <w:r>
        <w:rPr/>
        <w:t> 租方承担的与租赁相关的费用时，公司将该部分费用从租金收入总额中扣除，按扣除后的租金费用在租赁期内分配。</w:t>
      </w:r>
    </w:p>
    <w:p>
      <w:pPr>
        <w:spacing w:line="240" w:lineRule="auto" w:before="10"/>
        <w:rPr>
          <w:rFonts w:ascii="宋体" w:hAnsi="宋体" w:cs="宋体" w:eastAsia="宋体" w:hint="default"/>
          <w:sz w:val="22"/>
          <w:szCs w:val="22"/>
        </w:rPr>
      </w:pPr>
    </w:p>
    <w:p>
      <w:pPr>
        <w:pStyle w:val="Heading4"/>
        <w:spacing w:line="240" w:lineRule="auto"/>
        <w:ind w:right="1115"/>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jc w:val="left"/>
      </w:pPr>
      <w:r>
        <w:rPr/>
        <w:t>①</w:t>
      </w:r>
      <w:r>
        <w:rPr>
          <w:spacing w:val="-16"/>
        </w:rPr>
        <w:t> </w:t>
      </w:r>
      <w:r>
        <w:rPr>
          <w:spacing w:val="-3"/>
        </w:rPr>
        <w:t>融资租入资产：公司在承租开始日，将租赁资产公允价值与最低租赁付款额现值两者中较低者作为租入资产的入账价值，</w:t>
      </w:r>
      <w:r>
        <w:rPr>
          <w:spacing w:val="-88"/>
        </w:rPr>
        <w:t> </w:t>
      </w:r>
      <w:r>
        <w:rPr>
          <w:spacing w:val="-88"/>
        </w:rPr>
      </w:r>
      <w:r>
        <w:rPr/>
        <w:t>将最低租赁付款额作为长期应付款的入账价值，其差额作为未确认的融资费用。公司采用实际利率法对未确认的融资费用，</w:t>
      </w:r>
      <w:r>
        <w:rPr>
          <w:spacing w:val="-86"/>
        </w:rPr>
        <w:t> </w:t>
      </w:r>
      <w:r>
        <w:rPr>
          <w:spacing w:val="-86"/>
        </w:rPr>
      </w:r>
      <w:r>
        <w:rPr/>
        <w:t>在资产租赁期间内摊销，计入财务费用。公司发生的初始直接费用，计入租入资产价值。</w:t>
      </w:r>
    </w:p>
    <w:p>
      <w:pPr>
        <w:spacing w:after="0" w:line="316" w:lineRule="auto"/>
        <w:jc w:val="left"/>
        <w:sectPr>
          <w:pgSz w:w="11910" w:h="16840"/>
          <w:pgMar w:header="877" w:footer="1315" w:top="1060" w:bottom="150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）持有待售资产确认标准</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）持有待售资产的会计处理方法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、资产证券化业务</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、套期会计</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本报告期主要会计政策、会计估计是否变更</w:t>
      </w:r>
    </w:p>
    <w:p>
      <w:pPr>
        <w:pStyle w:val="BodyText"/>
        <w:spacing w:line="240" w:lineRule="auto" w:before="115"/>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316" w:lineRule="auto" w:before="103"/>
        <w:ind w:right="1133" w:firstLine="480"/>
        <w:jc w:val="both"/>
      </w:pPr>
      <w:r>
        <w:rPr>
          <w:spacing w:val="-1"/>
        </w:rPr>
        <w:t>本集团在运用会计政策过程中，由于经营活动内在的不确定性，本集团需要对无法准确计量的报表项目的账面价值进</w:t>
      </w:r>
      <w:r>
        <w:rPr/>
        <w:t> </w:t>
      </w:r>
      <w:r>
        <w:rPr>
          <w:spacing w:val="-5"/>
        </w:rPr>
        <w:t>行判断、估计和假设。这些判断、估计和假设是基于本集团管理层过去的历史经验，并在考虑其他相关因素的基础上做出的。</w:t>
      </w:r>
      <w:r>
        <w:rPr>
          <w:spacing w:val="-78"/>
        </w:rPr>
        <w:t> </w:t>
      </w:r>
      <w:r>
        <w:rPr>
          <w:spacing w:val="-78"/>
        </w:rPr>
      </w:r>
      <w:r>
        <w:rPr>
          <w:spacing w:val="-2"/>
        </w:rPr>
        <w:t>这些判断、估计和假设会影响收入、费用、资产和负债的报告金额以及资产负债表日或有负债的披露。然而，这些估计的不</w:t>
      </w:r>
      <w:r>
        <w:rPr>
          <w:spacing w:val="-67"/>
        </w:rPr>
        <w:t> </w:t>
      </w:r>
      <w:r>
        <w:rPr>
          <w:spacing w:val="-67"/>
        </w:rPr>
      </w:r>
      <w:r>
        <w:rPr/>
        <w:t>确定性所导致的结果可能造成对未来受影响的资产或负债的账面金额进行重大调整。</w:t>
      </w:r>
    </w:p>
    <w:p>
      <w:pPr>
        <w:pStyle w:val="BodyText"/>
        <w:spacing w:line="316" w:lineRule="auto" w:before="19"/>
        <w:ind w:right="1132" w:firstLine="480"/>
        <w:jc w:val="both"/>
      </w:pPr>
      <w:r>
        <w:rPr>
          <w:spacing w:val="-1"/>
        </w:rPr>
        <w:t>本集团对前述判断、估计和假设在持续经营的基础上进行定期复核，会计估计的变更仅影响变更当期的，其影响数在</w:t>
      </w:r>
      <w:r>
        <w:rPr/>
        <w:t> 变更当期予以确认；既影响变更当期又影响未来期间的，其影响数在变更当期和未来期间予以确认。</w:t>
      </w:r>
    </w:p>
    <w:p>
      <w:pPr>
        <w:pStyle w:val="BodyText"/>
        <w:spacing w:line="240" w:lineRule="auto" w:before="19"/>
        <w:ind w:left="633" w:right="1115"/>
        <w:jc w:val="left"/>
      </w:pPr>
      <w:r>
        <w:rPr/>
        <w:t>于资产负债表日，本集团需对财务报表项目金额进行判断、估计和假设的重要领域如下：</w:t>
      </w:r>
    </w:p>
    <w:p>
      <w:pPr>
        <w:pStyle w:val="BodyText"/>
        <w:spacing w:line="300" w:lineRule="auto" w:before="76"/>
        <w:ind w:left="633" w:right="1115"/>
        <w:jc w:val="left"/>
      </w:pPr>
      <w:r>
        <w:rPr/>
        <w:t>（</w:t>
      </w:r>
      <w:r>
        <w:rPr>
          <w:rFonts w:ascii="Times New Roman" w:hAnsi="Times New Roman" w:cs="Times New Roman" w:eastAsia="Times New Roman" w:hint="default"/>
        </w:rPr>
        <w:t>1</w:t>
      </w:r>
      <w:r>
        <w:rPr/>
        <w:t>）坏账准备计提 </w:t>
      </w:r>
      <w:r>
        <w:rPr>
          <w:spacing w:val="-1"/>
        </w:rPr>
        <w:t>本集团根据应收款项的会计政策，采用备抵法核算坏账损失。应收账款减值是基于评估应收账款的可收回性。鉴定应</w:t>
      </w:r>
    </w:p>
    <w:p>
      <w:pPr>
        <w:pStyle w:val="BodyText"/>
        <w:spacing w:line="316" w:lineRule="auto" w:before="31"/>
        <w:ind w:right="1115"/>
        <w:jc w:val="left"/>
      </w:pPr>
      <w:r>
        <w:rPr>
          <w:spacing w:val="-2"/>
        </w:rPr>
        <w:t>收账款减值要求管理层的判断和估计。实际的结果与原先估计的差异将在估计被改变的期间影响应收账款的账面价值及应收</w:t>
      </w:r>
      <w:r>
        <w:rPr>
          <w:spacing w:val="-64"/>
        </w:rPr>
        <w:t> </w:t>
      </w:r>
      <w:r>
        <w:rPr>
          <w:spacing w:val="-64"/>
        </w:rPr>
      </w:r>
      <w:r>
        <w:rPr/>
        <w:t>账款坏账准备的计提或转回。</w:t>
      </w:r>
    </w:p>
    <w:p>
      <w:pPr>
        <w:pStyle w:val="BodyText"/>
        <w:spacing w:line="300" w:lineRule="auto" w:before="19"/>
        <w:ind w:left="633" w:right="1115"/>
        <w:jc w:val="left"/>
      </w:pPr>
      <w:r>
        <w:rPr/>
        <w:t>（</w:t>
      </w:r>
      <w:r>
        <w:rPr>
          <w:rFonts w:ascii="Times New Roman" w:hAnsi="Times New Roman" w:cs="Times New Roman" w:eastAsia="Times New Roman" w:hint="default"/>
        </w:rPr>
        <w:t>2</w:t>
      </w:r>
      <w:r>
        <w:rPr/>
        <w:t>）存货跌价准备 </w:t>
      </w:r>
      <w:r>
        <w:rPr>
          <w:spacing w:val="-1"/>
        </w:rPr>
        <w:t>本集团根据存货会计政策，按照成本与可变现净值孰低计量，对成本高于可变现净值及陈旧和滞销的存货，计提存货</w:t>
      </w:r>
    </w:p>
    <w:p>
      <w:pPr>
        <w:pStyle w:val="BodyText"/>
        <w:spacing w:line="316" w:lineRule="auto" w:before="31"/>
        <w:ind w:right="1130"/>
        <w:jc w:val="both"/>
      </w:pPr>
      <w:r>
        <w:rPr>
          <w:spacing w:val="-2"/>
        </w:rPr>
        <w:t>跌价准备。存货减值至可变现净值是基于评估存货的可售性及其可变现净值。鉴定存货减值要求管理层在取得确凿证据，并</w:t>
      </w:r>
      <w:r>
        <w:rPr>
          <w:spacing w:val="-63"/>
        </w:rPr>
        <w:t> </w:t>
      </w:r>
      <w:r>
        <w:rPr>
          <w:spacing w:val="-63"/>
        </w:rPr>
      </w:r>
      <w:r>
        <w:rPr>
          <w:spacing w:val="-2"/>
        </w:rPr>
        <w:t>且考虑持有存货的目的、资产负债表日后事项的影响等因素的基础上作出判断和估计。实际的结果与原先估计的差异将在估</w:t>
      </w:r>
      <w:r>
        <w:rPr>
          <w:spacing w:val="-64"/>
        </w:rPr>
        <w:t> </w:t>
      </w:r>
      <w:r>
        <w:rPr>
          <w:spacing w:val="-64"/>
        </w:rPr>
      </w:r>
      <w:r>
        <w:rPr/>
        <w:t>计被改变的期间影响存货的账面价值及存货跌价准备的计提或转回。</w:t>
      </w:r>
    </w:p>
    <w:p>
      <w:pPr>
        <w:pStyle w:val="BodyText"/>
        <w:spacing w:line="300" w:lineRule="auto" w:before="19"/>
        <w:ind w:left="633" w:right="1115"/>
        <w:jc w:val="left"/>
      </w:pPr>
      <w:r>
        <w:rPr/>
        <w:t>（</w:t>
      </w:r>
      <w:r>
        <w:rPr>
          <w:rFonts w:ascii="Times New Roman" w:hAnsi="Times New Roman" w:cs="Times New Roman" w:eastAsia="Times New Roman" w:hint="default"/>
        </w:rPr>
        <w:t>3</w:t>
      </w:r>
      <w:r>
        <w:rPr/>
        <w:t>）金融工具公允价值 </w:t>
      </w:r>
      <w:r>
        <w:rPr>
          <w:spacing w:val="-1"/>
        </w:rPr>
        <w:t>对不存在活跃交易市场的金融工具，本集团通过各种估值方法确定其公允价值。这些估值方法包括贴现现金流模型分</w:t>
      </w:r>
    </w:p>
    <w:p>
      <w:pPr>
        <w:pStyle w:val="BodyText"/>
        <w:spacing w:line="319" w:lineRule="auto" w:before="31"/>
        <w:ind w:right="1115"/>
        <w:jc w:val="left"/>
      </w:pPr>
      <w:r>
        <w:rPr>
          <w:spacing w:val="-2"/>
        </w:rPr>
        <w:t>析等。估值时本集团需对未来现金流量、信用风险、市场波动率和相关性等方面进行估计，并选择适当的折现率。这些相关</w:t>
      </w:r>
      <w:r>
        <w:rPr>
          <w:spacing w:val="-67"/>
        </w:rPr>
        <w:t> </w:t>
      </w:r>
      <w:r>
        <w:rPr>
          <w:spacing w:val="-67"/>
        </w:rPr>
      </w:r>
      <w:r>
        <w:rPr/>
        <w:t>假设具有不确定性，其变化会对金融工具的公允价值产生影响。</w:t>
      </w:r>
    </w:p>
    <w:p>
      <w:pPr>
        <w:pStyle w:val="BodyText"/>
        <w:spacing w:line="300" w:lineRule="auto" w:before="17"/>
        <w:ind w:left="633" w:right="1115"/>
        <w:jc w:val="left"/>
      </w:pPr>
      <w:r>
        <w:rPr/>
        <w:t>（</w:t>
      </w:r>
      <w:r>
        <w:rPr>
          <w:rFonts w:ascii="Times New Roman" w:hAnsi="Times New Roman" w:cs="Times New Roman" w:eastAsia="Times New Roman" w:hint="default"/>
        </w:rPr>
        <w:t>4</w:t>
      </w:r>
      <w:r>
        <w:rPr/>
        <w:t>）非金融非流动资产减值准备 </w:t>
      </w:r>
      <w:r>
        <w:rPr>
          <w:spacing w:val="-1"/>
        </w:rPr>
        <w:t>本集团于资产负债表日对除金融资产之外的非流动资产判断是否存在可能发生减值的迹象。对使用寿命不确定的无形</w:t>
      </w:r>
    </w:p>
    <w:p>
      <w:pPr>
        <w:pStyle w:val="BodyText"/>
        <w:spacing w:line="316" w:lineRule="auto" w:before="31"/>
        <w:ind w:right="1115"/>
        <w:jc w:val="left"/>
      </w:pPr>
      <w:r>
        <w:rPr>
          <w:spacing w:val="-2"/>
        </w:rPr>
        <w:t>资产，除每年进行的减值测试外，当其存在减值迹象时，也进行减值测试。其他除金融资产之外的非流动资产，当存在迹象</w:t>
      </w:r>
      <w:r>
        <w:rPr>
          <w:spacing w:val="-67"/>
        </w:rPr>
        <w:t> </w:t>
      </w:r>
      <w:r>
        <w:rPr>
          <w:spacing w:val="-67"/>
        </w:rPr>
      </w:r>
      <w:r>
        <w:rPr/>
        <w:t>表明其账面金额不可收回时，进行减值测试。</w:t>
      </w:r>
    </w:p>
    <w:p>
      <w:pPr>
        <w:pStyle w:val="BodyText"/>
        <w:spacing w:line="316" w:lineRule="auto" w:before="19"/>
        <w:ind w:right="1132" w:firstLine="480"/>
        <w:jc w:val="both"/>
      </w:pPr>
      <w:r>
        <w:rPr>
          <w:spacing w:val="-1"/>
        </w:rPr>
        <w:t>当资产或资产组的账面价值高于可收回金额，即公允价值减去处置费用后的净额和预计未来现金流量的现值中的较高</w:t>
      </w:r>
      <w:r>
        <w:rPr/>
        <w:t> 者，表明发生了减值。</w:t>
      </w:r>
    </w:p>
    <w:p>
      <w:pPr>
        <w:pStyle w:val="BodyText"/>
        <w:spacing w:line="316" w:lineRule="auto" w:before="19"/>
        <w:ind w:right="1135" w:firstLine="480"/>
        <w:jc w:val="both"/>
      </w:pPr>
      <w:r>
        <w:rPr>
          <w:spacing w:val="-1"/>
        </w:rPr>
        <w:t>公允价值减去处置费用后的净额，参考公平交易中类似资产的销售协议价格或可观察到的市场价格，减去可直接归属</w:t>
      </w:r>
      <w:r>
        <w:rPr/>
        <w:t> 于该资产处置的增量成本确定。</w:t>
      </w:r>
    </w:p>
    <w:p>
      <w:pPr>
        <w:spacing w:after="0" w:line="316" w:lineRule="auto"/>
        <w:jc w:val="both"/>
        <w:sectPr>
          <w:pgSz w:w="11910" w:h="16840"/>
          <w:pgMar w:header="877" w:footer="1315" w:top="1060" w:bottom="150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firstLine="480"/>
        <w:jc w:val="both"/>
      </w:pPr>
      <w:r>
        <w:rPr>
          <w:spacing w:val="-1"/>
        </w:rPr>
        <w:t>在预计未来现金流量现值时，需要对该资产（或资产组）的产量、售价、相关经营成本以及计算现值时使用的折现率</w:t>
      </w:r>
      <w:r>
        <w:rPr/>
        <w:t> </w:t>
      </w:r>
      <w:r>
        <w:rPr>
          <w:spacing w:val="-2"/>
        </w:rPr>
        <w:t>等作出重大判断。本集团在估计可收回金额时会采用所有能够获得的相关资料，包括根据合理和可支持的假设所作出有关产</w:t>
      </w:r>
      <w:r>
        <w:rPr>
          <w:spacing w:val="-64"/>
        </w:rPr>
        <w:t> </w:t>
      </w:r>
      <w:r>
        <w:rPr>
          <w:spacing w:val="-64"/>
        </w:rPr>
      </w:r>
      <w:r>
        <w:rPr/>
        <w:t>量、售价和相关经营成本的预测。</w:t>
      </w:r>
    </w:p>
    <w:p>
      <w:pPr>
        <w:pStyle w:val="BodyText"/>
        <w:spacing w:line="316" w:lineRule="auto" w:before="17"/>
        <w:ind w:right="1130" w:firstLine="480"/>
        <w:jc w:val="both"/>
      </w:pPr>
      <w:r>
        <w:rPr>
          <w:spacing w:val="-1"/>
        </w:rPr>
        <w:t>本集团至少每年测试商誉是否发生减值。这要求对分配了商誉的资产组或者资产组组合的未来现金流量的现值进行预</w:t>
      </w:r>
      <w:r>
        <w:rPr/>
        <w:t> </w:t>
      </w:r>
      <w:r>
        <w:rPr>
          <w:spacing w:val="-2"/>
        </w:rPr>
        <w:t>计。对未来现金流量的现值进行预计时，本集团需要预计未来资产组或者资产组组合产生的现金流量，同时选择恰当的折现</w:t>
      </w:r>
      <w:r>
        <w:rPr>
          <w:spacing w:val="-63"/>
        </w:rPr>
        <w:t> </w:t>
      </w:r>
      <w:r>
        <w:rPr>
          <w:spacing w:val="-63"/>
        </w:rPr>
      </w:r>
      <w:r>
        <w:rPr/>
        <w:t>率确定未来现金流量的现值。</w:t>
      </w:r>
    </w:p>
    <w:p>
      <w:pPr>
        <w:pStyle w:val="BodyText"/>
        <w:spacing w:line="300" w:lineRule="auto" w:before="19"/>
        <w:ind w:left="633" w:right="1115"/>
        <w:jc w:val="left"/>
      </w:pPr>
      <w:r>
        <w:rPr/>
        <w:t>（</w:t>
      </w:r>
      <w:r>
        <w:rPr>
          <w:rFonts w:ascii="Times New Roman" w:hAnsi="Times New Roman" w:cs="Times New Roman" w:eastAsia="Times New Roman" w:hint="default"/>
        </w:rPr>
        <w:t>5</w:t>
      </w:r>
      <w:r>
        <w:rPr/>
        <w:t>）折旧和摊销 </w:t>
      </w:r>
      <w:r>
        <w:rPr>
          <w:spacing w:val="-1"/>
        </w:rPr>
        <w:t>本集团对投资性房地产、固定资产和无形资产在考虑其残值后，在使用寿命内按直线法计提折旧和摊销。本集团定期</w:t>
      </w:r>
    </w:p>
    <w:p>
      <w:pPr>
        <w:pStyle w:val="BodyText"/>
        <w:spacing w:line="316" w:lineRule="auto" w:before="31"/>
        <w:ind w:right="1115"/>
        <w:jc w:val="left"/>
      </w:pPr>
      <w:r>
        <w:rPr>
          <w:spacing w:val="-2"/>
        </w:rPr>
        <w:t>复核使用寿命，以决定将计入每个报告期的折旧和摊销费用数额。使用寿命是本集团根据对同类资产的已往经验并结合预期</w:t>
      </w:r>
      <w:r>
        <w:rPr>
          <w:spacing w:val="-64"/>
        </w:rPr>
        <w:t> </w:t>
      </w:r>
      <w:r>
        <w:rPr>
          <w:spacing w:val="-64"/>
        </w:rPr>
      </w:r>
      <w:r>
        <w:rPr/>
        <w:t>的技术更新而确定的。如果以前的估计发生重大变化，则会在未来期间对折旧和摊销费用进行调整。</w:t>
      </w:r>
    </w:p>
    <w:p>
      <w:pPr>
        <w:pStyle w:val="BodyText"/>
        <w:spacing w:line="300" w:lineRule="auto" w:before="19"/>
        <w:ind w:left="633" w:right="0"/>
        <w:jc w:val="left"/>
      </w:pPr>
      <w:r>
        <w:rPr/>
        <w:t>（</w:t>
      </w:r>
      <w:r>
        <w:rPr>
          <w:rFonts w:ascii="Times New Roman" w:hAnsi="Times New Roman" w:cs="Times New Roman" w:eastAsia="Times New Roman" w:hint="default"/>
        </w:rPr>
        <w:t>6</w:t>
      </w:r>
      <w:r>
        <w:rPr/>
        <w:t>）开发支出 </w:t>
      </w:r>
      <w:r>
        <w:rPr>
          <w:spacing w:val="-3"/>
        </w:rPr>
        <w:t>确定资本化的金额时，本集团管理层需要作出有关资产的预计未来现金流量、适用的折现率以及预计受益期间的假设。</w:t>
      </w:r>
    </w:p>
    <w:p>
      <w:pPr>
        <w:pStyle w:val="BodyText"/>
        <w:spacing w:line="300" w:lineRule="auto" w:before="32"/>
        <w:ind w:left="633" w:right="1115"/>
        <w:jc w:val="left"/>
      </w:pPr>
      <w:r>
        <w:rPr/>
        <w:t>（</w:t>
      </w:r>
      <w:r>
        <w:rPr>
          <w:rFonts w:ascii="Times New Roman" w:hAnsi="Times New Roman" w:cs="Times New Roman" w:eastAsia="Times New Roman" w:hint="default"/>
        </w:rPr>
        <w:t>7</w:t>
      </w:r>
      <w:r>
        <w:rPr/>
        <w:t>）递延所得税资产 </w:t>
      </w:r>
      <w:r>
        <w:rPr>
          <w:spacing w:val="-1"/>
        </w:rPr>
        <w:t>在很有可能有足够的应纳税利润来抵扣亏损的限度内，本集团就所有未利用的税务亏损确认递延所得税资产。这需要</w:t>
      </w:r>
    </w:p>
    <w:p>
      <w:pPr>
        <w:pStyle w:val="BodyText"/>
        <w:spacing w:line="316" w:lineRule="auto" w:before="31"/>
        <w:ind w:right="1115"/>
        <w:jc w:val="left"/>
      </w:pPr>
      <w:r>
        <w:rPr>
          <w:spacing w:val="-2"/>
        </w:rPr>
        <w:t>本集团管理层运用大量的判断来估计未来应纳税利润发生的时间和金额，结合纳税筹划策略，以决定应确认的递延所得税资</w:t>
      </w:r>
      <w:r>
        <w:rPr>
          <w:spacing w:val="-64"/>
        </w:rPr>
        <w:t> </w:t>
      </w:r>
      <w:r>
        <w:rPr>
          <w:spacing w:val="-64"/>
        </w:rPr>
      </w:r>
      <w:r>
        <w:rPr/>
        <w:t>产的金额。</w:t>
      </w:r>
    </w:p>
    <w:p>
      <w:pPr>
        <w:pStyle w:val="BodyText"/>
        <w:spacing w:line="312" w:lineRule="auto" w:before="19"/>
        <w:ind w:right="1115" w:firstLine="480"/>
        <w:jc w:val="left"/>
      </w:pPr>
      <w:r>
        <w:rPr/>
        <w:t>（</w:t>
      </w:r>
      <w:r>
        <w:rPr>
          <w:rFonts w:ascii="Times New Roman" w:hAnsi="Times New Roman" w:cs="Times New Roman" w:eastAsia="Times New Roman" w:hint="default"/>
        </w:rPr>
        <w:t>8</w:t>
      </w:r>
      <w:r>
        <w:rPr/>
        <w:t>）所得税 </w:t>
      </w:r>
      <w:r>
        <w:rPr>
          <w:spacing w:val="-2"/>
        </w:rPr>
        <w:t>本集团在正常的经营活动中，有部分交易其最终的税务处理和计算存在一定的不确定性。部分项目是否能够在税前列支需要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税收主管机关的审批。如果这些税务事项的最终认定结果同最初估计的金额存在差异，则该差异将对其最终认定期间的当期</w:t>
      </w:r>
      <w:r>
        <w:rPr>
          <w:spacing w:val="-64"/>
        </w:rPr>
        <w:t> </w:t>
      </w:r>
      <w:r>
        <w:rPr>
          <w:spacing w:val="-64"/>
        </w:rPr>
      </w:r>
      <w:r>
        <w:rPr/>
        <w:t>所得税和递延所得税产生影响。</w:t>
      </w:r>
    </w:p>
    <w:p>
      <w:pPr>
        <w:spacing w:line="240" w:lineRule="auto" w:before="1"/>
        <w:rPr>
          <w:rFonts w:ascii="宋体" w:hAnsi="宋体" w:cs="宋体" w:eastAsia="宋体" w:hint="default"/>
          <w:sz w:val="23"/>
          <w:szCs w:val="23"/>
        </w:rPr>
      </w:pPr>
    </w:p>
    <w:p>
      <w:pPr>
        <w:pStyle w:val="Heading4"/>
        <w:spacing w:line="240" w:lineRule="auto"/>
        <w:ind w:right="1115"/>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本报告期主要会计政策是否变更</w:t>
      </w:r>
    </w:p>
    <w:p>
      <w:pPr>
        <w:pStyle w:val="BodyText"/>
        <w:spacing w:line="240" w:lineRule="auto" w:before="115"/>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本报告期主要会计估计是否变更</w:t>
      </w:r>
    </w:p>
    <w:p>
      <w:pPr>
        <w:pStyle w:val="BodyText"/>
        <w:spacing w:line="240" w:lineRule="auto" w:before="115"/>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本报告期是否发现前期会计差错</w:t>
      </w:r>
    </w:p>
    <w:p>
      <w:pPr>
        <w:pStyle w:val="BodyText"/>
        <w:spacing w:line="338" w:lineRule="auto" w:before="117"/>
        <w:ind w:right="986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line="240" w:lineRule="auto" w:before="7"/>
        <w:rPr>
          <w:rFonts w:ascii="宋体" w:hAnsi="宋体" w:cs="宋体" w:eastAsia="宋体" w:hint="default"/>
          <w:sz w:val="21"/>
          <w:szCs w:val="21"/>
        </w:rPr>
      </w:pPr>
    </w:p>
    <w:p>
      <w:pPr>
        <w:pStyle w:val="Heading4"/>
        <w:spacing w:line="240" w:lineRule="auto"/>
        <w:ind w:right="1115"/>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本报告期是否发现采用追溯重述法的前期会计差错</w:t>
      </w:r>
    </w:p>
    <w:p>
      <w:pPr>
        <w:pStyle w:val="BodyText"/>
        <w:spacing w:line="240" w:lineRule="auto" w:before="115"/>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1315" w:top="1060" w:bottom="150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15"/>
        <w:jc w:val="left"/>
      </w:pPr>
      <w:r>
        <w:rPr/>
        <w:t>本报告期是否发现采用未来适用法的前期会计差错</w:t>
      </w:r>
    </w:p>
    <w:p>
      <w:pPr>
        <w:pStyle w:val="BodyText"/>
        <w:spacing w:line="240" w:lineRule="auto" w:before="115"/>
        <w:ind w:right="111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0"/>
        <w:rPr>
          <w:rFonts w:ascii="宋体" w:hAnsi="宋体" w:cs="宋体" w:eastAsia="宋体" w:hint="default"/>
          <w:b/>
          <w:bCs/>
          <w:sz w:val="22"/>
          <w:szCs w:val="22"/>
        </w:rPr>
      </w:pPr>
    </w:p>
    <w:p>
      <w:pPr>
        <w:spacing w:before="0"/>
        <w:ind w:left="152" w:right="1115" w:firstLine="0"/>
        <w:jc w:val="left"/>
        <w:rPr>
          <w:rFonts w:ascii="宋体" w:hAnsi="宋体" w:cs="宋体" w:eastAsia="宋体" w:hint="default"/>
          <w:sz w:val="24"/>
          <w:szCs w:val="24"/>
        </w:rPr>
      </w:pPr>
      <w:r>
        <w:rPr>
          <w:rFonts w:ascii="宋体" w:hAnsi="宋体" w:cs="宋体" w:eastAsia="宋体" w:hint="default"/>
          <w:b/>
          <w:bCs/>
          <w:sz w:val="24"/>
          <w:szCs w:val="24"/>
        </w:rPr>
        <w:t>五、税项</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09" w:lineRule="auto" w:before="49"/>
              <w:ind w:left="16" w:right="94"/>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的税率计算销项税， 并按扣除当期允许抵扣的进项税额后 的差额计缴增值税。</w:t>
            </w:r>
          </w:p>
        </w:tc>
        <w:tc>
          <w:tcPr>
            <w:tcW w:w="3027" w:type="dxa"/>
            <w:vMerge w:val="restart"/>
            <w:tcBorders>
              <w:top w:val="single" w:sz="4" w:space="0" w:color="000000"/>
              <w:left w:val="single" w:sz="4" w:space="0" w:color="000000"/>
              <w:right w:val="single" w:sz="4" w:space="0" w:color="000000"/>
            </w:tcBorders>
          </w:tcPr>
          <w:p>
            <w:pPr/>
          </w:p>
        </w:tc>
      </w:tr>
      <w:tr>
        <w:trPr>
          <w:trHeight w:val="394"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317"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w:t>
            </w: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计缴。</w:t>
            </w:r>
          </w:p>
        </w:tc>
        <w:tc>
          <w:tcPr>
            <w:tcW w:w="3027" w:type="dxa"/>
            <w:vMerge w:val="restart"/>
            <w:tcBorders>
              <w:top w:val="single" w:sz="4" w:space="0" w:color="000000"/>
              <w:left w:val="single" w:sz="4" w:space="0" w:color="000000"/>
              <w:right w:val="single" w:sz="4" w:space="0" w:color="000000"/>
            </w:tcBorders>
          </w:tcPr>
          <w:p>
            <w:pPr/>
          </w:p>
        </w:tc>
      </w:tr>
      <w:tr>
        <w:trPr>
          <w:trHeight w:val="394"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161"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15"/>
        <w:jc w:val="left"/>
      </w:pPr>
      <w:r>
        <w:rPr/>
        <w:t>各分公司、分厂执行的所得税税率</w:t>
      </w:r>
    </w:p>
    <w:p>
      <w:pPr>
        <w:pStyle w:val="BodyText"/>
        <w:spacing w:line="300" w:lineRule="auto" w:before="115"/>
        <w:ind w:right="4349"/>
        <w:jc w:val="left"/>
      </w:pPr>
      <w:r>
        <w:rPr/>
        <w:t>本公司之子公司香港爱康电力国际控股有限公司的企业利得税适用税率为</w:t>
      </w:r>
      <w:r>
        <w:rPr>
          <w:rFonts w:ascii="Times New Roman" w:hAnsi="Times New Roman" w:cs="Times New Roman" w:eastAsia="Times New Roman" w:hint="default"/>
        </w:rPr>
        <w:t>16.5%</w:t>
      </w:r>
      <w:r>
        <w:rPr/>
        <w:t>。 本公司之孙公司青海蓓翔新能源开发有限公司所属共和光伏电厂所得税率为</w:t>
      </w:r>
      <w:r>
        <w:rPr>
          <w:rFonts w:ascii="Times New Roman" w:hAnsi="Times New Roman" w:cs="Times New Roman" w:eastAsia="Times New Roman" w:hint="default"/>
        </w:rPr>
        <w:t>0</w:t>
      </w:r>
      <w:r>
        <w:rPr/>
        <w:t>。 其他各子公司或孙公司所得税率均为</w:t>
      </w:r>
      <w:r>
        <w:rPr>
          <w:rFonts w:ascii="Times New Roman" w:hAnsi="Times New Roman" w:cs="Times New Roman" w:eastAsia="Times New Roman" w:hint="default"/>
        </w:rPr>
        <w:t>25%</w:t>
      </w:r>
      <w:r>
        <w:rPr/>
        <w:t>。</w:t>
      </w:r>
    </w:p>
    <w:p>
      <w:pPr>
        <w:spacing w:line="240" w:lineRule="auto" w:before="4"/>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8" w:firstLine="480"/>
        <w:jc w:val="both"/>
      </w:pPr>
      <w:r>
        <w:rPr>
          <w:spacing w:val="-1"/>
        </w:rPr>
        <w:t>根据经江苏省科学技术厅、江苏省财政厅、江苏省国家税务局和江苏省地方税务局《关于认定江苏省</w:t>
      </w:r>
      <w:r>
        <w:rPr>
          <w:rFonts w:ascii="Times New Roman" w:hAnsi="Times New Roman" w:cs="Times New Roman" w:eastAsia="Times New Roman" w:hint="default"/>
          <w:spacing w:val="-1"/>
        </w:rPr>
        <w:t>2009</w:t>
      </w:r>
      <w:r>
        <w:rPr>
          <w:spacing w:val="-1"/>
        </w:rPr>
        <w:t>年度第三批</w:t>
      </w:r>
      <w:r>
        <w:rPr/>
        <w:t> 高新技术企业的通知》（苏高企协</w:t>
      </w:r>
      <w:r>
        <w:rPr>
          <w:rFonts w:ascii="Times New Roman" w:hAnsi="Times New Roman" w:cs="Times New Roman" w:eastAsia="Times New Roman" w:hint="default"/>
        </w:rPr>
        <w:t>[2010]1</w:t>
      </w:r>
      <w:r>
        <w:rPr/>
        <w:t>号），本公司被认定为高新技术企业，有效期三年。</w:t>
      </w:r>
      <w:r>
        <w:rPr>
          <w:rFonts w:ascii="Times New Roman" w:hAnsi="Times New Roman" w:cs="Times New Roman" w:eastAsia="Times New Roman" w:hint="default"/>
        </w:rPr>
        <w:t>2012</w:t>
      </w:r>
      <w:r>
        <w:rPr/>
        <w:t>年本公司通过高新技术</w:t>
      </w:r>
      <w:r>
        <w:rPr>
          <w:spacing w:val="-29"/>
        </w:rPr>
        <w:t> </w:t>
      </w:r>
      <w:r>
        <w:rPr>
          <w:spacing w:val="-29"/>
        </w:rPr>
      </w:r>
      <w:r>
        <w:rPr/>
        <w:t>企业复审，并于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日收到江苏省科学技术厅、江苏省财政厅、江苏省国家税务局、江苏省地方税务局联合下发的</w:t>
      </w:r>
      <w:r>
        <w:rPr>
          <w:spacing w:val="-86"/>
        </w:rPr>
        <w:t> </w:t>
      </w:r>
      <w:r>
        <w:rPr>
          <w:spacing w:val="-86"/>
        </w:rPr>
      </w:r>
      <w:r>
        <w:rPr/>
        <w:t>高新技术企业证书（证书编号：</w:t>
      </w:r>
      <w:r>
        <w:rPr>
          <w:rFonts w:ascii="Times New Roman" w:hAnsi="Times New Roman" w:cs="Times New Roman" w:eastAsia="Times New Roman" w:hint="default"/>
        </w:rPr>
        <w:t>GF201232000283</w:t>
      </w:r>
      <w:r>
        <w:rPr/>
        <w:t>，发证时间：二〇一二年八月六日，有效期：三年）。依照《中华人民共</w:t>
      </w:r>
      <w:r>
        <w:rPr>
          <w:spacing w:val="-50"/>
        </w:rPr>
        <w:t> </w:t>
      </w:r>
      <w:r>
        <w:rPr>
          <w:spacing w:val="-50"/>
        </w:rPr>
      </w:r>
      <w:r>
        <w:rPr/>
        <w:t>和国企业所得税法》第二十八条、国家税务总局《关于企业所得税减免税管理问题的通知》（国税发</w:t>
      </w:r>
      <w:r>
        <w:rPr>
          <w:rFonts w:ascii="Times New Roman" w:hAnsi="Times New Roman" w:cs="Times New Roman" w:eastAsia="Times New Roman" w:hint="default"/>
        </w:rPr>
        <w:t>[2008]111</w:t>
      </w:r>
      <w:r>
        <w:rPr/>
        <w:t>号），公司</w:t>
      </w:r>
      <w:r>
        <w:rPr>
          <w:spacing w:val="-26"/>
        </w:rPr>
        <w:t> </w:t>
      </w:r>
      <w:r>
        <w:rPr>
          <w:spacing w:val="-26"/>
        </w:rPr>
      </w:r>
      <w:r>
        <w:rPr/>
        <w:t>在</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2014</w:t>
      </w:r>
      <w:r>
        <w:rPr/>
        <w:t>年期间可按照</w:t>
      </w:r>
      <w:r>
        <w:rPr>
          <w:rFonts w:ascii="Times New Roman" w:hAnsi="Times New Roman" w:cs="Times New Roman" w:eastAsia="Times New Roman" w:hint="default"/>
        </w:rPr>
        <w:t>15%</w:t>
      </w:r>
      <w:r>
        <w:rPr/>
        <w:t>的优惠税率缴纳企业所得税。</w:t>
      </w:r>
    </w:p>
    <w:p>
      <w:pPr>
        <w:pStyle w:val="BodyText"/>
        <w:spacing w:line="307" w:lineRule="auto" w:before="13"/>
        <w:ind w:right="1128" w:firstLine="480"/>
        <w:jc w:val="both"/>
      </w:pPr>
      <w:r>
        <w:rPr>
          <w:spacing w:val="-1"/>
        </w:rPr>
        <w:t>本公司之孙公司青海蓓翔新能源开发有限公司所属共和光伏电厂符合《中华人民共和国企业所得税法》第二十七条第</w:t>
      </w:r>
      <w:r>
        <w:rPr/>
        <w:t> 二款、《企业所得税法实施条例》第八十七条及财政部、国家税务总局、国家发展和改革委员会以财税〔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116</w:t>
      </w:r>
      <w:r>
        <w:rPr/>
        <w:t>号文发</w:t>
      </w:r>
      <w:r>
        <w:rPr>
          <w:spacing w:val="-85"/>
        </w:rPr>
        <w:t> </w:t>
      </w:r>
      <w:r>
        <w:rPr>
          <w:spacing w:val="-85"/>
        </w:rPr>
      </w:r>
      <w:r>
        <w:rPr>
          <w:spacing w:val="-2"/>
        </w:rPr>
        <w:t>布的《公共基础设施项目企业所得税优惠目录（</w:t>
      </w:r>
      <w:r>
        <w:rPr>
          <w:rFonts w:ascii="Times New Roman" w:hAnsi="Times New Roman" w:cs="Times New Roman" w:eastAsia="Times New Roman" w:hint="default"/>
          <w:spacing w:val="-2"/>
        </w:rPr>
        <w:t>2008</w:t>
      </w:r>
      <w:r>
        <w:rPr>
          <w:spacing w:val="-2"/>
        </w:rPr>
        <w:t>年版）》</w:t>
      </w:r>
      <w:r>
        <w:rPr>
          <w:rFonts w:ascii="Times New Roman" w:hAnsi="Times New Roman" w:cs="Times New Roman" w:eastAsia="Times New Roman" w:hint="default"/>
          <w:spacing w:val="-2"/>
        </w:rPr>
        <w:t>“</w:t>
      </w:r>
      <w:r>
        <w:rPr>
          <w:spacing w:val="-2"/>
        </w:rPr>
        <w:t>由政府投资主管部门核准的太阳能发电新建项目</w:t>
      </w:r>
      <w:r>
        <w:rPr>
          <w:rFonts w:ascii="Times New Roman" w:hAnsi="Times New Roman" w:cs="Times New Roman" w:eastAsia="Times New Roman" w:hint="default"/>
          <w:spacing w:val="-2"/>
        </w:rPr>
        <w:t>”</w:t>
      </w:r>
      <w:r>
        <w:rPr>
          <w:spacing w:val="-2"/>
        </w:rPr>
        <w:t>条件，自项</w:t>
      </w:r>
      <w:r>
        <w:rPr>
          <w:spacing w:val="-41"/>
        </w:rPr>
        <w:t> </w:t>
      </w:r>
      <w:r>
        <w:rPr>
          <w:spacing w:val="-41"/>
        </w:rPr>
      </w:r>
      <w:r>
        <w:rPr>
          <w:spacing w:val="-2"/>
        </w:rPr>
        <w:t>目取得第一笔生产经营收入所属年度起，第一至第三年免征所得税，第四年至第六年减半征收企业所得税，</w:t>
      </w:r>
      <w:r>
        <w:rPr>
          <w:rFonts w:ascii="Times New Roman" w:hAnsi="Times New Roman" w:cs="Times New Roman" w:eastAsia="Times New Roman" w:hint="default"/>
          <w:spacing w:val="-2"/>
        </w:rPr>
        <w:t>2012</w:t>
      </w:r>
      <w:r>
        <w:rPr>
          <w:spacing w:val="-2"/>
        </w:rPr>
        <w:t>年度为第一</w:t>
      </w:r>
      <w:r>
        <w:rPr>
          <w:spacing w:val="-59"/>
        </w:rPr>
        <w:t> </w:t>
      </w:r>
      <w:r>
        <w:rPr>
          <w:spacing w:val="-59"/>
        </w:rPr>
      </w:r>
      <w:r>
        <w:rPr>
          <w:spacing w:val="-2"/>
        </w:rPr>
        <w:t>个免税年度，该减免税已经获得共和县国家税务局备案。该所得税优惠政策同时适用于本公司之孙公司新疆爱康电力开发有</w:t>
      </w:r>
      <w:r>
        <w:rPr>
          <w:spacing w:val="-64"/>
        </w:rPr>
        <w:t> </w:t>
      </w:r>
      <w:r>
        <w:rPr>
          <w:spacing w:val="-64"/>
        </w:rPr>
      </w:r>
      <w:r>
        <w:rPr/>
        <w:t>限公司。</w:t>
      </w:r>
    </w:p>
    <w:p>
      <w:pPr>
        <w:pStyle w:val="BodyText"/>
        <w:spacing w:line="240" w:lineRule="auto" w:before="26"/>
        <w:ind w:left="424" w:right="1115"/>
        <w:jc w:val="left"/>
      </w:pPr>
      <w:r>
        <w:rPr/>
        <w:t>本公司之子公司香港爱康电力国际控股有限公司的企业利得税适用税率为</w:t>
      </w:r>
      <w:r>
        <w:rPr>
          <w:rFonts w:ascii="Times New Roman" w:hAnsi="Times New Roman" w:cs="Times New Roman" w:eastAsia="Times New Roman" w:hint="default"/>
        </w:rPr>
        <w:t>16.5%</w:t>
      </w:r>
      <w:r>
        <w:rPr/>
        <w:t>。</w:t>
      </w:r>
    </w:p>
    <w:p>
      <w:pPr>
        <w:spacing w:after="0" w:line="240" w:lineRule="auto"/>
        <w:jc w:val="left"/>
        <w:sectPr>
          <w:pgSz w:w="11910" w:h="16840"/>
          <w:pgMar w:header="877" w:footer="1315" w:top="1060" w:bottom="1500" w:left="980" w:right="0"/>
        </w:sectPr>
      </w:pPr>
    </w:p>
    <w:p>
      <w:pPr>
        <w:spacing w:line="240" w:lineRule="auto" w:before="10"/>
        <w:rPr>
          <w:rFonts w:ascii="宋体" w:hAnsi="宋体" w:cs="宋体" w:eastAsia="宋体" w:hint="default"/>
          <w:sz w:val="24"/>
          <w:szCs w:val="24"/>
        </w:rPr>
      </w:pPr>
    </w:p>
    <w:p>
      <w:pPr>
        <w:spacing w:line="487" w:lineRule="auto" w:before="36"/>
        <w:ind w:left="152" w:right="76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4"/>
        <w:spacing w:line="240" w:lineRule="auto" w:before="84"/>
        <w:ind w:right="1115"/>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70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南通爱 康金属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8"/>
              <w:jc w:val="left"/>
              <w:rPr>
                <w:rFonts w:ascii="宋体" w:hAnsi="宋体" w:cs="宋体" w:eastAsia="宋体" w:hint="default"/>
                <w:sz w:val="18"/>
                <w:szCs w:val="18"/>
              </w:rPr>
            </w:pPr>
            <w:r>
              <w:rPr>
                <w:rFonts w:ascii="宋体" w:hAnsi="宋体" w:cs="宋体" w:eastAsia="宋体" w:hint="default"/>
                <w:sz w:val="18"/>
                <w:szCs w:val="18"/>
              </w:rPr>
              <w:t>江苏省 南通市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27,930.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苏州爱 康薄膜 新材料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江苏省 苏州市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28,660.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②</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苏州爱 康金属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8"/>
              <w:jc w:val="left"/>
              <w:rPr>
                <w:rFonts w:ascii="宋体" w:hAnsi="宋体" w:cs="宋体" w:eastAsia="宋体" w:hint="default"/>
                <w:sz w:val="18"/>
                <w:szCs w:val="18"/>
              </w:rPr>
            </w:pPr>
            <w:r>
              <w:rPr>
                <w:rFonts w:ascii="宋体" w:hAnsi="宋体" w:cs="宋体" w:eastAsia="宋体" w:hint="default"/>
                <w:sz w:val="18"/>
                <w:szCs w:val="18"/>
              </w:rPr>
              <w:t>江苏省 苏州市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18,704.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③</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佛山市 同兴太 阳能器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z w:val="18"/>
                <w:szCs w:val="18"/>
              </w:rPr>
              <w:t>广东省 佛山市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④</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15" w:top="1060" w:bottom="15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67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left"/>
              <w:rPr>
                <w:rFonts w:ascii="宋体" w:hAnsi="宋体" w:cs="宋体" w:eastAsia="宋体" w:hint="default"/>
                <w:sz w:val="18"/>
                <w:szCs w:val="18"/>
              </w:rPr>
            </w:pPr>
            <w:r>
              <w:rPr>
                <w:rFonts w:ascii="宋体" w:hAnsi="宋体" w:cs="宋体" w:eastAsia="宋体" w:hint="default"/>
                <w:sz w:val="18"/>
                <w:szCs w:val="18"/>
              </w:rPr>
              <w:t>材有限 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无锡爱 康太阳 能电子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江苏省 无锡市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⑤</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江阴爱 康光伏 焊带有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8"/>
              <w:jc w:val="left"/>
              <w:rPr>
                <w:rFonts w:ascii="宋体" w:hAnsi="宋体" w:cs="宋体" w:eastAsia="宋体" w:hint="default"/>
                <w:sz w:val="18"/>
                <w:szCs w:val="18"/>
              </w:rPr>
            </w:pPr>
            <w:r>
              <w:rPr>
                <w:rFonts w:ascii="宋体" w:hAnsi="宋体" w:cs="宋体" w:eastAsia="宋体" w:hint="default"/>
                <w:sz w:val="18"/>
                <w:szCs w:val="18"/>
              </w:rPr>
              <w:t>江苏省 无锡市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⑥</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800.00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206.23</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苏州爱 康电力 开发有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8"/>
              <w:jc w:val="left"/>
              <w:rPr>
                <w:rFonts w:ascii="宋体" w:hAnsi="宋体" w:cs="宋体" w:eastAsia="宋体" w:hint="default"/>
                <w:sz w:val="18"/>
                <w:szCs w:val="18"/>
              </w:rPr>
            </w:pPr>
            <w:r>
              <w:rPr>
                <w:rFonts w:ascii="宋体" w:hAnsi="宋体" w:cs="宋体" w:eastAsia="宋体" w:hint="default"/>
                <w:sz w:val="18"/>
                <w:szCs w:val="18"/>
              </w:rPr>
              <w:t>江苏省 苏州市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06"/>
              <w:jc w:val="left"/>
              <w:rPr>
                <w:rFonts w:ascii="宋体" w:hAnsi="宋体" w:cs="宋体" w:eastAsia="宋体" w:hint="default"/>
                <w:sz w:val="18"/>
                <w:szCs w:val="18"/>
              </w:rPr>
            </w:pPr>
            <w:r>
              <w:rPr>
                <w:rFonts w:ascii="宋体" w:hAnsi="宋体" w:cs="宋体" w:eastAsia="宋体" w:hint="default"/>
                <w:sz w:val="18"/>
                <w:szCs w:val="18"/>
              </w:rPr>
              <w:t>投资和 贸易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⑦</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香港爱 康电力 国际控 股有限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 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⑧</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633" w:right="1115" w:hanging="481"/>
        <w:jc w:val="left"/>
      </w:pPr>
      <w:r>
        <w:rPr/>
        <w:t>通过设立或投资等方式取得的子公司的其他说明 </w:t>
      </w:r>
      <w:r>
        <w:rPr>
          <w:spacing w:val="-1"/>
        </w:rPr>
        <w:t>注：①南通爱康金属科技有限公司（原名南通爱康太阳能器材有限公司）经营范围：金属材料的技术研究、开发、咨</w:t>
      </w:r>
    </w:p>
    <w:p>
      <w:pPr>
        <w:pStyle w:val="BodyText"/>
        <w:spacing w:line="224" w:lineRule="exact"/>
        <w:ind w:right="0"/>
        <w:jc w:val="left"/>
      </w:pPr>
      <w:r>
        <w:rPr/>
        <w:t>询服务；太阳能器材专用五金件、电子元件及组件、光电子器件研究、开发、生产、销售；自营和代理各类商品的进出口业</w:t>
      </w:r>
    </w:p>
    <w:p>
      <w:pPr>
        <w:pStyle w:val="BodyText"/>
        <w:spacing w:line="240" w:lineRule="auto" w:before="76"/>
        <w:ind w:right="1115"/>
        <w:jc w:val="left"/>
      </w:pPr>
      <w:r>
        <w:rPr/>
        <w:t>务。</w:t>
      </w:r>
    </w:p>
    <w:p>
      <w:pPr>
        <w:pStyle w:val="BodyText"/>
        <w:spacing w:line="300" w:lineRule="auto" w:before="76"/>
        <w:ind w:right="1116" w:firstLine="480"/>
        <w:jc w:val="left"/>
      </w:pPr>
      <w:r>
        <w:rPr>
          <w:spacing w:val="-4"/>
        </w:rPr>
        <w:t>②苏州爱康薄膜新材料有限公司（原名苏州爱康光伏新材料有限公司）经营范围：薄膜新材料研发，</w:t>
      </w:r>
      <w:r>
        <w:rPr>
          <w:rFonts w:ascii="Times New Roman" w:hAnsi="Times New Roman" w:cs="Times New Roman" w:eastAsia="Times New Roman" w:hint="default"/>
          <w:spacing w:val="-4"/>
        </w:rPr>
        <w:t>EVA</w:t>
      </w:r>
      <w:r>
        <w:rPr>
          <w:spacing w:val="-4"/>
        </w:rPr>
        <w:t>胶膜的研发、</w:t>
      </w:r>
      <w:r>
        <w:rPr/>
        <w:t> 生产、销售；自营和代理商品和技术的进出口业务。</w:t>
      </w:r>
    </w:p>
    <w:p>
      <w:pPr>
        <w:pStyle w:val="BodyText"/>
        <w:spacing w:line="316" w:lineRule="auto" w:before="31"/>
        <w:ind w:right="1044" w:firstLine="480"/>
        <w:jc w:val="left"/>
      </w:pPr>
      <w:r>
        <w:rPr/>
        <w:t>③苏州爱康金属科技有限公司（原名苏州爱康光伏安装系统有限公司）经营范围：金属材料的技术开发、技术咨询、 </w:t>
      </w:r>
      <w:r>
        <w:rPr>
          <w:spacing w:val="-5"/>
        </w:rPr>
        <w:t>技术转让及技术服务；太阳能发电安装系统产品的研发、设计、生产及相关的技术服务；金属模具、机械零部件、汽摩配件、</w:t>
      </w:r>
      <w:r>
        <w:rPr>
          <w:spacing w:val="-79"/>
        </w:rPr>
        <w:t> </w:t>
      </w:r>
      <w:r>
        <w:rPr>
          <w:spacing w:val="-79"/>
        </w:rPr>
      </w:r>
      <w:r>
        <w:rPr>
          <w:spacing w:val="-2"/>
        </w:rPr>
        <w:t>五金机械、金属结构件的研发、设计、生产、加工和销售；常用有色金属压延加工和销售；自营和代理商品及技术的进出口</w:t>
      </w:r>
      <w:r>
        <w:rPr>
          <w:spacing w:val="-70"/>
        </w:rPr>
        <w:t> </w:t>
      </w:r>
      <w:r>
        <w:rPr>
          <w:spacing w:val="-70"/>
        </w:rPr>
      </w:r>
      <w:r>
        <w:rPr/>
        <w:t>业务。</w:t>
      </w:r>
    </w:p>
    <w:p>
      <w:pPr>
        <w:pStyle w:val="BodyText"/>
        <w:spacing w:line="316" w:lineRule="auto" w:before="19"/>
        <w:ind w:right="1115" w:firstLine="480"/>
        <w:jc w:val="left"/>
      </w:pPr>
      <w:r>
        <w:rPr>
          <w:spacing w:val="-1"/>
        </w:rPr>
        <w:t>④佛山市同兴太阳能器材有限公司经营范围：研究、开发、生产、加工、销售太阳能器材专用五金件、太阳能发电安</w:t>
      </w:r>
      <w:r>
        <w:rPr/>
        <w:t> 装系统、太阳能发电板封装膜；太阳能发电板所需的其他配件产品；经营和代理各类商品及技术的进出口业务。</w:t>
      </w:r>
    </w:p>
    <w:p>
      <w:pPr>
        <w:pStyle w:val="BodyText"/>
        <w:spacing w:line="240" w:lineRule="auto" w:before="19"/>
        <w:ind w:left="633" w:right="1115"/>
        <w:jc w:val="left"/>
      </w:pPr>
      <w:r>
        <w:rPr/>
        <w:t>⑤无锡爱康太阳能电子科技有限公司经营范围：研究、开发、生产、组装太阳能电池接线盒。</w:t>
      </w:r>
    </w:p>
    <w:p>
      <w:pPr>
        <w:pStyle w:val="BodyText"/>
        <w:spacing w:line="240" w:lineRule="auto" w:before="76"/>
        <w:ind w:left="633" w:right="0"/>
        <w:jc w:val="left"/>
      </w:pPr>
      <w:r>
        <w:rPr/>
        <w:t>⑥江阴爱康光伏焊带有限公司经营范围：研发、生产光伏焊带及光伏焊带机械设备；加工铜材；铜材批发及进出口业</w:t>
      </w:r>
    </w:p>
    <w:p>
      <w:pPr>
        <w:pStyle w:val="BodyText"/>
        <w:spacing w:line="240" w:lineRule="auto" w:before="77"/>
        <w:ind w:right="1115"/>
        <w:jc w:val="left"/>
      </w:pPr>
      <w:r>
        <w:rPr/>
        <w:t>务。</w:t>
      </w:r>
    </w:p>
    <w:p>
      <w:pPr>
        <w:pStyle w:val="BodyText"/>
        <w:spacing w:line="240" w:lineRule="auto" w:before="76"/>
        <w:ind w:left="633" w:right="0"/>
        <w:jc w:val="left"/>
      </w:pPr>
      <w:r>
        <w:rPr/>
        <w:t>⑦苏州爱康电力开发有限公司经营范围：光伏光热电站的技术开发、投资；机械设备、五金交电、电子产品销售；自</w:t>
      </w:r>
    </w:p>
    <w:p>
      <w:pPr>
        <w:pStyle w:val="BodyText"/>
        <w:spacing w:line="240" w:lineRule="auto" w:before="76"/>
        <w:ind w:right="1115"/>
        <w:jc w:val="left"/>
      </w:pPr>
      <w:r>
        <w:rPr/>
        <w:t>营和代理各类商品及技术的进出口业务。</w:t>
      </w:r>
    </w:p>
    <w:p>
      <w:pPr>
        <w:pStyle w:val="BodyText"/>
        <w:spacing w:line="240" w:lineRule="auto" w:before="76"/>
        <w:ind w:left="604" w:right="1115"/>
        <w:jc w:val="left"/>
      </w:pPr>
      <w:r>
        <w:rPr/>
        <w:t>⑧香港爱康电力国际控股有限公司经营范围：投资和贸易。</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15" w:top="1060" w:bottom="15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964"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张家港 保税区 爱康商 贸有限 责任公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江苏省 张家港 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1,977.0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3014"/>
        <w:jc w:val="left"/>
      </w:pPr>
      <w:r>
        <w:rPr/>
        <w:t>通过同一控制下企业合并取得的子公司的其他说明 注：⑨张家港保税区爱康商贸有限责任公司经营范围：自营和代理各类商品及技术的进出口业务。</w:t>
      </w:r>
    </w:p>
    <w:p>
      <w:pPr>
        <w:spacing w:line="240" w:lineRule="auto" w:before="6"/>
        <w:rPr>
          <w:rFonts w:ascii="宋体" w:hAnsi="宋体" w:cs="宋体" w:eastAsia="宋体" w:hint="default"/>
          <w:sz w:val="20"/>
          <w:szCs w:val="20"/>
        </w:rPr>
      </w:pPr>
    </w:p>
    <w:p>
      <w:pPr>
        <w:pStyle w:val="Heading4"/>
        <w:spacing w:line="240" w:lineRule="auto"/>
        <w:ind w:right="1115"/>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41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w:t>
            </w:r>
          </w:p>
        </w:tc>
      </w:tr>
    </w:tbl>
    <w:p>
      <w:pPr>
        <w:spacing w:after="0" w:line="316" w:lineRule="auto"/>
        <w:jc w:val="both"/>
        <w:rPr>
          <w:rFonts w:ascii="宋体" w:hAnsi="宋体" w:cs="宋体" w:eastAsia="宋体" w:hint="default"/>
          <w:sz w:val="18"/>
          <w:szCs w:val="18"/>
        </w:rPr>
        <w:sectPr>
          <w:pgSz w:w="11910" w:h="16840"/>
          <w:pgMar w:header="877" w:footer="1315" w:top="1060" w:bottom="15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1611"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9" w:right="53"/>
              <w:jc w:val="both"/>
              <w:rPr>
                <w:rFonts w:ascii="宋体" w:hAnsi="宋体" w:cs="宋体" w:eastAsia="宋体" w:hint="default"/>
                <w:sz w:val="18"/>
                <w:szCs w:val="18"/>
              </w:rPr>
            </w:pPr>
            <w:r>
              <w:rPr>
                <w:rFonts w:ascii="宋体" w:hAnsi="宋体" w:cs="宋体" w:eastAsia="宋体" w:hint="default"/>
                <w:sz w:val="18"/>
                <w:szCs w:val="18"/>
              </w:rPr>
              <w:t>有者权 益中所 享有份 额后的 余额</w:t>
            </w:r>
          </w:p>
        </w:tc>
      </w:tr>
    </w:tbl>
    <w:p>
      <w:pPr>
        <w:pStyle w:val="BodyText"/>
        <w:spacing w:line="240" w:lineRule="auto" w:before="49"/>
        <w:ind w:right="1115"/>
        <w:jc w:val="left"/>
      </w:pPr>
      <w:r>
        <w:rPr/>
        <w:t>通过非同一控制下企业合并取得的子公司的其他说明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240" w:lineRule="auto" w:before="49"/>
        <w:ind w:right="1115"/>
        <w:jc w:val="left"/>
      </w:pPr>
      <w:r>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合并报表范围发生变更说明</w:t>
      </w:r>
    </w:p>
    <w:p>
      <w:pPr>
        <w:pStyle w:val="BodyText"/>
        <w:spacing w:line="240" w:lineRule="auto" w:before="115"/>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本期新纳入合并范围的子公司、特殊目的主体、通过受托经营或承租等方式形成控制权的经营实体</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4"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71,116,439.36</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21,116,439.36</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香港爱康电力国际控股有限公司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65,039,455.84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68,790.15</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64,028,105.37</w:t>
            </w:r>
            <w:r>
              <w:rPr>
                <w:rFonts w:ascii="Arial Narrow"/>
                <w:sz w:val="21"/>
              </w:rPr>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12,028,105.37</w:t>
            </w:r>
            <w:r>
              <w:rPr>
                <w:rFonts w:ascii="Arial Narrow"/>
                <w:sz w:val="21"/>
              </w:rPr>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68,000,646.27</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3,295,731.15</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青海尼赛光伏科技有限公司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9,995,299.00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-4,701.00</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青海蓓翔电力设备有限公司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11,087,319.93</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1,087,319.93</w:t>
            </w:r>
          </w:p>
        </w:tc>
      </w:tr>
    </w:tbl>
    <w:p>
      <w:pPr>
        <w:pStyle w:val="BodyText"/>
        <w:spacing w:line="240" w:lineRule="auto" w:before="49"/>
        <w:ind w:right="1115"/>
        <w:jc w:val="left"/>
      </w:pPr>
      <w:r>
        <w:rPr/>
        <w:t>本期不再纳入合并范围的子公司、特殊目的主体、通过受托经营或承租等方式形成控制权的经营实体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3"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pStyle w:val="BodyText"/>
        <w:spacing w:line="240" w:lineRule="auto" w:before="50"/>
        <w:ind w:right="1115"/>
        <w:jc w:val="left"/>
      </w:pPr>
      <w:r>
        <w:rPr/>
        <w:t>新纳入合并范围的主体和不再纳入合并范围的主体的其他说明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240" w:lineRule="auto" w:before="49"/>
        <w:ind w:right="1115"/>
        <w:jc w:val="left"/>
      </w:pPr>
      <w:r>
        <w:rPr/>
        <w:t>同一控制下企业合并的其他说明</w:t>
      </w:r>
    </w:p>
    <w:p>
      <w:pPr>
        <w:spacing w:after="0" w:line="240" w:lineRule="auto"/>
        <w:jc w:val="left"/>
        <w:sectPr>
          <w:footerReference w:type="default" r:id="rId42"/>
          <w:pgSz w:w="11910" w:h="16840"/>
          <w:pgMar w:footer="1340" w:header="877"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6"/>
        <w:gridCol w:w="3032"/>
        <w:gridCol w:w="3850"/>
      </w:tblGrid>
      <w:tr>
        <w:trPr>
          <w:trHeight w:val="403"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240" w:lineRule="auto" w:before="49"/>
        <w:ind w:right="1115"/>
        <w:jc w:val="left"/>
      </w:pPr>
      <w:r>
        <w:rPr/>
        <w:t>非同一控制下企业合并的其他说明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5"/>
      </w:tblGrid>
      <w:tr>
        <w:trPr>
          <w:trHeight w:val="403"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240" w:lineRule="auto" w:before="49"/>
        <w:ind w:right="1115"/>
        <w:jc w:val="left"/>
      </w:pPr>
      <w:r>
        <w:rPr/>
        <w:t>出售丧失控制权的股权而减少的子公司的其他说明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240" w:lineRule="auto" w:before="50"/>
        <w:ind w:right="1115"/>
        <w:jc w:val="left"/>
      </w:pPr>
      <w:r>
        <w:rPr/>
        <w:t>反向购买的其他说明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15"/>
        <w:jc w:val="left"/>
      </w:pPr>
      <w:r>
        <w:rPr/>
        <w:t>吸收合并的其他说明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5060"/>
        <w:gridCol w:w="4441"/>
      </w:tblGrid>
      <w:tr>
        <w:trPr>
          <w:trHeight w:val="343" w:hRule="exact"/>
        </w:trPr>
        <w:tc>
          <w:tcPr>
            <w:tcW w:w="5060"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资产和负债项目</w:t>
            </w:r>
          </w:p>
        </w:tc>
      </w:tr>
      <w:tr>
        <w:trPr>
          <w:trHeight w:val="341" w:hRule="exact"/>
        </w:trPr>
        <w:tc>
          <w:tcPr>
            <w:tcW w:w="5060" w:type="dxa"/>
            <w:vMerge/>
            <w:tcBorders>
              <w:left w:val="single" w:sz="4" w:space="0" w:color="000000"/>
              <w:bottom w:val="single" w:sz="4" w:space="0" w:color="000000"/>
              <w:right w:val="single" w:sz="4" w:space="0" w:color="000000"/>
            </w:tcBorders>
          </w:tcPr>
          <w:p>
            <w:pP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香港爱康电力国际控股有限公司</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港币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0.81085</w:t>
            </w:r>
            <w:r>
              <w:rPr>
                <w:rFonts w:ascii="宋体" w:hAnsi="宋体" w:cs="宋体" w:eastAsia="宋体" w:hint="default"/>
                <w:sz w:val="18"/>
                <w:szCs w:val="18"/>
              </w:rPr>
              <w:t>人民币</w:t>
            </w:r>
          </w:p>
        </w:tc>
      </w:tr>
      <w:tr>
        <w:trPr>
          <w:trHeight w:val="341" w:hRule="exact"/>
        </w:trPr>
        <w:tc>
          <w:tcPr>
            <w:tcW w:w="5060" w:type="dxa"/>
            <w:vMerge w:val="restart"/>
            <w:tcBorders>
              <w:top w:val="single" w:sz="4" w:space="0" w:color="000000"/>
              <w:left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收入、费用现金流量项目</w:t>
            </w:r>
          </w:p>
        </w:tc>
      </w:tr>
      <w:tr>
        <w:trPr>
          <w:trHeight w:val="343" w:hRule="exact"/>
        </w:trPr>
        <w:tc>
          <w:tcPr>
            <w:tcW w:w="5060" w:type="dxa"/>
            <w:vMerge/>
            <w:tcBorders>
              <w:left w:val="single" w:sz="4" w:space="0" w:color="000000"/>
              <w:bottom w:val="single" w:sz="4" w:space="0" w:color="000000"/>
              <w:right w:val="single" w:sz="4" w:space="0" w:color="000000"/>
            </w:tcBorders>
          </w:tcPr>
          <w:p>
            <w:pP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r>
      <w:tr>
        <w:trPr>
          <w:trHeight w:val="344"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香港爱康电力国际控股有限公司</w:t>
            </w:r>
          </w:p>
        </w:tc>
        <w:tc>
          <w:tcPr>
            <w:tcW w:w="4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港币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0.81422</w:t>
            </w:r>
            <w:r>
              <w:rPr>
                <w:rFonts w:ascii="宋体" w:hAnsi="宋体" w:cs="宋体" w:eastAsia="宋体" w:hint="default"/>
                <w:sz w:val="18"/>
                <w:szCs w:val="18"/>
              </w:rPr>
              <w:t>人民币</w:t>
            </w:r>
          </w:p>
        </w:tc>
      </w:tr>
    </w:tbl>
    <w:p>
      <w:pPr>
        <w:spacing w:line="240" w:lineRule="auto" w:before="1"/>
        <w:rPr>
          <w:rFonts w:ascii="宋体" w:hAnsi="宋体" w:cs="宋体" w:eastAsia="宋体" w:hint="default"/>
          <w:b/>
          <w:bCs/>
          <w:sz w:val="18"/>
          <w:szCs w:val="18"/>
        </w:rPr>
      </w:pPr>
    </w:p>
    <w:p>
      <w:pPr>
        <w:spacing w:before="26"/>
        <w:ind w:left="152" w:right="1115" w:firstLine="0"/>
        <w:jc w:val="left"/>
        <w:rPr>
          <w:rFonts w:ascii="宋体" w:hAnsi="宋体" w:cs="宋体" w:eastAsia="宋体" w:hint="default"/>
          <w:sz w:val="24"/>
          <w:szCs w:val="24"/>
        </w:rPr>
      </w:pPr>
      <w:r>
        <w:rPr>
          <w:rFonts w:ascii="宋体" w:hAnsi="宋体" w:cs="宋体" w:eastAsia="宋体" w:hint="default"/>
          <w:b/>
          <w:bCs/>
          <w:sz w:val="24"/>
          <w:szCs w:val="24"/>
        </w:rPr>
        <w:t>七、合并财务报表主要项目注释</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58.011723pt;width:135pt;height:77pt;mso-position-horizontal-relative:page;mso-position-vertical-relative:paragraph;z-index:-966808" coordorigin="9206,1160" coordsize="2700,1540">
            <v:shape style="position:absolute;left:9206;top:1160;width:2700;height:1540" type="#_x0000_t75" stroked="false">
              <v:imagedata r:id="rId21" o:title=""/>
            </v:shape>
            <v:shape style="position:absolute;left:10502;top:1521;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325"/>
        <w:gridCol w:w="931"/>
        <w:gridCol w:w="1462"/>
        <w:gridCol w:w="1327"/>
        <w:gridCol w:w="932"/>
        <w:gridCol w:w="1596"/>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bl>
    <w:p>
      <w:pPr>
        <w:spacing w:after="0" w:line="240" w:lineRule="auto"/>
        <w:jc w:val="left"/>
        <w:rPr>
          <w:rFonts w:ascii="宋体" w:hAnsi="宋体" w:cs="宋体" w:eastAsia="宋体" w:hint="default"/>
          <w:sz w:val="18"/>
          <w:szCs w:val="18"/>
        </w:rPr>
        <w:sectPr>
          <w:footerReference w:type="default" r:id="rId43"/>
          <w:pgSz w:w="11910" w:h="16840"/>
          <w:pgMar w:footer="0" w:header="877"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59,801.76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397,849.08</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15,493.20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337,181.26</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2,060.57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15,493.20</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337,181.26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398,063.00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12,951.71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3,004.57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18,931.49</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29,078.10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127,081.05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10,306.65</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179.66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1,592.50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澳元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129.60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31.32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4,722.59</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瑞郎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108.40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847.10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3,734.60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23,936.17</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韩元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739.49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729.39</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481.18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449.03</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310,640,576.60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799,366,377.58</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301,514,857.66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766,640,969.36</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555,633.64</w:t>
            </w:r>
          </w:p>
        </w:tc>
        <w:tc>
          <w:tcPr>
            <w:tcW w:w="9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3,492,435.24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3,808,571.6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76,196,281.00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5,566,062.13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103,774,821.00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8,416,449.31</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英镑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113.74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1,104.60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8,079.55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67,202.47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38,030.69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310,425.51</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380,733,350.99</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94,353,616.43</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324,784,006.14</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94,345,198.87</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8,901,335.59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55,949,344.85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1,335.93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8,417.56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691,433,729.35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894,117,843.09</w:t>
            </w:r>
          </w:p>
        </w:tc>
      </w:tr>
    </w:tbl>
    <w:p>
      <w:pPr>
        <w:pStyle w:val="Heading6"/>
        <w:spacing w:line="240" w:lineRule="auto" w:before="49"/>
        <w:ind w:right="1115"/>
        <w:jc w:val="left"/>
        <w:rPr>
          <w:b w:val="0"/>
          <w:bCs w:val="0"/>
        </w:rPr>
      </w:pPr>
      <w:r>
        <w:rPr/>
        <w:t>如有因抵押、质押或冻结等对使用有限制、存放在境外、有潜在回收风险的款项应单独说明</w:t>
      </w:r>
      <w:r>
        <w:rPr>
          <w:b w:val="0"/>
          <w:bCs w:val="0"/>
        </w:rPr>
      </w:r>
    </w:p>
    <w:p>
      <w:pPr>
        <w:pStyle w:val="BodyText"/>
        <w:spacing w:line="240" w:lineRule="auto" w:before="115"/>
        <w:ind w:left="424" w:right="1115"/>
        <w:jc w:val="left"/>
      </w:pPr>
      <w:r>
        <w:rPr>
          <w:spacing w:val="6"/>
        </w:rPr>
        <w:t>（</w:t>
      </w:r>
      <w:r>
        <w:rPr>
          <w:rFonts w:ascii="Times New Roman" w:hAnsi="Times New Roman" w:cs="Times New Roman" w:eastAsia="Times New Roman" w:hint="default"/>
          <w:spacing w:val="6"/>
        </w:rPr>
        <w:t>1</w:t>
      </w:r>
      <w:r>
        <w:rPr>
          <w:spacing w:val="6"/>
        </w:rPr>
        <w:t>）于</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日，本集团的所有权受到限制的货币资金为人民币</w:t>
      </w:r>
      <w:r>
        <w:rPr>
          <w:rFonts w:ascii="Times New Roman" w:hAnsi="Times New Roman" w:cs="Times New Roman" w:eastAsia="Times New Roman" w:hint="default"/>
          <w:spacing w:val="6"/>
        </w:rPr>
        <w:t>430,733,350.99</w:t>
      </w:r>
      <w:r>
        <w:rPr>
          <w:spacing w:val="6"/>
        </w:rPr>
        <w:t>元（</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1</w:t>
      </w:r>
      <w:r>
        <w:rPr>
          <w:spacing w:val="6"/>
        </w:rPr>
        <w:t>日：人民币</w:t>
      </w:r>
      <w:r>
        <w:rPr/>
      </w:r>
    </w:p>
    <w:p>
      <w:pPr>
        <w:pStyle w:val="BodyText"/>
        <w:spacing w:line="240" w:lineRule="auto" w:before="63"/>
        <w:ind w:right="1115"/>
        <w:jc w:val="left"/>
      </w:pPr>
      <w:r>
        <w:rPr>
          <w:rFonts w:ascii="Times New Roman" w:hAnsi="Times New Roman" w:cs="Times New Roman" w:eastAsia="Times New Roman" w:hint="default"/>
        </w:rPr>
        <w:t>94,353,616.43</w:t>
      </w:r>
      <w:r>
        <w:rPr/>
        <w:t>元），系本集团支付的银行承兑汇票保证金、信用证保证金、定期存款、远期外汇合约保证金等。</w:t>
      </w:r>
    </w:p>
    <w:p>
      <w:pPr>
        <w:pStyle w:val="BodyText"/>
        <w:spacing w:line="300" w:lineRule="auto" w:before="63"/>
        <w:ind w:right="1115" w:firstLine="271"/>
        <w:jc w:val="left"/>
      </w:pPr>
      <w:r>
        <w:rPr/>
        <w:t>（</w:t>
      </w:r>
      <w:r>
        <w:rPr>
          <w:rFonts w:ascii="Times New Roman" w:hAnsi="Times New Roman" w:cs="Times New Roman" w:eastAsia="Times New Roman" w:hint="default"/>
        </w:rPr>
        <w:t>2</w:t>
      </w:r>
      <w:r>
        <w:rPr/>
        <w:t>）其他货币资金</w:t>
      </w:r>
      <w:r>
        <w:rPr>
          <w:rFonts w:ascii="Times New Roman" w:hAnsi="Times New Roman" w:cs="Times New Roman" w:eastAsia="Times New Roman" w:hint="default"/>
        </w:rPr>
        <w:t>380,733,350.99</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日：人民币</w:t>
      </w:r>
      <w:r>
        <w:rPr>
          <w:rFonts w:ascii="Times New Roman" w:hAnsi="Times New Roman" w:cs="Times New Roman" w:eastAsia="Times New Roman" w:hint="default"/>
        </w:rPr>
        <w:t>94,353,616.43</w:t>
      </w:r>
      <w:r>
        <w:rPr/>
        <w:t>元），其中票据保证金</w:t>
      </w:r>
      <w:r>
        <w:rPr>
          <w:rFonts w:ascii="Times New Roman" w:hAnsi="Times New Roman" w:cs="Times New Roman" w:eastAsia="Times New Roman" w:hint="default"/>
        </w:rPr>
        <w:t>215,235,842.04</w:t>
      </w:r>
      <w:r>
        <w:rPr/>
        <w:t>元，信 </w:t>
      </w:r>
      <w:r>
        <w:rPr>
          <w:spacing w:val="-2"/>
        </w:rPr>
        <w:t>用证保证金</w:t>
      </w:r>
      <w:r>
        <w:rPr>
          <w:rFonts w:ascii="Times New Roman" w:hAnsi="Times New Roman" w:cs="Times New Roman" w:eastAsia="Times New Roman" w:hint="default"/>
          <w:spacing w:val="-2"/>
        </w:rPr>
        <w:t>81,629,391.45</w:t>
      </w:r>
      <w:r>
        <w:rPr>
          <w:spacing w:val="-2"/>
        </w:rPr>
        <w:t>元，质押定期存款</w:t>
      </w:r>
      <w:r>
        <w:rPr>
          <w:rFonts w:ascii="Times New Roman" w:hAnsi="Times New Roman" w:cs="Times New Roman" w:eastAsia="Times New Roman" w:hint="default"/>
          <w:spacing w:val="-2"/>
        </w:rPr>
        <w:t>80,200,000.00</w:t>
      </w:r>
      <w:r>
        <w:rPr>
          <w:spacing w:val="-2"/>
        </w:rPr>
        <w:t>元，远期外汇合约保证金</w:t>
      </w:r>
      <w:r>
        <w:rPr>
          <w:rFonts w:ascii="Times New Roman" w:hAnsi="Times New Roman" w:cs="Times New Roman" w:eastAsia="Times New Roman" w:hint="default"/>
          <w:spacing w:val="-2"/>
        </w:rPr>
        <w:t>2,802,001.00</w:t>
      </w:r>
      <w:r>
        <w:rPr>
          <w:spacing w:val="-2"/>
        </w:rPr>
        <w:t>元，保函保证金</w:t>
      </w:r>
      <w:r>
        <w:rPr>
          <w:rFonts w:ascii="Times New Roman" w:hAnsi="Times New Roman" w:cs="Times New Roman" w:eastAsia="Times New Roman" w:hint="default"/>
          <w:spacing w:val="-2"/>
        </w:rPr>
        <w:t>866,116.50</w:t>
      </w:r>
      <w:r>
        <w:rPr>
          <w:spacing w:val="-2"/>
        </w:rPr>
        <w:t>元。</w:t>
      </w:r>
      <w:r>
        <w:rPr/>
      </w:r>
    </w:p>
    <w:p>
      <w:pPr>
        <w:spacing w:line="240" w:lineRule="auto" w:before="4"/>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68" w:type="dxa"/>
            <w:tcBorders>
              <w:top w:val="single" w:sz="4" w:space="0" w:color="000000"/>
              <w:left w:val="single" w:sz="10"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368,000.00</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0"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368,000.00</w:t>
            </w:r>
          </w:p>
        </w:tc>
      </w:tr>
    </w:tbl>
    <w:p>
      <w:pPr>
        <w:spacing w:after="0" w:line="240" w:lineRule="auto"/>
        <w:jc w:val="right"/>
        <w:rPr>
          <w:rFonts w:ascii="Times New Roman" w:hAnsi="Times New Roman" w:cs="Times New Roman" w:eastAsia="Times New Roman" w:hint="default"/>
          <w:sz w:val="18"/>
          <w:szCs w:val="18"/>
        </w:rPr>
        <w:sectPr>
          <w:footerReference w:type="default" r:id="rId44"/>
          <w:pgSz w:w="11910" w:h="16840"/>
          <w:pgMar w:footer="1339" w:header="877" w:top="1060" w:bottom="1520" w:left="980" w:right="0"/>
          <w:pgNumType w:start="102"/>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65"/>
      </w:tblGrid>
      <w:tr>
        <w:trPr>
          <w:trHeight w:val="403"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4"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19,543,878.99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9,150,000.00</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3,901,920.00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23,445,798.99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9,150,000.00</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苏州盛康光伏科技有限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苏州盛康光伏科技有限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苏州盛康光伏科技有限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苏州盛康光伏科技有限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苏州盛康光伏科技有限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250,000.00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59" w:lineRule="auto" w:before="36"/>
        <w:ind w:right="1115"/>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right="1115"/>
        <w:jc w:val="left"/>
      </w:pPr>
      <w:r>
        <w:rPr/>
        <w:t>因出票人无力履约而将票据转为应收账款的票据</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115"/>
        <w:jc w:val="left"/>
      </w:pPr>
      <w:r>
        <w:rPr/>
        <w:t>说明</w:t>
      </w:r>
    </w:p>
    <w:p>
      <w:pPr>
        <w:spacing w:after="0" w:line="240" w:lineRule="auto"/>
        <w:jc w:val="left"/>
        <w:sectPr>
          <w:pgSz w:w="11910" w:h="16840"/>
          <w:pgMar w:header="877" w:footer="1339"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15"/>
        <w:jc w:val="left"/>
      </w:pPr>
      <w:r>
        <w:rPr/>
        <w:t>公司已经背书给其他方但尚未到期的票据</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肖特海润太阳能有限公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2,820,966.40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洛阳尚德太阳能电力有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北京泰豪太阳能电源技 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1,764,419.89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江阴海润太阳能电力有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江阴海润太阳能电力有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8,585,386.29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7874"/>
        <w:jc w:val="left"/>
      </w:pPr>
      <w:r>
        <w:rPr/>
        <w:t>说明 已贴现或质押的商业承兑票据的说明</w:t>
      </w:r>
    </w:p>
    <w:p>
      <w:pPr>
        <w:spacing w:line="240" w:lineRule="auto" w:before="6"/>
        <w:rPr>
          <w:rFonts w:ascii="宋体" w:hAnsi="宋体" w:cs="宋体" w:eastAsia="宋体" w:hint="default"/>
          <w:sz w:val="20"/>
          <w:szCs w:val="20"/>
        </w:rPr>
      </w:pPr>
    </w:p>
    <w:p>
      <w:pPr>
        <w:pStyle w:val="Heading4"/>
        <w:spacing w:line="240" w:lineRule="auto"/>
        <w:ind w:right="1115"/>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1340"/>
        <w:gridCol w:w="1339"/>
        <w:gridCol w:w="1433"/>
        <w:gridCol w:w="1339"/>
        <w:gridCol w:w="1337"/>
        <w:gridCol w:w="1339"/>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2,108,793.83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5,095,654.58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6,248,153.03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956,295.38</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2,108,793.83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5,095,654.58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6,248,153.03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956,295.38</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after="0" w:line="240" w:lineRule="auto"/>
        <w:jc w:val="left"/>
        <w:rPr>
          <w:rFonts w:ascii="宋体" w:hAnsi="宋体" w:cs="宋体" w:eastAsia="宋体" w:hint="default"/>
          <w:sz w:val="18"/>
          <w:szCs w:val="18"/>
        </w:rPr>
        <w:sectPr>
          <w:pgSz w:w="11910" w:h="16840"/>
          <w:pgMar w:header="877" w:footer="1339" w:top="1060" w:bottom="1540" w:left="980" w:right="0"/>
        </w:sectPr>
      </w:pPr>
    </w:p>
    <w:p>
      <w:pPr>
        <w:spacing w:line="240" w:lineRule="auto" w:before="10"/>
        <w:rPr>
          <w:rFonts w:ascii="宋体" w:hAnsi="宋体" w:cs="宋体" w:eastAsia="宋体" w:hint="default"/>
          <w:sz w:val="24"/>
          <w:szCs w:val="24"/>
        </w:rPr>
      </w:pPr>
    </w:p>
    <w:p>
      <w:pPr>
        <w:spacing w:line="487" w:lineRule="auto" w:before="36"/>
        <w:ind w:left="152" w:right="52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）应收利息的说明</w:t>
      </w:r>
      <w:r>
        <w:rPr>
          <w:rFonts w:ascii="宋体" w:hAnsi="宋体" w:cs="宋体" w:eastAsia="宋体" w:hint="default"/>
          <w:b/>
          <w:bCs/>
          <w:w w:val="100"/>
          <w:sz w:val="21"/>
          <w:szCs w:val="21"/>
        </w:rPr>
        <w:t> </w:t>
      </w:r>
      <w:r>
        <w:rPr>
          <w:rFonts w:ascii="宋体" w:hAnsi="宋体" w:cs="宋体" w:eastAsia="宋体" w:hint="default"/>
          <w:sz w:val="24"/>
          <w:szCs w:val="24"/>
        </w:rPr>
        <w:t>应收利息系本集团存入定期存款等计提的利息收入。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1"/>
        <w:ind w:right="1115"/>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6"/>
        <w:gridCol w:w="923"/>
        <w:gridCol w:w="931"/>
        <w:gridCol w:w="929"/>
        <w:gridCol w:w="930"/>
        <w:gridCol w:w="796"/>
        <w:gridCol w:w="929"/>
        <w:gridCol w:w="1064"/>
        <w:gridCol w:w="1066"/>
      </w:tblGrid>
      <w:tr>
        <w:trPr>
          <w:trHeight w:val="403" w:hRule="exact"/>
        </w:trPr>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2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9" w:hRule="exact"/>
        </w:trPr>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2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14,446,765.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2,362,348.5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16.35%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7,928,209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396,410.46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无风险的组合</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307,558,87</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7.71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95.35%</w:t>
            </w:r>
          </w:p>
        </w:tc>
        <w:tc>
          <w:tcPr>
            <w:tcW w:w="92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193,465,2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72.67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95.89%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307,558,87</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7.71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95.35%</w:t>
            </w:r>
          </w:p>
        </w:tc>
        <w:tc>
          <w:tcPr>
            <w:tcW w:w="92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193,465,2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72.67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95.89%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1"/>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550,779.02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315,585.02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372,398.2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372,398.25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322,556,42</w:t>
            </w:r>
          </w:p>
          <w:p>
            <w:pPr>
              <w:pStyle w:val="TableParagraph"/>
              <w:spacing w:line="240" w:lineRule="auto" w:before="105"/>
              <w:ind w:left="577" w:right="0"/>
              <w:jc w:val="left"/>
              <w:rPr>
                <w:rFonts w:ascii="Times New Roman" w:hAnsi="Times New Roman" w:cs="Times New Roman" w:eastAsia="Times New Roman" w:hint="default"/>
                <w:sz w:val="18"/>
                <w:szCs w:val="18"/>
              </w:rPr>
            </w:pPr>
            <w:r>
              <w:rPr>
                <w:rFonts w:ascii="Times New Roman"/>
                <w:sz w:val="18"/>
              </w:rPr>
              <w:t>1.82</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2,677,933.5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201,765,8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80.17</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768,808.71</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39" w:top="1060" w:bottom="1540" w:left="980" w:right="0"/>
        </w:sectPr>
      </w:pPr>
    </w:p>
    <w:p>
      <w:pPr>
        <w:pStyle w:val="BodyText"/>
        <w:spacing w:line="357" w:lineRule="auto" w:before="49"/>
        <w:ind w:right="-20"/>
        <w:jc w:val="left"/>
      </w:pPr>
      <w:r>
        <w:rPr/>
        <w:t>应收账款种类的说明 期末单项金额重大并单项计提坏账准备的应收账款</w:t>
      </w:r>
    </w:p>
    <w:p>
      <w:pPr>
        <w:pStyle w:val="BodyText"/>
        <w:spacing w:line="2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6"/>
        <w:gridCol w:w="1627"/>
        <w:gridCol w:w="1625"/>
        <w:gridCol w:w="1628"/>
        <w:gridCol w:w="1627"/>
      </w:tblGrid>
      <w:tr>
        <w:trPr>
          <w:trHeight w:val="403"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9"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山东合者光电新能源投资有限公司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2,287,980.00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686,394.00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内蒙古科盛太阳能科技有限责任公司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2,641,491.05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528,298.21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1"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上海山晟太阳能科技有限公司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6,364,393.80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318,219.69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安徽惠德太阳能科技有限公司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514,208.88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257,104.44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0"/>
              <w:jc w:val="left"/>
              <w:rPr>
                <w:rFonts w:ascii="宋体" w:hAnsi="宋体" w:cs="宋体" w:eastAsia="宋体" w:hint="default"/>
                <w:sz w:val="18"/>
                <w:szCs w:val="18"/>
              </w:rPr>
            </w:pPr>
            <w:r>
              <w:rPr>
                <w:rFonts w:ascii="宋体" w:hAnsi="宋体" w:cs="宋体" w:eastAsia="宋体" w:hint="default"/>
                <w:sz w:val="18"/>
                <w:szCs w:val="18"/>
              </w:rPr>
              <w:t>宁夏银星能源光伏发电设备制造有限 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852,464.00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242,464.00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Advanced Solar Photonics,</w:t>
            </w:r>
            <w:r>
              <w:rPr>
                <w:rFonts w:ascii="Times New Roman"/>
                <w:spacing w:val="-12"/>
                <w:sz w:val="18"/>
              </w:rPr>
              <w:t> </w:t>
            </w:r>
            <w:r>
              <w:rPr>
                <w:rFonts w:ascii="Times New Roman"/>
                <w:sz w:val="18"/>
              </w:rPr>
              <w:t>LLC.</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756,227.36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226,868.21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1"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北京天恒华意科技发展有限公司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1,030,000.00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103,000.00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3"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14,446,765.09</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2,362,348.55</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339" w:top="1060" w:bottom="1520" w:left="980" w:right="0"/>
        </w:sectPr>
      </w:pPr>
    </w:p>
    <w:p>
      <w:pPr>
        <w:pStyle w:val="BodyText"/>
        <w:spacing w:line="240" w:lineRule="auto" w:before="44"/>
        <w:ind w:right="160"/>
        <w:jc w:val="left"/>
      </w:pPr>
      <w:r>
        <w:rPr/>
        <w:t>组合中，按账龄分析法计提坏账准备的应收账款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组合中，采用余额百分比法计提坏账准备的应收账款</w:t>
      </w:r>
    </w:p>
    <w:p>
      <w:pPr>
        <w:pStyle w:val="BodyText"/>
        <w:spacing w:line="340" w:lineRule="auto" w:before="43"/>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1"/>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68"/>
              <w:jc w:val="left"/>
              <w:rPr>
                <w:rFonts w:ascii="Times New Roman" w:hAnsi="Times New Roman" w:cs="Times New Roman" w:eastAsia="Times New Roman" w:hint="default"/>
                <w:sz w:val="18"/>
                <w:szCs w:val="18"/>
              </w:rPr>
            </w:pPr>
            <w:r>
              <w:rPr>
                <w:rFonts w:ascii="Times New Roman"/>
                <w:sz w:val="18"/>
              </w:rPr>
              <w:t>GreenBrilliance</w:t>
            </w:r>
            <w:r>
              <w:rPr>
                <w:rFonts w:ascii="Times New Roman"/>
                <w:spacing w:val="-7"/>
                <w:sz w:val="18"/>
              </w:rPr>
              <w:t> </w:t>
            </w:r>
            <w:r>
              <w:rPr>
                <w:rFonts w:ascii="Times New Roman"/>
                <w:sz w:val="18"/>
              </w:rPr>
              <w:t>Energy</w:t>
            </w:r>
            <w:r>
              <w:rPr>
                <w:rFonts w:ascii="Times New Roman"/>
                <w:w w:val="99"/>
                <w:sz w:val="18"/>
              </w:rPr>
              <w:t> </w:t>
            </w:r>
            <w:r>
              <w:rPr>
                <w:rFonts w:ascii="Times New Roman"/>
                <w:sz w:val="18"/>
              </w:rPr>
              <w:t>Pvt.</w:t>
            </w:r>
            <w:r>
              <w:rPr>
                <w:rFonts w:ascii="Times New Roman"/>
                <w:spacing w:val="-3"/>
                <w:sz w:val="18"/>
              </w:rPr>
              <w:t> </w:t>
            </w:r>
            <w:r>
              <w:rPr>
                <w:rFonts w:ascii="Times New Roman"/>
                <w:sz w:val="18"/>
              </w:rPr>
              <w:t>Ltd.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187,911.31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187,911.31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山东宇泰光电科技有限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264,120.00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79,236.00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宜兴市天鑫太阳能科技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江苏嘉盛光伏科技有限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72"/>
              <w:jc w:val="left"/>
              <w:rPr>
                <w:rFonts w:ascii="Times New Roman" w:hAnsi="Times New Roman" w:cs="Times New Roman" w:eastAsia="Times New Roman" w:hint="default"/>
                <w:sz w:val="18"/>
                <w:szCs w:val="18"/>
              </w:rPr>
            </w:pPr>
            <w:r>
              <w:rPr>
                <w:rFonts w:ascii="Times New Roman"/>
                <w:sz w:val="18"/>
              </w:rPr>
              <w:t>JENN FENG</w:t>
            </w:r>
            <w:r>
              <w:rPr>
                <w:rFonts w:ascii="Times New Roman"/>
                <w:spacing w:val="-5"/>
                <w:sz w:val="18"/>
              </w:rPr>
              <w:t> </w:t>
            </w:r>
            <w:r>
              <w:rPr>
                <w:rFonts w:ascii="Times New Roman"/>
                <w:sz w:val="18"/>
              </w:rPr>
              <w:t>NEW</w:t>
            </w:r>
            <w:r>
              <w:rPr>
                <w:rFonts w:ascii="Times New Roman"/>
                <w:sz w:val="18"/>
              </w:rPr>
              <w:t> ENERGY Co.,</w:t>
            </w:r>
            <w:r>
              <w:rPr>
                <w:rFonts w:ascii="Times New Roman"/>
                <w:spacing w:val="-13"/>
                <w:sz w:val="18"/>
              </w:rPr>
              <w:t> </w:t>
            </w:r>
            <w:r>
              <w:rPr>
                <w:rFonts w:ascii="Times New Roman"/>
                <w:sz w:val="18"/>
              </w:rPr>
              <w:t>Ltd.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8,944.27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8,944.27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巨力新能源股份有限公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皇明洁能控股有限公司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5,590.00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江阴市龙砂铝业有限公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PERFECT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台湾全能</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550,779.02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315,585.02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63"/>
        <w:gridCol w:w="1918"/>
        <w:gridCol w:w="1884"/>
      </w:tblGrid>
      <w:tr>
        <w:trPr>
          <w:trHeight w:val="71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027"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UNIVERSAL</w:t>
            </w:r>
            <w:r>
              <w:rPr>
                <w:rFonts w:ascii="Times New Roman"/>
                <w:spacing w:val="-13"/>
                <w:sz w:val="18"/>
              </w:rPr>
              <w:t> </w:t>
            </w:r>
            <w:r>
              <w:rPr>
                <w:rFonts w:ascii="Times New Roman"/>
                <w:sz w:val="18"/>
              </w:rPr>
              <w:t>ENERGY</w:t>
            </w:r>
          </w:p>
          <w:p>
            <w:pPr>
              <w:pStyle w:val="TableParagraph"/>
              <w:spacing w:line="312" w:lineRule="auto" w:before="102"/>
              <w:ind w:left="24" w:right="265"/>
              <w:jc w:val="left"/>
              <w:rPr>
                <w:rFonts w:ascii="宋体" w:hAnsi="宋体" w:cs="宋体" w:eastAsia="宋体" w:hint="default"/>
                <w:sz w:val="18"/>
                <w:szCs w:val="18"/>
              </w:rPr>
            </w:pPr>
            <w:r>
              <w:rPr>
                <w:rFonts w:ascii="Times New Roman" w:hAnsi="Times New Roman" w:cs="Times New Roman" w:eastAsia="Times New Roman" w:hint="default"/>
                <w:sz w:val="18"/>
                <w:szCs w:val="18"/>
              </w:rPr>
              <w:t>Nanjing Solar</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Technology</w:t>
            </w:r>
            <w:r>
              <w:rPr>
                <w:rFonts w:ascii="Times New Roman" w:hAnsi="Times New Roman" w:cs="Times New Roman" w:eastAsia="Times New Roman" w:hint="default"/>
                <w:sz w:val="18"/>
                <w:szCs w:val="18"/>
              </w:rPr>
              <w:t> Co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等公司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款项已经收回</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逾期未收回</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125,589.07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41" w:right="0"/>
              <w:jc w:val="left"/>
              <w:rPr>
                <w:rFonts w:ascii="Times New Roman" w:hAnsi="Times New Roman" w:cs="Times New Roman" w:eastAsia="Times New Roman" w:hint="default"/>
                <w:sz w:val="18"/>
                <w:szCs w:val="18"/>
              </w:rPr>
            </w:pPr>
            <w:r>
              <w:rPr>
                <w:rFonts w:ascii="Times New Roman"/>
                <w:sz w:val="18"/>
              </w:rPr>
              <w:t>125,589.07</w:t>
            </w: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125,589.07</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期末单项金额重大或虽不重大但单独进行减值测试的应收账款坏账准备计提</w:t>
      </w:r>
    </w:p>
    <w:p>
      <w:pPr>
        <w:pStyle w:val="BodyText"/>
        <w:spacing w:line="240" w:lineRule="auto" w:before="117"/>
        <w:ind w:left="0" w:right="1131"/>
        <w:jc w:val="right"/>
      </w:pPr>
      <w:r>
        <w:rPr/>
        <w:t>单位：</w:t>
      </w:r>
      <w:r>
        <w:rPr>
          <w:spacing w:val="1"/>
        </w:rPr>
        <w:t> </w:t>
      </w:r>
      <w:r>
        <w:rPr/>
        <w:t>元</w:t>
      </w:r>
    </w:p>
    <w:p>
      <w:pPr>
        <w:spacing w:after="0" w:line="240" w:lineRule="auto"/>
        <w:jc w:val="right"/>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50"/>
        <w:ind w:right="1115"/>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49"/>
        <w:ind w:right="1115"/>
        <w:jc w:val="left"/>
      </w:pPr>
      <w:r>
        <w:rPr/>
        <w:t>应收账款核销说明</w:t>
      </w:r>
    </w:p>
    <w:p>
      <w:pPr>
        <w:pStyle w:val="BodyText"/>
        <w:spacing w:line="240" w:lineRule="auto" w:before="117"/>
        <w:ind w:left="633" w:right="1115"/>
        <w:jc w:val="left"/>
      </w:pPr>
      <w:r>
        <w:rPr/>
        <w:t>报告期核销坏账的应收账款金额合计</w:t>
      </w:r>
      <w:r>
        <w:rPr>
          <w:rFonts w:ascii="Arial" w:hAnsi="Arial" w:cs="Arial" w:eastAsia="Arial" w:hint="default"/>
        </w:rPr>
        <w:t>58,697.75</w:t>
      </w:r>
      <w:r>
        <w:rPr/>
        <w:t>元，无实际核销的大额应收账款。</w:t>
      </w:r>
    </w:p>
    <w:p>
      <w:pPr>
        <w:spacing w:line="240" w:lineRule="auto" w:before="3"/>
        <w:rPr>
          <w:rFonts w:ascii="宋体" w:hAnsi="宋体" w:cs="宋体" w:eastAsia="宋体" w:hint="default"/>
          <w:sz w:val="26"/>
          <w:szCs w:val="26"/>
        </w:rPr>
      </w:pPr>
    </w:p>
    <w:p>
      <w:pPr>
        <w:pStyle w:val="Heading4"/>
        <w:spacing w:line="240" w:lineRule="auto"/>
        <w:ind w:right="1115"/>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8"/>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江苏精亚集团有限公司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34,703,800.00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中建材国际贸易有限公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32,858,256.04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共和电厂电价补贴款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22,063,480.77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常州天合光能有限公司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21,280,291.65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REC Modules Pte</w:t>
            </w:r>
            <w:r>
              <w:rPr>
                <w:rFonts w:ascii="Times New Roman"/>
                <w:spacing w:val="-5"/>
                <w:sz w:val="18"/>
              </w:rPr>
              <w:t> </w:t>
            </w:r>
            <w:r>
              <w:rPr>
                <w:rFonts w:ascii="Times New Roman"/>
                <w:sz w:val="18"/>
              </w:rPr>
              <w:t>Ltd.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20,269,374.44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131,175,202.90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40.67%</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pgSz w:w="11910" w:h="16840"/>
          <w:pgMar w:header="877" w:footer="1339"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89"/>
        <w:gridCol w:w="2993"/>
        <w:gridCol w:w="3589"/>
      </w:tblGrid>
      <w:tr>
        <w:trPr>
          <w:trHeight w:val="40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应收账款买断保理</w:t>
            </w:r>
          </w:p>
        </w:tc>
        <w:tc>
          <w:tcPr>
            <w:tcW w:w="2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2,107,374.48</w:t>
            </w:r>
          </w:p>
        </w:tc>
        <w:tc>
          <w:tcPr>
            <w:tcW w:w="35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2,107,374.48</w:t>
            </w:r>
          </w:p>
        </w:tc>
        <w:tc>
          <w:tcPr>
            <w:tcW w:w="35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3846;top:17;width:2;height:392" coordorigin="3846,17" coordsize="2,392">
              <v:shape style="position:absolute;left:3846;top:17;width:2;height:392" coordorigin="3846,17" coordsize="0,392" path="m3846,17l3846,408e" filled="false" stroked="true" strokeweight="1.2pt" strokecolor="#d2d2d2">
                <v:path arrowok="t"/>
              </v:shape>
            </v:group>
            <v:group style="position:absolute;left:34;top:17;width:3801;height:392" coordorigin="34,17" coordsize="3801,392">
              <v:shape style="position:absolute;left:34;top:17;width:3801;height:392" coordorigin="34,17" coordsize="3801,392" path="m34,408l3834,408,3834,17,34,17,34,408xe" filled="true" fillcolor="#d2d2d2" stroked="false">
                <v:path arrowok="t"/>
                <v:fill type="solid"/>
              </v:shape>
            </v:group>
            <v:group style="position:absolute;left:3879;top:17;width:2;height:392" coordorigin="3879,17" coordsize="2,392">
              <v:shape style="position:absolute;left:3879;top:17;width:2;height:392" coordorigin="3879,17" coordsize="0,392" path="m3879,17l3879,408e" filled="false" stroked="true" strokeweight="1.2pt" strokecolor="#d2d2d2">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d2d2d2">
                <v:path arrowok="t"/>
              </v:shape>
            </v:group>
            <v:group style="position:absolute;left:3891;top:17;width:5656;height:392" coordorigin="3891,17" coordsize="5656,392">
              <v:shape style="position:absolute;left:3891;top:17;width:5656;height:392" coordorigin="3891,17" coordsize="5656,392" path="m3891,408l9547,408,9547,17,3891,17,3891,408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413" coordorigin="3863,5" coordsize="2,413">
              <v:shape style="position:absolute;left:3863;top:5;width:2;height:413" coordorigin="3863,5" coordsize="0,413" path="m3863,5l3863,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849;height:2" coordorigin="10,413" coordsize="3849,2">
              <v:shape style="position:absolute;left:10;top:413;width:3849;height:2" coordorigin="10,413" coordsize="3849,0" path="m10,413l3858,413e" filled="false" stroked="true" strokeweight=".48pt" strokecolor="#000000">
                <v:path arrowok="t"/>
              </v:shape>
            </v:group>
            <v:group style="position:absolute;left:3867;top:413;width:5704;height:2" coordorigin="3867,413" coordsize="5704,2">
              <v:shape style="position:absolute;left:3867;top:413;width:5704;height:2" coordorigin="3867,413" coordsize="5704,0" path="m3867,413l9571,413e" filled="false" stroked="true" strokeweight=".48pt" strokecolor="#000000">
                <v:path arrowok="t"/>
              </v:shape>
            </v:group>
            <v:group style="position:absolute;left:23;top:821;width:2;height:392" coordorigin="23,821" coordsize="2,392">
              <v:shape style="position:absolute;left:23;top:821;width:2;height:392" coordorigin="23,821" coordsize="0,392" path="m23,821l23,1212e" filled="false" stroked="true" strokeweight="1.08pt" strokecolor="#d2d2d2">
                <v:path arrowok="t"/>
              </v:shape>
            </v:group>
            <v:group style="position:absolute;left:9559;top:821;width:2;height:392" coordorigin="9559,821" coordsize="2,392">
              <v:shape style="position:absolute;left:9559;top:821;width:2;height:392" coordorigin="9559,821" coordsize="0,392" path="m9559,821l9559,1212e" filled="false" stroked="true" strokeweight="1.2pt" strokecolor="#d2d2d2">
                <v:path arrowok="t"/>
              </v:shape>
            </v:group>
            <v:group style="position:absolute;left:34;top:821;width:9514;height:392" coordorigin="34,821" coordsize="9514,392">
              <v:shape style="position:absolute;left:34;top:821;width:9514;height:392" coordorigin="34,821" coordsize="9514,392" path="m34,1212l9547,1212,9547,821,34,821,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1752;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4"/>
        <w:spacing w:line="240" w:lineRule="auto" w:before="36"/>
        <w:ind w:right="1115"/>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无风险的组合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116,802,286.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17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96.9%</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58,698,638.8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99.15%</w:t>
            </w: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职工周转用备用金的组 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3,724,065.04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492,822.64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0.83%</w:t>
            </w: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120,526,351.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99.99%</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59,191,461.4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99.98%</w:t>
            </w: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6,420.00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6,420.00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10,887.91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10,887.91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120,532,771.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21</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6,420.00</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59,202,349.3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10,887.91</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6614"/>
        <w:jc w:val="left"/>
      </w:pPr>
      <w:r>
        <w:rPr/>
        <w:t>其他应收款种类的说明 期末单项金额重大并单项计提坏账准备的其他应收款</w:t>
      </w:r>
    </w:p>
    <w:p>
      <w:pPr>
        <w:pStyle w:val="BodyText"/>
        <w:spacing w:line="340" w:lineRule="auto" w:before="25"/>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338" w:lineRule="auto" w:before="41"/>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组合中，采用余额百分比法计提坏账准备的其他应收款</w:t>
      </w:r>
    </w:p>
    <w:p>
      <w:pPr>
        <w:pStyle w:val="BodyText"/>
        <w:spacing w:line="340" w:lineRule="auto" w:before="43"/>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111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339" w:top="1060" w:bottom="152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45"/>
          <w:footerReference w:type="default" r:id="rId46"/>
          <w:pgSz w:w="11910" w:h="16840"/>
          <w:pgMar w:header="877" w:footer="0" w:top="1060" w:bottom="0" w:left="980" w:right="0"/>
        </w:sectPr>
      </w:pPr>
    </w:p>
    <w:p>
      <w:pPr>
        <w:pStyle w:val="BodyText"/>
        <w:spacing w:line="240" w:lineRule="auto" w:before="44"/>
        <w:ind w:right="-20"/>
        <w:jc w:val="left"/>
      </w:pPr>
      <w:r>
        <w:rPr/>
        <w:t>期末单项金额虽不重大但单项计提坏账准备的其他应收款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653" w:space="4176"/>
            <w:col w:w="2101"/>
          </w:cols>
        </w:sectPr>
      </w:pPr>
    </w:p>
    <w:p>
      <w:pPr>
        <w:spacing w:line="240" w:lineRule="auto" w:before="4"/>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966640" coordorigin="9206,15298" coordsize="2700,1540">
            <v:shape style="position:absolute;left:9206;top:15298;width:2700;height:1540" type="#_x0000_t75" stroked="false">
              <v:imagedata r:id="rId21"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109</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离职员工欠款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6,420.00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6,420.00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6,420.00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715"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1115"/>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1115"/>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49"/>
        <w:ind w:right="1115"/>
        <w:jc w:val="left"/>
      </w:pPr>
      <w:r>
        <w:rPr/>
        <w:t>其他应收款核销说明</w:t>
      </w:r>
    </w:p>
    <w:p>
      <w:pPr>
        <w:spacing w:before="66"/>
        <w:ind w:left="633" w:right="1115" w:firstLine="0"/>
        <w:jc w:val="left"/>
        <w:rPr>
          <w:rFonts w:ascii="宋体" w:hAnsi="宋体" w:cs="宋体" w:eastAsia="宋体" w:hint="default"/>
          <w:sz w:val="24"/>
          <w:szCs w:val="24"/>
        </w:rPr>
      </w:pPr>
      <w:r>
        <w:rPr>
          <w:rFonts w:ascii="宋体" w:hAnsi="宋体" w:cs="宋体" w:eastAsia="宋体" w:hint="default"/>
          <w:sz w:val="24"/>
          <w:szCs w:val="24"/>
        </w:rPr>
        <w:t>报告期实际核销其他应收款</w:t>
      </w:r>
      <w:r>
        <w:rPr>
          <w:rFonts w:ascii="Times New Roman" w:hAnsi="Times New Roman" w:cs="Times New Roman" w:eastAsia="Times New Roman" w:hint="default"/>
          <w:sz w:val="24"/>
          <w:szCs w:val="24"/>
        </w:rPr>
        <w:t>4,467.91</w:t>
      </w:r>
      <w:r>
        <w:rPr>
          <w:rFonts w:ascii="宋体" w:hAnsi="宋体" w:cs="宋体" w:eastAsia="宋体" w:hint="default"/>
          <w:sz w:val="24"/>
          <w:szCs w:val="24"/>
        </w:rPr>
        <w:t>元。</w:t>
      </w:r>
    </w:p>
    <w:p>
      <w:pPr>
        <w:spacing w:line="240" w:lineRule="auto" w:before="7"/>
        <w:rPr>
          <w:rFonts w:ascii="宋体" w:hAnsi="宋体" w:cs="宋体" w:eastAsia="宋体" w:hint="default"/>
          <w:sz w:val="23"/>
          <w:szCs w:val="23"/>
        </w:rPr>
      </w:pPr>
    </w:p>
    <w:p>
      <w:pPr>
        <w:pStyle w:val="Heading4"/>
        <w:spacing w:line="240" w:lineRule="auto"/>
        <w:ind w:right="1115"/>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1916"/>
        <w:gridCol w:w="2871"/>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如皋经济开发区财政分局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44,592,786.00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土地返还款和利息</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张家港市财政局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28,694,265.70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青海省发展投资有限公司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常州天合光能有限公司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10,843,862.40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秦焜武</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403"/>
        <w:gridCol w:w="1904"/>
        <w:gridCol w:w="2873"/>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106,230,914.10</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88.13%</w:t>
            </w:r>
          </w:p>
        </w:tc>
      </w:tr>
    </w:tbl>
    <w:p>
      <w:pPr>
        <w:pStyle w:val="BodyText"/>
        <w:spacing w:line="240" w:lineRule="auto" w:before="49"/>
        <w:ind w:right="1115"/>
        <w:jc w:val="left"/>
      </w:pPr>
      <w:r>
        <w:rPr/>
        <w:t>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如皋经济开发区财政分 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44,592,786.00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张家港市财政局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28,694,265.70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青海省发展投资有限公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16.59%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常州天合光能有限公司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10,843,862.40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秦焜武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106,230,914.10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88.13%</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1"/>
        <w:gridCol w:w="2430"/>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1227"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713;top:14;width:2;height:394" coordorigin="3713,14" coordsize="2,394">
              <v:shape style="position:absolute;left:3713;top:14;width:2;height:394" coordorigin="3713,14" coordsize="0,394" path="m3713,14l3713,408e" filled="false" stroked="true" strokeweight="1.08pt" strokecolor="#d2d2d2">
                <v:path arrowok="t"/>
              </v:shape>
            </v:group>
            <v:group style="position:absolute;left:34;top:14;width:3669;height:394" coordorigin="34,14" coordsize="3669,394">
              <v:shape style="position:absolute;left:34;top:14;width:3669;height:394" coordorigin="34,14" coordsize="3669,394" path="m34,408l3702,408,3702,14,34,14,34,408xe" filled="true" fillcolor="#d2d2d2" stroked="false">
                <v:path arrowok="t"/>
                <v:fill type="solid"/>
              </v:shape>
            </v:group>
            <v:group style="position:absolute;left:3745;top:14;width:2;height:394" coordorigin="3745,14" coordsize="2,394">
              <v:shape style="position:absolute;left:3745;top:14;width:2;height:394" coordorigin="3745,14" coordsize="0,394" path="m3745,14l3745,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757;top:14;width:5790;height:394" coordorigin="3757,14" coordsize="5790,394">
              <v:shape style="position:absolute;left:3757;top:14;width:5790;height:394" coordorigin="3757,14" coordsize="5790,394" path="m3757,408l9547,408,9547,14,3757,14,3757,408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3728;top:5;width:2;height:413" coordorigin="3728,5" coordsize="2,413">
              <v:shape style="position:absolute;left:3728;top:5;width:2;height:413" coordorigin="3728,5" coordsize="0,413" path="m3728,5l3728,418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714;height:2" coordorigin="10,413" coordsize="3714,2">
              <v:shape style="position:absolute;left:10;top:413;width:3714;height:2" coordorigin="10,413" coordsize="3714,0" path="m10,413l3723,413e" filled="false" stroked="true" strokeweight=".48pt" strokecolor="#000000">
                <v:path arrowok="t"/>
              </v:shape>
            </v:group>
            <v:group style="position:absolute;left:3733;top:413;width:5838;height:2" coordorigin="3733,413" coordsize="5838,2">
              <v:shape style="position:absolute;left:3733;top:413;width:5838;height:2" coordorigin="3733,413" coordsize="5838,0" path="m3733,413l9571,413e" filled="false" stroked="true" strokeweight=".48pt" strokecolor="#000000">
                <v:path arrowok="t"/>
              </v:shape>
            </v:group>
            <v:group style="position:absolute;left:23;top:819;width:2;height:394" coordorigin="23,819" coordsize="2,394">
              <v:shape style="position:absolute;left:23;top:819;width:2;height:394" coordorigin="23,819" coordsize="0,394" path="m23,819l23,1213e" filled="false" stroked="true" strokeweight="1.08pt" strokecolor="#d2d2d2">
                <v:path arrowok="t"/>
              </v:shape>
            </v:group>
            <v:group style="position:absolute;left:9559;top:819;width:2;height:394" coordorigin="9559,819" coordsize="2,394">
              <v:shape style="position:absolute;left:9559;top:819;width:2;height:394" coordorigin="9559,819" coordsize="0,394" path="m9559,819l9559,1213e" filled="false" stroked="true" strokeweight="1.2pt" strokecolor="#d2d2d2">
                <v:path arrowok="t"/>
              </v:shape>
            </v:group>
            <v:group style="position:absolute;left:34;top:819;width:9514;height:394" coordorigin="34,819" coordsize="9514,394">
              <v:shape style="position:absolute;left:34;top:819;width:9514;height:394" coordorigin="34,819" coordsize="9514,394" path="m34,1213l9547,1213,9547,819,34,819,34,1213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418;width:2;height:805" coordorigin="5,418" coordsize="2,805">
              <v:shape style="position:absolute;left:5;top:418;width:2;height:805" coordorigin="5,418" coordsize="0,805" path="m5,418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418;width:2;height:805" coordorigin="9576,418" coordsize="2,805">
              <v:shape style="position:absolute;left:9576;top:418;width:2;height:805" coordorigin="9576,418" coordsize="0,805" path="m9576,418l9576,1222e" filled="false" stroked="true" strokeweight=".4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4"/>
        <w:spacing w:line="240" w:lineRule="auto" w:before="36"/>
        <w:ind w:right="1115"/>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37.011723pt;width:135pt;height:77pt;mso-position-horizontal-relative:page;mso-position-vertical-relative:paragraph;z-index:-966472" coordorigin="9206,740" coordsize="2700,1540">
            <v:shape style="position:absolute;left:9206;top:740;width:2700;height:1540" type="#_x0000_t75" stroked="false">
              <v:imagedata r:id="rId21" o:title=""/>
            </v:shape>
            <v:shape style="position:absolute;left:10509;top:1101;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110</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4251"/>
        <w:gridCol w:w="4105"/>
      </w:tblGrid>
      <w:tr>
        <w:trPr>
          <w:trHeight w:val="401"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headerReference w:type="default" r:id="rId47"/>
          <w:footerReference w:type="default" r:id="rId48"/>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1"/>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8,531,450.02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99.36%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70,551,067.17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99.99%</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55,121.63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8,586,571.65</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70,556,067.17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预付款项账龄的说明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无锡市平安电子工程有 限公司张家港市分公司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1,965,115.24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预付款，货未到</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中央金库</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1,251,001.61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预付进口增值税</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中国出口信用保险公司 江苏分公司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888,292.31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预付款，货未到</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江苏省电力公司张家港 市供电公司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787,335.86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预付电费</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如皋市益有管道燃气有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预付燃气费</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5,491,745.02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预付款项主要单位的说明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401"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6"/>
        <w:gridCol w:w="1473"/>
        <w:gridCol w:w="1193"/>
        <w:gridCol w:w="1330"/>
        <w:gridCol w:w="1327"/>
        <w:gridCol w:w="1330"/>
        <w:gridCol w:w="1327"/>
      </w:tblGrid>
      <w:tr>
        <w:trPr>
          <w:trHeight w:val="206"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57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94,524,529.25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94,524,529.25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59,861,154.72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59,861,154.72</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11,071,350.42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11,071,350.42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9,890,527.15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9,890,527.15</w:t>
            </w:r>
          </w:p>
        </w:tc>
      </w:tr>
    </w:tbl>
    <w:p>
      <w:pPr>
        <w:spacing w:after="0" w:line="240" w:lineRule="auto"/>
        <w:jc w:val="right"/>
        <w:rPr>
          <w:rFonts w:ascii="Times New Roman" w:hAnsi="Times New Roman" w:cs="Times New Roman" w:eastAsia="Times New Roman" w:hint="default"/>
          <w:sz w:val="18"/>
          <w:szCs w:val="18"/>
        </w:rPr>
        <w:sectPr>
          <w:footerReference w:type="default" r:id="rId49"/>
          <w:pgSz w:w="11910" w:h="16840"/>
          <w:pgMar w:footer="1340" w:header="877" w:top="1060" w:bottom="1540" w:left="980" w:right="0"/>
          <w:pgNumType w:start="111"/>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82,243,039.88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2,048,343.73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80,194,696.15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134,054,951.78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767,492.47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133,287,459.31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4,011,610.67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4,011,610.67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3,701,468.58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3,701,468.58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50,994,216.13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50,994,216.13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132,483.72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132,483.72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242,844,746.35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2,048,343.73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240,796,402.62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207,640,585.95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767,492.47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206,873,093.48</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8"/>
        <w:gridCol w:w="1616"/>
        <w:gridCol w:w="1615"/>
        <w:gridCol w:w="1414"/>
        <w:gridCol w:w="1431"/>
        <w:gridCol w:w="1757"/>
      </w:tblGrid>
      <w:tr>
        <w:trPr>
          <w:trHeight w:val="206" w:hRule="exact"/>
        </w:trPr>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38"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767,492.47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2,048,343.73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w w:val="95"/>
                <w:sz w:val="18"/>
              </w:rPr>
              <w:t>21,511.29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745,981.18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2,048,343.73</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767,492.47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2,048,343.73</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21,511.29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745,981.18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2,048,343.73</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81"/>
        <w:gridCol w:w="2391"/>
        <w:gridCol w:w="2393"/>
        <w:gridCol w:w="2393"/>
      </w:tblGrid>
      <w:tr>
        <w:trPr>
          <w:trHeight w:val="161"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96" w:right="111"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10" w:space="0" w:color="D2D2D2"/>
              <w:right w:val="single" w:sz="4" w:space="0" w:color="000000"/>
            </w:tcBorders>
          </w:tcPr>
          <w:p>
            <w:pPr>
              <w:pStyle w:val="TableParagraph"/>
              <w:spacing w:line="314" w:lineRule="auto" w:before="49"/>
              <w:ind w:left="16" w:right="195"/>
              <w:jc w:val="left"/>
              <w:rPr>
                <w:rFonts w:ascii="宋体" w:hAnsi="宋体" w:cs="宋体" w:eastAsia="宋体" w:hint="default"/>
                <w:sz w:val="18"/>
                <w:szCs w:val="18"/>
              </w:rPr>
            </w:pPr>
            <w:r>
              <w:rPr>
                <w:rFonts w:ascii="宋体" w:hAnsi="宋体" w:cs="宋体" w:eastAsia="宋体" w:hint="default"/>
                <w:sz w:val="18"/>
                <w:szCs w:val="18"/>
              </w:rPr>
              <w:t>库存商品中部分产品的可变 现净值低于存货成本</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本年已销售</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r>
      <w:tr>
        <w:trPr>
          <w:trHeight w:val="391"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1" w:type="dxa"/>
            <w:vMerge/>
            <w:tcBorders>
              <w:left w:val="single" w:sz="10" w:space="0" w:color="D2D2D2"/>
              <w:right w:val="single" w:sz="4" w:space="0" w:color="000000"/>
            </w:tcBorders>
          </w:tcPr>
          <w:p>
            <w:pPr/>
          </w:p>
        </w:tc>
        <w:tc>
          <w:tcPr>
            <w:tcW w:w="2393"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r>
      <w:tr>
        <w:trPr>
          <w:trHeight w:val="16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15"/>
        <w:jc w:val="left"/>
      </w:pPr>
      <w:r>
        <w:rPr/>
        <w:t>存货的说明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待摊电话费、票据贴现利息、信保费等</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1,334,951.42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1,961,479.19</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4,842.73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1,208,103.26</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54,075,158.22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55,414,952.37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3,169,582.45</w:t>
            </w:r>
          </w:p>
        </w:tc>
      </w:tr>
    </w:tbl>
    <w:p>
      <w:pPr>
        <w:pStyle w:val="BodyText"/>
        <w:spacing w:line="240" w:lineRule="auto" w:before="49"/>
        <w:ind w:right="1115"/>
        <w:jc w:val="left"/>
      </w:pPr>
      <w:r>
        <w:rPr/>
        <w:t>其他流动资产说明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3"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357" w:lineRule="auto" w:before="49"/>
        <w:ind w:right="0"/>
        <w:jc w:val="left"/>
      </w:pPr>
      <w:r>
        <w:rPr>
          <w:spacing w:val="-4"/>
        </w:rPr>
        <w:t>本期将持有至到期投资重分类为可供出售金融资产的，本期重分类的金额元，该金额占重分类前持有至到期投资总额的比例。</w:t>
      </w:r>
      <w:r>
        <w:rPr>
          <w:spacing w:val="-44"/>
        </w:rPr>
        <w:t> </w:t>
      </w:r>
      <w:r>
        <w:rPr>
          <w:spacing w:val="-44"/>
        </w:rPr>
      </w:r>
      <w:r>
        <w:rPr/>
        <w:t>可供出售金融资产的说明</w:t>
      </w:r>
    </w:p>
    <w:p>
      <w:pPr>
        <w:spacing w:after="0" w:line="357"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1"/>
        <w:gridCol w:w="1064"/>
        <w:gridCol w:w="1063"/>
        <w:gridCol w:w="1063"/>
        <w:gridCol w:w="1064"/>
        <w:gridCol w:w="1063"/>
      </w:tblGrid>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15"/>
        <w:jc w:val="left"/>
      </w:pPr>
      <w:r>
        <w:rPr/>
        <w:t>可供出售金融资产的长期债权投资的说明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3"/>
        <w:gridCol w:w="3178"/>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pStyle w:val="BodyText"/>
        <w:spacing w:line="240" w:lineRule="auto" w:before="49"/>
        <w:ind w:right="1115"/>
        <w:jc w:val="left"/>
      </w:pPr>
      <w:r>
        <w:rPr/>
        <w:t>持有至到期投资的说明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6"/>
        <w:gridCol w:w="2792"/>
        <w:gridCol w:w="3970"/>
      </w:tblGrid>
      <w:tr>
        <w:trPr>
          <w:trHeight w:val="401"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Style w:val="BodyText"/>
        <w:spacing w:line="240" w:lineRule="auto" w:before="49"/>
        <w:ind w:right="1115"/>
        <w:jc w:val="left"/>
      </w:pPr>
      <w:r>
        <w:rPr/>
        <w:t>本报告期内出售但尚未到期的持有至到期投资情况说明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3324"/>
        <w:gridCol w:w="3442"/>
      </w:tblGrid>
      <w:tr>
        <w:trPr>
          <w:trHeight w:val="402"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3"/>
        <w:gridCol w:w="1198"/>
        <w:gridCol w:w="1198"/>
      </w:tblGrid>
      <w:tr>
        <w:trPr>
          <w:trHeight w:val="1027"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4"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8"/>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both"/>
              <w:rPr>
                <w:rFonts w:ascii="宋体" w:hAnsi="宋体" w:cs="宋体" w:eastAsia="宋体" w:hint="default"/>
                <w:sz w:val="18"/>
                <w:szCs w:val="18"/>
              </w:rPr>
            </w:pPr>
            <w:r>
              <w:rPr>
                <w:rFonts w:ascii="宋体" w:hAnsi="宋体" w:cs="宋体" w:eastAsia="宋体" w:hint="default"/>
                <w:sz w:val="18"/>
                <w:szCs w:val="18"/>
              </w:rPr>
              <w:t>广东爱康太阳 能科技有限公 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198,614.73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148,119.36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50,495.37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102,966.98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2,916.38</w:t>
            </w:r>
          </w:p>
        </w:tc>
      </w:tr>
      <w:tr>
        <w:trPr>
          <w:trHeight w:val="10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both"/>
              <w:rPr>
                <w:rFonts w:ascii="宋体" w:hAnsi="宋体" w:cs="宋体" w:eastAsia="宋体" w:hint="default"/>
                <w:sz w:val="18"/>
                <w:szCs w:val="18"/>
              </w:rPr>
            </w:pPr>
            <w:r>
              <w:rPr>
                <w:rFonts w:ascii="宋体" w:hAnsi="宋体" w:cs="宋体" w:eastAsia="宋体" w:hint="default"/>
                <w:sz w:val="18"/>
                <w:szCs w:val="18"/>
              </w:rPr>
              <w:t>江苏爱通新能 源科技有限公 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119.86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-176.73</w:t>
            </w:r>
          </w:p>
        </w:tc>
      </w:tr>
    </w:tbl>
    <w:p>
      <w:pPr>
        <w:pStyle w:val="BodyText"/>
        <w:spacing w:line="240" w:lineRule="auto" w:before="49"/>
        <w:ind w:right="1115"/>
        <w:jc w:val="left"/>
      </w:pPr>
      <w:r>
        <w:rPr/>
        <w:t>合营企业、联营企业的重要会计政策、会计估计与公司的会计政策、会计估计存在重大差异的说明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广东爱康 太阳能科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95,157,98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5,832,752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100,990,7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38.46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江苏爱通 新能源科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293,066.5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293,066.5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95,157,98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6,125,819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101,283,8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05.04</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240" w:lineRule="auto" w:before="49"/>
        <w:ind w:right="1115"/>
        <w:jc w:val="left"/>
      </w:pPr>
      <w:r>
        <w:rPr/>
        <w:t>长期股权投资的说明</w:t>
      </w:r>
    </w:p>
    <w:p>
      <w:pPr>
        <w:pStyle w:val="BodyText"/>
        <w:spacing w:line="300" w:lineRule="auto" w:before="115"/>
        <w:ind w:right="0"/>
        <w:jc w:val="left"/>
      </w:pPr>
      <w:r>
        <w:rPr>
          <w:spacing w:val="-3"/>
        </w:rPr>
        <w:t>注：</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月本公司与自然人陈刚签订协议，将本公司持有的广东爱康太阳能科技有限公司</w:t>
      </w:r>
      <w:r>
        <w:rPr>
          <w:rFonts w:ascii="Times New Roman" w:hAnsi="Times New Roman" w:cs="Times New Roman" w:eastAsia="Times New Roman" w:hint="default"/>
          <w:spacing w:val="-3"/>
        </w:rPr>
        <w:t>5%</w:t>
      </w:r>
      <w:r>
        <w:rPr>
          <w:spacing w:val="-3"/>
        </w:rPr>
        <w:t>的股权转让给自然人陈刚，</w:t>
      </w:r>
      <w:r>
        <w:rPr>
          <w:spacing w:val="-61"/>
        </w:rPr>
        <w:t> </w:t>
      </w:r>
      <w:r>
        <w:rPr>
          <w:spacing w:val="-61"/>
        </w:rPr>
      </w:r>
      <w:r>
        <w:rPr/>
        <w:t>因相关法律手续尚未办理，本公司仍持有广东爱康太阳能科技有限公司</w:t>
      </w:r>
      <w:r>
        <w:rPr>
          <w:rFonts w:ascii="Times New Roman" w:hAnsi="Times New Roman" w:cs="Times New Roman" w:eastAsia="Times New Roman" w:hint="default"/>
        </w:rPr>
        <w:t>20%</w:t>
      </w:r>
      <w:r>
        <w:rPr/>
        <w:t>的股权，本公司长期股权投资采用权益法核算。</w:t>
      </w:r>
    </w:p>
    <w:p>
      <w:pPr>
        <w:spacing w:line="240" w:lineRule="auto" w:before="4"/>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15"/>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50"/>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5350;top:14;width:2;height:392" coordorigin="5350,14" coordsize="2,392">
              <v:shape style="position:absolute;left:5350;top:14;width:2;height:392" coordorigin="5350,14" coordsize="0,392" path="m5350,14l5350,406e" filled="false" stroked="true" strokeweight="1.08pt" strokecolor="#d2d2d2">
                <v:path arrowok="t"/>
              </v:shape>
            </v:group>
            <v:group style="position:absolute;left:34;top:14;width:5306;height:392" coordorigin="34,14" coordsize="5306,392">
              <v:shape style="position:absolute;left:34;top:14;width:5306;height:392" coordorigin="34,14" coordsize="5306,392" path="m34,406l5339,406,5339,14,34,14,34,406xe" filled="true" fillcolor="#d2d2d2" stroked="false">
                <v:path arrowok="t"/>
                <v:fill type="solid"/>
              </v:shape>
            </v:group>
            <v:group style="position:absolute;left:5382;top:14;width:2;height:392" coordorigin="5382,14" coordsize="2,392">
              <v:shape style="position:absolute;left:5382;top:14;width:2;height:392" coordorigin="5382,14" coordsize="0,392" path="m5382,14l5382,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5394;top:14;width:4153;height:392" coordorigin="5394,14" coordsize="4153,392">
              <v:shape style="position:absolute;left:5394;top:14;width:4153;height:392" coordorigin="5394,14" coordsize="4153,392" path="m5394,406l9547,406,9547,14,5394,14,5394,406xe" filled="true" fillcolor="#d2d2d2" stroked="false">
                <v:path arrowok="t"/>
                <v:fill type="solid"/>
              </v:shape>
            </v:group>
            <v:group style="position:absolute;left:10;top:10;width:5351;height:2" coordorigin="10,10" coordsize="5351,2">
              <v:shape style="position:absolute;left:10;top:10;width:5351;height:2" coordorigin="10,10" coordsize="5351,0" path="m10,10l5361,10e" filled="false" stroked="true" strokeweight=".48pt" strokecolor="#000000">
                <v:path arrowok="t"/>
              </v:shape>
            </v:group>
            <v:group style="position:absolute;left:5370;top:10;width:4201;height:2" coordorigin="5370,10" coordsize="4201,2">
              <v:shape style="position:absolute;left:5370;top:10;width:4201;height:2" coordorigin="5370,10" coordsize="4201,0" path="m5370,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5351;height:2" coordorigin="10,413" coordsize="5351,2">
              <v:shape style="position:absolute;left:10;top:413;width:5351;height:2" coordorigin="10,413" coordsize="5351,0" path="m10,413l5361,413e" filled="false" stroked="true" strokeweight=".48pt" strokecolor="#000000">
                <v:path arrowok="t"/>
              </v:shape>
            </v:group>
            <v:group style="position:absolute;left:5365;top:5;width:2;height:413" coordorigin="5365,5" coordsize="2,413">
              <v:shape style="position:absolute;left:5365;top:5;width:2;height:413" coordorigin="5365,5" coordsize="0,413" path="m5365,5l5365,418e" filled="false" stroked="true" strokeweight=".48pt" strokecolor="#000000">
                <v:path arrowok="t"/>
              </v:shape>
            </v:group>
            <v:group style="position:absolute;left:5370;top:413;width:4201;height:2" coordorigin="5370,413" coordsize="4201,2">
              <v:shape style="position:absolute;left:5370;top:413;width:4201;height:2" coordorigin="5370,413" coordsize="4201,0" path="m5370,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8pt" strokecolor="#000000">
                <v:path arrowok="t"/>
              </v:shape>
              <v:shape style="position:absolute;left:729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966376" coordorigin="9206,15298" coordsize="2700,1540">
            <v:shape style="position:absolute;left:9206;top:15298;width:2700;height:1540" type="#_x0000_t75" stroked="false">
              <v:imagedata r:id="rId21" o:title=""/>
            </v:shape>
            <v:shape style="position:absolute;left:10509;top:15659;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115</w:t>
                    </w:r>
                  </w:p>
                </w:txbxContent>
              </v:textbox>
              <w10:wrap type="none"/>
            </v:shape>
            <w10:wrap type="none"/>
          </v:group>
        </w:pict>
      </w: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3"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3"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16" w:lineRule="auto" w:before="49"/>
        <w:ind w:right="1115"/>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spacing w:line="240" w:lineRule="auto" w:before="10"/>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694,632,806.00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400,724,540.98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4,318,355.57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1,091,038,991.41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344,517,218.60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177,783,741.19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522,300,959.79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118,965,998.83</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0" w:right="0"/>
              <w:jc w:val="left"/>
              <w:rPr>
                <w:rFonts w:ascii="Times New Roman" w:hAnsi="Times New Roman" w:cs="Times New Roman" w:eastAsia="Times New Roman" w:hint="default"/>
                <w:sz w:val="18"/>
                <w:szCs w:val="18"/>
              </w:rPr>
            </w:pPr>
            <w:r>
              <w:rPr>
                <w:rFonts w:ascii="Times New Roman"/>
                <w:sz w:val="18"/>
              </w:rPr>
              <w:t>91,808,711.91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2,363,965.89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208,410,744.85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12,727,129.50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2,889,008.36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1,740,691.38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13,875,446.48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发电及输电设备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200,239,571.17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117,402,759.97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317,642,331.14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18,182,887.90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10,840,319.55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213,698.30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28,809,509.15</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28,422,313.54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51,917,909.25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2,317,002.05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78,023,220.74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10,673,740.26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19,550,390.55</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30,224,130.81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10,410,376.28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14,888,922.34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906,490.46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24,392,808.16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3,282,508.59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2,458,276.04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1,364,882.74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4,375,901.89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发电及输电设备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11,012,376.58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11,012,376.58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4,055,688.41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4,007,943.74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45,628.85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8,018,003.30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666,210,492.46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1,013,015,770.67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333,843,478.34</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492,076,828.98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108,555,622.55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184,017,936.69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9,444,620.91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9,444,620.91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发电及输电设备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200,239,571.17</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200,239,571.17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14,127,199.49</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20,791,505.85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2" w:type="dxa"/>
            <w:tcBorders>
              <w:top w:val="single" w:sz="4" w:space="0" w:color="000000"/>
              <w:left w:val="single" w:sz="4" w:space="0" w:color="000000"/>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7,529,460.21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129,164.21</w:t>
            </w:r>
          </w:p>
        </w:tc>
      </w:tr>
    </w:tbl>
    <w:p>
      <w:pPr>
        <w:spacing w:after="0" w:line="240" w:lineRule="auto"/>
        <w:jc w:val="right"/>
        <w:rPr>
          <w:rFonts w:ascii="Times New Roman" w:hAnsi="Times New Roman" w:cs="Times New Roman" w:eastAsia="Times New Roman" w:hint="default"/>
          <w:sz w:val="18"/>
          <w:szCs w:val="18"/>
        </w:rPr>
        <w:sectPr>
          <w:headerReference w:type="default" r:id="rId50"/>
          <w:footerReference w:type="default" r:id="rId51"/>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4506"/>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发电及输电设备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7,400,296.00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666,210,492.46</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1,005,486,310.46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333,843,478.34</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491,947,664.77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108,555,622.55</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184,017,936.69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9,444,620.91</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9,499,544.59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发电及输电设备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200,239,571.17</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299,229,658.56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14,127,199.49</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20,791,505.85</w:t>
            </w:r>
          </w:p>
        </w:tc>
      </w:tr>
    </w:tbl>
    <w:p>
      <w:pPr>
        <w:pStyle w:val="BodyText"/>
        <w:spacing w:line="240" w:lineRule="auto" w:before="49"/>
        <w:ind w:right="1115"/>
        <w:jc w:val="left"/>
      </w:pPr>
      <w:r>
        <w:rPr/>
        <w:t>本期折旧额</w:t>
      </w:r>
      <w:r>
        <w:rPr>
          <w:spacing w:val="-48"/>
        </w:rPr>
        <w:t> </w:t>
      </w:r>
      <w:r>
        <w:rPr>
          <w:rFonts w:ascii="Times New Roman" w:hAnsi="Times New Roman" w:cs="Times New Roman" w:eastAsia="Times New Roman" w:hint="default"/>
        </w:rPr>
        <w:t>51,917,909.25</w:t>
      </w:r>
      <w:r>
        <w:rPr>
          <w:rFonts w:ascii="Times New Roman" w:hAnsi="Times New Roman" w:cs="Times New Roman" w:eastAsia="Times New Roman" w:hint="default"/>
          <w:spacing w:val="-2"/>
        </w:rPr>
        <w:t> </w:t>
      </w:r>
      <w:r>
        <w:rPr/>
        <w:t>元；本期由在建工程转入固定资产原价为</w:t>
      </w:r>
      <w:r>
        <w:rPr>
          <w:spacing w:val="-48"/>
        </w:rPr>
        <w:t> </w:t>
      </w:r>
      <w:r>
        <w:rPr>
          <w:rFonts w:ascii="Times New Roman" w:hAnsi="Times New Roman" w:cs="Times New Roman" w:eastAsia="Times New Roman" w:hint="default"/>
        </w:rPr>
        <w:t>370,833,481.30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6"/>
          <w:szCs w:val="26"/>
        </w:rPr>
      </w:pPr>
    </w:p>
    <w:p>
      <w:pPr>
        <w:pStyle w:val="Heading4"/>
        <w:spacing w:line="240" w:lineRule="auto"/>
        <w:ind w:right="1115"/>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5"/>
        <w:gridCol w:w="1874"/>
      </w:tblGrid>
      <w:tr>
        <w:trPr>
          <w:trHeight w:val="401"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9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铝边框生产厂房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宋体" w:hAnsi="宋体" w:cs="宋体" w:eastAsia="宋体" w:hint="default"/>
                <w:sz w:val="18"/>
                <w:szCs w:val="18"/>
              </w:rPr>
            </w:pPr>
            <w:r>
              <w:rPr>
                <w:rFonts w:ascii="宋体" w:hAnsi="宋体" w:cs="宋体" w:eastAsia="宋体" w:hint="default"/>
                <w:sz w:val="18"/>
                <w:szCs w:val="18"/>
              </w:rPr>
              <w:t>暂估转固</w:t>
            </w:r>
            <w:r>
              <w:rPr>
                <w:rFonts w:ascii="宋体" w:hAnsi="宋体" w:cs="宋体" w:eastAsia="宋体" w:hint="default"/>
                <w:spacing w:val="1"/>
                <w:sz w:val="18"/>
                <w:szCs w:val="18"/>
              </w:rPr>
              <w:t> </w:t>
            </w:r>
            <w:r>
              <w:rPr>
                <w:rFonts w:ascii="宋体" w:hAnsi="宋体" w:cs="宋体" w:eastAsia="宋体" w:hint="default"/>
                <w:sz w:val="18"/>
                <w:szCs w:val="18"/>
              </w:rPr>
              <w:t>尚未办理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Arial Narrow" w:hAnsi="Arial Narrow" w:cs="Arial Narrow" w:eastAsia="Arial Narrow" w:hint="default"/>
                <w:sz w:val="18"/>
                <w:szCs w:val="18"/>
              </w:rPr>
              <w:t>2013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Narrow" w:hAnsi="Arial Narrow" w:cs="Arial Narrow" w:eastAsia="Arial Narrow" w:hint="default"/>
                <w:sz w:val="18"/>
                <w:szCs w:val="18"/>
              </w:rPr>
              <w:t>7 </w:t>
            </w:r>
            <w:r>
              <w:rPr>
                <w:rFonts w:ascii="宋体" w:hAnsi="宋体" w:cs="宋体" w:eastAsia="宋体" w:hint="default"/>
                <w:sz w:val="18"/>
                <w:szCs w:val="18"/>
              </w:rPr>
              <w:t>月</w:t>
            </w:r>
          </w:p>
        </w:tc>
      </w:tr>
      <w:tr>
        <w:trPr>
          <w:trHeight w:val="49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膜生产厂房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暂估转固</w:t>
            </w:r>
            <w:r>
              <w:rPr>
                <w:rFonts w:ascii="宋体" w:hAnsi="宋体" w:cs="宋体" w:eastAsia="宋体" w:hint="default"/>
                <w:spacing w:val="1"/>
                <w:sz w:val="18"/>
                <w:szCs w:val="18"/>
              </w:rPr>
              <w:t> </w:t>
            </w:r>
            <w:r>
              <w:rPr>
                <w:rFonts w:ascii="宋体" w:hAnsi="宋体" w:cs="宋体" w:eastAsia="宋体" w:hint="default"/>
                <w:sz w:val="18"/>
                <w:szCs w:val="18"/>
              </w:rPr>
              <w:t>尚未办理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Arial Narrow" w:hAnsi="Arial Narrow" w:cs="Arial Narrow" w:eastAsia="Arial Narrow" w:hint="default"/>
                <w:sz w:val="18"/>
                <w:szCs w:val="18"/>
              </w:rPr>
              <w:t>2013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Narrow" w:hAnsi="Arial Narrow" w:cs="Arial Narrow" w:eastAsia="Arial Narrow" w:hint="default"/>
                <w:sz w:val="18"/>
                <w:szCs w:val="18"/>
              </w:rPr>
              <w:t>6 </w:t>
            </w:r>
            <w:r>
              <w:rPr>
                <w:rFonts w:ascii="宋体" w:hAnsi="宋体" w:cs="宋体" w:eastAsia="宋体" w:hint="default"/>
                <w:sz w:val="18"/>
                <w:szCs w:val="18"/>
              </w:rPr>
              <w:t>月</w:t>
            </w:r>
          </w:p>
        </w:tc>
      </w:tr>
      <w:tr>
        <w:trPr>
          <w:trHeight w:val="49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电厂办公楼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暂估转固</w:t>
            </w:r>
            <w:r>
              <w:rPr>
                <w:rFonts w:ascii="宋体" w:hAnsi="宋体" w:cs="宋体" w:eastAsia="宋体" w:hint="default"/>
                <w:spacing w:val="1"/>
                <w:sz w:val="18"/>
                <w:szCs w:val="18"/>
              </w:rPr>
              <w:t> </w:t>
            </w:r>
            <w:r>
              <w:rPr>
                <w:rFonts w:ascii="宋体" w:hAnsi="宋体" w:cs="宋体" w:eastAsia="宋体" w:hint="default"/>
                <w:sz w:val="18"/>
                <w:szCs w:val="18"/>
              </w:rPr>
              <w:t>尚未办理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3" w:right="0"/>
              <w:jc w:val="left"/>
              <w:rPr>
                <w:rFonts w:ascii="宋体" w:hAnsi="宋体" w:cs="宋体" w:eastAsia="宋体" w:hint="default"/>
                <w:sz w:val="18"/>
                <w:szCs w:val="18"/>
              </w:rPr>
            </w:pPr>
            <w:r>
              <w:rPr>
                <w:rFonts w:ascii="Arial Narrow" w:hAnsi="Arial Narrow" w:cs="Arial Narrow" w:eastAsia="Arial Narrow" w:hint="default"/>
                <w:sz w:val="18"/>
                <w:szCs w:val="18"/>
              </w:rPr>
              <w:t>2013</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Narrow" w:hAnsi="Arial Narrow" w:cs="Arial Narrow" w:eastAsia="Arial Narrow" w:hint="default"/>
                <w:sz w:val="18"/>
                <w:szCs w:val="18"/>
              </w:rPr>
              <w:t>8 </w:t>
            </w:r>
            <w:r>
              <w:rPr>
                <w:rFonts w:ascii="宋体" w:hAnsi="宋体" w:cs="宋体" w:eastAsia="宋体" w:hint="default"/>
                <w:sz w:val="18"/>
                <w:szCs w:val="18"/>
              </w:rPr>
              <w:t>月</w:t>
            </w:r>
          </w:p>
        </w:tc>
      </w:tr>
    </w:tbl>
    <w:p>
      <w:pPr>
        <w:pStyle w:val="BodyText"/>
        <w:spacing w:line="240" w:lineRule="auto" w:before="49"/>
        <w:ind w:right="1115"/>
        <w:jc w:val="left"/>
      </w:pPr>
      <w:r>
        <w:rPr/>
        <w:t>固定资产说明</w:t>
      </w:r>
    </w:p>
    <w:p>
      <w:pPr>
        <w:spacing w:after="0" w:line="240" w:lineRule="auto"/>
        <w:jc w:val="left"/>
        <w:sectPr>
          <w:footerReference w:type="default" r:id="rId52"/>
          <w:pgSz w:w="11910" w:h="16840"/>
          <w:pgMar w:footer="1340" w:header="877" w:top="1060" w:bottom="1540" w:left="980" w:right="0"/>
          <w:pgNumType w:start="116"/>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铝边框生产厂房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4,109,570.41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4,109,570.41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163,997,620.65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163,997,620.65</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安装支架生产厂房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46,800.00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46,800.00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膜生产厂房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3,320,706.00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3,320,706.00</w:t>
            </w:r>
          </w:p>
        </w:tc>
      </w:tr>
      <w:tr>
        <w:trPr>
          <w:trHeight w:val="40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青海光伏电厂一二期项目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110,717,370.43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7,529,460.21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103,187,910.22</w:t>
            </w: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青海光伏电厂三期</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项 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167,782,255.02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167,782,255.02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新疆光伏电厂一期</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项 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223,436,101.17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223,436,101.17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青海公共租赁房项目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6,162,635.00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6,162,635.00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青海支架厂房项目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4,019,000.00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462,868.38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462,868.38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7,832.32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7,832.32</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405,972,429.98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405,972,429.98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278,090,329.40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7,529,460.21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270,560,869.19</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9"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2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铝边框 生产厂 房项目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212,300,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163,997,</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620.65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15,424,3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34.64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175,312,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384.88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96.20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8,343,41</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5,164,07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pacing w:val="-11"/>
                <w:sz w:val="18"/>
                <w:szCs w:val="18"/>
              </w:rPr>
              <w:t>贷款、募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4,109,57</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0.41</w:t>
            </w:r>
          </w:p>
        </w:tc>
      </w:tr>
      <w:tr>
        <w:trPr>
          <w:trHeight w:val="1340"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安装支 架生产 厂房项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107,048,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43,353,5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43,400,3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81.49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2,276,11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2,108,34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2"/>
              <w:jc w:val="left"/>
              <w:rPr>
                <w:rFonts w:ascii="宋体" w:hAnsi="宋体" w:cs="宋体" w:eastAsia="宋体" w:hint="default"/>
                <w:sz w:val="18"/>
                <w:szCs w:val="18"/>
              </w:rPr>
            </w:pPr>
            <w:r>
              <w:rPr>
                <w:rFonts w:ascii="宋体" w:hAnsi="宋体" w:cs="宋体" w:eastAsia="宋体" w:hint="default"/>
                <w:spacing w:val="-11"/>
                <w:sz w:val="18"/>
                <w:szCs w:val="18"/>
              </w:rPr>
              <w:t>贷款、募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集资金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膜</w:t>
            </w:r>
          </w:p>
          <w:p>
            <w:pPr>
              <w:pStyle w:val="TableParagraph"/>
              <w:spacing w:line="316" w:lineRule="auto" w:before="60"/>
              <w:ind w:left="24" w:right="159"/>
              <w:jc w:val="left"/>
              <w:rPr>
                <w:rFonts w:ascii="宋体" w:hAnsi="宋体" w:cs="宋体" w:eastAsia="宋体" w:hint="default"/>
                <w:sz w:val="18"/>
                <w:szCs w:val="18"/>
              </w:rPr>
            </w:pPr>
            <w:r>
              <w:rPr>
                <w:rFonts w:ascii="宋体" w:hAnsi="宋体" w:cs="宋体" w:eastAsia="宋体" w:hint="default"/>
                <w:sz w:val="18"/>
                <w:szCs w:val="18"/>
              </w:rPr>
              <w:t>生产厂 房项目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186,608,</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3,320,70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18,361,0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75.03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21,681,7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81.03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58"/>
              <w:jc w:val="left"/>
              <w:rPr>
                <w:rFonts w:ascii="宋体" w:hAnsi="宋体" w:cs="宋体" w:eastAsia="宋体" w:hint="default"/>
                <w:sz w:val="18"/>
                <w:szCs w:val="18"/>
              </w:rPr>
            </w:pPr>
            <w:r>
              <w:rPr>
                <w:rFonts w:ascii="宋体" w:hAnsi="宋体" w:cs="宋体" w:eastAsia="宋体" w:hint="default"/>
                <w:sz w:val="18"/>
                <w:szCs w:val="18"/>
              </w:rPr>
              <w:t>部分完 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4,292,14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pacing w:val="-11"/>
                <w:sz w:val="18"/>
                <w:szCs w:val="18"/>
              </w:rPr>
              <w:t>贷款、募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集资金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59"/>
              <w:jc w:val="left"/>
              <w:rPr>
                <w:rFonts w:ascii="宋体" w:hAnsi="宋体" w:cs="宋体" w:eastAsia="宋体" w:hint="default"/>
                <w:sz w:val="18"/>
                <w:szCs w:val="18"/>
              </w:rPr>
            </w:pPr>
            <w:r>
              <w:rPr>
                <w:rFonts w:ascii="宋体" w:hAnsi="宋体" w:cs="宋体" w:eastAsia="宋体" w:hint="default"/>
                <w:sz w:val="18"/>
                <w:szCs w:val="18"/>
              </w:rPr>
              <w:t>青海电 厂一二</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110,717,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370.43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19,721,5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130,438,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933.90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7,272,61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7,272,61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33"/>
              <w:ind w:left="163" w:right="63" w:hanging="101"/>
              <w:jc w:val="left"/>
              <w:rPr>
                <w:rFonts w:ascii="宋体" w:hAnsi="宋体" w:cs="宋体" w:eastAsia="宋体" w:hint="default"/>
                <w:sz w:val="20"/>
                <w:szCs w:val="20"/>
              </w:rPr>
            </w:pPr>
            <w:r>
              <w:rPr>
                <w:rFonts w:ascii="宋体" w:hAnsi="宋体" w:cs="宋体" w:eastAsia="宋体" w:hint="default"/>
                <w:sz w:val="20"/>
                <w:szCs w:val="20"/>
              </w:rPr>
              <w:t>贷款、</w:t>
            </w:r>
            <w:r>
              <w:rPr>
                <w:rFonts w:ascii="宋体" w:hAnsi="宋体" w:cs="宋体" w:eastAsia="宋体" w:hint="default"/>
                <w:w w:val="99"/>
                <w:sz w:val="20"/>
                <w:szCs w:val="20"/>
              </w:rPr>
              <w:t> </w:t>
            </w:r>
            <w:r>
              <w:rPr>
                <w:rFonts w:ascii="宋体" w:hAnsi="宋体" w:cs="宋体" w:eastAsia="宋体" w:hint="default"/>
                <w:sz w:val="20"/>
                <w:szCs w:val="20"/>
              </w:rPr>
              <w:t>自筹</w:t>
            </w: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363"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期项目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159"/>
              <w:jc w:val="both"/>
              <w:rPr>
                <w:rFonts w:ascii="Times New Roman" w:hAnsi="Times New Roman" w:cs="Times New Roman" w:eastAsia="Times New Roman" w:hint="default"/>
                <w:sz w:val="18"/>
                <w:szCs w:val="18"/>
              </w:rPr>
            </w:pPr>
            <w:r>
              <w:rPr>
                <w:rFonts w:ascii="宋体" w:hAnsi="宋体" w:cs="宋体" w:eastAsia="宋体" w:hint="default"/>
                <w:sz w:val="18"/>
                <w:szCs w:val="18"/>
              </w:rPr>
              <w:t>青海电 厂三期 </w:t>
            </w:r>
            <w:r>
              <w:rPr>
                <w:rFonts w:ascii="Times New Roman" w:hAnsi="Times New Roman" w:cs="Times New Roman" w:eastAsia="Times New Roman" w:hint="default"/>
                <w:sz w:val="18"/>
                <w:szCs w:val="18"/>
              </w:rPr>
              <w:t>20MW</w:t>
            </w:r>
          </w:p>
          <w:p>
            <w:pPr>
              <w:pStyle w:val="TableParagraph"/>
              <w:spacing w:line="217" w:lineRule="exact"/>
              <w:ind w:left="24" w:right="0"/>
              <w:jc w:val="both"/>
              <w:rPr>
                <w:rFonts w:ascii="宋体" w:hAnsi="宋体" w:cs="宋体" w:eastAsia="宋体" w:hint="default"/>
                <w:sz w:val="18"/>
                <w:szCs w:val="18"/>
              </w:rPr>
            </w:pPr>
            <w:r>
              <w:rPr>
                <w:rFonts w:ascii="宋体" w:hAnsi="宋体" w:cs="宋体" w:eastAsia="宋体" w:hint="default"/>
                <w:sz w:val="18"/>
                <w:szCs w:val="18"/>
              </w:rPr>
              <w:t>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167,782,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255.02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92.94%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sz w:val="18"/>
              </w:rPr>
              <w:t>92.94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4,299,22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4,299,22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85" w:lineRule="auto" w:before="133"/>
              <w:ind w:left="163" w:right="63" w:hanging="101"/>
              <w:jc w:val="left"/>
              <w:rPr>
                <w:rFonts w:ascii="宋体" w:hAnsi="宋体" w:cs="宋体" w:eastAsia="宋体" w:hint="default"/>
                <w:sz w:val="20"/>
                <w:szCs w:val="20"/>
              </w:rPr>
            </w:pPr>
            <w:r>
              <w:rPr>
                <w:rFonts w:ascii="宋体" w:hAnsi="宋体" w:cs="宋体" w:eastAsia="宋体" w:hint="default"/>
                <w:sz w:val="20"/>
                <w:szCs w:val="20"/>
              </w:rPr>
              <w:t>贷款、</w:t>
            </w:r>
            <w:r>
              <w:rPr>
                <w:rFonts w:ascii="宋体" w:hAnsi="宋体" w:cs="宋体" w:eastAsia="宋体" w:hint="default"/>
                <w:w w:val="99"/>
                <w:sz w:val="20"/>
                <w:szCs w:val="20"/>
              </w:rPr>
              <w:t> </w:t>
            </w:r>
            <w:r>
              <w:rPr>
                <w:rFonts w:ascii="宋体" w:hAnsi="宋体" w:cs="宋体" w:eastAsia="宋体" w:hint="default"/>
                <w:sz w:val="20"/>
                <w:szCs w:val="20"/>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167,782,</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255.02</w:t>
            </w:r>
          </w:p>
        </w:tc>
      </w:tr>
      <w:tr>
        <w:trPr>
          <w:trHeight w:val="1339"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159"/>
              <w:jc w:val="both"/>
              <w:rPr>
                <w:rFonts w:ascii="Times New Roman" w:hAnsi="Times New Roman" w:cs="Times New Roman" w:eastAsia="Times New Roman" w:hint="default"/>
                <w:sz w:val="18"/>
                <w:szCs w:val="18"/>
              </w:rPr>
            </w:pPr>
            <w:r>
              <w:rPr>
                <w:rFonts w:ascii="宋体" w:hAnsi="宋体" w:cs="宋体" w:eastAsia="宋体" w:hint="default"/>
                <w:sz w:val="18"/>
                <w:szCs w:val="18"/>
              </w:rPr>
              <w:t>新疆电 厂一期 </w:t>
            </w:r>
            <w:r>
              <w:rPr>
                <w:rFonts w:ascii="Times New Roman" w:hAnsi="Times New Roman" w:cs="Times New Roman" w:eastAsia="Times New Roman" w:hint="default"/>
                <w:sz w:val="18"/>
                <w:szCs w:val="18"/>
              </w:rPr>
              <w:t>20MW</w:t>
            </w:r>
          </w:p>
          <w:p>
            <w:pPr>
              <w:pStyle w:val="TableParagraph"/>
              <w:spacing w:line="217" w:lineRule="exact"/>
              <w:ind w:left="24" w:right="0"/>
              <w:jc w:val="both"/>
              <w:rPr>
                <w:rFonts w:ascii="宋体" w:hAnsi="宋体" w:cs="宋体" w:eastAsia="宋体" w:hint="default"/>
                <w:sz w:val="18"/>
                <w:szCs w:val="18"/>
              </w:rPr>
            </w:pPr>
            <w:r>
              <w:rPr>
                <w:rFonts w:ascii="宋体" w:hAnsi="宋体" w:cs="宋体" w:eastAsia="宋体" w:hint="default"/>
                <w:sz w:val="18"/>
                <w:szCs w:val="18"/>
              </w:rPr>
              <w:t>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223,436,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101.17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90.41%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sz w:val="18"/>
              </w:rPr>
              <w:t>90.41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9,051,72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9,051,72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0.34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85" w:lineRule="auto" w:before="133"/>
              <w:ind w:left="163" w:right="63" w:hanging="101"/>
              <w:jc w:val="left"/>
              <w:rPr>
                <w:rFonts w:ascii="宋体" w:hAnsi="宋体" w:cs="宋体" w:eastAsia="宋体" w:hint="default"/>
                <w:sz w:val="20"/>
                <w:szCs w:val="20"/>
              </w:rPr>
            </w:pPr>
            <w:r>
              <w:rPr>
                <w:rFonts w:ascii="宋体" w:hAnsi="宋体" w:cs="宋体" w:eastAsia="宋体" w:hint="default"/>
                <w:sz w:val="20"/>
                <w:szCs w:val="20"/>
              </w:rPr>
              <w:t>贷款、</w:t>
            </w:r>
            <w:r>
              <w:rPr>
                <w:rFonts w:ascii="宋体" w:hAnsi="宋体" w:cs="宋体" w:eastAsia="宋体" w:hint="default"/>
                <w:w w:val="99"/>
                <w:sz w:val="20"/>
                <w:szCs w:val="20"/>
              </w:rPr>
              <w:t> </w:t>
            </w:r>
            <w:r>
              <w:rPr>
                <w:rFonts w:ascii="宋体" w:hAnsi="宋体" w:cs="宋体" w:eastAsia="宋体" w:hint="default"/>
                <w:sz w:val="20"/>
                <w:szCs w:val="20"/>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223,436,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101.17</w:t>
            </w:r>
          </w:p>
        </w:tc>
      </w:tr>
      <w:tr>
        <w:trPr>
          <w:trHeight w:val="1289"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4" w:right="159"/>
              <w:jc w:val="both"/>
              <w:rPr>
                <w:rFonts w:ascii="宋体" w:hAnsi="宋体" w:cs="宋体" w:eastAsia="宋体" w:hint="default"/>
                <w:sz w:val="18"/>
                <w:szCs w:val="18"/>
              </w:rPr>
            </w:pPr>
            <w:r>
              <w:rPr>
                <w:rFonts w:ascii="宋体" w:hAnsi="宋体" w:cs="宋体" w:eastAsia="宋体" w:hint="default"/>
                <w:sz w:val="18"/>
                <w:szCs w:val="18"/>
              </w:rPr>
              <w:t>青海公 共租赁 房项目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71" w:right="0"/>
              <w:jc w:val="left"/>
              <w:rPr>
                <w:rFonts w:ascii="Times New Roman" w:hAnsi="Times New Roman" w:cs="Times New Roman" w:eastAsia="Times New Roman" w:hint="default"/>
                <w:sz w:val="18"/>
                <w:szCs w:val="18"/>
              </w:rPr>
            </w:pPr>
            <w:r>
              <w:rPr>
                <w:rFonts w:ascii="Times New Roman"/>
                <w:sz w:val="18"/>
              </w:rPr>
              <w:t>6,187,50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71" w:right="0"/>
              <w:jc w:val="left"/>
              <w:rPr>
                <w:rFonts w:ascii="Times New Roman" w:hAnsi="Times New Roman" w:cs="Times New Roman" w:eastAsia="Times New Roman" w:hint="default"/>
                <w:sz w:val="18"/>
                <w:szCs w:val="18"/>
              </w:rPr>
            </w:pPr>
            <w:r>
              <w:rPr>
                <w:rFonts w:ascii="Times New Roman"/>
                <w:sz w:val="18"/>
              </w:rPr>
              <w:t>6,162,63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sz w:val="18"/>
              </w:rPr>
              <w:t>99.60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126"/>
              <w:ind w:left="62" w:right="63"/>
              <w:jc w:val="center"/>
              <w:rPr>
                <w:rFonts w:ascii="宋体" w:hAnsi="宋体" w:cs="宋体" w:eastAsia="宋体" w:hint="default"/>
                <w:sz w:val="20"/>
                <w:szCs w:val="20"/>
              </w:rPr>
            </w:pPr>
            <w:r>
              <w:rPr>
                <w:rFonts w:ascii="宋体" w:hAnsi="宋体" w:cs="宋体" w:eastAsia="宋体" w:hint="default"/>
                <w:sz w:val="20"/>
                <w:szCs w:val="20"/>
              </w:rPr>
              <w:t>自筹、</w:t>
            </w:r>
            <w:r>
              <w:rPr>
                <w:rFonts w:ascii="宋体" w:hAnsi="宋体" w:cs="宋体" w:eastAsia="宋体" w:hint="default"/>
                <w:w w:val="99"/>
                <w:sz w:val="20"/>
                <w:szCs w:val="20"/>
              </w:rPr>
              <w:t> </w:t>
            </w:r>
            <w:r>
              <w:rPr>
                <w:rFonts w:ascii="宋体" w:hAnsi="宋体" w:cs="宋体" w:eastAsia="宋体" w:hint="default"/>
                <w:sz w:val="20"/>
                <w:szCs w:val="20"/>
              </w:rPr>
              <w:t>政府拨</w:t>
            </w:r>
            <w:r>
              <w:rPr>
                <w:rFonts w:ascii="宋体" w:hAnsi="宋体" w:cs="宋体" w:eastAsia="宋体" w:hint="default"/>
                <w:w w:val="99"/>
                <w:sz w:val="20"/>
                <w:szCs w:val="20"/>
              </w:rPr>
              <w:t> </w:t>
            </w:r>
            <w:r>
              <w:rPr>
                <w:rFonts w:ascii="宋体" w:hAnsi="宋体" w:cs="宋体" w:eastAsia="宋体" w:hint="default"/>
                <w:sz w:val="20"/>
                <w:szCs w:val="20"/>
              </w:rPr>
              <w:t>款</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74" w:right="0"/>
              <w:jc w:val="left"/>
              <w:rPr>
                <w:rFonts w:ascii="Times New Roman" w:hAnsi="Times New Roman" w:cs="Times New Roman" w:eastAsia="Times New Roman" w:hint="default"/>
                <w:sz w:val="18"/>
                <w:szCs w:val="18"/>
              </w:rPr>
            </w:pPr>
            <w:r>
              <w:rPr>
                <w:rFonts w:ascii="Times New Roman"/>
                <w:sz w:val="18"/>
              </w:rPr>
              <w:t>6,162,63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5.00</w:t>
            </w:r>
          </w:p>
        </w:tc>
      </w:tr>
      <w:tr>
        <w:trPr>
          <w:trHeight w:val="102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青海支 架厂房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4,019,00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sz w:val="18"/>
              </w:rPr>
              <w:t>47.28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2" w:right="0"/>
              <w:jc w:val="center"/>
              <w:rPr>
                <w:rFonts w:ascii="宋体" w:hAnsi="宋体" w:cs="宋体" w:eastAsia="宋体" w:hint="default"/>
                <w:sz w:val="20"/>
                <w:szCs w:val="20"/>
              </w:rPr>
            </w:pPr>
            <w:r>
              <w:rPr>
                <w:rFonts w:ascii="宋体" w:hAnsi="宋体" w:cs="宋体" w:eastAsia="宋体" w:hint="default"/>
                <w:sz w:val="20"/>
                <w:szCs w:val="20"/>
              </w:rPr>
              <w:t>自筹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4,019,00</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1,416,16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2,500.00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278,082,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497.08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498,260,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545.82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370,833,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481.30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35,535,2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27,895,9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81.95</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405,509,</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561.60</w:t>
            </w:r>
          </w:p>
        </w:tc>
      </w:tr>
    </w:tbl>
    <w:p>
      <w:pPr>
        <w:pStyle w:val="BodyText"/>
        <w:spacing w:line="240" w:lineRule="auto" w:before="49"/>
        <w:ind w:right="1115"/>
        <w:jc w:val="left"/>
      </w:pPr>
      <w:r>
        <w:rPr/>
        <w:t>在建工程项目变动情况的说明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4"/>
        <w:gridCol w:w="1594"/>
        <w:gridCol w:w="1597"/>
        <w:gridCol w:w="1591"/>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光伏电厂</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7,529,460.21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6" w:right="0"/>
              <w:jc w:val="left"/>
              <w:rPr>
                <w:rFonts w:ascii="Times New Roman" w:hAnsi="Times New Roman" w:cs="Times New Roman" w:eastAsia="Times New Roman" w:hint="default"/>
                <w:sz w:val="18"/>
                <w:szCs w:val="18"/>
              </w:rPr>
            </w:pPr>
            <w:r>
              <w:rPr>
                <w:rFonts w:ascii="Times New Roman"/>
                <w:sz w:val="18"/>
              </w:rPr>
              <w:t>-7,529,460.21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7,529,460.21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铝边框生产厂房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工程进度以工程投入占总预算比例为基 础进行估计</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膜生产厂房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部分完工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工程进度以工程投入占总预算比例为基 础进行估计</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青海光伏电厂三期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工程进度以工程投入占总预算比例为基 础进行估计</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新疆光伏电厂一期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工程进度以工程投入占总预算比例为基 础进行估计</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青海公共租赁房项目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工程进度以工程投入占总预算比例为基 础进行估计</w:t>
            </w:r>
          </w:p>
        </w:tc>
      </w:tr>
    </w:tbl>
    <w:p>
      <w:pPr>
        <w:spacing w:after="0" w:line="316"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青海支架厂房项目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工程进度以工程投入占总预算比例为基 础进行估计</w:t>
            </w:r>
          </w:p>
        </w:tc>
      </w:tr>
    </w:tbl>
    <w:p>
      <w:pPr>
        <w:spacing w:line="240" w:lineRule="auto" w:before="3"/>
        <w:rPr>
          <w:rFonts w:ascii="宋体" w:hAnsi="宋体" w:cs="宋体" w:eastAsia="宋体" w:hint="default"/>
          <w:b/>
          <w:bCs/>
          <w:sz w:val="19"/>
          <w:szCs w:val="19"/>
        </w:rPr>
      </w:pPr>
    </w:p>
    <w:p>
      <w:pPr>
        <w:spacing w:before="36"/>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1"/>
        <w:gridCol w:w="1594"/>
        <w:gridCol w:w="1462"/>
        <w:gridCol w:w="1594"/>
        <w:gridCol w:w="1860"/>
      </w:tblGrid>
      <w:tr>
        <w:trPr>
          <w:trHeight w:val="402"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1,816,175.24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62,407.11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1,878,582.35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专用设备</w:t>
            </w:r>
            <w:r>
              <w:rPr>
                <w:rFonts w:ascii="Times New Roman" w:hAnsi="Times New Roman" w:cs="Times New Roman" w:eastAsia="Times New Roman" w:hint="default"/>
                <w:sz w:val="18"/>
                <w:szCs w:val="18"/>
              </w:rPr>
              <w:t>-</w:t>
            </w:r>
            <w:r>
              <w:rPr>
                <w:rFonts w:ascii="宋体" w:hAnsi="宋体" w:cs="宋体" w:eastAsia="宋体" w:hint="default"/>
                <w:sz w:val="18"/>
                <w:szCs w:val="18"/>
              </w:rPr>
              <w:t>太阳能电池板</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189,650,275.87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3" w:right="0"/>
              <w:jc w:val="left"/>
              <w:rPr>
                <w:rFonts w:ascii="Times New Roman" w:hAnsi="Times New Roman" w:cs="Times New Roman" w:eastAsia="Times New Roman" w:hint="default"/>
                <w:sz w:val="18"/>
                <w:szCs w:val="18"/>
              </w:rPr>
            </w:pPr>
            <w:r>
              <w:rPr>
                <w:rFonts w:ascii="Times New Roman"/>
                <w:sz w:val="18"/>
              </w:rPr>
              <w:t>189,650,275.87</w:t>
            </w:r>
          </w:p>
        </w:tc>
      </w:tr>
      <w:tr>
        <w:trPr>
          <w:trHeight w:val="404" w:hRule="exact"/>
        </w:trPr>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1,816,175.24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189,712,682.98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1,878,582.35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189,650,275.87</w:t>
            </w:r>
          </w:p>
        </w:tc>
      </w:tr>
    </w:tbl>
    <w:p>
      <w:pPr>
        <w:pStyle w:val="BodyText"/>
        <w:spacing w:line="240" w:lineRule="auto" w:before="49"/>
        <w:ind w:right="1115"/>
        <w:jc w:val="left"/>
      </w:pPr>
      <w:r>
        <w:rPr/>
        <w:t>工程物资的说明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2127"/>
        <w:gridCol w:w="2512"/>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pStyle w:val="BodyText"/>
        <w:spacing w:line="240" w:lineRule="auto" w:before="49"/>
        <w:ind w:right="1115"/>
        <w:jc w:val="left"/>
      </w:pPr>
      <w:r>
        <w:rPr/>
        <w:t>说明转入固定资产清理起始时间已超过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年的固定资产清理进展情况</w:t>
      </w:r>
    </w:p>
    <w:p>
      <w:pPr>
        <w:spacing w:line="240" w:lineRule="auto" w:before="13"/>
        <w:rPr>
          <w:rFonts w:ascii="宋体" w:hAnsi="宋体" w:cs="宋体" w:eastAsia="宋体" w:hint="default"/>
          <w:sz w:val="25"/>
          <w:szCs w:val="25"/>
        </w:rPr>
      </w:pPr>
    </w:p>
    <w:p>
      <w:pPr>
        <w:pStyle w:val="Heading4"/>
        <w:spacing w:line="240" w:lineRule="auto"/>
        <w:ind w:right="1115"/>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）以成本计量</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966328" coordorigin="9206,15298" coordsize="2700,1540">
            <v:shape style="position:absolute;left:9206;top:15298;width:2700;height:1540" type="#_x0000_t75" stroked="false">
              <v:imagedata r:id="rId21"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120</w:t>
                    </w:r>
                  </w:p>
                </w:txbxContent>
              </v:textbox>
              <w10:wrap type="none"/>
            </v:shape>
            <w10:wrap type="none"/>
          </v:group>
        </w:pict>
      </w:r>
    </w:p>
    <w:p>
      <w:pPr>
        <w:pStyle w:val="BodyText"/>
        <w:spacing w:line="240" w:lineRule="auto" w:before="44"/>
        <w:ind w:right="1115"/>
        <w:jc w:val="left"/>
      </w:pPr>
      <w:r>
        <w:rPr/>
        <w:t>生产性生物资产的说明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73"/>
        <w:gridCol w:w="1709"/>
        <w:gridCol w:w="1841"/>
        <w:gridCol w:w="2106"/>
        <w:gridCol w:w="1829"/>
      </w:tblGrid>
      <w:tr>
        <w:trPr>
          <w:trHeight w:val="403"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pStyle w:val="BodyText"/>
        <w:spacing w:line="240" w:lineRule="auto" w:before="49"/>
        <w:ind w:right="1115"/>
        <w:jc w:val="left"/>
      </w:pPr>
      <w:r>
        <w:rPr/>
        <w:t>油气资产的说明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168,829,569.37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3,529,279.13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99,139.80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172,259,708.70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胶膜技术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3,342,387.63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3,342,387.63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523,450.00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523,450.00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154,616,601.60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92,124.00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154,708,725.60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10,347,130.14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3,437,155.13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99,139.80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13,685,145.47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4,985,038.95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4,772,465.73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99,139.80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9,658,364.88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胶膜技术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668,477.52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334,238.76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1,002,716.28</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102,584.70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52,608.12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155,192.82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4,036,759.86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3,079,188.55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7,115,948.41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177,216.87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1,306,430.30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99,139.80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1,384,507.37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163,844,530.42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-1,243,186.60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162,601,343.82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胶膜技术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2,673,910.11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-334,238.76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2,339,671.35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420,865.30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-52,608.12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368,257.18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150,579,841.70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-2,987,064.55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147,592,777.19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10,169,913.27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2,130,724.83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12,300,638.10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胶膜技术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163,844,530.42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-1,243,186.60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162,601,343.82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胶膜技术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2,673,910.11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-334,238.76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2,339,671.35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420,865.30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-52,608.12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368,257.18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150,579,841.74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-2,987,064.55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147,592,777.19</w:t>
            </w:r>
          </w:p>
        </w:tc>
      </w:tr>
    </w:tbl>
    <w:p>
      <w:pPr>
        <w:spacing w:after="0" w:line="240" w:lineRule="auto"/>
        <w:jc w:val="right"/>
        <w:rPr>
          <w:rFonts w:ascii="Times New Roman" w:hAnsi="Times New Roman" w:cs="Times New Roman" w:eastAsia="Times New Roman" w:hint="default"/>
          <w:sz w:val="18"/>
          <w:szCs w:val="18"/>
        </w:rPr>
        <w:sectPr>
          <w:headerReference w:type="default" r:id="rId53"/>
          <w:footerReference w:type="default" r:id="rId54"/>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8" w:right="0"/>
              <w:jc w:val="left"/>
              <w:rPr>
                <w:rFonts w:ascii="Times New Roman" w:hAnsi="Times New Roman" w:cs="Times New Roman" w:eastAsia="Times New Roman" w:hint="default"/>
                <w:sz w:val="18"/>
                <w:szCs w:val="18"/>
              </w:rPr>
            </w:pPr>
            <w:r>
              <w:rPr>
                <w:rFonts w:ascii="Times New Roman"/>
                <w:sz w:val="18"/>
              </w:rPr>
              <w:t>10,169,913.27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6" w:right="0"/>
              <w:jc w:val="left"/>
              <w:rPr>
                <w:rFonts w:ascii="Times New Roman" w:hAnsi="Times New Roman" w:cs="Times New Roman" w:eastAsia="Times New Roman" w:hint="default"/>
                <w:sz w:val="18"/>
                <w:szCs w:val="18"/>
              </w:rPr>
            </w:pPr>
            <w:r>
              <w:rPr>
                <w:rFonts w:ascii="Times New Roman"/>
                <w:sz w:val="18"/>
              </w:rPr>
              <w:t>2,130,724.83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12,300,638.10</w:t>
            </w:r>
          </w:p>
        </w:tc>
      </w:tr>
    </w:tbl>
    <w:p>
      <w:pPr>
        <w:pStyle w:val="BodyText"/>
        <w:spacing w:line="240" w:lineRule="auto" w:before="49"/>
        <w:ind w:right="1115"/>
        <w:jc w:val="left"/>
      </w:pPr>
      <w:r>
        <w:rPr/>
        <w:t>本期摊销额</w:t>
      </w:r>
      <w:r>
        <w:rPr>
          <w:spacing w:val="-47"/>
        </w:rPr>
        <w:t> </w:t>
      </w:r>
      <w:r>
        <w:rPr>
          <w:rFonts w:ascii="Times New Roman" w:hAnsi="Times New Roman" w:cs="Times New Roman" w:eastAsia="Times New Roman" w:hint="default"/>
        </w:rPr>
        <w:t>4,772,465.73</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1115"/>
        <w:jc w:val="left"/>
        <w:rPr>
          <w:b w:val="0"/>
          <w:bCs w:val="0"/>
        </w:rPr>
      </w:pPr>
      <w:r>
        <w:rPr/>
        <w:t>（</w:t>
      </w:r>
      <w:r>
        <w:rPr>
          <w:rFonts w:ascii="Times New Roman" w:hAnsi="Times New Roman" w:cs="Times New Roman" w:eastAsia="Times New Roman" w:hint="default"/>
        </w:rPr>
        <w:t>2</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9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胶膜快速固化 技术</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6,220,626.54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6,220,626.54</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6,220,626.54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9" w:right="0"/>
              <w:jc w:val="left"/>
              <w:rPr>
                <w:rFonts w:ascii="Times New Roman" w:hAnsi="Times New Roman" w:cs="Times New Roman" w:eastAsia="Times New Roman" w:hint="default"/>
                <w:sz w:val="18"/>
                <w:szCs w:val="18"/>
              </w:rPr>
            </w:pPr>
            <w:r>
              <w:rPr>
                <w:rFonts w:ascii="Times New Roman"/>
                <w:sz w:val="18"/>
              </w:rPr>
              <w:t>334,238.76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6,220,626.54</w:t>
            </w:r>
          </w:p>
        </w:tc>
      </w:tr>
    </w:tbl>
    <w:p>
      <w:pPr>
        <w:pStyle w:val="BodyText"/>
        <w:spacing w:line="338" w:lineRule="auto" w:before="49"/>
        <w:ind w:right="1120"/>
        <w:jc w:val="left"/>
      </w:pPr>
      <w:r>
        <w:rPr/>
        <w:t>本期开发支出占本期研究开发项目支出总额的比例</w:t>
      </w:r>
      <w:r>
        <w:rPr>
          <w:spacing w:val="-44"/>
        </w:rPr>
        <w:t> </w:t>
      </w:r>
      <w:r>
        <w:rPr>
          <w:rFonts w:ascii="Times New Roman" w:hAnsi="Times New Roman" w:cs="Times New Roman" w:eastAsia="Times New Roman" w:hint="default"/>
        </w:rPr>
        <w:t>14.58%</w:t>
      </w:r>
      <w:r>
        <w:rPr/>
        <w:t>。 通过公司内部研发形成的无形资产占无形资产期末账面价值的比例</w:t>
      </w:r>
      <w:r>
        <w:rPr>
          <w:spacing w:val="-43"/>
        </w:rPr>
        <w:t> </w:t>
      </w:r>
      <w:r>
        <w:rPr>
          <w:rFonts w:ascii="Times New Roman" w:hAnsi="Times New Roman" w:cs="Times New Roman" w:eastAsia="Times New Roman" w:hint="default"/>
        </w:rPr>
        <w:t>1.44%</w:t>
      </w:r>
      <w:r>
        <w:rPr/>
        <w:t>。 </w:t>
      </w: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4"/>
        </w:rPr>
        <w:t> </w:t>
      </w:r>
      <w:r>
        <w:rPr>
          <w:spacing w:val="-2"/>
        </w:rPr>
        <w:t>万元以上且以评估值为入账依据的，应披露评估机构名称、评估方法</w:t>
      </w:r>
    </w:p>
    <w:p>
      <w:pPr>
        <w:spacing w:line="240" w:lineRule="auto" w:before="9"/>
        <w:rPr>
          <w:rFonts w:ascii="宋体" w:hAnsi="宋体" w:cs="宋体" w:eastAsia="宋体" w:hint="default"/>
          <w:sz w:val="19"/>
          <w:szCs w:val="19"/>
        </w:rPr>
      </w:pPr>
    </w:p>
    <w:p>
      <w:pPr>
        <w:pStyle w:val="Heading4"/>
        <w:spacing w:line="240" w:lineRule="auto"/>
        <w:ind w:right="1115"/>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青海蓓翔新能源开发有限公司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7,758,936.15</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7,758,936.15</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7,758,936.15</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7,758,936.15</w:t>
            </w: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633" w:right="1115" w:hanging="481"/>
        <w:jc w:val="left"/>
      </w:pPr>
      <w:r>
        <w:rPr/>
        <w:t>说明商誉的减值测试方法和减值准备计提方法 </w:t>
      </w:r>
      <w:r>
        <w:rPr>
          <w:spacing w:val="-1"/>
        </w:rPr>
        <w:t>在财务报表中单独列示的商誉，在进行减值测试时，将商誉的账面价值分摊至预期从企业合并的协同效应中受益的资</w:t>
      </w:r>
    </w:p>
    <w:p>
      <w:pPr>
        <w:pStyle w:val="BodyText"/>
        <w:spacing w:line="224" w:lineRule="exact"/>
        <w:ind w:right="0"/>
        <w:jc w:val="left"/>
      </w:pPr>
      <w:r>
        <w:rPr/>
        <w:t>产组或资产组组合。测试结果表明包含分摊的商誉的资产组或资产组组合的可收回金额低于其账面价值的，确认相应的减值</w:t>
      </w:r>
    </w:p>
    <w:p>
      <w:pPr>
        <w:pStyle w:val="BodyText"/>
        <w:spacing w:line="316" w:lineRule="auto" w:before="76"/>
        <w:ind w:right="1115"/>
        <w:jc w:val="left"/>
      </w:pP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spacing w:line="240" w:lineRule="auto" w:before="10"/>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租入固定资产改 良支出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3,244,343.15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8,764,386.52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4,713,039.09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7,295,690.58</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15,061,678.91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3,806,295.33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2,661,067.83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16,206,906.41</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55,392.49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917,159.42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56,418.24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916,133.67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18,361,414.55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13,487,841.27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7,430,525.16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24,418,730.66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长期待摊费用的说明</w:t>
      </w:r>
    </w:p>
    <w:p>
      <w:pPr>
        <w:spacing w:after="0" w:line="240" w:lineRule="auto"/>
        <w:jc w:val="left"/>
        <w:sectPr>
          <w:footerReference w:type="default" r:id="rId55"/>
          <w:pgSz w:w="11910" w:h="16840"/>
          <w:pgMar w:footer="1340" w:header="877" w:top="1060" w:bottom="1540" w:left="980" w:right="0"/>
          <w:pgNumType w:start="121"/>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1115"/>
        <w:jc w:val="left"/>
      </w:pPr>
      <w:r>
        <w:rPr/>
        <w:t>已确认的递延所得税资产和递延所得税负债</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0"/>
        <w:gridCol w:w="2927"/>
        <w:gridCol w:w="2921"/>
      </w:tblGrid>
      <w:tr>
        <w:trPr>
          <w:trHeight w:val="408"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909,088.57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312,784.79</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28,105,200.21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6,366,041.06</w:t>
            </w:r>
          </w:p>
        </w:tc>
      </w:tr>
      <w:tr>
        <w:trPr>
          <w:trHeight w:val="404"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抵销内部未实现利润</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45,777.84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29,060,066.62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6,678,825.85</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 动</w:t>
            </w:r>
          </w:p>
        </w:tc>
        <w:tc>
          <w:tcPr>
            <w:tcW w:w="2927" w:type="dxa"/>
            <w:tcBorders>
              <w:top w:val="single" w:sz="4" w:space="0" w:color="000000"/>
              <w:left w:val="single" w:sz="9"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55,200.00</w:t>
            </w:r>
          </w:p>
        </w:tc>
      </w:tr>
      <w:tr>
        <w:trPr>
          <w:trHeight w:val="402"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9"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55,200.00</w:t>
            </w:r>
          </w:p>
        </w:tc>
      </w:tr>
    </w:tbl>
    <w:p>
      <w:pPr>
        <w:pStyle w:val="BodyText"/>
        <w:spacing w:line="240" w:lineRule="auto" w:before="49"/>
        <w:ind w:right="1115"/>
        <w:jc w:val="left"/>
      </w:pPr>
      <w:r>
        <w:rPr/>
        <w:t>未确认递延所得税资产明细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652,865.76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7,674,603.69</w:t>
            </w:r>
          </w:p>
        </w:tc>
      </w:tr>
      <w:tr>
        <w:trPr>
          <w:trHeight w:val="404"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15,544,323.55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13,637,296.10</w:t>
            </w: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16,197,189.31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21,311,899.79</w:t>
            </w:r>
          </w:p>
        </w:tc>
      </w:tr>
    </w:tbl>
    <w:p>
      <w:pPr>
        <w:pStyle w:val="BodyText"/>
        <w:spacing w:line="240" w:lineRule="auto" w:before="49"/>
        <w:ind w:right="1115"/>
        <w:jc w:val="left"/>
      </w:pPr>
      <w:r>
        <w:rPr/>
        <w:t>未确认递延所得税资产的可抵扣亏损将于以下年度到期</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1115"/>
        <w:jc w:val="left"/>
      </w:pPr>
      <w:r>
        <w:rPr/>
        <w:t>应纳税差异和可抵扣差异项目明细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2"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互抵后的递延所得税资产及负债的组成项目</w:t>
      </w:r>
    </w:p>
    <w:p>
      <w:pPr>
        <w:pStyle w:val="BodyText"/>
        <w:spacing w:line="240" w:lineRule="auto" w:before="115"/>
        <w:ind w:left="0" w:right="1131"/>
        <w:jc w:val="right"/>
      </w:pPr>
      <w:r>
        <w:rPr/>
        <w:t>单位：</w:t>
      </w:r>
      <w:r>
        <w:rPr>
          <w:spacing w:val="1"/>
        </w:rPr>
        <w:t> </w:t>
      </w:r>
      <w:r>
        <w:rPr/>
        <w:t>元</w:t>
      </w:r>
    </w:p>
    <w:p>
      <w:pPr>
        <w:spacing w:line="240" w:lineRule="auto" w:before="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051"/>
        <w:gridCol w:w="1626"/>
        <w:gridCol w:w="1628"/>
        <w:gridCol w:w="1628"/>
        <w:gridCol w:w="1616"/>
      </w:tblGrid>
      <w:tr>
        <w:trPr>
          <w:trHeight w:val="38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8" w:right="0"/>
              <w:jc w:val="left"/>
              <w:rPr>
                <w:rFonts w:ascii="宋体" w:hAnsi="宋体" w:cs="宋体" w:eastAsia="宋体" w:hint="default"/>
                <w:sz w:val="18"/>
                <w:szCs w:val="18"/>
              </w:rPr>
            </w:pPr>
            <w:r>
              <w:rPr>
                <w:rFonts w:ascii="宋体" w:hAnsi="宋体" w:cs="宋体" w:eastAsia="宋体" w:hint="default"/>
                <w:sz w:val="18"/>
                <w:szCs w:val="18"/>
              </w:rPr>
              <w:t>报告期末互抵后的</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7" w:right="0"/>
              <w:jc w:val="left"/>
              <w:rPr>
                <w:rFonts w:ascii="宋体" w:hAnsi="宋体" w:cs="宋体" w:eastAsia="宋体" w:hint="default"/>
                <w:sz w:val="18"/>
                <w:szCs w:val="18"/>
              </w:rPr>
            </w:pPr>
            <w:r>
              <w:rPr>
                <w:rFonts w:ascii="宋体" w:hAnsi="宋体" w:cs="宋体" w:eastAsia="宋体" w:hint="default"/>
                <w:sz w:val="18"/>
                <w:szCs w:val="18"/>
              </w:rPr>
              <w:t>报告期末互抵后的</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7" w:right="0"/>
              <w:jc w:val="left"/>
              <w:rPr>
                <w:rFonts w:ascii="宋体" w:hAnsi="宋体" w:cs="宋体" w:eastAsia="宋体" w:hint="default"/>
                <w:sz w:val="18"/>
                <w:szCs w:val="18"/>
              </w:rPr>
            </w:pPr>
            <w:r>
              <w:rPr>
                <w:rFonts w:ascii="宋体" w:hAnsi="宋体" w:cs="宋体" w:eastAsia="宋体" w:hint="default"/>
                <w:sz w:val="18"/>
                <w:szCs w:val="18"/>
              </w:rPr>
              <w:t>报告期初互抵后的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7" w:right="0"/>
              <w:jc w:val="left"/>
              <w:rPr>
                <w:rFonts w:ascii="宋体" w:hAnsi="宋体" w:cs="宋体" w:eastAsia="宋体" w:hint="default"/>
                <w:sz w:val="18"/>
                <w:szCs w:val="18"/>
              </w:rPr>
            </w:pPr>
            <w:r>
              <w:rPr>
                <w:rFonts w:ascii="宋体" w:hAnsi="宋体" w:cs="宋体" w:eastAsia="宋体" w:hint="default"/>
                <w:sz w:val="18"/>
                <w:szCs w:val="18"/>
              </w:rPr>
              <w:t>报告期初互抵后的</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063"/>
        <w:gridCol w:w="1625"/>
        <w:gridCol w:w="1628"/>
        <w:gridCol w:w="1628"/>
        <w:gridCol w:w="1630"/>
      </w:tblGrid>
      <w:tr>
        <w:trPr>
          <w:trHeight w:val="675"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28" w:right="84" w:hanging="540"/>
              <w:jc w:val="left"/>
              <w:rPr>
                <w:rFonts w:ascii="宋体" w:hAnsi="宋体" w:cs="宋体" w:eastAsia="宋体" w:hint="default"/>
                <w:sz w:val="18"/>
                <w:szCs w:val="18"/>
              </w:rPr>
            </w:pPr>
            <w:r>
              <w:rPr>
                <w:rFonts w:ascii="宋体" w:hAnsi="宋体" w:cs="宋体" w:eastAsia="宋体" w:hint="default"/>
                <w:sz w:val="18"/>
                <w:szCs w:val="18"/>
              </w:rPr>
              <w:t>递延所得税资产或 负债</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448" w:right="87" w:hanging="360"/>
              <w:jc w:val="left"/>
              <w:rPr>
                <w:rFonts w:ascii="宋体" w:hAnsi="宋体" w:cs="宋体" w:eastAsia="宋体" w:hint="default"/>
                <w:sz w:val="18"/>
                <w:szCs w:val="18"/>
              </w:rPr>
            </w:pPr>
            <w:r>
              <w:rPr>
                <w:rFonts w:ascii="宋体" w:hAnsi="宋体" w:cs="宋体" w:eastAsia="宋体" w:hint="default"/>
                <w:sz w:val="18"/>
                <w:szCs w:val="18"/>
              </w:rPr>
              <w:t>可抵扣或应纳税暂 时性差异</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28" w:right="87" w:hanging="540"/>
              <w:jc w:val="left"/>
              <w:rPr>
                <w:rFonts w:ascii="宋体" w:hAnsi="宋体" w:cs="宋体" w:eastAsia="宋体" w:hint="default"/>
                <w:sz w:val="18"/>
                <w:szCs w:val="18"/>
              </w:rPr>
            </w:pPr>
            <w:r>
              <w:rPr>
                <w:rFonts w:ascii="宋体" w:hAnsi="宋体" w:cs="宋体" w:eastAsia="宋体" w:hint="default"/>
                <w:sz w:val="18"/>
                <w:szCs w:val="18"/>
              </w:rPr>
              <w:t>递延所得税资产或 负债</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448" w:right="89" w:hanging="360"/>
              <w:jc w:val="left"/>
              <w:rPr>
                <w:rFonts w:ascii="宋体" w:hAnsi="宋体" w:cs="宋体" w:eastAsia="宋体" w:hint="default"/>
                <w:sz w:val="18"/>
                <w:szCs w:val="18"/>
              </w:rPr>
            </w:pPr>
            <w:r>
              <w:rPr>
                <w:rFonts w:ascii="宋体" w:hAnsi="宋体" w:cs="宋体" w:eastAsia="宋体" w:hint="default"/>
                <w:sz w:val="18"/>
                <w:szCs w:val="18"/>
              </w:rPr>
              <w:t>可抵扣或应纳税暂 时性差异</w:t>
            </w:r>
          </w:p>
        </w:tc>
      </w:tr>
      <w:tr>
        <w:trPr>
          <w:trHeight w:val="401"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29,060,066.62</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6,678,825.85</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2D2D2"/>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55,200.00</w:t>
            </w:r>
          </w:p>
        </w:tc>
        <w:tc>
          <w:tcPr>
            <w:tcW w:w="16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5"/>
        <w:jc w:val="left"/>
      </w:pPr>
      <w:r>
        <w:rPr/>
        <w:t>递延所得税资产和递延所得税负债互抵明细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50"/>
        <w:ind w:right="1115"/>
        <w:jc w:val="left"/>
      </w:pPr>
      <w:r>
        <w:rPr/>
        <w:t>递延所得税资产和递延所得税负债的说明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4"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779,696.62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2,093,411.68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125,589.07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63,165.66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2,684,353.57</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767,492.47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2,048,343.73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21,511.29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745,981.18</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2,048,343.73</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7,529,460.21</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7,529,460.21</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7,529,460.21</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7,529,460.21</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9,076,649.30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11,671,215.62</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7,676,560.57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809,146.84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12,262,157.51</w:t>
            </w:r>
          </w:p>
        </w:tc>
      </w:tr>
    </w:tbl>
    <w:p>
      <w:pPr>
        <w:pStyle w:val="BodyText"/>
        <w:spacing w:line="240" w:lineRule="auto" w:before="49"/>
        <w:ind w:right="1115"/>
        <w:jc w:val="left"/>
      </w:pPr>
      <w:r>
        <w:rPr/>
        <w:t>资产减值明细情况的说明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固定资产及无形资产预付款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10,023,765.56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34,089,835.91</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110,881,957.71</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120,905,723.27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34,089,835.91</w:t>
            </w:r>
          </w:p>
        </w:tc>
      </w:tr>
    </w:tbl>
    <w:p>
      <w:pPr>
        <w:pStyle w:val="BodyText"/>
        <w:spacing w:line="360" w:lineRule="auto" w:before="49"/>
        <w:ind w:left="333" w:right="1115" w:hanging="181"/>
        <w:jc w:val="left"/>
      </w:pPr>
      <w:r>
        <w:rPr/>
        <w:t>其他非流动资产的说明 </w:t>
      </w:r>
      <w:r>
        <w:rPr>
          <w:spacing w:val="-1"/>
        </w:rPr>
        <w:t>根据《企业会计准则》和财政部财会</w:t>
      </w:r>
      <w:r>
        <w:rPr>
          <w:rFonts w:ascii="Times New Roman" w:hAnsi="Times New Roman" w:cs="Times New Roman" w:eastAsia="Times New Roman" w:hint="default"/>
          <w:spacing w:val="-1"/>
        </w:rPr>
        <w:t>(2012)13</w:t>
      </w:r>
      <w:r>
        <w:rPr>
          <w:spacing w:val="-1"/>
        </w:rPr>
        <w:t>号文的规定，本期将待抵扣增值税进项税额根据其流动性在其他流动资产或</w:t>
      </w:r>
    </w:p>
    <w:p>
      <w:pPr>
        <w:pStyle w:val="BodyText"/>
        <w:spacing w:line="199" w:lineRule="exact"/>
        <w:ind w:right="1115"/>
        <w:jc w:val="left"/>
      </w:pPr>
      <w:r>
        <w:rPr/>
        <w:t>其他非流动资产列示。</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150,746,705.00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78,201,689.99</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565,940,950.00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508,000,000.00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818,687,655.00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616,201,689.99</w:t>
            </w:r>
          </w:p>
        </w:tc>
      </w:tr>
    </w:tbl>
    <w:p>
      <w:pPr>
        <w:pStyle w:val="BodyText"/>
        <w:spacing w:line="240" w:lineRule="auto" w:before="49"/>
        <w:ind w:right="1115"/>
        <w:jc w:val="left"/>
      </w:pPr>
      <w:r>
        <w:rPr/>
        <w:t>短期借款分类的说明</w:t>
      </w:r>
    </w:p>
    <w:p>
      <w:pPr>
        <w:pStyle w:val="BodyText"/>
        <w:spacing w:line="240" w:lineRule="auto" w:before="115"/>
        <w:ind w:left="633" w:right="1115"/>
        <w:jc w:val="left"/>
      </w:pPr>
      <w:r>
        <w:rPr/>
        <w:t>①质押借款系以</w:t>
      </w:r>
      <w:r>
        <w:rPr>
          <w:rFonts w:ascii="Times New Roman" w:hAnsi="Times New Roman" w:cs="Times New Roman" w:eastAsia="Times New Roman" w:hint="default"/>
        </w:rPr>
        <w:t>76,000,000.00</w:t>
      </w:r>
      <w:r>
        <w:rPr/>
        <w:t>元定期存款和承兑汇票保证金</w:t>
      </w:r>
      <w:r>
        <w:rPr>
          <w:spacing w:val="-29"/>
        </w:rPr>
        <w:t> </w:t>
      </w:r>
      <w:r>
        <w:rPr>
          <w:rFonts w:ascii="Times New Roman" w:hAnsi="Times New Roman" w:cs="Times New Roman" w:eastAsia="Times New Roman" w:hint="default"/>
        </w:rPr>
        <w:t>62,500,000.00</w:t>
      </w:r>
      <w:r>
        <w:rPr/>
        <w:t>元质押取得的借款。</w:t>
      </w:r>
    </w:p>
    <w:p>
      <w:pPr>
        <w:pStyle w:val="BodyText"/>
        <w:spacing w:line="240" w:lineRule="auto" w:before="63"/>
        <w:ind w:left="633" w:right="1115"/>
        <w:jc w:val="left"/>
      </w:pPr>
      <w:r>
        <w:rPr/>
        <w:t>②抵押借款情况</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800"/>
        <w:gridCol w:w="1358"/>
        <w:gridCol w:w="2567"/>
        <w:gridCol w:w="1531"/>
      </w:tblGrid>
      <w:tr>
        <w:trPr>
          <w:trHeight w:val="34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6"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0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中国农业银行江阴支行</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2" w:right="0"/>
              <w:jc w:val="left"/>
              <w:rPr>
                <w:rFonts w:ascii="Times New Roman" w:hAnsi="Times New Roman" w:cs="Times New Roman" w:eastAsia="Times New Roman" w:hint="default"/>
                <w:sz w:val="18"/>
                <w:szCs w:val="18"/>
              </w:rPr>
            </w:pPr>
            <w:r>
              <w:rPr>
                <w:rFonts w:ascii="Times New Roman"/>
                <w:sz w:val="18"/>
              </w:rPr>
              <w:t>12,000,000.00</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房屋建筑物、土地使用权</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14,773,234.86</w:t>
            </w:r>
          </w:p>
        </w:tc>
      </w:tr>
      <w:tr>
        <w:trPr>
          <w:trHeight w:val="34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中国银行江阴支行</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2" w:right="0"/>
              <w:jc w:val="left"/>
              <w:rPr>
                <w:rFonts w:ascii="Times New Roman" w:hAnsi="Times New Roman" w:cs="Times New Roman" w:eastAsia="Times New Roman" w:hint="default"/>
                <w:sz w:val="18"/>
                <w:szCs w:val="18"/>
              </w:rPr>
            </w:pPr>
            <w:r>
              <w:rPr>
                <w:rFonts w:ascii="Times New Roman"/>
                <w:sz w:val="18"/>
              </w:rPr>
              <w:t>70,000,000.00</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房屋建筑物、土地使用权</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61,054,346.38</w:t>
            </w:r>
          </w:p>
        </w:tc>
      </w:tr>
      <w:tr>
        <w:trPr>
          <w:trHeight w:val="34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2" w:right="0"/>
              <w:jc w:val="left"/>
              <w:rPr>
                <w:rFonts w:ascii="Times New Roman" w:hAnsi="Times New Roman" w:cs="Times New Roman" w:eastAsia="Times New Roman" w:hint="default"/>
                <w:sz w:val="18"/>
                <w:szCs w:val="18"/>
              </w:rPr>
            </w:pPr>
            <w:r>
              <w:rPr>
                <w:rFonts w:ascii="Times New Roman"/>
                <w:sz w:val="18"/>
              </w:rPr>
              <w:t>82,000,000.00</w:t>
            </w:r>
          </w:p>
        </w:tc>
        <w:tc>
          <w:tcPr>
            <w:tcW w:w="2567"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75,827,581.24</w:t>
            </w:r>
          </w:p>
        </w:tc>
      </w:tr>
    </w:tbl>
    <w:p>
      <w:pPr>
        <w:pStyle w:val="BodyText"/>
        <w:spacing w:line="300" w:lineRule="auto" w:before="8"/>
        <w:ind w:right="1115" w:firstLine="480"/>
        <w:jc w:val="left"/>
      </w:pPr>
      <w:r>
        <w:rPr/>
        <w:t>中国银行江阴支行</w:t>
      </w:r>
      <w:r>
        <w:rPr>
          <w:rFonts w:ascii="Times New Roman" w:hAnsi="Times New Roman" w:cs="Times New Roman" w:eastAsia="Times New Roman" w:hint="default"/>
        </w:rPr>
        <w:t>70,000,000.00</w:t>
      </w:r>
      <w:r>
        <w:rPr/>
        <w:t>元借款为江苏爱康实业有限责任公司、邹承慧、王海芸最高额担保项下借款，同时以 本公司</w:t>
      </w:r>
      <w:r>
        <w:rPr>
          <w:rFonts w:ascii="Times New Roman" w:hAnsi="Times New Roman" w:cs="Times New Roman" w:eastAsia="Times New Roman" w:hint="default"/>
        </w:rPr>
        <w:t>67,787,869.32</w:t>
      </w:r>
      <w:r>
        <w:rPr/>
        <w:t>元存货作为质押。</w:t>
      </w:r>
    </w:p>
    <w:p>
      <w:pPr>
        <w:pStyle w:val="BodyText"/>
        <w:spacing w:line="240" w:lineRule="auto" w:before="13"/>
        <w:ind w:left="633" w:right="1115"/>
        <w:jc w:val="left"/>
      </w:pPr>
      <w:r>
        <w:rPr/>
        <w:t>③保证借款情况</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579"/>
        <w:gridCol w:w="1361"/>
        <w:gridCol w:w="2783"/>
        <w:gridCol w:w="1534"/>
      </w:tblGrid>
      <w:tr>
        <w:trPr>
          <w:trHeight w:val="343"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4"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担保单位</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03" w:right="0"/>
              <w:jc w:val="left"/>
              <w:rPr>
                <w:rFonts w:ascii="宋体" w:hAnsi="宋体" w:cs="宋体" w:eastAsia="宋体" w:hint="default"/>
                <w:sz w:val="18"/>
                <w:szCs w:val="18"/>
              </w:rPr>
            </w:pPr>
            <w:r>
              <w:rPr>
                <w:rFonts w:ascii="宋体" w:hAnsi="宋体" w:cs="宋体" w:eastAsia="宋体" w:hint="default"/>
                <w:sz w:val="18"/>
                <w:szCs w:val="18"/>
              </w:rPr>
              <w:t>担保金额</w:t>
            </w:r>
          </w:p>
        </w:tc>
      </w:tr>
      <w:tr>
        <w:trPr>
          <w:trHeight w:val="341"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中国建设银行张家港市支行</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江苏爱康实业有限责任公司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655"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江苏江阴农村商业银行塘市支行</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pacing w:val="3"/>
                <w:sz w:val="18"/>
                <w:szCs w:val="18"/>
              </w:rPr>
              <w:t>江苏省张家港经济开发区实业总公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653"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江苏江阴农村商业银行塘市支行</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15,000,000.00</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pacing w:val="3"/>
                <w:sz w:val="18"/>
                <w:szCs w:val="18"/>
              </w:rPr>
              <w:t>江苏省张家港经济开发区实业总公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司和邹承慧</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44"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大通国开村镇银行有限责任公司</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熊元福</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41"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中国农业银行江阴支行</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68,000,000.00</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海澜集团有限公司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68,000,000.00</w:t>
            </w:r>
          </w:p>
        </w:tc>
      </w:tr>
      <w:tr>
        <w:trPr>
          <w:trHeight w:val="655"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中国农业银行江阴支行</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20,000,000.00</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pacing w:val="3"/>
                <w:sz w:val="18"/>
                <w:szCs w:val="18"/>
              </w:rPr>
              <w:t>江苏爱康实业有限责任公司和邹承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慧、王海芸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41"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上海浦东发展银行江阴澄东支行</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70,000,000.00</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江苏爱康实业有限责任公司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655"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中信银行无锡城北支行</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pacing w:val="3"/>
                <w:sz w:val="18"/>
                <w:szCs w:val="18"/>
              </w:rPr>
              <w:t>江苏爱康实业有限责任公司和邹承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惠</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653"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中国民生银行江阴支行</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50,000,000.00</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pacing w:val="3"/>
                <w:sz w:val="18"/>
                <w:szCs w:val="18"/>
              </w:rPr>
              <w:t>江苏省张家港经济开发区实业总公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43"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交通银行江阴华士支行</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60,000,000.00</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江苏海达科技集团有限公司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653"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中国银行江阴支行</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90,000,000.00</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2"/>
              <w:jc w:val="left"/>
              <w:rPr>
                <w:rFonts w:ascii="宋体" w:hAnsi="宋体" w:cs="宋体" w:eastAsia="宋体" w:hint="default"/>
                <w:sz w:val="18"/>
                <w:szCs w:val="18"/>
              </w:rPr>
            </w:pPr>
            <w:r>
              <w:rPr>
                <w:rFonts w:ascii="宋体" w:hAnsi="宋体" w:cs="宋体" w:eastAsia="宋体" w:hint="default"/>
                <w:spacing w:val="3"/>
                <w:sz w:val="18"/>
                <w:szCs w:val="18"/>
              </w:rPr>
              <w:t>江苏爱康实业有限责任公司、苏州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盛康光伏科技有限公司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655"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中国银行江阴支行</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55,940,950.00</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
              <w:jc w:val="left"/>
              <w:rPr>
                <w:rFonts w:ascii="宋体" w:hAnsi="宋体" w:cs="宋体" w:eastAsia="宋体" w:hint="default"/>
                <w:sz w:val="18"/>
                <w:szCs w:val="18"/>
              </w:rPr>
            </w:pPr>
            <w:r>
              <w:rPr>
                <w:rFonts w:ascii="宋体" w:hAnsi="宋体" w:cs="宋体" w:eastAsia="宋体" w:hint="default"/>
                <w:spacing w:val="3"/>
                <w:sz w:val="18"/>
                <w:szCs w:val="18"/>
              </w:rPr>
              <w:t>江苏爱康实业有限责任公司和邹承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慧、王海芸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55,940,950.00</w:t>
            </w:r>
          </w:p>
        </w:tc>
      </w:tr>
      <w:tr>
        <w:trPr>
          <w:trHeight w:val="341"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华夏银行无锡分行</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57,000,000.00</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江苏爱康实业有限责任公司</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43"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565,940,950.00</w:t>
            </w:r>
          </w:p>
        </w:tc>
        <w:tc>
          <w:tcPr>
            <w:tcW w:w="278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538,940,950.00</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2"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pStyle w:val="BodyText"/>
        <w:spacing w:line="357" w:lineRule="auto" w:before="50"/>
        <w:ind w:right="4634"/>
        <w:jc w:val="left"/>
      </w:pPr>
      <w:r>
        <w:rPr/>
        <w:t>资产负债表日后已偿还金额元。 短期借款的说明，包括已到期短期借款获展期的，说明展期条件、新的到期日</w:t>
      </w:r>
    </w:p>
    <w:p>
      <w:pPr>
        <w:spacing w:line="240" w:lineRule="auto" w:before="6"/>
        <w:rPr>
          <w:rFonts w:ascii="宋体" w:hAnsi="宋体" w:cs="宋体" w:eastAsia="宋体" w:hint="default"/>
          <w:sz w:val="20"/>
          <w:szCs w:val="20"/>
        </w:rPr>
      </w:pPr>
    </w:p>
    <w:p>
      <w:pPr>
        <w:pStyle w:val="Heading4"/>
        <w:spacing w:line="240" w:lineRule="auto"/>
        <w:ind w:right="1115"/>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3"/>
        <w:gridCol w:w="2921"/>
        <w:gridCol w:w="3043"/>
      </w:tblGrid>
      <w:tr>
        <w:trPr>
          <w:trHeight w:val="403"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pStyle w:val="BodyText"/>
        <w:spacing w:line="240" w:lineRule="auto" w:before="49"/>
        <w:ind w:right="1115"/>
        <w:jc w:val="left"/>
      </w:pPr>
      <w:r>
        <w:rPr/>
        <w:t>交易性金融负债的说明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354,070,631.89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120,198,240.00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354,070,631.89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120,198,240.00</w:t>
            </w:r>
          </w:p>
        </w:tc>
      </w:tr>
    </w:tbl>
    <w:p>
      <w:pPr>
        <w:pStyle w:val="BodyText"/>
        <w:spacing w:line="340" w:lineRule="auto" w:before="49"/>
        <w:ind w:right="7019"/>
        <w:jc w:val="left"/>
      </w:pPr>
      <w:r>
        <w:rPr/>
        <w:t>下一会计期间将到期的金额</w:t>
      </w:r>
      <w:r>
        <w:rPr>
          <w:spacing w:val="-46"/>
        </w:rPr>
        <w:t> </w:t>
      </w:r>
      <w:r>
        <w:rPr>
          <w:rFonts w:ascii="Times New Roman" w:hAnsi="Times New Roman" w:cs="Times New Roman" w:eastAsia="Times New Roman" w:hint="default"/>
        </w:rPr>
        <w:t>354,070,631.89</w:t>
      </w:r>
      <w:r>
        <w:rPr>
          <w:rFonts w:ascii="Times New Roman" w:hAnsi="Times New Roman" w:cs="Times New Roman" w:eastAsia="Times New Roman" w:hint="default"/>
          <w:spacing w:val="1"/>
        </w:rPr>
        <w:t> </w:t>
      </w:r>
      <w:r>
        <w:rPr/>
        <w:t>元。 应付票据的说明</w:t>
      </w:r>
    </w:p>
    <w:p>
      <w:pPr>
        <w:spacing w:line="240" w:lineRule="auto" w:before="3"/>
        <w:rPr>
          <w:rFonts w:ascii="宋体" w:hAnsi="宋体" w:cs="宋体" w:eastAsia="宋体" w:hint="default"/>
          <w:sz w:val="21"/>
          <w:szCs w:val="21"/>
        </w:rPr>
      </w:pPr>
    </w:p>
    <w:p>
      <w:pPr>
        <w:pStyle w:val="Heading4"/>
        <w:spacing w:line="240" w:lineRule="auto"/>
        <w:ind w:right="1115"/>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477,590,282.90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208,075,409.19</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5,196,734.49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1,640,572.32</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482,793,017.39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209,715,981.51</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4"/>
        <w:rPr>
          <w:rFonts w:ascii="宋体" w:hAnsi="宋体" w:cs="宋体" w:eastAsia="宋体" w:hint="default"/>
          <w:sz w:val="19"/>
          <w:szCs w:val="19"/>
        </w:rPr>
      </w:pPr>
    </w:p>
    <w:p>
      <w:pPr>
        <w:pStyle w:val="Heading4"/>
        <w:spacing w:line="240" w:lineRule="auto" w:before="36"/>
        <w:ind w:right="1115"/>
        <w:jc w:val="left"/>
        <w:rPr>
          <w:b w:val="0"/>
          <w:bCs w:val="0"/>
        </w:rPr>
      </w:pPr>
      <w:r>
        <w:rPr/>
        <w:pict>
          <v:group style="position:absolute;margin-left:460.320007pt;margin-top:64.763672pt;width:135pt;height:77pt;mso-position-horizontal-relative:page;mso-position-vertical-relative:paragraph;z-index:-966280" coordorigin="9206,1295" coordsize="2700,1540">
            <v:shape style="position:absolute;left:9206;top:1295;width:2700;height:1540" type="#_x0000_t75" stroked="false">
              <v:imagedata r:id="rId21" o:title=""/>
            </v:shape>
            <v:shape style="position:absolute;left:10502;top:1656;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125</w:t>
                    </w:r>
                  </w:p>
                </w:txbxContent>
              </v:textbox>
              <w10:wrap type="none"/>
            </v:shape>
            <w10:wrap type="none"/>
          </v:group>
        </w:pict>
      </w: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675"/>
        <w:gridCol w:w="1964"/>
        <w:gridCol w:w="1702"/>
        <w:gridCol w:w="2161"/>
      </w:tblGrid>
      <w:tr>
        <w:trPr>
          <w:trHeight w:val="343" w:hRule="exact"/>
        </w:trPr>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未偿还的原因</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报表日后是否归还</w:t>
            </w:r>
          </w:p>
        </w:tc>
      </w:tr>
      <w:tr>
        <w:trPr>
          <w:trHeight w:val="341" w:hRule="exact"/>
        </w:trPr>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江苏昱诚建设有限公司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03" w:right="0"/>
              <w:jc w:val="left"/>
              <w:rPr>
                <w:rFonts w:ascii="Times New Roman" w:hAnsi="Times New Roman" w:cs="Times New Roman" w:eastAsia="Times New Roman" w:hint="default"/>
                <w:sz w:val="18"/>
                <w:szCs w:val="18"/>
              </w:rPr>
            </w:pPr>
            <w:r>
              <w:rPr>
                <w:rFonts w:ascii="Times New Roman"/>
                <w:sz w:val="18"/>
              </w:rPr>
              <w:t>1,887,311.48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工程未结算</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headerReference w:type="default" r:id="rId56"/>
          <w:footerReference w:type="default" r:id="rId57"/>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675"/>
        <w:gridCol w:w="1964"/>
        <w:gridCol w:w="1702"/>
        <w:gridCol w:w="2161"/>
      </w:tblGrid>
      <w:tr>
        <w:trPr>
          <w:trHeight w:val="341" w:hRule="exact"/>
        </w:trPr>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佛山市南海区伟成机器制造有限公司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699,000.00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工程未结算</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广州擎天实业有限公司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560,000.00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工程未结算</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3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佛山市特高珠江工业电炉有限公司</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520,200.00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工程未结算</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3" w:hRule="exact"/>
        </w:trPr>
        <w:tc>
          <w:tcPr>
            <w:tcW w:w="3675"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3,666,511.48</w:t>
            </w:r>
          </w:p>
        </w:tc>
        <w:tc>
          <w:tcPr>
            <w:tcW w:w="1702"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1115"/>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4,284,010.54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5,107,282.85</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74,295.07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377,559.18</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4,358,305.61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5,484,842.03</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4"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819"/>
        <w:gridCol w:w="2525"/>
        <w:gridCol w:w="3296"/>
      </w:tblGrid>
      <w:tr>
        <w:trPr>
          <w:trHeight w:val="343"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未结转的原因</w:t>
            </w:r>
          </w:p>
        </w:tc>
      </w:tr>
      <w:tr>
        <w:trPr>
          <w:trHeight w:val="341"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SHENG LIAN INTERNATIONAL GROUP</w:t>
            </w:r>
            <w:r>
              <w:rPr>
                <w:rFonts w:ascii="Times New Roman"/>
                <w:spacing w:val="-7"/>
                <w:sz w:val="18"/>
              </w:rPr>
              <w:t> </w:t>
            </w:r>
            <w:r>
              <w:rPr>
                <w:rFonts w:ascii="Times New Roman"/>
                <w:sz w:val="18"/>
              </w:rPr>
              <w:t>Ltd.</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3,000,000.00</w:t>
            </w:r>
          </w:p>
        </w:tc>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未发货</w:t>
            </w:r>
          </w:p>
        </w:tc>
      </w:tr>
      <w:tr>
        <w:trPr>
          <w:trHeight w:val="343" w:hRule="exact"/>
        </w:trPr>
        <w:tc>
          <w:tcPr>
            <w:tcW w:w="3819" w:type="dxa"/>
            <w:tcBorders>
              <w:top w:val="single" w:sz="4" w:space="0" w:color="000000"/>
              <w:left w:val="single" w:sz="4" w:space="0" w:color="000000"/>
              <w:bottom w:val="single" w:sz="4" w:space="0" w:color="000000"/>
              <w:right w:val="single" w:sz="4" w:space="0" w:color="000000"/>
            </w:tcBorders>
          </w:tcPr>
          <w:p>
            <w:pPr>
              <w:pStyle w:val="TableParagraph"/>
              <w:tabs>
                <w:tab w:pos="470"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3,000,000.00</w:t>
            </w:r>
          </w:p>
        </w:tc>
        <w:tc>
          <w:tcPr>
            <w:tcW w:w="32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8"/>
        <w:ind w:right="1126" w:firstLine="480"/>
        <w:jc w:val="left"/>
      </w:pPr>
      <w:r>
        <w:rPr/>
        <w:t>注：账龄超过</w:t>
      </w:r>
      <w:r>
        <w:rPr>
          <w:rFonts w:ascii="Times New Roman" w:hAnsi="Times New Roman" w:cs="Times New Roman" w:eastAsia="Times New Roman" w:hint="default"/>
        </w:rPr>
        <w:t>1</w:t>
      </w:r>
      <w:r>
        <w:rPr/>
        <w:t>年的预收</w:t>
      </w:r>
      <w:r>
        <w:rPr>
          <w:rFonts w:ascii="Times New Roman" w:hAnsi="Times New Roman" w:cs="Times New Roman" w:eastAsia="Times New Roman" w:hint="default"/>
        </w:rPr>
        <w:t>SHENG LIAN INTERNATIONAL GROUP</w:t>
      </w:r>
      <w:r>
        <w:rPr>
          <w:rFonts w:ascii="Times New Roman" w:hAnsi="Times New Roman" w:cs="Times New Roman" w:eastAsia="Times New Roman" w:hint="default"/>
          <w:spacing w:val="38"/>
        </w:rPr>
        <w:t> </w:t>
      </w:r>
      <w:r>
        <w:rPr>
          <w:rFonts w:ascii="Times New Roman" w:hAnsi="Times New Roman" w:cs="Times New Roman" w:eastAsia="Times New Roman" w:hint="default"/>
        </w:rPr>
        <w:t>Ltd.</w:t>
      </w:r>
      <w:r>
        <w:rPr/>
        <w:t>公司款余额为人民币</w:t>
      </w:r>
      <w:r>
        <w:rPr>
          <w:rFonts w:ascii="Times New Roman" w:hAnsi="Times New Roman" w:cs="Times New Roman" w:eastAsia="Times New Roman" w:hint="default"/>
        </w:rPr>
        <w:t>3,000,000.00</w:t>
      </w:r>
      <w:r>
        <w:rPr/>
        <w:t>元，由于相关 产品尚未实现销售，故年末尚未结转收入。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2"/>
        <w:ind w:right="1115"/>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874"/>
        <w:gridCol w:w="1992"/>
        <w:gridCol w:w="2259"/>
        <w:gridCol w:w="1860"/>
      </w:tblGrid>
      <w:tr>
        <w:trPr>
          <w:trHeight w:val="402"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9,035,367.93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124,301,163.88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121,922,161.49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11,414,370.32</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12,067,902.70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12,067,902.70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263,549.36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14,508,550.54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14,626,656.93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145,442.97</w:t>
            </w:r>
          </w:p>
        </w:tc>
      </w:tr>
    </w:tbl>
    <w:p>
      <w:pPr>
        <w:spacing w:after="0" w:line="240" w:lineRule="auto"/>
        <w:jc w:val="right"/>
        <w:rPr>
          <w:rFonts w:ascii="Times New Roman" w:hAnsi="Times New Roman" w:cs="Times New Roman" w:eastAsia="Times New Roman" w:hint="default"/>
          <w:sz w:val="18"/>
          <w:szCs w:val="18"/>
        </w:rPr>
        <w:sectPr>
          <w:footerReference w:type="default" r:id="rId58"/>
          <w:pgSz w:w="11910" w:h="16840"/>
          <w:pgMar w:footer="1306" w:header="877" w:top="1060" w:bottom="1500" w:left="980" w:right="0"/>
          <w:pgNumType w:start="126"/>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863"/>
        <w:gridCol w:w="1992"/>
        <w:gridCol w:w="2259"/>
        <w:gridCol w:w="1860"/>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2,242.00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4,264,804.42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4,250,384.42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16,662.00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84,767.33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84,767.33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53,867.33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1,502,182.55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1,415,254.11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140,795.77</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9,355,026.62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156,729,371.42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154,367,126.98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11,717,271.06</w:t>
            </w:r>
          </w:p>
        </w:tc>
      </w:tr>
    </w:tbl>
    <w:p>
      <w:pPr>
        <w:pStyle w:val="BodyText"/>
        <w:spacing w:line="240" w:lineRule="auto" w:before="49"/>
        <w:ind w:right="1115"/>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1"/>
        <w:ind w:right="1802"/>
        <w:jc w:val="left"/>
      </w:pPr>
      <w:r>
        <w:rPr/>
        <w:t>工会经费和职工教育经费金额</w:t>
      </w:r>
      <w:r>
        <w:rPr>
          <w:spacing w:val="-46"/>
        </w:rPr>
        <w:t> </w:t>
      </w:r>
      <w:r>
        <w:rPr>
          <w:rFonts w:ascii="Times New Roman" w:hAnsi="Times New Roman" w:cs="Times New Roman" w:eastAsia="Times New Roman" w:hint="default"/>
        </w:rPr>
        <w:t>140,795.77</w:t>
      </w:r>
      <w:r>
        <w:rPr>
          <w:rFonts w:ascii="Times New Roman" w:hAnsi="Times New Roman" w:cs="Times New Roman" w:eastAsia="Times New Roman" w:hint="default"/>
          <w:spacing w:val="1"/>
        </w:rPr>
        <w:t> </w:t>
      </w:r>
      <w:r>
        <w:rPr/>
        <w:t>元，非货币性福利金额</w:t>
      </w:r>
      <w:r>
        <w:rPr>
          <w:spacing w:val="-47"/>
        </w:rPr>
        <w:t> </w:t>
      </w:r>
      <w:r>
        <w:rPr>
          <w:rFonts w:ascii="Times New Roman" w:hAnsi="Times New Roman" w:cs="Times New Roman" w:eastAsia="Times New Roman" w:hint="default"/>
        </w:rPr>
        <w:t>0.00 </w:t>
      </w:r>
      <w:r>
        <w:rPr/>
        <w:t>元，因解除劳动关系给予补偿</w:t>
      </w:r>
      <w:r>
        <w:rPr>
          <w:spacing w:val="-46"/>
        </w:rPr>
        <w:t> </w:t>
      </w:r>
      <w:r>
        <w:rPr>
          <w:rFonts w:ascii="Times New Roman" w:hAnsi="Times New Roman" w:cs="Times New Roman" w:eastAsia="Times New Roman" w:hint="default"/>
        </w:rPr>
        <w:t>84,767.33 </w:t>
      </w:r>
      <w:r>
        <w:rPr/>
        <w:t>元。 应付职工薪酬预计发放时间、金额等安排</w:t>
      </w:r>
    </w:p>
    <w:p>
      <w:pPr>
        <w:pStyle w:val="BodyText"/>
        <w:spacing w:line="240" w:lineRule="auto" w:before="41"/>
        <w:ind w:right="1115"/>
        <w:jc w:val="left"/>
      </w:pPr>
      <w:r>
        <w:rPr/>
        <w:t>年末应付职工薪酬余额中工资、奖金等发放时间在</w:t>
      </w:r>
      <w:r>
        <w:rPr>
          <w:rFonts w:ascii="Times New Roman" w:hAnsi="Times New Roman" w:cs="Times New Roman" w:eastAsia="Times New Roman" w:hint="default"/>
        </w:rPr>
        <w:t>2013</w:t>
      </w:r>
      <w:r>
        <w:rPr>
          <w:rFonts w:ascii="Times New Roman" w:hAnsi="Times New Roman" w:cs="Times New Roman" w:eastAsia="Times New Roman" w:hint="default"/>
          <w:spacing w:val="28"/>
        </w:rPr>
        <w:t> </w:t>
      </w:r>
      <w:r>
        <w:rPr/>
        <w:t>年</w:t>
      </w:r>
      <w:r>
        <w:rPr>
          <w:rFonts w:ascii="Times New Roman" w:hAnsi="Times New Roman" w:cs="Times New Roman" w:eastAsia="Times New Roman" w:hint="default"/>
        </w:rPr>
        <w:t>1-2</w:t>
      </w:r>
      <w:r>
        <w:rPr/>
        <w:t>月份</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282,674.11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-68,073,629.61</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7,901,501.40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5,975,057.20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265,412.95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305,866.58</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22,205.44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128.18</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67,533.25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28,537.50</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519,417.00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293,884.00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1,244,567.65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218,545.19</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21,984.17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128.18</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44,727.39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129,946.36</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10,370,023.36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-61,121,536.42</w:t>
            </w:r>
          </w:p>
        </w:tc>
      </w:tr>
    </w:tbl>
    <w:p>
      <w:pPr>
        <w:pStyle w:val="BodyText"/>
        <w:spacing w:line="240" w:lineRule="auto" w:before="49"/>
        <w:ind w:right="1115"/>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长、短期借款应付利息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3,780,339.97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4,278,422.27</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3,780,339.97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4,278,422.27</w:t>
            </w:r>
          </w:p>
        </w:tc>
      </w:tr>
    </w:tbl>
    <w:p>
      <w:pPr>
        <w:pStyle w:val="BodyText"/>
        <w:spacing w:line="240" w:lineRule="auto" w:before="49"/>
        <w:ind w:right="1115"/>
        <w:jc w:val="left"/>
      </w:pPr>
      <w:r>
        <w:rPr/>
        <w:t>应付利息说明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994"/>
        <w:gridCol w:w="2127"/>
        <w:gridCol w:w="2645"/>
      </w:tblGrid>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pStyle w:val="BodyText"/>
        <w:spacing w:line="240" w:lineRule="auto" w:before="49"/>
        <w:ind w:right="1115"/>
        <w:jc w:val="left"/>
      </w:pPr>
      <w:r>
        <w:rPr/>
        <w:t>应付股利的说明</w:t>
      </w:r>
    </w:p>
    <w:p>
      <w:pPr>
        <w:spacing w:after="0" w:line="240" w:lineRule="auto"/>
        <w:jc w:val="left"/>
        <w:sectPr>
          <w:pgSz w:w="11910" w:h="16840"/>
          <w:pgMar w:header="877" w:footer="1306" w:top="1060" w:bottom="150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10,201,075.19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58,438,222.15</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422,409.64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1,092,184.90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4,289.02</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10,623,484.83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59,534,696.07</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6"/>
        <w:rPr>
          <w:rFonts w:ascii="宋体" w:hAnsi="宋体" w:cs="宋体" w:eastAsia="宋体" w:hint="default"/>
          <w:b/>
          <w:bCs/>
          <w:sz w:val="22"/>
          <w:szCs w:val="22"/>
        </w:rPr>
      </w:pPr>
    </w:p>
    <w:p>
      <w:pPr>
        <w:spacing w:before="0"/>
        <w:ind w:left="152" w:right="1115" w:firstLine="0"/>
        <w:jc w:val="left"/>
        <w:rPr>
          <w:rFonts w:ascii="宋体" w:hAnsi="宋体" w:cs="宋体" w:eastAsia="宋体" w:hint="default"/>
          <w:sz w:val="24"/>
          <w:szCs w:val="24"/>
        </w:rPr>
      </w:pPr>
      <w:r>
        <w:rPr>
          <w:rFonts w:ascii="宋体" w:hAnsi="宋体" w:cs="宋体" w:eastAsia="宋体" w:hint="default"/>
          <w:sz w:val="24"/>
          <w:szCs w:val="24"/>
        </w:rPr>
        <w:t>无账龄超过一年的大额其他应付款。</w:t>
      </w:r>
    </w:p>
    <w:p>
      <w:pPr>
        <w:spacing w:line="240" w:lineRule="auto" w:before="12"/>
        <w:rPr>
          <w:rFonts w:ascii="宋体" w:hAnsi="宋体" w:cs="宋体" w:eastAsia="宋体" w:hint="default"/>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）金额较大的其他应付款说明内容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377"/>
        <w:gridCol w:w="2607"/>
      </w:tblGrid>
      <w:tr>
        <w:trPr>
          <w:trHeight w:val="34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4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熊元福</w:t>
            </w:r>
          </w:p>
        </w:tc>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2,456,768.73</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4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江西昌顺物流有限公司</w:t>
            </w:r>
          </w:p>
        </w:tc>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1,462,900.00</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运输费</w:t>
            </w:r>
          </w:p>
        </w:tc>
      </w:tr>
      <w:tr>
        <w:trPr>
          <w:trHeight w:val="34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中国出口信用保险公司江苏分公司</w:t>
            </w:r>
          </w:p>
        </w:tc>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1,167,941.96</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34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江阴市社保局</w:t>
            </w:r>
          </w:p>
        </w:tc>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603,771.60</w:t>
            </w:r>
          </w:p>
        </w:tc>
        <w:tc>
          <w:tcPr>
            <w:tcW w:w="2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4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5,691,382.29</w:t>
            </w:r>
          </w:p>
        </w:tc>
        <w:tc>
          <w:tcPr>
            <w:tcW w:w="26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6"/>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861"/>
        <w:gridCol w:w="1860"/>
        <w:gridCol w:w="1860"/>
        <w:gridCol w:w="1983"/>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pStyle w:val="BodyText"/>
        <w:spacing w:line="240" w:lineRule="auto" w:before="49"/>
        <w:ind w:right="1115"/>
        <w:jc w:val="left"/>
      </w:pPr>
      <w:r>
        <w:rPr/>
        <w:t>预计负债说明</w:t>
      </w:r>
    </w:p>
    <w:p>
      <w:pPr>
        <w:spacing w:after="0" w:line="240" w:lineRule="auto"/>
        <w:jc w:val="left"/>
        <w:sectPr>
          <w:pgSz w:w="11910" w:h="16840"/>
          <w:pgMar w:header="877" w:footer="1306" w:top="1060" w:bottom="150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年内到期的长期借款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15"/>
        <w:jc w:val="left"/>
      </w:pPr>
      <w:r>
        <w:rPr/>
        <w:t>一年内到期的长期借款</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6" w:top="1060" w:bottom="1500" w:left="980" w:right="0"/>
        </w:sectPr>
      </w:pPr>
    </w:p>
    <w:p>
      <w:pPr>
        <w:pStyle w:val="BodyText"/>
        <w:spacing w:line="360" w:lineRule="auto" w:before="49"/>
        <w:ind w:right="-20"/>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833" w:space="39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6"/>
        <w:gridCol w:w="1061"/>
      </w:tblGrid>
      <w:tr>
        <w:trPr>
          <w:trHeight w:val="404"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江苏江阴农 村商业银行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中国银行如 皋支行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中国银行如 皋支行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江苏江阴农 村商业银行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江苏江阴农 村商业银行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中国银行如 皋支行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5,000,000.00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15"/>
        <w:jc w:val="left"/>
      </w:pPr>
      <w:r>
        <w:rPr/>
        <w:t>一年内到期的长期借款中的逾期借款</w:t>
      </w:r>
    </w:p>
    <w:p>
      <w:pPr>
        <w:pStyle w:val="BodyText"/>
        <w:spacing w:line="240" w:lineRule="auto" w:before="114"/>
        <w:ind w:left="0" w:right="1131"/>
        <w:jc w:val="right"/>
      </w:pPr>
      <w:r>
        <w:rPr/>
        <w:t>单位：</w:t>
      </w:r>
      <w:r>
        <w:rPr>
          <w:spacing w:val="1"/>
        </w:rPr>
        <w:t> </w:t>
      </w:r>
      <w:r>
        <w:rPr/>
        <w:t>元</w:t>
      </w:r>
    </w:p>
    <w:p>
      <w:pPr>
        <w:spacing w:after="0" w:line="240" w:lineRule="auto"/>
        <w:jc w:val="right"/>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57" w:lineRule="auto" w:before="50"/>
        <w:ind w:right="8054"/>
        <w:jc w:val="left"/>
      </w:pPr>
      <w:r>
        <w:rPr/>
        <w:t>资产负债表日后已偿还的金额元。 一年内到期的长期借款说明</w:t>
      </w:r>
    </w:p>
    <w:p>
      <w:pPr>
        <w:spacing w:line="240" w:lineRule="auto" w:before="6"/>
        <w:rPr>
          <w:rFonts w:ascii="宋体" w:hAnsi="宋体" w:cs="宋体" w:eastAsia="宋体" w:hint="default"/>
          <w:sz w:val="20"/>
          <w:szCs w:val="20"/>
        </w:rPr>
      </w:pPr>
    </w:p>
    <w:p>
      <w:pPr>
        <w:pStyle w:val="Heading4"/>
        <w:spacing w:line="240" w:lineRule="auto"/>
        <w:ind w:right="1115"/>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15"/>
        <w:jc w:val="left"/>
      </w:pPr>
      <w:r>
        <w:rPr/>
        <w:t>一年内到期的应付债券说明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pStyle w:val="BodyText"/>
        <w:spacing w:line="240" w:lineRule="auto" w:before="49"/>
        <w:ind w:right="1115"/>
        <w:jc w:val="left"/>
      </w:pPr>
      <w:r>
        <w:rPr/>
        <w:t>一年内到期的长期应付款的说明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4,162,815.80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819,374.72</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4,162,815.80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819,374.72</w:t>
            </w:r>
          </w:p>
        </w:tc>
      </w:tr>
    </w:tbl>
    <w:p>
      <w:pPr>
        <w:pStyle w:val="BodyText"/>
        <w:spacing w:line="240" w:lineRule="auto" w:before="49"/>
        <w:ind w:right="1115"/>
        <w:jc w:val="left"/>
      </w:pPr>
      <w:r>
        <w:rPr/>
        <w:t>其他流动负债说明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256,228,500.00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164,471,500.00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361,700,000.00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254,700,000.00</w:t>
            </w:r>
          </w:p>
        </w:tc>
      </w:tr>
    </w:tbl>
    <w:p>
      <w:pPr>
        <w:pStyle w:val="BodyText"/>
        <w:spacing w:line="240" w:lineRule="auto" w:before="49"/>
        <w:ind w:right="1115"/>
        <w:jc w:val="left"/>
      </w:pPr>
      <w:r>
        <w:rPr/>
        <w:t>长期借款分类的说明</w:t>
      </w:r>
    </w:p>
    <w:p>
      <w:pPr>
        <w:pStyle w:val="BodyText"/>
        <w:spacing w:line="240" w:lineRule="auto" w:before="115"/>
        <w:ind w:left="633" w:right="1115"/>
        <w:jc w:val="left"/>
      </w:pPr>
      <w:r>
        <w:rPr/>
        <w:t>①</w:t>
      </w:r>
      <w:r>
        <w:rPr>
          <w:spacing w:val="-18"/>
        </w:rPr>
        <w:t> </w:t>
      </w:r>
      <w:r>
        <w:rPr/>
        <w:t>抵押借款情况</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800"/>
        <w:gridCol w:w="1358"/>
        <w:gridCol w:w="2567"/>
        <w:gridCol w:w="1776"/>
      </w:tblGrid>
      <w:tr>
        <w:trPr>
          <w:trHeight w:val="34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6"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23"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1306" w:top="1060" w:bottom="15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00"/>
        <w:gridCol w:w="1358"/>
        <w:gridCol w:w="2567"/>
        <w:gridCol w:w="1776"/>
      </w:tblGrid>
      <w:tr>
        <w:trPr>
          <w:trHeight w:val="34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国家开发银行股份有限公司青海省分行</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150,000,000.00</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设备、土地及地上附着物</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177,509,831.67</w:t>
            </w:r>
          </w:p>
        </w:tc>
      </w:tr>
      <w:tr>
        <w:trPr>
          <w:trHeight w:val="34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中国建设银行张家港支行</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22,000,000.00</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31,070,979.01</w:t>
            </w:r>
          </w:p>
        </w:tc>
      </w:tr>
      <w:tr>
        <w:trPr>
          <w:trHeight w:val="34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中国银行如皋支行</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65,228,500.00</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58,513,532.63</w:t>
            </w:r>
          </w:p>
        </w:tc>
      </w:tr>
      <w:tr>
        <w:trPr>
          <w:trHeight w:val="34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中国农业银行张家港塘市支行</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10,000,000.00</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25,141,550.00</w:t>
            </w:r>
          </w:p>
        </w:tc>
      </w:tr>
      <w:tr>
        <w:trPr>
          <w:trHeight w:val="34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江苏江阴农村商业银行华士支行</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9,000,000.00</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房屋建筑物及土地使用权</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14,381,126.40</w:t>
            </w:r>
          </w:p>
        </w:tc>
      </w:tr>
      <w:tr>
        <w:trPr>
          <w:trHeight w:val="34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256,228,500.00</w:t>
            </w:r>
          </w:p>
        </w:tc>
        <w:tc>
          <w:tcPr>
            <w:tcW w:w="25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306,617,019.71</w:t>
            </w:r>
          </w:p>
        </w:tc>
      </w:tr>
    </w:tbl>
    <w:p>
      <w:pPr>
        <w:pStyle w:val="BodyText"/>
        <w:spacing w:line="240" w:lineRule="auto" w:before="8"/>
        <w:ind w:left="633" w:right="1115"/>
        <w:jc w:val="left"/>
      </w:pPr>
      <w:r>
        <w:rPr/>
        <w:t>②</w:t>
      </w:r>
      <w:r>
        <w:rPr>
          <w:spacing w:val="-18"/>
        </w:rPr>
        <w:t> </w:t>
      </w:r>
      <w:r>
        <w:rPr/>
        <w:t>保证借款情况</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800"/>
        <w:gridCol w:w="1358"/>
        <w:gridCol w:w="2567"/>
        <w:gridCol w:w="1776"/>
      </w:tblGrid>
      <w:tr>
        <w:trPr>
          <w:trHeight w:val="34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6"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担保单位</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23" w:right="0"/>
              <w:jc w:val="left"/>
              <w:rPr>
                <w:rFonts w:ascii="宋体" w:hAnsi="宋体" w:cs="宋体" w:eastAsia="宋体" w:hint="default"/>
                <w:sz w:val="18"/>
                <w:szCs w:val="18"/>
              </w:rPr>
            </w:pPr>
            <w:r>
              <w:rPr>
                <w:rFonts w:ascii="宋体" w:hAnsi="宋体" w:cs="宋体" w:eastAsia="宋体" w:hint="default"/>
                <w:sz w:val="18"/>
                <w:szCs w:val="18"/>
              </w:rPr>
              <w:t>担保金额</w:t>
            </w:r>
          </w:p>
        </w:tc>
      </w:tr>
      <w:tr>
        <w:trPr>
          <w:trHeight w:val="34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中国农业银行张家港塘市支行</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2" w:right="0"/>
              <w:jc w:val="left"/>
              <w:rPr>
                <w:rFonts w:ascii="Times New Roman" w:hAnsi="Times New Roman" w:cs="Times New Roman" w:eastAsia="Times New Roman" w:hint="default"/>
                <w:sz w:val="18"/>
                <w:szCs w:val="18"/>
              </w:rPr>
            </w:pPr>
            <w:r>
              <w:rPr>
                <w:rFonts w:ascii="Times New Roman"/>
                <w:sz w:val="18"/>
              </w:rPr>
              <w:t>20,000,000.00</w:t>
            </w:r>
          </w:p>
        </w:tc>
        <w:tc>
          <w:tcPr>
            <w:tcW w:w="2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无锡标榜化妆品有限公司</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4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2" w:right="0"/>
              <w:jc w:val="left"/>
              <w:rPr>
                <w:rFonts w:ascii="Times New Roman" w:hAnsi="Times New Roman" w:cs="Times New Roman" w:eastAsia="Times New Roman" w:hint="default"/>
                <w:sz w:val="18"/>
                <w:szCs w:val="18"/>
              </w:rPr>
            </w:pPr>
            <w:r>
              <w:rPr>
                <w:rFonts w:ascii="Times New Roman"/>
                <w:sz w:val="18"/>
              </w:rPr>
              <w:t>20,000,000.00</w:t>
            </w:r>
          </w:p>
        </w:tc>
        <w:tc>
          <w:tcPr>
            <w:tcW w:w="256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6"/>
        <w:gridCol w:w="1063"/>
        <w:gridCol w:w="1063"/>
        <w:gridCol w:w="1066"/>
        <w:gridCol w:w="1056"/>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62"/>
                <w:sz w:val="18"/>
                <w:szCs w:val="18"/>
              </w:rPr>
              <w:t> </w:t>
            </w:r>
            <w:r>
              <w:rPr>
                <w:rFonts w:ascii="宋体" w:hAnsi="宋体" w:cs="宋体" w:eastAsia="宋体" w:hint="default"/>
                <w:sz w:val="18"/>
                <w:szCs w:val="18"/>
              </w:rPr>
              <w:t>国</w:t>
            </w:r>
            <w:r>
              <w:rPr>
                <w:rFonts w:ascii="宋体" w:hAnsi="宋体" w:cs="宋体" w:eastAsia="宋体" w:hint="default"/>
                <w:spacing w:val="-62"/>
                <w:sz w:val="18"/>
                <w:szCs w:val="18"/>
              </w:rPr>
              <w:t> </w:t>
            </w:r>
            <w:r>
              <w:rPr>
                <w:rFonts w:ascii="宋体" w:hAnsi="宋体" w:cs="宋体" w:eastAsia="宋体" w:hint="default"/>
                <w:sz w:val="18"/>
                <w:szCs w:val="18"/>
              </w:rPr>
              <w:t>银</w:t>
            </w:r>
            <w:r>
              <w:rPr>
                <w:rFonts w:ascii="宋体" w:hAnsi="宋体" w:cs="宋体" w:eastAsia="宋体" w:hint="default"/>
                <w:spacing w:val="-60"/>
                <w:sz w:val="18"/>
                <w:szCs w:val="18"/>
              </w:rPr>
              <w:t> </w:t>
            </w:r>
            <w:r>
              <w:rPr>
                <w:rFonts w:ascii="宋体" w:hAnsi="宋体" w:cs="宋体" w:eastAsia="宋体" w:hint="default"/>
                <w:sz w:val="18"/>
                <w:szCs w:val="18"/>
              </w:rPr>
              <w:t>行</w:t>
            </w:r>
            <w:r>
              <w:rPr>
                <w:rFonts w:ascii="宋体" w:hAnsi="宋体" w:cs="宋体" w:eastAsia="宋体" w:hint="default"/>
                <w:spacing w:val="-62"/>
                <w:sz w:val="18"/>
                <w:szCs w:val="18"/>
              </w:rPr>
              <w:t> </w:t>
            </w:r>
            <w:r>
              <w:rPr>
                <w:rFonts w:ascii="宋体" w:hAnsi="宋体" w:cs="宋体" w:eastAsia="宋体" w:hint="default"/>
                <w:sz w:val="18"/>
                <w:szCs w:val="18"/>
              </w:rPr>
              <w:t>如</w:t>
            </w:r>
            <w:r>
              <w:rPr>
                <w:rFonts w:ascii="宋体" w:hAnsi="宋体" w:cs="宋体" w:eastAsia="宋体" w:hint="default"/>
                <w:sz w:val="18"/>
                <w:szCs w:val="18"/>
              </w:rPr>
              <w:t> </w:t>
            </w:r>
            <w:r>
              <w:rPr>
                <w:rFonts w:ascii="宋体" w:hAnsi="宋体" w:cs="宋体" w:eastAsia="宋体" w:hint="default"/>
                <w:spacing w:val="-12"/>
                <w:sz w:val="18"/>
                <w:szCs w:val="18"/>
              </w:rPr>
              <w:t>皋支行</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 w:right="0"/>
              <w:jc w:val="center"/>
              <w:rPr>
                <w:rFonts w:ascii="Arial Narrow" w:hAnsi="Arial Narrow" w:cs="Arial Narrow" w:eastAsia="Arial Narrow" w:hint="default"/>
                <w:sz w:val="18"/>
                <w:szCs w:val="18"/>
              </w:rPr>
            </w:pPr>
            <w:r>
              <w:rPr>
                <w:rFonts w:ascii="Arial Narrow"/>
                <w:spacing w:val="-6"/>
                <w:sz w:val="18"/>
              </w:rPr>
              <w:t>2011.10.28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0"/>
              <w:jc w:val="right"/>
              <w:rPr>
                <w:rFonts w:ascii="Arial Narrow" w:hAnsi="Arial Narrow" w:cs="Arial Narrow" w:eastAsia="Arial Narrow" w:hint="default"/>
                <w:sz w:val="18"/>
                <w:szCs w:val="18"/>
              </w:rPr>
            </w:pPr>
            <w:r>
              <w:rPr>
                <w:rFonts w:ascii="Arial Narrow"/>
                <w:spacing w:val="-6"/>
                <w:sz w:val="18"/>
              </w:rPr>
              <w:t>2016.10.26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浮动</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4"/>
              <w:jc w:val="right"/>
              <w:rPr>
                <w:rFonts w:ascii="Arial Narrow" w:hAnsi="Arial Narrow" w:cs="Arial Narrow" w:eastAsia="Arial Narrow" w:hint="default"/>
                <w:sz w:val="18"/>
                <w:szCs w:val="18"/>
              </w:rPr>
            </w:pPr>
            <w:r>
              <w:rPr>
                <w:rFonts w:ascii="Arial Narrow"/>
                <w:spacing w:val="-7"/>
                <w:sz w:val="18"/>
              </w:rPr>
              <w:t>156,000,000.00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4"/>
              <w:jc w:val="right"/>
              <w:rPr>
                <w:rFonts w:ascii="Arial Narrow" w:hAnsi="Arial Narrow" w:cs="Arial Narrow" w:eastAsia="Arial Narrow" w:hint="default"/>
                <w:sz w:val="18"/>
                <w:szCs w:val="18"/>
              </w:rPr>
            </w:pPr>
            <w:r>
              <w:rPr>
                <w:rFonts w:ascii="Arial Narrow"/>
                <w:spacing w:val="-7"/>
                <w:sz w:val="18"/>
              </w:rPr>
              <w:t>104,000,000.00</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both"/>
              <w:rPr>
                <w:rFonts w:ascii="宋体" w:hAnsi="宋体" w:cs="宋体" w:eastAsia="宋体" w:hint="default"/>
                <w:sz w:val="18"/>
                <w:szCs w:val="18"/>
              </w:rPr>
            </w:pPr>
            <w:r>
              <w:rPr>
                <w:rFonts w:ascii="宋体" w:hAnsi="宋体" w:cs="宋体" w:eastAsia="宋体" w:hint="default"/>
                <w:sz w:val="18"/>
                <w:szCs w:val="18"/>
              </w:rPr>
              <w:t>国</w:t>
            </w:r>
            <w:r>
              <w:rPr>
                <w:rFonts w:ascii="宋体" w:hAnsi="宋体" w:cs="宋体" w:eastAsia="宋体" w:hint="default"/>
                <w:spacing w:val="-62"/>
                <w:sz w:val="18"/>
                <w:szCs w:val="18"/>
              </w:rPr>
              <w:t> </w:t>
            </w:r>
            <w:r>
              <w:rPr>
                <w:rFonts w:ascii="宋体" w:hAnsi="宋体" w:cs="宋体" w:eastAsia="宋体" w:hint="default"/>
                <w:sz w:val="18"/>
                <w:szCs w:val="18"/>
              </w:rPr>
              <w:t>家</w:t>
            </w:r>
            <w:r>
              <w:rPr>
                <w:rFonts w:ascii="宋体" w:hAnsi="宋体" w:cs="宋体" w:eastAsia="宋体" w:hint="default"/>
                <w:spacing w:val="-62"/>
                <w:sz w:val="18"/>
                <w:szCs w:val="18"/>
              </w:rPr>
              <w:t> </w:t>
            </w:r>
            <w:r>
              <w:rPr>
                <w:rFonts w:ascii="宋体" w:hAnsi="宋体" w:cs="宋体" w:eastAsia="宋体" w:hint="default"/>
                <w:sz w:val="18"/>
                <w:szCs w:val="18"/>
              </w:rPr>
              <w:t>开</w:t>
            </w:r>
            <w:r>
              <w:rPr>
                <w:rFonts w:ascii="宋体" w:hAnsi="宋体" w:cs="宋体" w:eastAsia="宋体" w:hint="default"/>
                <w:spacing w:val="-60"/>
                <w:sz w:val="18"/>
                <w:szCs w:val="18"/>
              </w:rPr>
              <w:t> </w:t>
            </w:r>
            <w:r>
              <w:rPr>
                <w:rFonts w:ascii="宋体" w:hAnsi="宋体" w:cs="宋体" w:eastAsia="宋体" w:hint="default"/>
                <w:sz w:val="18"/>
                <w:szCs w:val="18"/>
              </w:rPr>
              <w:t>发</w:t>
            </w:r>
            <w:r>
              <w:rPr>
                <w:rFonts w:ascii="宋体" w:hAnsi="宋体" w:cs="宋体" w:eastAsia="宋体" w:hint="default"/>
                <w:spacing w:val="-62"/>
                <w:sz w:val="18"/>
                <w:szCs w:val="18"/>
              </w:rPr>
              <w:t> </w:t>
            </w:r>
            <w:r>
              <w:rPr>
                <w:rFonts w:ascii="宋体" w:hAnsi="宋体" w:cs="宋体" w:eastAsia="宋体" w:hint="default"/>
                <w:sz w:val="18"/>
                <w:szCs w:val="18"/>
              </w:rPr>
              <w:t>银</w:t>
            </w:r>
            <w:r>
              <w:rPr>
                <w:rFonts w:ascii="宋体" w:hAnsi="宋体" w:cs="宋体" w:eastAsia="宋体" w:hint="default"/>
                <w:sz w:val="18"/>
                <w:szCs w:val="18"/>
              </w:rPr>
              <w:t> 行</w:t>
            </w:r>
            <w:r>
              <w:rPr>
                <w:rFonts w:ascii="宋体" w:hAnsi="宋体" w:cs="宋体" w:eastAsia="宋体" w:hint="default"/>
                <w:spacing w:val="-62"/>
                <w:sz w:val="18"/>
                <w:szCs w:val="18"/>
              </w:rPr>
              <w:t> </w:t>
            </w:r>
            <w:r>
              <w:rPr>
                <w:rFonts w:ascii="宋体" w:hAnsi="宋体" w:cs="宋体" w:eastAsia="宋体" w:hint="default"/>
                <w:sz w:val="18"/>
                <w:szCs w:val="18"/>
              </w:rPr>
              <w:t>股</w:t>
            </w:r>
            <w:r>
              <w:rPr>
                <w:rFonts w:ascii="宋体" w:hAnsi="宋体" w:cs="宋体" w:eastAsia="宋体" w:hint="default"/>
                <w:spacing w:val="-62"/>
                <w:sz w:val="18"/>
                <w:szCs w:val="18"/>
              </w:rPr>
              <w:t> </w:t>
            </w:r>
            <w:r>
              <w:rPr>
                <w:rFonts w:ascii="宋体" w:hAnsi="宋体" w:cs="宋体" w:eastAsia="宋体" w:hint="default"/>
                <w:sz w:val="18"/>
                <w:szCs w:val="18"/>
              </w:rPr>
              <w:t>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62"/>
                <w:sz w:val="18"/>
                <w:szCs w:val="18"/>
              </w:rPr>
              <w:t> </w:t>
            </w:r>
            <w:r>
              <w:rPr>
                <w:rFonts w:ascii="宋体" w:hAnsi="宋体" w:cs="宋体" w:eastAsia="宋体" w:hint="default"/>
                <w:sz w:val="18"/>
                <w:szCs w:val="18"/>
              </w:rPr>
              <w:t>限</w:t>
            </w:r>
            <w:r>
              <w:rPr>
                <w:rFonts w:ascii="宋体" w:hAnsi="宋体" w:cs="宋体" w:eastAsia="宋体" w:hint="default"/>
                <w:sz w:val="18"/>
                <w:szCs w:val="18"/>
              </w:rPr>
              <w:t> </w:t>
            </w:r>
            <w:r>
              <w:rPr>
                <w:rFonts w:ascii="宋体" w:hAnsi="宋体" w:cs="宋体" w:eastAsia="宋体" w:hint="default"/>
                <w:spacing w:val="-12"/>
                <w:sz w:val="18"/>
                <w:szCs w:val="18"/>
              </w:rPr>
              <w:t>公司</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pacing w:val="-7"/>
                <w:sz w:val="18"/>
              </w:rPr>
              <w:t>2012.5.15</w:t>
            </w:r>
            <w:r>
              <w:rPr>
                <w:rFonts w:ascii="Arial Narrow"/>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23"/>
              <w:jc w:val="right"/>
              <w:rPr>
                <w:rFonts w:ascii="Arial Narrow" w:hAnsi="Arial Narrow" w:cs="Arial Narrow" w:eastAsia="Arial Narrow" w:hint="default"/>
                <w:sz w:val="18"/>
                <w:szCs w:val="18"/>
              </w:rPr>
            </w:pPr>
            <w:r>
              <w:rPr>
                <w:rFonts w:ascii="Arial Narrow"/>
                <w:spacing w:val="-7"/>
                <w:sz w:val="18"/>
              </w:rPr>
              <w:t>2022.5.14</w:t>
            </w:r>
            <w:r>
              <w:rPr>
                <w:rFonts w:ascii="Arial Narrow"/>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 w:right="0"/>
              <w:jc w:val="center"/>
              <w:rPr>
                <w:rFonts w:ascii="Arial Narrow" w:hAnsi="Arial Narrow" w:cs="Arial Narrow" w:eastAsia="Arial Narrow" w:hint="default"/>
                <w:sz w:val="18"/>
                <w:szCs w:val="18"/>
              </w:rPr>
            </w:pPr>
            <w:r>
              <w:rPr>
                <w:rFonts w:ascii="Arial Narrow"/>
                <w:spacing w:val="-6"/>
                <w:sz w:val="18"/>
              </w:rPr>
              <w:t>7.755%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4"/>
              <w:jc w:val="right"/>
              <w:rPr>
                <w:rFonts w:ascii="Arial Narrow" w:hAnsi="Arial Narrow" w:cs="Arial Narrow" w:eastAsia="Arial Narrow" w:hint="default"/>
                <w:sz w:val="18"/>
                <w:szCs w:val="18"/>
              </w:rPr>
            </w:pPr>
            <w:r>
              <w:rPr>
                <w:rFonts w:ascii="Arial Narrow"/>
                <w:spacing w:val="-7"/>
                <w:sz w:val="18"/>
              </w:rPr>
              <w:t>150,000,000.00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both"/>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62"/>
                <w:sz w:val="18"/>
                <w:szCs w:val="18"/>
              </w:rPr>
              <w:t> </w:t>
            </w:r>
            <w:r>
              <w:rPr>
                <w:rFonts w:ascii="宋体" w:hAnsi="宋体" w:cs="宋体" w:eastAsia="宋体" w:hint="default"/>
                <w:sz w:val="18"/>
                <w:szCs w:val="18"/>
              </w:rPr>
              <w:t>国</w:t>
            </w:r>
            <w:r>
              <w:rPr>
                <w:rFonts w:ascii="宋体" w:hAnsi="宋体" w:cs="宋体" w:eastAsia="宋体" w:hint="default"/>
                <w:spacing w:val="-62"/>
                <w:sz w:val="18"/>
                <w:szCs w:val="18"/>
              </w:rPr>
              <w:t> </w:t>
            </w:r>
            <w:r>
              <w:rPr>
                <w:rFonts w:ascii="宋体" w:hAnsi="宋体" w:cs="宋体" w:eastAsia="宋体" w:hint="default"/>
                <w:sz w:val="18"/>
                <w:szCs w:val="18"/>
              </w:rPr>
              <w:t>建</w:t>
            </w:r>
            <w:r>
              <w:rPr>
                <w:rFonts w:ascii="宋体" w:hAnsi="宋体" w:cs="宋体" w:eastAsia="宋体" w:hint="default"/>
                <w:spacing w:val="-60"/>
                <w:sz w:val="18"/>
                <w:szCs w:val="18"/>
              </w:rPr>
              <w:t> </w:t>
            </w:r>
            <w:r>
              <w:rPr>
                <w:rFonts w:ascii="宋体" w:hAnsi="宋体" w:cs="宋体" w:eastAsia="宋体" w:hint="default"/>
                <w:sz w:val="18"/>
                <w:szCs w:val="18"/>
              </w:rPr>
              <w:t>设</w:t>
            </w:r>
            <w:r>
              <w:rPr>
                <w:rFonts w:ascii="宋体" w:hAnsi="宋体" w:cs="宋体" w:eastAsia="宋体" w:hint="default"/>
                <w:spacing w:val="-62"/>
                <w:sz w:val="18"/>
                <w:szCs w:val="18"/>
              </w:rPr>
              <w:t> </w:t>
            </w:r>
            <w:r>
              <w:rPr>
                <w:rFonts w:ascii="宋体" w:hAnsi="宋体" w:cs="宋体" w:eastAsia="宋体" w:hint="default"/>
                <w:sz w:val="18"/>
                <w:szCs w:val="18"/>
              </w:rPr>
              <w:t>银</w:t>
            </w:r>
            <w:r>
              <w:rPr>
                <w:rFonts w:ascii="宋体" w:hAnsi="宋体" w:cs="宋体" w:eastAsia="宋体" w:hint="default"/>
                <w:sz w:val="18"/>
                <w:szCs w:val="18"/>
              </w:rPr>
              <w:t> 行</w:t>
            </w:r>
            <w:r>
              <w:rPr>
                <w:rFonts w:ascii="宋体" w:hAnsi="宋体" w:cs="宋体" w:eastAsia="宋体" w:hint="default"/>
                <w:spacing w:val="-62"/>
                <w:sz w:val="18"/>
                <w:szCs w:val="18"/>
              </w:rPr>
              <w:t> </w:t>
            </w:r>
            <w:r>
              <w:rPr>
                <w:rFonts w:ascii="宋体" w:hAnsi="宋体" w:cs="宋体" w:eastAsia="宋体" w:hint="default"/>
                <w:sz w:val="18"/>
                <w:szCs w:val="18"/>
              </w:rPr>
              <w:t>张</w:t>
            </w:r>
            <w:r>
              <w:rPr>
                <w:rFonts w:ascii="宋体" w:hAnsi="宋体" w:cs="宋体" w:eastAsia="宋体" w:hint="default"/>
                <w:spacing w:val="-62"/>
                <w:sz w:val="18"/>
                <w:szCs w:val="18"/>
              </w:rPr>
              <w:t> </w:t>
            </w:r>
            <w:r>
              <w:rPr>
                <w:rFonts w:ascii="宋体" w:hAnsi="宋体" w:cs="宋体" w:eastAsia="宋体" w:hint="default"/>
                <w:sz w:val="18"/>
                <w:szCs w:val="18"/>
              </w:rPr>
              <w:t>家</w:t>
            </w:r>
            <w:r>
              <w:rPr>
                <w:rFonts w:ascii="宋体" w:hAnsi="宋体" w:cs="宋体" w:eastAsia="宋体" w:hint="default"/>
                <w:spacing w:val="-60"/>
                <w:sz w:val="18"/>
                <w:szCs w:val="18"/>
              </w:rPr>
              <w:t> </w:t>
            </w:r>
            <w:r>
              <w:rPr>
                <w:rFonts w:ascii="宋体" w:hAnsi="宋体" w:cs="宋体" w:eastAsia="宋体" w:hint="default"/>
                <w:sz w:val="18"/>
                <w:szCs w:val="18"/>
              </w:rPr>
              <w:t>港</w:t>
            </w:r>
            <w:r>
              <w:rPr>
                <w:rFonts w:ascii="宋体" w:hAnsi="宋体" w:cs="宋体" w:eastAsia="宋体" w:hint="default"/>
                <w:spacing w:val="-62"/>
                <w:sz w:val="18"/>
                <w:szCs w:val="18"/>
              </w:rPr>
              <w:t> </w:t>
            </w:r>
            <w:r>
              <w:rPr>
                <w:rFonts w:ascii="宋体" w:hAnsi="宋体" w:cs="宋体" w:eastAsia="宋体" w:hint="default"/>
                <w:sz w:val="18"/>
                <w:szCs w:val="18"/>
              </w:rPr>
              <w:t>支</w:t>
            </w:r>
            <w:r>
              <w:rPr>
                <w:rFonts w:ascii="宋体" w:hAnsi="宋体" w:cs="宋体" w:eastAsia="宋体" w:hint="default"/>
                <w:sz w:val="18"/>
                <w:szCs w:val="18"/>
              </w:rPr>
              <w:t> 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Arial Narrow" w:hAnsi="Arial Narrow" w:cs="Arial Narrow" w:eastAsia="Arial Narrow" w:hint="default"/>
                <w:sz w:val="18"/>
                <w:szCs w:val="18"/>
              </w:rPr>
            </w:pPr>
            <w:r>
              <w:rPr>
                <w:rFonts w:ascii="Arial Narrow"/>
                <w:spacing w:val="-6"/>
                <w:sz w:val="18"/>
              </w:rPr>
              <w:t>2011.1.7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56"/>
              <w:jc w:val="right"/>
              <w:rPr>
                <w:rFonts w:ascii="Arial Narrow" w:hAnsi="Arial Narrow" w:cs="Arial Narrow" w:eastAsia="Arial Narrow" w:hint="default"/>
                <w:sz w:val="18"/>
                <w:szCs w:val="18"/>
              </w:rPr>
            </w:pPr>
            <w:r>
              <w:rPr>
                <w:rFonts w:ascii="Arial Narrow"/>
                <w:spacing w:val="-6"/>
                <w:sz w:val="18"/>
              </w:rPr>
              <w:t>2016.1.5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浮动</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4"/>
              <w:jc w:val="right"/>
              <w:rPr>
                <w:rFonts w:ascii="Arial Narrow" w:hAnsi="Arial Narrow" w:cs="Arial Narrow" w:eastAsia="Arial Narrow" w:hint="default"/>
                <w:sz w:val="18"/>
                <w:szCs w:val="18"/>
              </w:rPr>
            </w:pPr>
            <w:r>
              <w:rPr>
                <w:rFonts w:ascii="Arial Narrow"/>
                <w:spacing w:val="-7"/>
                <w:sz w:val="18"/>
              </w:rPr>
              <w:t>55,700,000.00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4"/>
              <w:jc w:val="right"/>
              <w:rPr>
                <w:rFonts w:ascii="Arial Narrow" w:hAnsi="Arial Narrow" w:cs="Arial Narrow" w:eastAsia="Arial Narrow" w:hint="default"/>
                <w:sz w:val="18"/>
                <w:szCs w:val="18"/>
              </w:rPr>
            </w:pPr>
            <w:r>
              <w:rPr>
                <w:rFonts w:ascii="Arial Narrow"/>
                <w:spacing w:val="-7"/>
                <w:sz w:val="18"/>
              </w:rPr>
              <w:t>80,700,000.00</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both"/>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62"/>
                <w:sz w:val="18"/>
                <w:szCs w:val="18"/>
              </w:rPr>
              <w:t> </w:t>
            </w:r>
            <w:r>
              <w:rPr>
                <w:rFonts w:ascii="宋体" w:hAnsi="宋体" w:cs="宋体" w:eastAsia="宋体" w:hint="default"/>
                <w:sz w:val="18"/>
                <w:szCs w:val="18"/>
              </w:rPr>
              <w:t>国</w:t>
            </w:r>
            <w:r>
              <w:rPr>
                <w:rFonts w:ascii="宋体" w:hAnsi="宋体" w:cs="宋体" w:eastAsia="宋体" w:hint="default"/>
                <w:spacing w:val="-62"/>
                <w:sz w:val="18"/>
                <w:szCs w:val="18"/>
              </w:rPr>
              <w:t> </w:t>
            </w:r>
            <w:r>
              <w:rPr>
                <w:rFonts w:ascii="宋体" w:hAnsi="宋体" w:cs="宋体" w:eastAsia="宋体" w:hint="default"/>
                <w:sz w:val="18"/>
                <w:szCs w:val="18"/>
              </w:rPr>
              <w:t>农</w:t>
            </w:r>
            <w:r>
              <w:rPr>
                <w:rFonts w:ascii="宋体" w:hAnsi="宋体" w:cs="宋体" w:eastAsia="宋体" w:hint="default"/>
                <w:spacing w:val="-60"/>
                <w:sz w:val="18"/>
                <w:szCs w:val="18"/>
              </w:rPr>
              <w:t> </w:t>
            </w:r>
            <w:r>
              <w:rPr>
                <w:rFonts w:ascii="宋体" w:hAnsi="宋体" w:cs="宋体" w:eastAsia="宋体" w:hint="default"/>
                <w:sz w:val="18"/>
                <w:szCs w:val="18"/>
              </w:rPr>
              <w:t>业</w:t>
            </w:r>
            <w:r>
              <w:rPr>
                <w:rFonts w:ascii="宋体" w:hAnsi="宋体" w:cs="宋体" w:eastAsia="宋体" w:hint="default"/>
                <w:spacing w:val="-62"/>
                <w:sz w:val="18"/>
                <w:szCs w:val="18"/>
              </w:rPr>
              <w:t> </w:t>
            </w:r>
            <w:r>
              <w:rPr>
                <w:rFonts w:ascii="宋体" w:hAnsi="宋体" w:cs="宋体" w:eastAsia="宋体" w:hint="default"/>
                <w:sz w:val="18"/>
                <w:szCs w:val="18"/>
              </w:rPr>
              <w:t>银</w:t>
            </w:r>
            <w:r>
              <w:rPr>
                <w:rFonts w:ascii="宋体" w:hAnsi="宋体" w:cs="宋体" w:eastAsia="宋体" w:hint="default"/>
                <w:sz w:val="18"/>
                <w:szCs w:val="18"/>
              </w:rPr>
              <w:t> 行</w:t>
            </w:r>
            <w:r>
              <w:rPr>
                <w:rFonts w:ascii="宋体" w:hAnsi="宋体" w:cs="宋体" w:eastAsia="宋体" w:hint="default"/>
                <w:spacing w:val="-62"/>
                <w:sz w:val="18"/>
                <w:szCs w:val="18"/>
              </w:rPr>
              <w:t> </w:t>
            </w:r>
            <w:r>
              <w:rPr>
                <w:rFonts w:ascii="宋体" w:hAnsi="宋体" w:cs="宋体" w:eastAsia="宋体" w:hint="default"/>
                <w:sz w:val="18"/>
                <w:szCs w:val="18"/>
              </w:rPr>
              <w:t>张</w:t>
            </w:r>
            <w:r>
              <w:rPr>
                <w:rFonts w:ascii="宋体" w:hAnsi="宋体" w:cs="宋体" w:eastAsia="宋体" w:hint="default"/>
                <w:spacing w:val="-62"/>
                <w:sz w:val="18"/>
                <w:szCs w:val="18"/>
              </w:rPr>
              <w:t> </w:t>
            </w:r>
            <w:r>
              <w:rPr>
                <w:rFonts w:ascii="宋体" w:hAnsi="宋体" w:cs="宋体" w:eastAsia="宋体" w:hint="default"/>
                <w:sz w:val="18"/>
                <w:szCs w:val="18"/>
              </w:rPr>
              <w:t>家</w:t>
            </w:r>
            <w:r>
              <w:rPr>
                <w:rFonts w:ascii="宋体" w:hAnsi="宋体" w:cs="宋体" w:eastAsia="宋体" w:hint="default"/>
                <w:spacing w:val="-60"/>
                <w:sz w:val="18"/>
                <w:szCs w:val="18"/>
              </w:rPr>
              <w:t> </w:t>
            </w:r>
            <w:r>
              <w:rPr>
                <w:rFonts w:ascii="宋体" w:hAnsi="宋体" w:cs="宋体" w:eastAsia="宋体" w:hint="default"/>
                <w:sz w:val="18"/>
                <w:szCs w:val="18"/>
              </w:rPr>
              <w:t>港</w:t>
            </w:r>
            <w:r>
              <w:rPr>
                <w:rFonts w:ascii="宋体" w:hAnsi="宋体" w:cs="宋体" w:eastAsia="宋体" w:hint="default"/>
                <w:spacing w:val="-62"/>
                <w:sz w:val="18"/>
                <w:szCs w:val="18"/>
              </w:rPr>
              <w:t> </w:t>
            </w:r>
            <w:r>
              <w:rPr>
                <w:rFonts w:ascii="宋体" w:hAnsi="宋体" w:cs="宋体" w:eastAsia="宋体" w:hint="default"/>
                <w:sz w:val="18"/>
                <w:szCs w:val="18"/>
              </w:rPr>
              <w:t>塘</w:t>
            </w:r>
            <w:r>
              <w:rPr>
                <w:rFonts w:ascii="宋体" w:hAnsi="宋体" w:cs="宋体" w:eastAsia="宋体" w:hint="default"/>
                <w:sz w:val="18"/>
                <w:szCs w:val="18"/>
              </w:rPr>
              <w:t> </w:t>
            </w:r>
            <w:r>
              <w:rPr>
                <w:rFonts w:ascii="宋体" w:hAnsi="宋体" w:cs="宋体" w:eastAsia="宋体" w:hint="default"/>
                <w:spacing w:val="-12"/>
                <w:sz w:val="18"/>
                <w:szCs w:val="18"/>
              </w:rPr>
              <w:t>市支行</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 w:right="0"/>
              <w:jc w:val="center"/>
              <w:rPr>
                <w:rFonts w:ascii="Arial Narrow" w:hAnsi="Arial Narrow" w:cs="Arial Narrow" w:eastAsia="Arial Narrow" w:hint="default"/>
                <w:sz w:val="18"/>
                <w:szCs w:val="18"/>
              </w:rPr>
            </w:pPr>
            <w:r>
              <w:rPr>
                <w:rFonts w:ascii="Arial Narrow"/>
                <w:spacing w:val="-6"/>
                <w:sz w:val="18"/>
              </w:rPr>
              <w:t>2011.12.19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80"/>
              <w:jc w:val="right"/>
              <w:rPr>
                <w:rFonts w:ascii="Arial Narrow" w:hAnsi="Arial Narrow" w:cs="Arial Narrow" w:eastAsia="Arial Narrow" w:hint="default"/>
                <w:sz w:val="18"/>
                <w:szCs w:val="18"/>
              </w:rPr>
            </w:pPr>
            <w:r>
              <w:rPr>
                <w:rFonts w:ascii="Arial Narrow"/>
                <w:spacing w:val="-6"/>
                <w:sz w:val="18"/>
              </w:rPr>
              <w:t>2015.12.19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浮动</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4"/>
              <w:jc w:val="right"/>
              <w:rPr>
                <w:rFonts w:ascii="Arial Narrow" w:hAnsi="Arial Narrow" w:cs="Arial Narrow" w:eastAsia="Arial Narrow" w:hint="default"/>
                <w:sz w:val="18"/>
                <w:szCs w:val="18"/>
              </w:rPr>
            </w:pPr>
            <w:r>
              <w:rPr>
                <w:rFonts w:ascii="Arial Narrow"/>
                <w:spacing w:val="-7"/>
                <w:sz w:val="18"/>
              </w:rPr>
              <w:t>30,000,000.00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4"/>
              <w:jc w:val="right"/>
              <w:rPr>
                <w:rFonts w:ascii="Arial Narrow" w:hAnsi="Arial Narrow" w:cs="Arial Narrow" w:eastAsia="Arial Narrow" w:hint="default"/>
                <w:sz w:val="18"/>
                <w:szCs w:val="18"/>
              </w:rPr>
            </w:pPr>
            <w:r>
              <w:rPr>
                <w:rFonts w:ascii="Arial Narrow"/>
                <w:spacing w:val="-7"/>
                <w:sz w:val="18"/>
              </w:rPr>
              <w:t>30,000,000.00</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
              <w:jc w:val="both"/>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62"/>
                <w:sz w:val="18"/>
                <w:szCs w:val="18"/>
              </w:rPr>
              <w:t> </w:t>
            </w:r>
            <w:r>
              <w:rPr>
                <w:rFonts w:ascii="宋体" w:hAnsi="宋体" w:cs="宋体" w:eastAsia="宋体" w:hint="default"/>
                <w:sz w:val="18"/>
                <w:szCs w:val="18"/>
              </w:rPr>
              <w:t>国</w:t>
            </w:r>
            <w:r>
              <w:rPr>
                <w:rFonts w:ascii="宋体" w:hAnsi="宋体" w:cs="宋体" w:eastAsia="宋体" w:hint="default"/>
                <w:spacing w:val="-62"/>
                <w:sz w:val="18"/>
                <w:szCs w:val="18"/>
              </w:rPr>
              <w:t> </w:t>
            </w:r>
            <w:r>
              <w:rPr>
                <w:rFonts w:ascii="宋体" w:hAnsi="宋体" w:cs="宋体" w:eastAsia="宋体" w:hint="default"/>
                <w:sz w:val="18"/>
                <w:szCs w:val="18"/>
              </w:rPr>
              <w:t>农</w:t>
            </w:r>
            <w:r>
              <w:rPr>
                <w:rFonts w:ascii="宋体" w:hAnsi="宋体" w:cs="宋体" w:eastAsia="宋体" w:hint="default"/>
                <w:spacing w:val="-60"/>
                <w:sz w:val="18"/>
                <w:szCs w:val="18"/>
              </w:rPr>
              <w:t> </w:t>
            </w:r>
            <w:r>
              <w:rPr>
                <w:rFonts w:ascii="宋体" w:hAnsi="宋体" w:cs="宋体" w:eastAsia="宋体" w:hint="default"/>
                <w:sz w:val="18"/>
                <w:szCs w:val="18"/>
              </w:rPr>
              <w:t>业</w:t>
            </w:r>
            <w:r>
              <w:rPr>
                <w:rFonts w:ascii="宋体" w:hAnsi="宋体" w:cs="宋体" w:eastAsia="宋体" w:hint="default"/>
                <w:spacing w:val="-62"/>
                <w:sz w:val="18"/>
                <w:szCs w:val="18"/>
              </w:rPr>
              <w:t> </w:t>
            </w:r>
            <w:r>
              <w:rPr>
                <w:rFonts w:ascii="宋体" w:hAnsi="宋体" w:cs="宋体" w:eastAsia="宋体" w:hint="default"/>
                <w:sz w:val="18"/>
                <w:szCs w:val="18"/>
              </w:rPr>
              <w:t>银</w:t>
            </w:r>
            <w:r>
              <w:rPr>
                <w:rFonts w:ascii="宋体" w:hAnsi="宋体" w:cs="宋体" w:eastAsia="宋体" w:hint="default"/>
                <w:sz w:val="18"/>
                <w:szCs w:val="18"/>
              </w:rPr>
              <w:t> 行</w:t>
            </w:r>
            <w:r>
              <w:rPr>
                <w:rFonts w:ascii="宋体" w:hAnsi="宋体" w:cs="宋体" w:eastAsia="宋体" w:hint="default"/>
                <w:spacing w:val="-62"/>
                <w:sz w:val="18"/>
                <w:szCs w:val="18"/>
              </w:rPr>
              <w:t> </w:t>
            </w:r>
            <w:r>
              <w:rPr>
                <w:rFonts w:ascii="宋体" w:hAnsi="宋体" w:cs="宋体" w:eastAsia="宋体" w:hint="default"/>
                <w:sz w:val="18"/>
                <w:szCs w:val="18"/>
              </w:rPr>
              <w:t>张</w:t>
            </w:r>
            <w:r>
              <w:rPr>
                <w:rFonts w:ascii="宋体" w:hAnsi="宋体" w:cs="宋体" w:eastAsia="宋体" w:hint="default"/>
                <w:spacing w:val="-62"/>
                <w:sz w:val="18"/>
                <w:szCs w:val="18"/>
              </w:rPr>
              <w:t> </w:t>
            </w:r>
            <w:r>
              <w:rPr>
                <w:rFonts w:ascii="宋体" w:hAnsi="宋体" w:cs="宋体" w:eastAsia="宋体" w:hint="default"/>
                <w:sz w:val="18"/>
                <w:szCs w:val="18"/>
              </w:rPr>
              <w:t>家</w:t>
            </w:r>
            <w:r>
              <w:rPr>
                <w:rFonts w:ascii="宋体" w:hAnsi="宋体" w:cs="宋体" w:eastAsia="宋体" w:hint="default"/>
                <w:spacing w:val="-60"/>
                <w:sz w:val="18"/>
                <w:szCs w:val="18"/>
              </w:rPr>
              <w:t> </w:t>
            </w:r>
            <w:r>
              <w:rPr>
                <w:rFonts w:ascii="宋体" w:hAnsi="宋体" w:cs="宋体" w:eastAsia="宋体" w:hint="default"/>
                <w:sz w:val="18"/>
                <w:szCs w:val="18"/>
              </w:rPr>
              <w:t>港</w:t>
            </w:r>
            <w:r>
              <w:rPr>
                <w:rFonts w:ascii="宋体" w:hAnsi="宋体" w:cs="宋体" w:eastAsia="宋体" w:hint="default"/>
                <w:spacing w:val="-62"/>
                <w:sz w:val="18"/>
                <w:szCs w:val="18"/>
              </w:rPr>
              <w:t> </w:t>
            </w:r>
            <w:r>
              <w:rPr>
                <w:rFonts w:ascii="宋体" w:hAnsi="宋体" w:cs="宋体" w:eastAsia="宋体" w:hint="default"/>
                <w:sz w:val="18"/>
                <w:szCs w:val="18"/>
              </w:rPr>
              <w:t>塘</w:t>
            </w:r>
            <w:r>
              <w:rPr>
                <w:rFonts w:ascii="宋体" w:hAnsi="宋体" w:cs="宋体" w:eastAsia="宋体" w:hint="default"/>
                <w:sz w:val="18"/>
                <w:szCs w:val="18"/>
              </w:rPr>
              <w:t> </w:t>
            </w:r>
            <w:r>
              <w:rPr>
                <w:rFonts w:ascii="宋体" w:hAnsi="宋体" w:cs="宋体" w:eastAsia="宋体" w:hint="default"/>
                <w:spacing w:val="-12"/>
                <w:sz w:val="18"/>
                <w:szCs w:val="18"/>
              </w:rPr>
              <w:t>市支行</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Arial Narrow" w:hAnsi="Arial Narrow" w:cs="Arial Narrow" w:eastAsia="Arial Narrow" w:hint="default"/>
                <w:sz w:val="18"/>
                <w:szCs w:val="18"/>
              </w:rPr>
            </w:pPr>
            <w:r>
              <w:rPr>
                <w:rFonts w:ascii="Arial Narrow"/>
                <w:spacing w:val="-6"/>
                <w:sz w:val="18"/>
              </w:rPr>
              <w:t>2011.9.27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0"/>
              <w:jc w:val="right"/>
              <w:rPr>
                <w:rFonts w:ascii="Arial Narrow" w:hAnsi="Arial Narrow" w:cs="Arial Narrow" w:eastAsia="Arial Narrow" w:hint="default"/>
                <w:sz w:val="18"/>
                <w:szCs w:val="18"/>
              </w:rPr>
            </w:pPr>
            <w:r>
              <w:rPr>
                <w:rFonts w:ascii="Arial Narrow"/>
                <w:spacing w:val="-6"/>
                <w:sz w:val="18"/>
              </w:rPr>
              <w:t>2015.11.27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浮动</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Arial Narrow" w:hAnsi="Arial Narrow" w:cs="Arial Narrow" w:eastAsia="Arial Narrow" w:hint="default"/>
                <w:sz w:val="18"/>
                <w:szCs w:val="18"/>
              </w:rPr>
            </w:pPr>
            <w:r>
              <w:rPr>
                <w:rFonts w:ascii="Arial Narrow"/>
                <w:spacing w:val="-7"/>
                <w:sz w:val="18"/>
              </w:rPr>
              <w:t>10,000,000.00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Arial Narrow" w:hAnsi="Arial Narrow" w:cs="Arial Narrow" w:eastAsia="Arial Narrow" w:hint="default"/>
                <w:sz w:val="18"/>
                <w:szCs w:val="18"/>
              </w:rPr>
            </w:pPr>
            <w:r>
              <w:rPr>
                <w:rFonts w:ascii="Arial Narrow"/>
                <w:spacing w:val="-7"/>
                <w:sz w:val="18"/>
              </w:rPr>
              <w:t>10,000,000.00</w:t>
            </w:r>
          </w:p>
        </w:tc>
      </w:tr>
      <w:tr>
        <w:trPr>
          <w:trHeight w:val="490"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4"/>
              <w:jc w:val="right"/>
              <w:rPr>
                <w:rFonts w:ascii="Arial Narrow" w:hAnsi="Arial Narrow" w:cs="Arial Narrow" w:eastAsia="Arial Narrow" w:hint="default"/>
                <w:sz w:val="18"/>
                <w:szCs w:val="18"/>
              </w:rPr>
            </w:pPr>
            <w:r>
              <w:rPr>
                <w:rFonts w:ascii="Arial Narrow"/>
                <w:spacing w:val="-7"/>
                <w:sz w:val="18"/>
              </w:rPr>
              <w:t>401,700,000.00</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4"/>
              <w:jc w:val="right"/>
              <w:rPr>
                <w:rFonts w:ascii="Arial Narrow" w:hAnsi="Arial Narrow" w:cs="Arial Narrow" w:eastAsia="Arial Narrow" w:hint="default"/>
                <w:sz w:val="18"/>
                <w:szCs w:val="18"/>
              </w:rPr>
            </w:pPr>
            <w:r>
              <w:rPr>
                <w:rFonts w:ascii="Arial Narrow"/>
                <w:spacing w:val="-7"/>
                <w:sz w:val="18"/>
              </w:rPr>
              <w:t>224,700,000.00</w:t>
            </w:r>
          </w:p>
        </w:tc>
      </w:tr>
    </w:tbl>
    <w:p>
      <w:pPr>
        <w:pStyle w:val="BodyText"/>
        <w:spacing w:line="240" w:lineRule="auto" w:before="49"/>
        <w:ind w:right="1115"/>
        <w:jc w:val="left"/>
      </w:pPr>
      <w:r>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115"/>
        <w:jc w:val="left"/>
      </w:pPr>
      <w:r>
        <w:rPr/>
        <w:t>应付债券说明，包括可转换公司债券的转股条件、转股时间</w:t>
      </w:r>
    </w:p>
    <w:p>
      <w:pPr>
        <w:spacing w:after="0" w:line="240" w:lineRule="auto"/>
        <w:jc w:val="left"/>
        <w:sectPr>
          <w:pgSz w:w="11910" w:h="16840"/>
          <w:pgMar w:header="877" w:footer="1306" w:top="1060" w:bottom="150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）金额前五名长期应付款情况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1"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pStyle w:val="BodyText"/>
        <w:spacing w:line="357" w:lineRule="auto" w:before="49"/>
        <w:ind w:right="6794"/>
        <w:jc w:val="left"/>
      </w:pPr>
      <w:r>
        <w:rPr/>
        <w:t>由独立第三方为公司融资租赁提供担保的金额元。 长期应付款的说明</w:t>
      </w:r>
    </w:p>
    <w:p>
      <w:pPr>
        <w:spacing w:line="240" w:lineRule="auto" w:before="6"/>
        <w:rPr>
          <w:rFonts w:ascii="宋体" w:hAnsi="宋体" w:cs="宋体" w:eastAsia="宋体" w:hint="default"/>
          <w:sz w:val="20"/>
          <w:szCs w:val="20"/>
        </w:rPr>
      </w:pPr>
    </w:p>
    <w:p>
      <w:pPr>
        <w:pStyle w:val="Heading4"/>
        <w:spacing w:line="240" w:lineRule="auto"/>
        <w:ind w:right="1115"/>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1328"/>
        <w:gridCol w:w="1330"/>
        <w:gridCol w:w="1198"/>
        <w:gridCol w:w="1327"/>
        <w:gridCol w:w="1995"/>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3,030,000.00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3,030,000.00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3,030,000.00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3,030,000.00</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333" w:right="1115" w:hanging="181"/>
        <w:jc w:val="left"/>
      </w:pPr>
      <w:r>
        <w:rPr/>
        <w:t>专项应付款说明 </w:t>
      </w:r>
      <w:r>
        <w:rPr>
          <w:spacing w:val="-2"/>
        </w:rPr>
        <w:t>根据青海省海南州共和县发展和改革局文件《关于青海蓓翔新能源开发有限公司公共租赁房建设项目的立项批复》，本公</w:t>
      </w:r>
    </w:p>
    <w:p>
      <w:pPr>
        <w:pStyle w:val="BodyText"/>
        <w:spacing w:line="237" w:lineRule="exact"/>
        <w:ind w:right="0"/>
        <w:jc w:val="left"/>
      </w:pPr>
      <w:r>
        <w:rPr/>
        <w:t>司之孙公司青海蓓翔新能源开发有限公司将获得国家投资</w:t>
      </w:r>
      <w:r>
        <w:rPr>
          <w:rFonts w:ascii="Times New Roman" w:hAnsi="Times New Roman" w:cs="Times New Roman" w:eastAsia="Times New Roman" w:hint="default"/>
        </w:rPr>
        <w:t>412.50</w:t>
      </w:r>
      <w:r>
        <w:rPr/>
        <w:t>万元用于公共租赁房建设，该补助资金将根椐有关规定，实</w:t>
      </w:r>
    </w:p>
    <w:p>
      <w:pPr>
        <w:pStyle w:val="BodyText"/>
        <w:spacing w:line="240" w:lineRule="auto" w:before="14"/>
        <w:ind w:right="1115"/>
        <w:jc w:val="left"/>
        <w:rPr>
          <w:sz w:val="24"/>
          <w:szCs w:val="24"/>
        </w:rPr>
      </w:pPr>
      <w:r>
        <w:rPr/>
        <w:t>行专项管理，专款专用。本年收到</w:t>
      </w:r>
      <w:r>
        <w:rPr>
          <w:rFonts w:ascii="Times New Roman" w:hAnsi="Times New Roman" w:cs="Times New Roman" w:eastAsia="Times New Roman" w:hint="default"/>
        </w:rPr>
        <w:t>303</w:t>
      </w:r>
      <w:r>
        <w:rPr/>
        <w:t>万元</w:t>
      </w:r>
      <w:r>
        <w:rPr>
          <w:sz w:val="24"/>
          <w:szCs w:val="24"/>
        </w:rPr>
        <w:t>。</w:t>
      </w:r>
    </w:p>
    <w:p>
      <w:pPr>
        <w:spacing w:line="240" w:lineRule="auto" w:before="7"/>
        <w:rPr>
          <w:rFonts w:ascii="宋体" w:hAnsi="宋体" w:cs="宋体" w:eastAsia="宋体" w:hint="default"/>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98,921,100.00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80,662,800.00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98,921,100.00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80,662,800.00</w:t>
            </w:r>
          </w:p>
        </w:tc>
      </w:tr>
    </w:tbl>
    <w:p>
      <w:pPr>
        <w:pStyle w:val="BodyText"/>
        <w:spacing w:line="360" w:lineRule="auto" w:before="49"/>
        <w:ind w:left="633" w:right="3014" w:hanging="481"/>
        <w:jc w:val="left"/>
      </w:pPr>
      <w:r>
        <w:rPr/>
        <w:pict>
          <v:shape style="position:absolute;margin-left:56.400002pt;margin-top:35.281723pt;width:475.8pt;height:103.1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05"/>
                    <w:gridCol w:w="2756"/>
                    <w:gridCol w:w="3241"/>
                  </w:tblGrid>
                  <w:tr>
                    <w:trPr>
                      <w:trHeight w:val="34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8"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2756" w:type="dxa"/>
                        <w:tcBorders>
                          <w:top w:val="single" w:sz="4" w:space="0" w:color="000000"/>
                          <w:left w:val="single" w:sz="4" w:space="0" w:color="000000"/>
                          <w:bottom w:val="single" w:sz="4" w:space="0" w:color="000000"/>
                          <w:right w:val="single" w:sz="4" w:space="0" w:color="000000"/>
                        </w:tcBorders>
                      </w:tcPr>
                      <w:p>
                        <w:pPr/>
                      </w:p>
                    </w:tc>
                    <w:tc>
                      <w:tcPr>
                        <w:tcW w:w="324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土地返还款</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4"/>
                          <w:jc w:val="right"/>
                          <w:rPr>
                            <w:rFonts w:ascii="Times New Roman" w:hAnsi="Times New Roman" w:cs="Times New Roman" w:eastAsia="Times New Roman" w:hint="default"/>
                            <w:sz w:val="18"/>
                            <w:szCs w:val="18"/>
                          </w:rPr>
                        </w:pPr>
                        <w:r>
                          <w:rPr>
                            <w:rFonts w:ascii="Times New Roman"/>
                            <w:spacing w:val="-1"/>
                            <w:sz w:val="18"/>
                          </w:rPr>
                          <w:t>35,865,600.00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6"/>
                          <w:jc w:val="right"/>
                          <w:rPr>
                            <w:rFonts w:ascii="Times New Roman" w:hAnsi="Times New Roman" w:cs="Times New Roman" w:eastAsia="Times New Roman" w:hint="default"/>
                            <w:sz w:val="18"/>
                            <w:szCs w:val="18"/>
                          </w:rPr>
                        </w:pPr>
                        <w:r>
                          <w:rPr>
                            <w:rFonts w:ascii="Times New Roman"/>
                            <w:spacing w:val="-1"/>
                            <w:sz w:val="18"/>
                          </w:rPr>
                          <w:t>36,612,800.00</w:t>
                        </w:r>
                      </w:p>
                    </w:tc>
                  </w:tr>
                  <w:tr>
                    <w:trPr>
                      <w:trHeight w:val="34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光伏并网发电</w:t>
                        </w:r>
                        <w:r>
                          <w:rPr>
                            <w:rFonts w:ascii="Times New Roman" w:hAnsi="Times New Roman" w:cs="Times New Roman" w:eastAsia="Times New Roman" w:hint="default"/>
                            <w:sz w:val="18"/>
                            <w:szCs w:val="18"/>
                          </w:rPr>
                          <w:t>(5MW)</w:t>
                        </w:r>
                        <w:r>
                          <w:rPr>
                            <w:rFonts w:ascii="宋体" w:hAnsi="宋体" w:cs="宋体" w:eastAsia="宋体" w:hint="default"/>
                            <w:sz w:val="18"/>
                            <w:szCs w:val="18"/>
                          </w:rPr>
                          <w:t>项目</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4"/>
                          <w:jc w:val="right"/>
                          <w:rPr>
                            <w:rFonts w:ascii="Times New Roman" w:hAnsi="Times New Roman" w:cs="Times New Roman" w:eastAsia="Times New Roman" w:hint="default"/>
                            <w:sz w:val="18"/>
                            <w:szCs w:val="18"/>
                          </w:rPr>
                        </w:pPr>
                        <w:r>
                          <w:rPr>
                            <w:rFonts w:ascii="Times New Roman"/>
                            <w:spacing w:val="-1"/>
                            <w:sz w:val="18"/>
                          </w:rPr>
                          <w:t>60,937,500.00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6"/>
                          <w:jc w:val="right"/>
                          <w:rPr>
                            <w:rFonts w:ascii="Times New Roman" w:hAnsi="Times New Roman" w:cs="Times New Roman" w:eastAsia="Times New Roman" w:hint="default"/>
                            <w:sz w:val="18"/>
                            <w:szCs w:val="18"/>
                          </w:rPr>
                        </w:pPr>
                        <w:r>
                          <w:rPr>
                            <w:rFonts w:ascii="Times New Roman"/>
                            <w:spacing w:val="-1"/>
                            <w:sz w:val="18"/>
                          </w:rPr>
                          <w:t>43,750,000.00</w:t>
                        </w:r>
                      </w:p>
                    </w:tc>
                  </w:tr>
                  <w:tr>
                    <w:trPr>
                      <w:trHeight w:val="34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2" w:right="0"/>
                          <w:jc w:val="left"/>
                          <w:rPr>
                            <w:rFonts w:ascii="宋体" w:hAnsi="宋体" w:cs="宋体" w:eastAsia="宋体" w:hint="default"/>
                            <w:sz w:val="18"/>
                            <w:szCs w:val="18"/>
                          </w:rPr>
                        </w:pPr>
                        <w:r>
                          <w:rPr>
                            <w:rFonts w:ascii="宋体" w:hAnsi="宋体" w:cs="宋体" w:eastAsia="宋体" w:hint="default"/>
                            <w:sz w:val="18"/>
                            <w:szCs w:val="18"/>
                          </w:rPr>
                          <w:t>科技创新与成果转化专项资金</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3"/>
                          <w:jc w:val="right"/>
                          <w:rPr>
                            <w:rFonts w:ascii="Times New Roman" w:hAnsi="Times New Roman" w:cs="Times New Roman" w:eastAsia="Times New Roman" w:hint="default"/>
                            <w:sz w:val="18"/>
                            <w:szCs w:val="18"/>
                          </w:rPr>
                        </w:pPr>
                        <w:r>
                          <w:rPr>
                            <w:rFonts w:ascii="Times New Roman"/>
                            <w:spacing w:val="-1"/>
                            <w:sz w:val="18"/>
                          </w:rPr>
                          <w:t>918,000.00</w:t>
                        </w:r>
                      </w:p>
                    </w:tc>
                    <w:tc>
                      <w:tcPr>
                        <w:tcW w:w="324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756" w:type="dxa"/>
                        <w:tcBorders>
                          <w:top w:val="single" w:sz="4" w:space="0" w:color="000000"/>
                          <w:left w:val="single" w:sz="4" w:space="0" w:color="000000"/>
                          <w:bottom w:val="single" w:sz="4" w:space="0" w:color="000000"/>
                          <w:right w:val="single" w:sz="4" w:space="0" w:color="000000"/>
                        </w:tcBorders>
                      </w:tcPr>
                      <w:p>
                        <w:pPr/>
                      </w:p>
                    </w:tc>
                    <w:tc>
                      <w:tcPr>
                        <w:tcW w:w="324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其他非流动负债说明，包括本报告期取得的各类与资产相关、与收益相关的政府补助及其期末金额 其中，递延收益明细如下：</w:t>
      </w:r>
    </w:p>
    <w:p>
      <w:pPr>
        <w:spacing w:after="0" w:line="360" w:lineRule="auto"/>
        <w:jc w:val="left"/>
        <w:sectPr>
          <w:pgSz w:w="11910" w:h="16840"/>
          <w:pgMar w:header="877" w:footer="1306" w:top="1060" w:bottom="15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505"/>
        <w:gridCol w:w="2756"/>
        <w:gridCol w:w="3241"/>
      </w:tblGrid>
      <w:tr>
        <w:trPr>
          <w:trHeight w:val="34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光伏电厂国家技术创新补助</w:t>
            </w:r>
          </w:p>
        </w:tc>
        <w:tc>
          <w:tcPr>
            <w:tcW w:w="2756" w:type="dxa"/>
            <w:tcBorders>
              <w:top w:val="single" w:sz="4" w:space="0" w:color="000000"/>
              <w:left w:val="single" w:sz="4" w:space="0" w:color="000000"/>
              <w:bottom w:val="single" w:sz="4" w:space="0" w:color="000000"/>
              <w:right w:val="single" w:sz="4" w:space="0" w:color="000000"/>
            </w:tcBorders>
          </w:tcPr>
          <w:p>
            <w:pP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5"/>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655"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281" w:right="0"/>
              <w:jc w:val="left"/>
              <w:rPr>
                <w:rFonts w:ascii="宋体" w:hAnsi="宋体" w:cs="宋体" w:eastAsia="宋体" w:hint="default"/>
                <w:sz w:val="18"/>
                <w:szCs w:val="18"/>
              </w:rPr>
            </w:pPr>
            <w:r>
              <w:rPr>
                <w:rFonts w:ascii="宋体" w:hAnsi="宋体" w:cs="宋体" w:eastAsia="宋体" w:hint="default"/>
                <w:spacing w:val="-5"/>
                <w:w w:val="99"/>
                <w:sz w:val="18"/>
                <w:szCs w:val="18"/>
              </w:rPr>
              <w:t>单产</w:t>
            </w:r>
            <w:r>
              <w:rPr>
                <w:rFonts w:ascii="Times New Roman" w:hAnsi="Times New Roman" w:cs="Times New Roman" w:eastAsia="Times New Roman" w:hint="default"/>
                <w:spacing w:val="-5"/>
                <w:w w:val="99"/>
                <w:sz w:val="18"/>
                <w:szCs w:val="18"/>
              </w:rPr>
              <w:t>500MW</w:t>
            </w:r>
            <w:r>
              <w:rPr>
                <w:rFonts w:ascii="宋体" w:hAnsi="宋体" w:cs="宋体" w:eastAsia="宋体" w:hint="default"/>
                <w:spacing w:val="-5"/>
                <w:w w:val="99"/>
                <w:sz w:val="18"/>
                <w:szCs w:val="18"/>
              </w:rPr>
              <w:t>高强度、高耐候光伏组件边框</w:t>
            </w:r>
            <w:r>
              <w:rPr>
                <w:rFonts w:ascii="宋体" w:hAnsi="宋体" w:cs="宋体" w:eastAsia="宋体" w:hint="default"/>
                <w:spacing w:val="-81"/>
                <w:w w:val="99"/>
                <w:sz w:val="18"/>
                <w:szCs w:val="18"/>
              </w:rPr>
              <w:t> </w:t>
            </w:r>
            <w:r>
              <w:rPr>
                <w:rFonts w:ascii="宋体" w:hAnsi="宋体" w:cs="宋体" w:eastAsia="宋体" w:hint="default"/>
                <w:spacing w:val="-81"/>
                <w:w w:val="99"/>
                <w:sz w:val="18"/>
                <w:szCs w:val="18"/>
              </w:rPr>
            </w:r>
            <w:r>
              <w:rPr>
                <w:rFonts w:ascii="宋体" w:hAnsi="宋体" w:cs="宋体" w:eastAsia="宋体" w:hint="default"/>
                <w:sz w:val="18"/>
                <w:szCs w:val="18"/>
              </w:rPr>
              <w:t>及支架产业化项目</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63"/>
              <w:jc w:val="right"/>
              <w:rPr>
                <w:rFonts w:ascii="Times New Roman" w:hAnsi="Times New Roman" w:cs="Times New Roman" w:eastAsia="Times New Roman" w:hint="default"/>
                <w:sz w:val="18"/>
                <w:szCs w:val="18"/>
              </w:rPr>
            </w:pPr>
            <w:r>
              <w:rPr>
                <w:rFonts w:ascii="Times New Roman"/>
                <w:spacing w:val="-1"/>
                <w:sz w:val="18"/>
              </w:rPr>
              <w:t>1,200,000.00</w:t>
            </w:r>
          </w:p>
        </w:tc>
        <w:tc>
          <w:tcPr>
            <w:tcW w:w="324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tabs>
                <w:tab w:pos="674" w:val="left" w:leader="none"/>
              </w:tabs>
              <w:spacing w:line="240" w:lineRule="auto" w:before="17"/>
              <w:ind w:left="27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4"/>
              <w:jc w:val="right"/>
              <w:rPr>
                <w:rFonts w:ascii="Times New Roman" w:hAnsi="Times New Roman" w:cs="Times New Roman" w:eastAsia="Times New Roman" w:hint="default"/>
                <w:sz w:val="18"/>
                <w:szCs w:val="18"/>
              </w:rPr>
            </w:pPr>
            <w:r>
              <w:rPr>
                <w:rFonts w:ascii="Times New Roman"/>
                <w:spacing w:val="-1"/>
                <w:sz w:val="18"/>
              </w:rPr>
              <w:t>98,921,100.00</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66"/>
              <w:jc w:val="right"/>
              <w:rPr>
                <w:rFonts w:ascii="Times New Roman" w:hAnsi="Times New Roman" w:cs="Times New Roman" w:eastAsia="Times New Roman" w:hint="default"/>
                <w:sz w:val="18"/>
                <w:szCs w:val="18"/>
              </w:rPr>
            </w:pPr>
            <w:r>
              <w:rPr>
                <w:rFonts w:ascii="Times New Roman"/>
                <w:spacing w:val="-1"/>
                <w:sz w:val="18"/>
              </w:rPr>
              <w:t>80,662,800.00</w:t>
            </w:r>
          </w:p>
        </w:tc>
      </w:tr>
    </w:tbl>
    <w:p>
      <w:pPr>
        <w:pStyle w:val="BodyText"/>
        <w:spacing w:line="240" w:lineRule="auto" w:before="8"/>
        <w:ind w:left="633" w:right="1115"/>
        <w:jc w:val="left"/>
      </w:pPr>
      <w:r>
        <w:rPr/>
        <w:t>注：</w:t>
      </w:r>
    </w:p>
    <w:p>
      <w:pPr>
        <w:pStyle w:val="BodyText"/>
        <w:spacing w:line="300" w:lineRule="auto" w:before="76"/>
        <w:ind w:right="1484" w:firstLine="480"/>
        <w:jc w:val="both"/>
      </w:pPr>
      <w:r>
        <w:rPr/>
        <w:t>（</w:t>
      </w:r>
      <w:r>
        <w:rPr>
          <w:rFonts w:ascii="Times New Roman" w:hAnsi="Times New Roman" w:cs="Times New Roman" w:eastAsia="Times New Roman" w:hint="default"/>
        </w:rPr>
        <w:t>1</w:t>
      </w:r>
      <w:r>
        <w:rPr/>
        <w:t>）本公司之子公司南通爱康金属科技有限公司</w:t>
      </w:r>
      <w:r>
        <w:rPr>
          <w:rFonts w:ascii="Times New Roman" w:hAnsi="Times New Roman" w:cs="Times New Roman" w:eastAsia="Times New Roman" w:hint="default"/>
        </w:rPr>
        <w:t>2011</w:t>
      </w:r>
      <w:r>
        <w:rPr/>
        <w:t>年根据与江苏省如皋经济开发区管委会签订的有关协议取 得土地返还款</w:t>
      </w:r>
      <w:r>
        <w:rPr>
          <w:rFonts w:ascii="Times New Roman" w:hAnsi="Times New Roman" w:cs="Times New Roman" w:eastAsia="Times New Roman" w:hint="default"/>
        </w:rPr>
        <w:t>37,360,000.00</w:t>
      </w:r>
      <w:r>
        <w:rPr/>
        <w:t>元，在相关土地使用权使用寿命内分配计入当期损益，本年转入当期损益</w:t>
      </w:r>
      <w:r>
        <w:rPr>
          <w:rFonts w:ascii="Times New Roman" w:hAnsi="Times New Roman" w:cs="Times New Roman" w:eastAsia="Times New Roman" w:hint="default"/>
        </w:rPr>
        <w:t>747,200.00</w:t>
      </w:r>
      <w:r>
        <w:rPr/>
        <w:t>元，累</w:t>
      </w:r>
      <w:r>
        <w:rPr>
          <w:spacing w:val="-43"/>
        </w:rPr>
        <w:t> </w:t>
      </w:r>
      <w:r>
        <w:rPr/>
        <w:t>计转入损益</w:t>
      </w:r>
      <w:r>
        <w:rPr>
          <w:rFonts w:ascii="Times New Roman" w:hAnsi="Times New Roman" w:cs="Times New Roman" w:eastAsia="Times New Roman" w:hint="default"/>
        </w:rPr>
        <w:t>1,494,400.00</w:t>
      </w:r>
      <w:r>
        <w:rPr/>
        <w:t>元。</w:t>
      </w:r>
    </w:p>
    <w:p>
      <w:pPr>
        <w:pStyle w:val="BodyText"/>
        <w:spacing w:line="300" w:lineRule="auto" w:before="13"/>
        <w:ind w:right="1488" w:firstLine="480"/>
        <w:jc w:val="both"/>
      </w:pPr>
      <w:r>
        <w:rPr/>
        <w:t>（</w:t>
      </w: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日青海省财政厅、青海省科学技术厅、青海省发展和改革委员会向财政部、科技部和国 </w:t>
      </w:r>
      <w:r>
        <w:rPr>
          <w:spacing w:val="-1"/>
        </w:rPr>
        <w:t>家能源局上报文件《关于调整</w:t>
      </w:r>
      <w:r>
        <w:rPr>
          <w:rFonts w:ascii="Times New Roman" w:hAnsi="Times New Roman" w:cs="Times New Roman" w:eastAsia="Times New Roman" w:hint="default"/>
          <w:spacing w:val="-1"/>
        </w:rPr>
        <w:t>2010</w:t>
      </w:r>
      <w:r>
        <w:rPr>
          <w:spacing w:val="-1"/>
        </w:rPr>
        <w:t>年金太阳示范工程总投资和财政补助资金的请示》（青财建字</w:t>
      </w:r>
      <w:r>
        <w:rPr>
          <w:rFonts w:ascii="Times New Roman" w:hAnsi="Times New Roman" w:cs="Times New Roman" w:eastAsia="Times New Roman" w:hint="default"/>
          <w:spacing w:val="-1"/>
        </w:rPr>
        <w:t>[2010]1977</w:t>
      </w:r>
      <w:r>
        <w:rPr>
          <w:spacing w:val="-1"/>
        </w:rPr>
        <w:t>号），本公</w:t>
      </w:r>
      <w:r>
        <w:rPr>
          <w:spacing w:val="-56"/>
        </w:rPr>
        <w:t> </w:t>
      </w:r>
      <w:r>
        <w:rPr>
          <w:spacing w:val="-56"/>
        </w:rPr>
      </w:r>
      <w:r>
        <w:rPr>
          <w:spacing w:val="-1"/>
        </w:rPr>
        <w:t>司之孙公司青海蓓翔新能源开发有限公司累计收到青海省海南州共和县光伏并网发电项目补助资金</w:t>
      </w:r>
      <w:r>
        <w:rPr>
          <w:rFonts w:ascii="Times New Roman" w:hAnsi="Times New Roman" w:cs="Times New Roman" w:eastAsia="Times New Roman" w:hint="default"/>
          <w:spacing w:val="-1"/>
        </w:rPr>
        <w:t>62,500,000.00</w:t>
      </w:r>
      <w:r>
        <w:rPr>
          <w:spacing w:val="-1"/>
        </w:rPr>
        <w:t>元。本</w:t>
      </w:r>
      <w:r>
        <w:rPr>
          <w:spacing w:val="-68"/>
        </w:rPr>
        <w:t> </w:t>
      </w:r>
      <w:r>
        <w:rPr>
          <w:spacing w:val="-68"/>
        </w:rPr>
      </w:r>
      <w:r>
        <w:rPr/>
        <w:t>年转入当期损益</w:t>
      </w:r>
      <w:r>
        <w:rPr>
          <w:rFonts w:ascii="Times New Roman" w:hAnsi="Times New Roman" w:cs="Times New Roman" w:eastAsia="Times New Roman" w:hint="default"/>
        </w:rPr>
        <w:t>1,562,500.00</w:t>
      </w:r>
      <w:r>
        <w:rPr/>
        <w:t>元。</w:t>
      </w:r>
    </w:p>
    <w:p>
      <w:pPr>
        <w:pStyle w:val="BodyText"/>
        <w:spacing w:line="300" w:lineRule="auto" w:before="13"/>
        <w:ind w:right="1488" w:firstLine="48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2</w:t>
      </w:r>
      <w:r>
        <w:rPr>
          <w:spacing w:val="-1"/>
        </w:rPr>
        <w:t>月，根据苏财教</w:t>
      </w:r>
      <w:r>
        <w:rPr>
          <w:rFonts w:ascii="Times New Roman" w:hAnsi="Times New Roman" w:cs="Times New Roman" w:eastAsia="Times New Roman" w:hint="default"/>
          <w:spacing w:val="-1"/>
        </w:rPr>
        <w:t>[2010]218</w:t>
      </w:r>
      <w:r>
        <w:rPr>
          <w:spacing w:val="-1"/>
        </w:rPr>
        <w:t>号，本公司之子公司苏州爱康薄膜新材料有限公司收到江苏省</w:t>
      </w:r>
      <w:r>
        <w:rPr>
          <w:rFonts w:ascii="Times New Roman" w:hAnsi="Times New Roman" w:cs="Times New Roman" w:eastAsia="Times New Roman" w:hint="default"/>
          <w:spacing w:val="-1"/>
        </w:rPr>
        <w:t>2010</w:t>
      </w:r>
      <w:r>
        <w:rPr>
          <w:spacing w:val="-1"/>
        </w:rPr>
        <w:t>年第十</w:t>
      </w:r>
      <w:r>
        <w:rPr/>
        <w:t> 五批省级科技创新与成果转化专项引导资金</w:t>
      </w:r>
      <w:r>
        <w:rPr>
          <w:rFonts w:ascii="Times New Roman" w:hAnsi="Times New Roman" w:cs="Times New Roman" w:eastAsia="Times New Roman" w:hint="default"/>
        </w:rPr>
        <w:t>2,250,000.00</w:t>
      </w:r>
      <w:r>
        <w:rPr/>
        <w:t>元，其中</w:t>
      </w:r>
      <w:r>
        <w:rPr>
          <w:rFonts w:ascii="Times New Roman" w:hAnsi="Times New Roman" w:cs="Times New Roman" w:eastAsia="Times New Roman" w:hint="default"/>
        </w:rPr>
        <w:t>1,080,000.00</w:t>
      </w:r>
      <w:r>
        <w:rPr/>
        <w:t>元专项用于购买设备，按设备的使用年限 计入当期损益。</w:t>
      </w:r>
    </w:p>
    <w:p>
      <w:pPr>
        <w:pStyle w:val="BodyText"/>
        <w:spacing w:line="300" w:lineRule="auto" w:before="31"/>
        <w:ind w:right="1131" w:firstLine="360"/>
        <w:jc w:val="both"/>
      </w:pPr>
      <w:r>
        <w:rPr>
          <w:spacing w:val="-4"/>
        </w:rPr>
        <w:t>（</w:t>
      </w: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月，根据青海省科学技术厅</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28</w:t>
      </w:r>
      <w:r>
        <w:rPr>
          <w:spacing w:val="-4"/>
        </w:rPr>
        <w:t>日下发的《关于下达二</w:t>
      </w:r>
      <w:r>
        <w:rPr>
          <w:rFonts w:ascii="Times New Roman" w:hAnsi="Times New Roman" w:cs="Times New Roman" w:eastAsia="Times New Roman" w:hint="default"/>
          <w:spacing w:val="-4"/>
        </w:rPr>
        <w:t>○</w:t>
      </w:r>
      <w:r>
        <w:rPr>
          <w:spacing w:val="-4"/>
        </w:rPr>
        <w:t>一二年第一批科技项目计划的通知》（青</w:t>
      </w:r>
      <w:r>
        <w:rPr/>
        <w:t> 科发计字【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136</w:t>
      </w:r>
      <w:r>
        <w:rPr>
          <w:rFonts w:ascii="Times New Roman" w:hAnsi="Times New Roman" w:cs="Times New Roman" w:eastAsia="Times New Roman" w:hint="default"/>
          <w:spacing w:val="23"/>
        </w:rPr>
        <w:t> </w:t>
      </w:r>
      <w:r>
        <w:rPr/>
        <w:t>号），本公司之孙公司青海蓓翔新能源开发有限公司收到单产</w:t>
      </w:r>
      <w:r>
        <w:rPr>
          <w:rFonts w:ascii="Times New Roman" w:hAnsi="Times New Roman" w:cs="Times New Roman" w:eastAsia="Times New Roman" w:hint="default"/>
        </w:rPr>
        <w:t>500MW</w:t>
      </w:r>
      <w:r>
        <w:rPr/>
        <w:t>高强度、高耐候光伏组件边框</w:t>
      </w:r>
      <w:r>
        <w:rPr>
          <w:spacing w:val="-83"/>
        </w:rPr>
        <w:t> </w:t>
      </w:r>
      <w:r>
        <w:rPr>
          <w:spacing w:val="-83"/>
        </w:rPr>
      </w:r>
      <w:r>
        <w:rPr/>
        <w:t>及支架产业化项目补贴</w:t>
      </w:r>
      <w:r>
        <w:rPr>
          <w:rFonts w:ascii="Times New Roman" w:hAnsi="Times New Roman" w:cs="Times New Roman" w:eastAsia="Times New Roman" w:hint="default"/>
        </w:rPr>
        <w:t>1,200,000.00</w:t>
      </w:r>
      <w:r>
        <w:rPr/>
        <w:t>元，由于该项目尚在建设中，不能计入本年损益。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3"/>
        <w:ind w:right="1115"/>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995"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200,000,000.00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100,000,000.00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300,000,000.00</w:t>
            </w:r>
          </w:p>
        </w:tc>
      </w:tr>
    </w:tbl>
    <w:p>
      <w:pPr>
        <w:pStyle w:val="BodyText"/>
        <w:spacing w:line="240" w:lineRule="auto" w:before="49"/>
        <w:ind w:right="1115"/>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240" w:lineRule="auto" w:before="60"/>
        <w:ind w:right="1115"/>
        <w:jc w:val="left"/>
      </w:pPr>
      <w:r>
        <w:rPr/>
        <w:t>年的股份有限公司，设立前的年份只需说明净资产情况；有限责任公司整体变更为股份公司应说明公司设立时的验资情况</w:t>
      </w:r>
    </w:p>
    <w:p>
      <w:pPr>
        <w:pStyle w:val="BodyText"/>
        <w:spacing w:line="300" w:lineRule="auto" w:before="117"/>
        <w:ind w:right="1128" w:firstLine="480"/>
        <w:jc w:val="both"/>
      </w:pPr>
      <w:r>
        <w:rPr>
          <w:spacing w:val="-2"/>
        </w:rPr>
        <w:t>（</w:t>
      </w:r>
      <w:r>
        <w:rPr>
          <w:rFonts w:ascii="Times New Roman" w:hAnsi="Times New Roman" w:cs="Times New Roman" w:eastAsia="Times New Roman" w:hint="default"/>
          <w:spacing w:val="-2"/>
        </w:rPr>
        <w:t>1</w:t>
      </w:r>
      <w:r>
        <w:rPr>
          <w:spacing w:val="-2"/>
        </w:rPr>
        <w:t>）根据本公司</w:t>
      </w:r>
      <w:r>
        <w:rPr>
          <w:rFonts w:ascii="Times New Roman" w:hAnsi="Times New Roman" w:cs="Times New Roman" w:eastAsia="Times New Roman" w:hint="default"/>
          <w:spacing w:val="-2"/>
        </w:rPr>
        <w:t>2011</w:t>
      </w:r>
      <w:r>
        <w:rPr>
          <w:spacing w:val="-2"/>
        </w:rPr>
        <w:t>年年度股东大会决议和章程修正案规定，本公司以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200,000,000</w:t>
      </w:r>
      <w:r>
        <w:rPr>
          <w:spacing w:val="-2"/>
        </w:rPr>
        <w:t>股为基数，</w:t>
      </w:r>
      <w:r>
        <w:rPr/>
        <w:t> 以每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股的比例用资本公积向全体股东转增股份</w:t>
      </w:r>
      <w:r>
        <w:rPr>
          <w:rFonts w:ascii="Times New Roman" w:hAnsi="Times New Roman" w:cs="Times New Roman" w:eastAsia="Times New Roman" w:hint="default"/>
        </w:rPr>
        <w:t>100,000,000</w:t>
      </w:r>
      <w:r>
        <w:rPr/>
        <w:t>股，并于</w:t>
      </w:r>
      <w:r>
        <w:rPr>
          <w:rFonts w:ascii="Times New Roman" w:hAnsi="Times New Roman" w:cs="Times New Roman" w:eastAsia="Times New Roman" w:hint="default"/>
        </w:rPr>
        <w:t>2012</w:t>
      </w:r>
      <w:r>
        <w:rPr/>
        <w:t>年度实施。转增后，注册资本增至人民币</w:t>
      </w:r>
      <w:r>
        <w:rPr>
          <w:spacing w:val="-85"/>
        </w:rPr>
        <w:t> </w:t>
      </w:r>
      <w:r>
        <w:rPr>
          <w:spacing w:val="-85"/>
        </w:rPr>
      </w:r>
      <w:r>
        <w:rPr>
          <w:rFonts w:ascii="Times New Roman" w:hAnsi="Times New Roman" w:cs="Times New Roman" w:eastAsia="Times New Roman" w:hint="default"/>
        </w:rPr>
        <w:t>300,000,000.00</w:t>
      </w:r>
      <w:r>
        <w:rPr/>
        <w:t>元。</w:t>
      </w:r>
    </w:p>
    <w:p>
      <w:pPr>
        <w:pStyle w:val="BodyText"/>
        <w:spacing w:line="300" w:lineRule="auto" w:before="13"/>
        <w:ind w:right="1115" w:firstLine="360"/>
        <w:jc w:val="left"/>
      </w:pPr>
      <w:r>
        <w:rPr/>
        <w:t>（</w:t>
      </w:r>
      <w:r>
        <w:rPr>
          <w:rFonts w:ascii="Times New Roman" w:hAnsi="Times New Roman" w:cs="Times New Roman" w:eastAsia="Times New Roman" w:hint="default"/>
        </w:rPr>
        <w:t>2</w:t>
      </w:r>
      <w:r>
        <w:rPr/>
        <w:t>）上述资本公积转增股本业经中瑞岳华会计师事务所（特殊普通合伙）审验，并出具了中瑞岳华验字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0179 </w:t>
      </w:r>
      <w:r>
        <w:rPr/>
        <w:t>号验资报告。</w:t>
      </w:r>
    </w:p>
    <w:p>
      <w:pPr>
        <w:spacing w:line="240" w:lineRule="auto" w:before="10"/>
        <w:rPr>
          <w:rFonts w:ascii="宋体" w:hAnsi="宋体" w:cs="宋体" w:eastAsia="宋体" w:hint="default"/>
          <w:sz w:val="23"/>
          <w:szCs w:val="23"/>
        </w:rPr>
      </w:pPr>
    </w:p>
    <w:p>
      <w:pPr>
        <w:pStyle w:val="Heading4"/>
        <w:spacing w:line="240" w:lineRule="auto"/>
        <w:ind w:right="1115"/>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t>库存股情况说明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专项储备情况说明</w:t>
      </w:r>
    </w:p>
    <w:p>
      <w:pPr>
        <w:spacing w:after="0" w:line="240" w:lineRule="auto"/>
        <w:jc w:val="left"/>
        <w:sectPr>
          <w:pgSz w:w="11910" w:h="16840"/>
          <w:pgMar w:header="877" w:footer="1306" w:top="1060" w:bottom="150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927,721,373.49</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103,896,305.62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823,825,067.87</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927,721,373.49</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103,896,305.62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823,825,067.87</w:t>
            </w:r>
          </w:p>
        </w:tc>
      </w:tr>
    </w:tbl>
    <w:p>
      <w:pPr>
        <w:pStyle w:val="BodyText"/>
        <w:spacing w:line="240" w:lineRule="auto" w:before="49"/>
        <w:ind w:right="1115"/>
        <w:jc w:val="left"/>
      </w:pPr>
      <w:r>
        <w:rPr/>
        <w:t>资本公积说明</w:t>
      </w:r>
    </w:p>
    <w:p>
      <w:pPr>
        <w:pStyle w:val="BodyText"/>
        <w:spacing w:line="300" w:lineRule="auto" w:before="115"/>
        <w:ind w:right="1124" w:firstLine="480"/>
        <w:jc w:val="left"/>
      </w:pPr>
      <w:r>
        <w:rPr>
          <w:spacing w:val="-2"/>
        </w:rPr>
        <w:t>（</w:t>
      </w:r>
      <w:r>
        <w:rPr>
          <w:rFonts w:ascii="Times New Roman" w:hAnsi="Times New Roman" w:cs="Times New Roman" w:eastAsia="Times New Roman" w:hint="default"/>
          <w:spacing w:val="-2"/>
        </w:rPr>
        <w:t>1</w:t>
      </w:r>
      <w:r>
        <w:rPr>
          <w:spacing w:val="-2"/>
        </w:rPr>
        <w:t>）根据本公司</w:t>
      </w:r>
      <w:r>
        <w:rPr>
          <w:rFonts w:ascii="Times New Roman" w:hAnsi="Times New Roman" w:cs="Times New Roman" w:eastAsia="Times New Roman" w:hint="default"/>
          <w:spacing w:val="-2"/>
        </w:rPr>
        <w:t>2011</w:t>
      </w:r>
      <w:r>
        <w:rPr>
          <w:spacing w:val="-2"/>
        </w:rPr>
        <w:t>年年度股东大会决议和章程修正案规定，本公司用资本公积向全体股东转增股份</w:t>
      </w:r>
      <w:r>
        <w:rPr>
          <w:rFonts w:ascii="Times New Roman" w:hAnsi="Times New Roman" w:cs="Times New Roman" w:eastAsia="Times New Roman" w:hint="default"/>
          <w:spacing w:val="-2"/>
        </w:rPr>
        <w:t>100,000,000</w:t>
      </w:r>
      <w:r>
        <w:rPr>
          <w:spacing w:val="-2"/>
        </w:rPr>
        <w:t>股，</w:t>
      </w:r>
      <w:r>
        <w:rPr/>
        <w:t> 本年资本溢价减少</w:t>
      </w:r>
      <w:r>
        <w:rPr>
          <w:rFonts w:ascii="Times New Roman" w:hAnsi="Times New Roman" w:cs="Times New Roman" w:eastAsia="Times New Roman" w:hint="default"/>
        </w:rPr>
        <w:t>100,000,000.00</w:t>
      </w:r>
      <w:r>
        <w:rPr/>
        <w:t>元；</w:t>
      </w:r>
    </w:p>
    <w:p>
      <w:pPr>
        <w:pStyle w:val="BodyText"/>
        <w:spacing w:line="300" w:lineRule="auto" w:before="13"/>
        <w:ind w:right="1115" w:firstLine="480"/>
        <w:jc w:val="left"/>
      </w:pPr>
      <w:r>
        <w:rPr>
          <w:spacing w:val="-2"/>
        </w:rPr>
        <w:t>（</w:t>
      </w:r>
      <w:r>
        <w:rPr>
          <w:rFonts w:ascii="Times New Roman" w:hAnsi="Times New Roman" w:cs="Times New Roman" w:eastAsia="Times New Roman" w:hint="default"/>
          <w:spacing w:val="-2"/>
        </w:rPr>
        <w:t>2</w:t>
      </w:r>
      <w:r>
        <w:rPr>
          <w:spacing w:val="-2"/>
        </w:rPr>
        <w:t>）本公司本年收购子公司无锡爱康太阳能电子科技有限公司</w:t>
      </w:r>
      <w:r>
        <w:rPr>
          <w:rFonts w:ascii="Times New Roman" w:hAnsi="Times New Roman" w:cs="Times New Roman" w:eastAsia="Times New Roman" w:hint="default"/>
          <w:spacing w:val="-2"/>
        </w:rPr>
        <w:t>40%</w:t>
      </w:r>
      <w:r>
        <w:rPr>
          <w:spacing w:val="-2"/>
        </w:rPr>
        <w:t>股权，因购买股权支付的对价高于应享有的所有者</w:t>
      </w:r>
      <w:r>
        <w:rPr/>
        <w:t> 权益账面价值部分冲减资本公积</w:t>
      </w:r>
      <w:r>
        <w:rPr>
          <w:rFonts w:ascii="Times New Roman" w:hAnsi="Times New Roman" w:cs="Times New Roman" w:eastAsia="Times New Roman" w:hint="default"/>
        </w:rPr>
        <w:t>3,895,515.22</w:t>
      </w:r>
      <w:r>
        <w:rPr/>
        <w:t>元；</w:t>
      </w:r>
    </w:p>
    <w:p>
      <w:pPr>
        <w:pStyle w:val="BodyText"/>
        <w:spacing w:line="300" w:lineRule="auto" w:before="13"/>
        <w:ind w:right="1124" w:firstLine="360"/>
        <w:jc w:val="left"/>
      </w:pPr>
      <w:r>
        <w:rPr/>
        <w:t>（</w:t>
      </w:r>
      <w:r>
        <w:rPr>
          <w:rFonts w:ascii="Times New Roman" w:hAnsi="Times New Roman" w:cs="Times New Roman" w:eastAsia="Times New Roman" w:hint="default"/>
        </w:rPr>
        <w:t>3</w:t>
      </w:r>
      <w:r>
        <w:rPr/>
        <w:t>）本公司本年收购子公司江阴爱康光伏焊带有限公司少数股东股权，本公司对江阴爱康光伏焊带有限公司持股比例 由</w:t>
      </w:r>
      <w:r>
        <w:rPr>
          <w:rFonts w:ascii="Times New Roman" w:hAnsi="Times New Roman" w:cs="Times New Roman" w:eastAsia="Times New Roman" w:hint="default"/>
        </w:rPr>
        <w:t>75%</w:t>
      </w:r>
      <w:r>
        <w:rPr/>
        <w:t>增加到</w:t>
      </w:r>
      <w:r>
        <w:rPr>
          <w:rFonts w:ascii="Times New Roman" w:hAnsi="Times New Roman" w:cs="Times New Roman" w:eastAsia="Times New Roman" w:hint="default"/>
        </w:rPr>
        <w:t>80%</w:t>
      </w:r>
      <w:r>
        <w:rPr/>
        <w:t>，因购买股权支付的对价高于应享有的所有者权益账面价值部分冲减资本公积</w:t>
      </w:r>
      <w:r>
        <w:rPr>
          <w:rFonts w:ascii="Times New Roman" w:hAnsi="Times New Roman" w:cs="Times New Roman" w:eastAsia="Times New Roman" w:hint="default"/>
        </w:rPr>
        <w:t>790.40</w:t>
      </w:r>
      <w:r>
        <w:rPr/>
        <w:t>元；</w:t>
      </w:r>
    </w:p>
    <w:p>
      <w:pPr>
        <w:spacing w:line="240" w:lineRule="auto" w:before="4"/>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32,361,256.25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32,361,256.25</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32,361,256.25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32,361,256.25</w:t>
            </w:r>
          </w:p>
        </w:tc>
      </w:tr>
    </w:tbl>
    <w:p>
      <w:pPr>
        <w:pStyle w:val="BodyText"/>
        <w:spacing w:line="357" w:lineRule="auto" w:before="49"/>
        <w:ind w:left="333" w:right="1115" w:hanging="181"/>
        <w:jc w:val="left"/>
      </w:pPr>
      <w:r>
        <w:rPr/>
        <w:t>盈余公积说明，用盈余公积转增股本、弥补亏损、分派股利的，应说明有关决议 </w:t>
      </w:r>
      <w:r>
        <w:rPr>
          <w:spacing w:val="-1"/>
        </w:rPr>
        <w:t>根据公司法、章程的规定，本集团按净利润的</w:t>
      </w:r>
      <w:r>
        <w:rPr>
          <w:rFonts w:ascii="Times New Roman" w:hAnsi="Times New Roman" w:cs="Times New Roman" w:eastAsia="Times New Roman" w:hint="default"/>
          <w:spacing w:val="-1"/>
        </w:rPr>
        <w:t>10%</w:t>
      </w:r>
      <w:r>
        <w:rPr>
          <w:spacing w:val="-1"/>
        </w:rPr>
        <w:t>提取法定盈余公积金。法定盈余公积累计额为本公司注册资本</w:t>
      </w:r>
      <w:r>
        <w:rPr>
          <w:rFonts w:ascii="Times New Roman" w:hAnsi="Times New Roman" w:cs="Times New Roman" w:eastAsia="Times New Roman" w:hint="default"/>
          <w:spacing w:val="-1"/>
        </w:rPr>
        <w:t>50%</w:t>
      </w:r>
      <w:r>
        <w:rPr>
          <w:spacing w:val="-1"/>
        </w:rPr>
        <w:t>以上</w:t>
      </w:r>
    </w:p>
    <w:p>
      <w:pPr>
        <w:pStyle w:val="BodyText"/>
        <w:spacing w:line="201" w:lineRule="exact"/>
        <w:ind w:right="1115"/>
        <w:jc w:val="left"/>
      </w:pPr>
      <w:r>
        <w:rPr/>
        <w:t>的，可不再提取。</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一般风险准备情况说明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53"/>
        <w:gridCol w:w="2098"/>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227,631,287.99</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227,631,287.99</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-56,039,723.85</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100,000,000.00</w:t>
            </w: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71,591,564.14</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调整年初未分配利润明细：</w:t>
      </w:r>
    </w:p>
    <w:p>
      <w:pPr>
        <w:pStyle w:val="BodyText"/>
        <w:spacing w:line="240" w:lineRule="auto" w:before="117"/>
        <w:ind w:right="1115"/>
        <w:jc w:val="left"/>
      </w:pPr>
      <w:r>
        <w:rPr>
          <w:rFonts w:ascii="Times New Roman" w:hAnsi="Times New Roman" w:cs="Times New Roman" w:eastAsia="Times New Roman" w:hint="default"/>
        </w:rPr>
        <w:t>1)</w:t>
      </w:r>
      <w:r>
        <w:rPr/>
        <w:t>、由于《企业会计准则》及其相关新规定进行追溯调整，影响年初未分配利润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1115"/>
        <w:jc w:val="left"/>
      </w:pPr>
      <w:r>
        <w:rPr>
          <w:rFonts w:ascii="Times New Roman" w:hAnsi="Times New Roman" w:cs="Times New Roman" w:eastAsia="Times New Roman" w:hint="default"/>
        </w:rPr>
        <w:t>2)</w:t>
      </w:r>
      <w:r>
        <w:rPr/>
        <w:t>、由于会计政策变更，影响年初未分配利润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877" w:footer="1306" w:top="1060" w:bottom="150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15"/>
        <w:jc w:val="left"/>
      </w:pPr>
      <w:r>
        <w:rPr>
          <w:rFonts w:ascii="Times New Roman" w:hAnsi="Times New Roman" w:cs="Times New Roman" w:eastAsia="Times New Roman" w:hint="default"/>
        </w:rPr>
        <w:t>3)</w:t>
      </w:r>
      <w:r>
        <w:rPr/>
        <w:t>、由于重大会计差错更正，影响年初未分配利润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1115"/>
        <w:jc w:val="left"/>
      </w:pPr>
      <w:r>
        <w:rPr>
          <w:rFonts w:ascii="Times New Roman" w:hAnsi="Times New Roman" w:cs="Times New Roman" w:eastAsia="Times New Roman" w:hint="default"/>
        </w:rPr>
        <w:t>4)</w:t>
      </w:r>
      <w:r>
        <w:rPr/>
        <w:t>、由于同一控制导致的合并范围变更，影响年初未分配利润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26" w:lineRule="auto" w:before="101"/>
        <w:ind w:right="1115"/>
        <w:jc w:val="left"/>
      </w:pPr>
      <w:r>
        <w:rPr>
          <w:rFonts w:ascii="Times New Roman" w:hAnsi="Times New Roman" w:cs="Times New Roman" w:eastAsia="Times New Roman" w:hint="default"/>
        </w:rPr>
        <w:t>5)</w:t>
      </w:r>
      <w:r>
        <w:rPr/>
        <w:t>、其他调整合计影响年初未分配利润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spacing w:line="240" w:lineRule="auto" w:before="3"/>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1,293,359,649.51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1,463,773,386.80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69,075,359.85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60,340,588.23</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1,258,499,677.89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1,294,956,419.54</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1,293,359,649.51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1,157,328,649.51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1,463,773,386.80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1,206,410,450.41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1,293,359,649.51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1,157,328,649.51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1,463,773,386.80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1,206,410,450.41</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899,681,647.56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810,517,243.37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1,248,600,700.42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1,009,019,041.32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204,313,772.49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164,035,275.97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36,869,389.98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31,921,874.30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EVA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胶膜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44,731,022.49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41,242,008.50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30,320,595.79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26,694,657.94</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太阳能电池板</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102,625,343.06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96,195,556.46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117,557,249.82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109,750,704.79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9,269,375.27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14,459,348.10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32,738,488.64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30,879,217.11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30,425,450.79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29,024,172.06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1,293,359,649.51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1,157,328,649.51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1,463,773,386.80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1,206,410,450.41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6" w:top="1060" w:bottom="150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483,879,783.89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434,946,900.91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489,784,272.49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436,031,109.47</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809,479,865.62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722,381,748.60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973,989,114.31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770,379,340.94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1,293,359,649.51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1,157,328,649.51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1,463,773,386.80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1,206,410,450.41</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71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278"/>
              <w:jc w:val="left"/>
              <w:rPr>
                <w:rFonts w:ascii="Times New Roman" w:hAnsi="Times New Roman" w:cs="Times New Roman" w:eastAsia="Times New Roman" w:hint="default"/>
                <w:sz w:val="18"/>
                <w:szCs w:val="18"/>
              </w:rPr>
            </w:pPr>
            <w:r>
              <w:rPr>
                <w:rFonts w:ascii="Times New Roman"/>
                <w:sz w:val="18"/>
              </w:rPr>
              <w:t>SUMITOMO</w:t>
            </w:r>
            <w:r>
              <w:rPr>
                <w:rFonts w:ascii="Times New Roman"/>
                <w:spacing w:val="4"/>
                <w:sz w:val="18"/>
              </w:rPr>
              <w:t> </w:t>
            </w:r>
            <w:r>
              <w:rPr>
                <w:rFonts w:ascii="Times New Roman"/>
                <w:spacing w:val="-3"/>
                <w:sz w:val="18"/>
              </w:rPr>
              <w:t>CORPORATION</w:t>
            </w:r>
            <w:r>
              <w:rPr>
                <w:rFonts w:ascii="Times New Roman"/>
                <w:w w:val="99"/>
                <w:sz w:val="18"/>
              </w:rPr>
              <w:t> </w:t>
            </w:r>
            <w:r>
              <w:rPr>
                <w:rFonts w:ascii="Times New Roman"/>
                <w:sz w:val="18"/>
              </w:rPr>
              <w:t>(SHANGHAI )</w:t>
            </w:r>
            <w:r>
              <w:rPr>
                <w:rFonts w:ascii="Times New Roman"/>
                <w:spacing w:val="-4"/>
                <w:sz w:val="18"/>
              </w:rPr>
              <w:t> </w:t>
            </w:r>
            <w:r>
              <w:rPr>
                <w:rFonts w:ascii="Times New Roman"/>
                <w:spacing w:val="-7"/>
                <w:sz w:val="18"/>
              </w:rPr>
              <w:t>LTD</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415,542,335.33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30.5%</w:t>
            </w:r>
          </w:p>
        </w:tc>
      </w:tr>
      <w:tr>
        <w:trPr>
          <w:trHeight w:val="715"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78"/>
              <w:jc w:val="left"/>
              <w:rPr>
                <w:rFonts w:ascii="Times New Roman" w:hAnsi="Times New Roman" w:cs="Times New Roman" w:eastAsia="Times New Roman" w:hint="default"/>
                <w:sz w:val="18"/>
                <w:szCs w:val="18"/>
              </w:rPr>
            </w:pPr>
            <w:r>
              <w:rPr>
                <w:rFonts w:ascii="Times New Roman"/>
                <w:sz w:val="18"/>
              </w:rPr>
              <w:t>SUMITOMO</w:t>
            </w:r>
            <w:r>
              <w:rPr>
                <w:rFonts w:ascii="Times New Roman"/>
                <w:spacing w:val="4"/>
                <w:sz w:val="18"/>
              </w:rPr>
              <w:t> </w:t>
            </w:r>
            <w:r>
              <w:rPr>
                <w:rFonts w:ascii="Times New Roman"/>
                <w:spacing w:val="-3"/>
                <w:sz w:val="18"/>
              </w:rPr>
              <w:t>CORPORATION</w:t>
            </w:r>
            <w:r>
              <w:rPr>
                <w:rFonts w:ascii="Times New Roman"/>
                <w:w w:val="99"/>
                <w:sz w:val="18"/>
              </w:rPr>
              <w:t> </w:t>
            </w:r>
            <w:r>
              <w:rPr>
                <w:rFonts w:ascii="Times New Roman"/>
                <w:sz w:val="18"/>
              </w:rPr>
              <w:t>(HONGKONG)</w:t>
            </w:r>
            <w:r>
              <w:rPr>
                <w:rFonts w:ascii="Times New Roman"/>
                <w:spacing w:val="-3"/>
                <w:sz w:val="18"/>
              </w:rPr>
              <w:t> </w:t>
            </w:r>
            <w:r>
              <w:rPr>
                <w:rFonts w:ascii="Times New Roman"/>
                <w:spacing w:val="-7"/>
                <w:sz w:val="18"/>
              </w:rPr>
              <w:t>LTD</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102,625,343.06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7.53%</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常州天合光能有限公司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65,670,488.09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w:t>
            </w:r>
          </w:p>
        </w:tc>
      </w:tr>
      <w:tr>
        <w:trPr>
          <w:trHeight w:val="715"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8"/>
              <w:jc w:val="left"/>
              <w:rPr>
                <w:rFonts w:ascii="Times New Roman" w:hAnsi="Times New Roman" w:cs="Times New Roman" w:eastAsia="Times New Roman" w:hint="default"/>
                <w:sz w:val="18"/>
                <w:szCs w:val="18"/>
              </w:rPr>
            </w:pPr>
            <w:r>
              <w:rPr>
                <w:rFonts w:ascii="Times New Roman"/>
                <w:sz w:val="18"/>
              </w:rPr>
              <w:t>FLEXTRONICS</w:t>
            </w:r>
            <w:r>
              <w:rPr>
                <w:rFonts w:ascii="Times New Roman"/>
                <w:spacing w:val="-6"/>
                <w:sz w:val="18"/>
              </w:rPr>
              <w:t> </w:t>
            </w:r>
            <w:r>
              <w:rPr>
                <w:rFonts w:ascii="Times New Roman"/>
                <w:sz w:val="18"/>
              </w:rPr>
              <w:t>TECHNOLOGY</w:t>
            </w:r>
            <w:r>
              <w:rPr>
                <w:rFonts w:ascii="Times New Roman"/>
                <w:w w:val="99"/>
                <w:sz w:val="18"/>
              </w:rPr>
              <w:t> </w:t>
            </w:r>
            <w:r>
              <w:rPr>
                <w:rFonts w:ascii="Times New Roman"/>
                <w:spacing w:val="-3"/>
                <w:sz w:val="18"/>
              </w:rPr>
              <w:t>(MALAYSIA) </w:t>
            </w:r>
            <w:r>
              <w:rPr>
                <w:rFonts w:ascii="Times New Roman"/>
                <w:sz w:val="18"/>
              </w:rPr>
              <w:t>SDN</w:t>
            </w:r>
            <w:r>
              <w:rPr>
                <w:rFonts w:ascii="Times New Roman"/>
                <w:spacing w:val="10"/>
                <w:sz w:val="18"/>
              </w:rPr>
              <w:t> </w:t>
            </w:r>
            <w:r>
              <w:rPr>
                <w:rFonts w:ascii="Times New Roman"/>
                <w:sz w:val="18"/>
              </w:rPr>
              <w:t>BHD</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82,842,075.99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6.08%</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REC Modules Pte</w:t>
            </w:r>
            <w:r>
              <w:rPr>
                <w:rFonts w:ascii="Times New Roman"/>
                <w:spacing w:val="-6"/>
                <w:sz w:val="18"/>
              </w:rPr>
              <w:t> </w:t>
            </w:r>
            <w:r>
              <w:rPr>
                <w:rFonts w:ascii="Times New Roman"/>
                <w:sz w:val="18"/>
              </w:rPr>
              <w:t>Ltd</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58,252,737.62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724,932,980.09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53.21%</w:t>
            </w:r>
          </w:p>
        </w:tc>
      </w:tr>
    </w:tbl>
    <w:p>
      <w:pPr>
        <w:pStyle w:val="BodyText"/>
        <w:spacing w:line="240" w:lineRule="auto" w:before="49"/>
        <w:ind w:right="1115"/>
        <w:jc w:val="left"/>
      </w:pPr>
      <w:r>
        <w:rPr/>
        <w:t>营业收入的说明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6"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pStyle w:val="BodyText"/>
        <w:spacing w:line="240" w:lineRule="auto" w:before="49"/>
        <w:ind w:right="1115"/>
        <w:jc w:val="left"/>
      </w:pPr>
      <w:r>
        <w:rPr/>
        <w:t>合同项目的说明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78.051712pt;width:135pt;height:77pt;mso-position-horizontal-relative:page;mso-position-vertical-relative:paragraph;z-index:-966208" coordorigin="9206,1561" coordsize="2700,1540">
            <v:shape style="position:absolute;left:9206;top:1561;width:2700;height:1540" type="#_x0000_t75" stroked="false">
              <v:imagedata r:id="rId21" o:title=""/>
            </v:shape>
            <v:shape style="position:absolute;left:10502;top:1921;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136</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18,587.28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1,145,168.30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1,272,014.01</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9"/>
          <w:footerReference w:type="default" r:id="rId60"/>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95"/>
        <w:gridCol w:w="1992"/>
        <w:gridCol w:w="1863"/>
        <w:gridCol w:w="2921"/>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682,303.82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1,297,642.79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454,569.21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173,646.94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2,299,891.33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2,761,891.02</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营业税金及附加的说明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19,042,345.50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17,314,652.20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7,188,146.59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7,080,968.16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3,953,186.51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3,540,994.41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1,923,143.08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3,081,909.68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1,081,965.77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1,214,655.75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836,076.60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样品费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607,230.45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778,227.69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474,832.08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售后服务处理费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357,645.48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178,648.82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189,877.18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141,723.51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352,539.92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418,824.35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130,570.68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36,203,768.74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33,805,995.67</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70,408,267.95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54,512,260.68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12,249,279.38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25,287,919.61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12,222,227.41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7,574,574.25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9,229,886.78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5,355,005.99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6,846,071.01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7,317,270.83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4,554,235.84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4,993,245.74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4,560,447.72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4,557,222.11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3,521,677.78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2,630,614.58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2,660,069.77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1,471,432.19</w:t>
            </w:r>
          </w:p>
        </w:tc>
      </w:tr>
    </w:tbl>
    <w:p>
      <w:pPr>
        <w:spacing w:after="0" w:line="240" w:lineRule="auto"/>
        <w:jc w:val="right"/>
        <w:rPr>
          <w:rFonts w:ascii="Times New Roman" w:hAnsi="Times New Roman" w:cs="Times New Roman" w:eastAsia="Times New Roman" w:hint="default"/>
          <w:sz w:val="18"/>
          <w:szCs w:val="18"/>
        </w:rPr>
        <w:sectPr>
          <w:footerReference w:type="default" r:id="rId61"/>
          <w:pgSz w:w="11910" w:h="16840"/>
          <w:pgMar w:footer="1301" w:header="877" w:top="1060" w:bottom="1500" w:left="980" w:right="0"/>
          <w:pgNumType w:start="137"/>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1,861,098.21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1,737,040.02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17,515,674.49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11,206,188.70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145,628,936.34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126,642,774.70</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86,496,321.40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42,080,353.38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-10,773,891.09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-10,372,078.80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利息资本化金额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-27,895,981.95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-7,501,033.87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-4,440,705.33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10,237,229.62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4,934,719.31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5,008,220.45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48,320,462.34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39,452,690.78</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368,000.00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其中：衍生金融工具产生的公允价值变动收益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368,000.00</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800" w:type="dxa"/>
            <w:tcBorders>
              <w:top w:val="single" w:sz="4" w:space="0" w:color="000000"/>
              <w:left w:val="single" w:sz="10"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2,362,680.00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2,730,680.00</w:t>
            </w:r>
          </w:p>
        </w:tc>
      </w:tr>
    </w:tbl>
    <w:p>
      <w:pPr>
        <w:pStyle w:val="BodyText"/>
        <w:spacing w:line="240" w:lineRule="auto" w:before="49"/>
        <w:ind w:right="1115"/>
        <w:jc w:val="left"/>
      </w:pPr>
      <w:r>
        <w:rPr/>
        <w:t>公允价值变动收益的说明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5,125,819.34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21,552,530.28</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0"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163,197,272.29</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1,770,160.00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-3,671,750.00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6,895,979.34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181,078,052.57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1"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广东爱康太阳能科技有限公司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5,832,752.76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21,552,530.28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净利润变动</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江苏爱通新能源科技有限公司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-706,933.42</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净利润变动</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5,125,819.34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21,552,530.28</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1,967,822.61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815,271.74</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2,026,832.44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767,492.47</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7,529,460.21</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-7,529,460.21</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3,994,655.05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1,582,764.21</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82"/>
        <w:gridCol w:w="1956"/>
        <w:gridCol w:w="2160"/>
        <w:gridCol w:w="2161"/>
      </w:tblGrid>
      <w:tr>
        <w:trPr>
          <w:trHeight w:val="161" w:hRule="exact"/>
        </w:trPr>
        <w:tc>
          <w:tcPr>
            <w:tcW w:w="3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4" w:hRule="exact"/>
        </w:trPr>
        <w:tc>
          <w:tcPr>
            <w:tcW w:w="3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74,678.85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39,653.76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74,678.85</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74,678.85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39,653.76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74,678.85</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58,427,641.47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10,308,773.85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36,364,160.70</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439,294.62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398,092.38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439,294.62</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索赔收入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157,272.05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918,124.74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157,272.05</w:t>
            </w:r>
          </w:p>
        </w:tc>
      </w:tr>
      <w:tr>
        <w:trPr>
          <w:trHeight w:val="403"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954,345.27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136,221.06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954,345.27</w:t>
            </w:r>
          </w:p>
        </w:tc>
      </w:tr>
      <w:tr>
        <w:trPr>
          <w:trHeight w:val="4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60,053,232.26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11,801,615.79</w:t>
            </w: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01"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张家港保税区财政补贴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小企业拓展海外市场财政补贴收 入</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进出口信用保险保费扶持发展资 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340,471.00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中小企业发展专项引导资金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土地返还款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747,200.00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747,200.00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重大科技成果转化的专项引导资 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江阴市财政局商务发展专项资金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244,500.00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5MW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太阳能光伏</w:t>
            </w:r>
            <w:r>
              <w:rPr>
                <w:rFonts w:ascii="Times New Roman" w:hAnsi="Times New Roman" w:cs="Times New Roman" w:eastAsia="Times New Roman" w:hint="default"/>
                <w:sz w:val="18"/>
                <w:szCs w:val="18"/>
              </w:rPr>
              <w:t>/</w:t>
            </w:r>
            <w:r>
              <w:rPr>
                <w:rFonts w:ascii="宋体" w:hAnsi="宋体" w:cs="宋体" w:eastAsia="宋体" w:hint="default"/>
                <w:sz w:val="18"/>
                <w:szCs w:val="18"/>
              </w:rPr>
              <w:t>光热互补电站 集成技术研究项目经费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r>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4"/>
              <w:jc w:val="both"/>
              <w:rPr>
                <w:rFonts w:ascii="宋体" w:hAnsi="宋体" w:cs="宋体" w:eastAsia="宋体" w:hint="default"/>
                <w:sz w:val="18"/>
                <w:szCs w:val="18"/>
              </w:rPr>
            </w:pPr>
            <w:r>
              <w:rPr>
                <w:rFonts w:ascii="宋体" w:hAnsi="宋体" w:cs="宋体" w:eastAsia="宋体" w:hint="default"/>
                <w:sz w:val="18"/>
                <w:szCs w:val="18"/>
              </w:rPr>
              <w:t>青海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5MW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太阳能光伏双曲轴跟 踪发电系统的技术创新与规模化 应用补贴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光伏并网发电</w:t>
            </w:r>
            <w:r>
              <w:rPr>
                <w:rFonts w:ascii="Times New Roman" w:hAnsi="Times New Roman" w:cs="Times New Roman" w:eastAsia="Times New Roman" w:hint="default"/>
                <w:sz w:val="18"/>
                <w:szCs w:val="18"/>
              </w:rPr>
              <w:t>(5MW)</w:t>
            </w: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1,562,500.00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青海省电价附加补助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22,063,480.77</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省级商务发展专项资金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张家港市科技局专利资助款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光伏组件政府补助款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28,694,265.70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无锡市科技进步奖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江阴市民营中小企业工业发展专 项引导资金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突出贡献奖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技改投入先进单位奖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张家港经济开发区管理委员会补 贴款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江阴市财政局无锡市科技进步奖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就业资助和就业奖励款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企业做大做强和鼓励信息化建设 奖励款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111,300.00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摊位费返还款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62,395.00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重点产业发展引导资金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01" w:top="1060" w:bottom="15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经济转型升级专项扶持资金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太阳能边框产业补贴款</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江阴市财政局补贴款</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525,500.00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上市奖励款</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2,547,300.00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江阴市科技局创新奖补贴</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962,302.85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6" w:right="0"/>
              <w:jc w:val="left"/>
              <w:rPr>
                <w:rFonts w:ascii="Times New Roman" w:hAnsi="Times New Roman" w:cs="Times New Roman" w:eastAsia="Times New Roman" w:hint="default"/>
                <w:sz w:val="18"/>
                <w:szCs w:val="18"/>
              </w:rPr>
            </w:pPr>
            <w:r>
              <w:rPr>
                <w:rFonts w:ascii="Times New Roman"/>
                <w:sz w:val="18"/>
              </w:rPr>
              <w:t>58,427,641.47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10,308,773.85</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营业外收入说明</w:t>
      </w:r>
    </w:p>
    <w:p>
      <w:pPr>
        <w:pStyle w:val="BodyText"/>
        <w:spacing w:line="240" w:lineRule="auto" w:before="115"/>
        <w:ind w:left="633" w:right="1115"/>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月，本公司之子公司张家港保税区爱康商贸有限责任公司收到张家港保税区财政补贴</w:t>
      </w:r>
      <w:r>
        <w:rPr>
          <w:rFonts w:ascii="Times New Roman" w:hAnsi="Times New Roman" w:cs="Times New Roman" w:eastAsia="Times New Roman" w:hint="default"/>
        </w:rPr>
        <w:t>6,000.00</w:t>
      </w:r>
      <w:r>
        <w:rPr/>
        <w:t>元。</w:t>
      </w:r>
    </w:p>
    <w:p>
      <w:pPr>
        <w:pStyle w:val="BodyText"/>
        <w:spacing w:line="240" w:lineRule="auto" w:before="63"/>
        <w:ind w:left="633" w:right="1115"/>
        <w:jc w:val="left"/>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月，本公司之子公司无锡爱康太阳能电子科技有限公司收到江苏省拨付的中小企业国际市场开拓资金</w:t>
      </w:r>
    </w:p>
    <w:p>
      <w:pPr>
        <w:pStyle w:val="BodyText"/>
        <w:spacing w:line="240" w:lineRule="auto" w:before="63"/>
        <w:ind w:right="1115"/>
        <w:jc w:val="left"/>
      </w:pPr>
      <w:r>
        <w:rPr>
          <w:rFonts w:ascii="Times New Roman" w:hAnsi="Times New Roman" w:cs="Times New Roman" w:eastAsia="Times New Roman" w:hint="default"/>
        </w:rPr>
        <w:t>70,000.00</w:t>
      </w:r>
      <w:r>
        <w:rPr/>
        <w:t>元。</w:t>
      </w:r>
    </w:p>
    <w:p>
      <w:pPr>
        <w:pStyle w:val="BodyText"/>
        <w:spacing w:line="300" w:lineRule="auto" w:before="63"/>
        <w:ind w:right="1128" w:firstLine="480"/>
        <w:jc w:val="both"/>
      </w:pPr>
      <w:r>
        <w:rPr>
          <w:spacing w:val="-1"/>
        </w:rPr>
        <w:t>（</w:t>
      </w:r>
      <w:r>
        <w:rPr>
          <w:rFonts w:ascii="Times New Roman" w:hAnsi="Times New Roman" w:cs="Times New Roman" w:eastAsia="Times New Roman" w:hint="default"/>
          <w:spacing w:val="-1"/>
        </w:rPr>
        <w:t>3</w:t>
      </w:r>
      <w:r>
        <w:rPr>
          <w:spacing w:val="-1"/>
        </w:rPr>
        <w:t>）根据苏财工贸</w:t>
      </w:r>
      <w:r>
        <w:rPr>
          <w:rFonts w:ascii="Times New Roman" w:hAnsi="Times New Roman" w:cs="Times New Roman" w:eastAsia="Times New Roman" w:hint="default"/>
          <w:spacing w:val="-1"/>
        </w:rPr>
        <w:t>[2012]57</w:t>
      </w:r>
      <w:r>
        <w:rPr>
          <w:spacing w:val="-1"/>
        </w:rPr>
        <w:t>号江苏省商务厅关于组织申报</w:t>
      </w:r>
      <w:r>
        <w:rPr>
          <w:rFonts w:ascii="Times New Roman" w:hAnsi="Times New Roman" w:cs="Times New Roman" w:eastAsia="Times New Roman" w:hint="default"/>
          <w:spacing w:val="-1"/>
        </w:rPr>
        <w:t>2011</w:t>
      </w:r>
      <w:r>
        <w:rPr>
          <w:spacing w:val="-1"/>
        </w:rPr>
        <w:t>年度商务发展专项资金支持外经贸转型升级项目有关事</w:t>
      </w:r>
      <w:r>
        <w:rPr/>
        <w:t> </w:t>
      </w:r>
      <w:r>
        <w:rPr>
          <w:spacing w:val="-3"/>
        </w:rPr>
        <w:t>项的通知，本公司于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月收到</w:t>
      </w:r>
      <w:r>
        <w:rPr>
          <w:rFonts w:ascii="Times New Roman" w:hAnsi="Times New Roman" w:cs="Times New Roman" w:eastAsia="Times New Roman" w:hint="default"/>
          <w:spacing w:val="-3"/>
        </w:rPr>
        <w:t>2011</w:t>
      </w:r>
      <w:r>
        <w:rPr>
          <w:spacing w:val="-3"/>
        </w:rPr>
        <w:t>年下半年信保补贴</w:t>
      </w:r>
      <w:r>
        <w:rPr>
          <w:rFonts w:ascii="Times New Roman" w:hAnsi="Times New Roman" w:cs="Times New Roman" w:eastAsia="Times New Roman" w:hint="default"/>
          <w:spacing w:val="-3"/>
        </w:rPr>
        <w:t>310,700.00</w:t>
      </w:r>
      <w:r>
        <w:rPr>
          <w:spacing w:val="-3"/>
        </w:rPr>
        <w:t>元，于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月收到</w:t>
      </w:r>
      <w:r>
        <w:rPr>
          <w:rFonts w:ascii="Times New Roman" w:hAnsi="Times New Roman" w:cs="Times New Roman" w:eastAsia="Times New Roman" w:hint="default"/>
          <w:spacing w:val="-3"/>
        </w:rPr>
        <w:t>2012</w:t>
      </w:r>
      <w:r>
        <w:rPr>
          <w:spacing w:val="-3"/>
        </w:rPr>
        <w:t>年上半年信保补贴</w:t>
      </w:r>
      <w:r>
        <w:rPr>
          <w:rFonts w:ascii="Times New Roman" w:hAnsi="Times New Roman" w:cs="Times New Roman" w:eastAsia="Times New Roman" w:hint="default"/>
          <w:spacing w:val="-3"/>
        </w:rPr>
        <w:t>236,300.00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元。</w:t>
      </w:r>
    </w:p>
    <w:p>
      <w:pPr>
        <w:pStyle w:val="BodyText"/>
        <w:spacing w:line="240" w:lineRule="auto" w:before="31"/>
        <w:ind w:left="633" w:right="1115"/>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月，公司收到江阴市</w:t>
      </w:r>
      <w:r>
        <w:rPr>
          <w:rFonts w:ascii="Times New Roman" w:hAnsi="Times New Roman" w:cs="Times New Roman" w:eastAsia="Times New Roman" w:hint="default"/>
        </w:rPr>
        <w:t>2011</w:t>
      </w:r>
      <w:r>
        <w:rPr/>
        <w:t>年中小企业发展专项引导资金</w:t>
      </w:r>
      <w:r>
        <w:rPr>
          <w:rFonts w:ascii="Times New Roman" w:hAnsi="Times New Roman" w:cs="Times New Roman" w:eastAsia="Times New Roman" w:hint="default"/>
        </w:rPr>
        <w:t>681,000.00</w:t>
      </w:r>
      <w:r>
        <w:rPr/>
        <w:t>元。</w:t>
      </w:r>
    </w:p>
    <w:p>
      <w:pPr>
        <w:pStyle w:val="BodyText"/>
        <w:spacing w:line="300" w:lineRule="auto" w:before="63"/>
        <w:ind w:right="1131" w:firstLine="480"/>
        <w:jc w:val="both"/>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2011</w:t>
      </w:r>
      <w:r>
        <w:rPr>
          <w:spacing w:val="-2"/>
        </w:rPr>
        <w:t>年，本公司之子公司南通爱康金属科技有限公司收到土地返还款</w:t>
      </w:r>
      <w:r>
        <w:rPr>
          <w:rFonts w:ascii="Times New Roman" w:hAnsi="Times New Roman" w:cs="Times New Roman" w:eastAsia="Times New Roman" w:hint="default"/>
          <w:spacing w:val="-2"/>
        </w:rPr>
        <w:t>37,360,000.00</w:t>
      </w:r>
      <w:r>
        <w:rPr>
          <w:spacing w:val="-2"/>
        </w:rPr>
        <w:t>元，在相关土地使用权使用寿</w:t>
      </w:r>
      <w:r>
        <w:rPr/>
        <w:t> 命内分配计入当期损益，本年共摊销</w:t>
      </w:r>
      <w:r>
        <w:rPr>
          <w:rFonts w:ascii="Times New Roman" w:hAnsi="Times New Roman" w:cs="Times New Roman" w:eastAsia="Times New Roman" w:hint="default"/>
        </w:rPr>
        <w:t>747,200.00</w:t>
      </w:r>
      <w:r>
        <w:rPr/>
        <w:t>元。</w:t>
      </w:r>
    </w:p>
    <w:p>
      <w:pPr>
        <w:pStyle w:val="BodyText"/>
        <w:spacing w:line="300" w:lineRule="auto" w:before="13"/>
        <w:ind w:right="1128" w:firstLine="480"/>
        <w:jc w:val="both"/>
      </w:pPr>
      <w:r>
        <w:rPr>
          <w:spacing w:val="-1"/>
        </w:rPr>
        <w:t>（</w:t>
      </w: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2</w:t>
      </w:r>
      <w:r>
        <w:rPr>
          <w:spacing w:val="-1"/>
        </w:rPr>
        <w:t>月，根据苏财教</w:t>
      </w:r>
      <w:r>
        <w:rPr>
          <w:rFonts w:ascii="Times New Roman" w:hAnsi="Times New Roman" w:cs="Times New Roman" w:eastAsia="Times New Roman" w:hint="default"/>
          <w:spacing w:val="-1"/>
        </w:rPr>
        <w:t>[2010]218</w:t>
      </w:r>
      <w:r>
        <w:rPr>
          <w:spacing w:val="-1"/>
        </w:rPr>
        <w:t>号，本公司之子公司苏州爱康薄膜新材料有限公司收到江苏省</w:t>
      </w:r>
      <w:r>
        <w:rPr>
          <w:rFonts w:ascii="Times New Roman" w:hAnsi="Times New Roman" w:cs="Times New Roman" w:eastAsia="Times New Roman" w:hint="default"/>
          <w:spacing w:val="-1"/>
        </w:rPr>
        <w:t>2010</w:t>
      </w:r>
      <w:r>
        <w:rPr>
          <w:spacing w:val="-1"/>
        </w:rPr>
        <w:t>年第十五批</w:t>
      </w:r>
      <w:r>
        <w:rPr/>
        <w:t> 省级科技创新与成果转化专项引导资金</w:t>
      </w:r>
      <w:r>
        <w:rPr>
          <w:rFonts w:ascii="Times New Roman" w:hAnsi="Times New Roman" w:cs="Times New Roman" w:eastAsia="Times New Roman" w:hint="default"/>
        </w:rPr>
        <w:t>2,250,000.00</w:t>
      </w:r>
      <w:r>
        <w:rPr/>
        <w:t>元，本年计入损益</w:t>
      </w:r>
      <w:r>
        <w:rPr>
          <w:rFonts w:ascii="Times New Roman" w:hAnsi="Times New Roman" w:cs="Times New Roman" w:eastAsia="Times New Roman" w:hint="default"/>
        </w:rPr>
        <w:t>1,332,000.00</w:t>
      </w:r>
      <w:r>
        <w:rPr/>
        <w:t>元。</w:t>
      </w:r>
    </w:p>
    <w:p>
      <w:pPr>
        <w:pStyle w:val="BodyText"/>
        <w:spacing w:line="300" w:lineRule="auto" w:before="13"/>
        <w:ind w:right="1131" w:firstLine="480"/>
        <w:jc w:val="both"/>
      </w:pPr>
      <w:r>
        <w:rPr>
          <w:spacing w:val="-1"/>
        </w:rPr>
        <w:t>（</w:t>
      </w:r>
      <w:r>
        <w:rPr>
          <w:rFonts w:ascii="Times New Roman" w:hAnsi="Times New Roman" w:cs="Times New Roman" w:eastAsia="Times New Roman" w:hint="default"/>
          <w:spacing w:val="-1"/>
        </w:rPr>
        <w:t>7</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月，根据苏财工贸</w:t>
      </w:r>
      <w:r>
        <w:rPr>
          <w:rFonts w:ascii="Times New Roman" w:hAnsi="Times New Roman" w:cs="Times New Roman" w:eastAsia="Times New Roman" w:hint="default"/>
          <w:spacing w:val="-1"/>
        </w:rPr>
        <w:t>[2012]57</w:t>
      </w:r>
      <w:r>
        <w:rPr>
          <w:spacing w:val="-1"/>
        </w:rPr>
        <w:t>号江苏省商务厅关于组织申报</w:t>
      </w:r>
      <w:r>
        <w:rPr>
          <w:rFonts w:ascii="Times New Roman" w:hAnsi="Times New Roman" w:cs="Times New Roman" w:eastAsia="Times New Roman" w:hint="default"/>
          <w:spacing w:val="-1"/>
        </w:rPr>
        <w:t>2011</w:t>
      </w:r>
      <w:r>
        <w:rPr>
          <w:spacing w:val="-1"/>
        </w:rPr>
        <w:t>年度商务发展专项资金支持外经贸转型升</w:t>
      </w:r>
      <w:r>
        <w:rPr/>
        <w:t> 级项目有关事项的通知，本公司收到商务发展专项资金</w:t>
      </w:r>
      <w:r>
        <w:rPr>
          <w:rFonts w:ascii="Times New Roman" w:hAnsi="Times New Roman" w:cs="Times New Roman" w:eastAsia="Times New Roman" w:hint="default"/>
        </w:rPr>
        <w:t>244,500.00</w:t>
      </w:r>
      <w:r>
        <w:rPr/>
        <w:t>元。</w:t>
      </w:r>
    </w:p>
    <w:p>
      <w:pPr>
        <w:pStyle w:val="BodyText"/>
        <w:spacing w:line="240" w:lineRule="auto" w:before="13"/>
        <w:ind w:left="633" w:right="1115"/>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月，根据青海省科学技术厅</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日下发的《关于下达二</w:t>
      </w:r>
      <w:r>
        <w:rPr>
          <w:rFonts w:ascii="Times New Roman" w:hAnsi="Times New Roman" w:cs="Times New Roman" w:eastAsia="Times New Roman" w:hint="default"/>
        </w:rPr>
        <w:t>○</w:t>
      </w:r>
      <w:r>
        <w:rPr/>
        <w:t>一二年第一批科技项目计划的通知》</w:t>
      </w:r>
    </w:p>
    <w:p>
      <w:pPr>
        <w:pStyle w:val="BodyText"/>
        <w:spacing w:line="300" w:lineRule="auto" w:before="63"/>
        <w:ind w:right="1119"/>
        <w:jc w:val="left"/>
      </w:pPr>
      <w:r>
        <w:rPr/>
        <w:t>（青科发计字【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136</w:t>
      </w:r>
      <w:r>
        <w:rPr>
          <w:rFonts w:ascii="Times New Roman" w:hAnsi="Times New Roman" w:cs="Times New Roman" w:eastAsia="Times New Roman" w:hint="default"/>
          <w:spacing w:val="30"/>
        </w:rPr>
        <w:t> </w:t>
      </w:r>
      <w:r>
        <w:rPr/>
        <w:t>号），本公司之孙公司青海蓓翔新能源开发有限公司收到</w:t>
      </w:r>
      <w:r>
        <w:rPr>
          <w:rFonts w:ascii="Times New Roman" w:hAnsi="Times New Roman" w:cs="Times New Roman" w:eastAsia="Times New Roman" w:hint="default"/>
        </w:rPr>
        <w:t>5MW</w:t>
      </w:r>
      <w:r>
        <w:rPr/>
        <w:t>太阳能光伏</w:t>
      </w:r>
      <w:r>
        <w:rPr>
          <w:rFonts w:ascii="Times New Roman" w:hAnsi="Times New Roman" w:cs="Times New Roman" w:eastAsia="Times New Roman" w:hint="default"/>
        </w:rPr>
        <w:t>/</w:t>
      </w:r>
      <w:r>
        <w:rPr/>
        <w:t>光热互补电站集成技 术研究项目补贴</w:t>
      </w:r>
      <w:r>
        <w:rPr>
          <w:rFonts w:ascii="Times New Roman" w:hAnsi="Times New Roman" w:cs="Times New Roman" w:eastAsia="Times New Roman" w:hint="default"/>
        </w:rPr>
        <w:t>800,000.00</w:t>
      </w:r>
      <w:r>
        <w:rPr/>
        <w:t>元。</w:t>
      </w:r>
    </w:p>
    <w:p>
      <w:pPr>
        <w:pStyle w:val="BodyText"/>
        <w:spacing w:line="300" w:lineRule="auto" w:before="13"/>
        <w:ind w:right="1128" w:firstLine="480"/>
        <w:jc w:val="both"/>
      </w:pPr>
      <w:r>
        <w:rPr/>
        <w:t>（</w:t>
      </w:r>
      <w:r>
        <w:rPr>
          <w:rFonts w:ascii="Times New Roman" w:hAnsi="Times New Roman" w:cs="Times New Roman" w:eastAsia="Times New Roman" w:hint="default"/>
        </w:rPr>
        <w:t>9</w:t>
      </w:r>
      <w:r>
        <w:rPr/>
        <w:t>）根据青海省财政厅《关于下达</w:t>
      </w:r>
      <w:r>
        <w:rPr>
          <w:rFonts w:ascii="Times New Roman" w:hAnsi="Times New Roman" w:cs="Times New Roman" w:eastAsia="Times New Roman" w:hint="default"/>
        </w:rPr>
        <w:t>2010</w:t>
      </w:r>
      <w:r>
        <w:rPr/>
        <w:t>年第二批企业技术创新资金的通知》（青财建字</w:t>
      </w:r>
      <w:r>
        <w:rPr>
          <w:rFonts w:ascii="Times New Roman" w:hAnsi="Times New Roman" w:cs="Times New Roman" w:eastAsia="Times New Roman" w:hint="default"/>
        </w:rPr>
        <w:t>[2010]808</w:t>
      </w:r>
      <w:r>
        <w:rPr/>
        <w:t>号），本公司之孙 公司青海蓓翔新能源开发有限公司于</w:t>
      </w:r>
      <w:r>
        <w:rPr>
          <w:rFonts w:ascii="Times New Roman" w:hAnsi="Times New Roman" w:cs="Times New Roman" w:eastAsia="Times New Roman" w:hint="default"/>
        </w:rPr>
        <w:t>2011</w:t>
      </w:r>
      <w:r>
        <w:rPr/>
        <w:t>年收到</w:t>
      </w:r>
      <w:r>
        <w:rPr>
          <w:rFonts w:ascii="Times New Roman" w:hAnsi="Times New Roman" w:cs="Times New Roman" w:eastAsia="Times New Roman" w:hint="default"/>
        </w:rPr>
        <w:t>“</w:t>
      </w:r>
      <w:r>
        <w:rPr/>
        <w:t>青海</w:t>
      </w:r>
      <w:r>
        <w:rPr>
          <w:rFonts w:ascii="Times New Roman" w:hAnsi="Times New Roman" w:cs="Times New Roman" w:eastAsia="Times New Roman" w:hint="default"/>
        </w:rPr>
        <w:t>5MW</w:t>
      </w:r>
      <w:r>
        <w:rPr/>
        <w:t>太阳能光伏双曲轴跟踪发电系统的技术创新与规模化应用</w:t>
      </w:r>
      <w:r>
        <w:rPr>
          <w:rFonts w:ascii="Times New Roman" w:hAnsi="Times New Roman" w:cs="Times New Roman" w:eastAsia="Times New Roman" w:hint="default"/>
        </w:rPr>
        <w:t>”</w:t>
      </w:r>
      <w:r>
        <w:rPr/>
        <w:t>项目</w:t>
      </w:r>
      <w:r>
        <w:rPr>
          <w:spacing w:val="-36"/>
        </w:rPr>
        <w:t> </w:t>
      </w:r>
      <w:r>
        <w:rPr/>
        <w:t>的补助资金。由于该项目已经于本年完工并网发电，所得补助资金转入当期损益。</w:t>
      </w:r>
    </w:p>
    <w:p>
      <w:pPr>
        <w:pStyle w:val="BodyText"/>
        <w:spacing w:line="240" w:lineRule="auto" w:before="31"/>
        <w:ind w:left="633" w:right="1115"/>
        <w:jc w:val="left"/>
      </w:pPr>
      <w:r>
        <w:rPr>
          <w:spacing w:val="2"/>
        </w:rPr>
        <w:t>（</w:t>
      </w:r>
      <w:r>
        <w:rPr>
          <w:rFonts w:ascii="Times New Roman" w:hAnsi="Times New Roman" w:cs="Times New Roman" w:eastAsia="Times New Roman" w:hint="default"/>
          <w:spacing w:val="2"/>
        </w:rPr>
        <w:t>10</w:t>
      </w:r>
      <w:r>
        <w:rPr>
          <w:spacing w:val="2"/>
        </w:rPr>
        <w:t>）本公司之孙公司青海蓓翔新能源开发有限公司收到青海省海南州共和县光伏并网发电</w:t>
      </w:r>
      <w:r>
        <w:rPr>
          <w:rFonts w:ascii="Times New Roman" w:hAnsi="Times New Roman" w:cs="Times New Roman" w:eastAsia="Times New Roman" w:hint="default"/>
          <w:spacing w:val="2"/>
        </w:rPr>
        <w:t>(5MW)</w:t>
      </w:r>
      <w:r>
        <w:rPr>
          <w:spacing w:val="2"/>
        </w:rPr>
        <w:t>项目财政补贴款</w:t>
      </w:r>
    </w:p>
    <w:p>
      <w:pPr>
        <w:pStyle w:val="BodyText"/>
        <w:spacing w:line="240" w:lineRule="auto" w:before="63"/>
        <w:ind w:right="1115"/>
        <w:jc w:val="left"/>
      </w:pPr>
      <w:r>
        <w:rPr>
          <w:rFonts w:ascii="Times New Roman" w:hAnsi="Times New Roman" w:cs="Times New Roman" w:eastAsia="Times New Roman" w:hint="default"/>
        </w:rPr>
        <w:t>62,500,000.00</w:t>
      </w:r>
      <w:r>
        <w:rPr/>
        <w:t>元，在相关资产使用寿命内分配计入当期损益，本年共摊销</w:t>
      </w:r>
      <w:r>
        <w:rPr>
          <w:rFonts w:ascii="Times New Roman" w:hAnsi="Times New Roman" w:cs="Times New Roman" w:eastAsia="Times New Roman" w:hint="default"/>
        </w:rPr>
        <w:t>1,562,500.00</w:t>
      </w:r>
      <w:r>
        <w:rPr/>
        <w:t>元。</w:t>
      </w:r>
    </w:p>
    <w:p>
      <w:pPr>
        <w:pStyle w:val="BodyText"/>
        <w:spacing w:line="309" w:lineRule="auto" w:before="63"/>
        <w:ind w:right="1134" w:firstLine="480"/>
        <w:jc w:val="both"/>
      </w:pPr>
      <w:r>
        <w:rPr/>
        <w:t>（</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2012</w:t>
      </w:r>
      <w:r>
        <w:rPr/>
        <w:t>年，根据发改价格</w:t>
      </w:r>
      <w:r>
        <w:rPr>
          <w:rFonts w:ascii="Times New Roman" w:hAnsi="Times New Roman" w:cs="Times New Roman" w:eastAsia="Times New Roman" w:hint="default"/>
        </w:rPr>
        <w:t>[2011]1594</w:t>
      </w:r>
      <w:r>
        <w:rPr/>
        <w:t>号文《国家发展改革委关于完善太阳能光伏发电上网电价政策的通知》，本 </w:t>
      </w:r>
      <w:r>
        <w:rPr>
          <w:spacing w:val="12"/>
        </w:rPr>
        <w:t>公司之孙公司青海蓓翔新能源开发有限公司按上网电价与当地脱硫燃煤机组标杆上网电价之间的差额计算电价补贴</w:t>
      </w:r>
      <w:r>
        <w:rPr/>
        <w:t> </w:t>
      </w:r>
      <w:r>
        <w:rPr>
          <w:rFonts w:ascii="Times New Roman" w:hAnsi="Times New Roman" w:cs="Times New Roman" w:eastAsia="Times New Roman" w:hint="default"/>
        </w:rPr>
        <w:t>22,063,480.77</w:t>
      </w:r>
      <w:r>
        <w:rPr/>
        <w:t>元。</w:t>
      </w:r>
    </w:p>
    <w:p>
      <w:pPr>
        <w:pStyle w:val="BodyText"/>
        <w:spacing w:line="240" w:lineRule="auto" w:before="5"/>
        <w:ind w:left="633" w:right="0"/>
        <w:jc w:val="left"/>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月，本公司之子公司苏州爱康薄膜新材料有限公司收到张家港市财政局支付的省级商务发展专项资金</w:t>
      </w:r>
    </w:p>
    <w:p>
      <w:pPr>
        <w:pStyle w:val="BodyText"/>
        <w:spacing w:line="240" w:lineRule="auto" w:before="63"/>
        <w:ind w:right="1115"/>
        <w:jc w:val="left"/>
      </w:pPr>
      <w:r>
        <w:rPr>
          <w:rFonts w:ascii="Times New Roman" w:hAnsi="Times New Roman" w:cs="Times New Roman" w:eastAsia="Times New Roman" w:hint="default"/>
        </w:rPr>
        <w:t>1,000,000.00</w:t>
      </w:r>
      <w:r>
        <w:rPr/>
        <w:t>元。</w:t>
      </w:r>
    </w:p>
    <w:p>
      <w:pPr>
        <w:pStyle w:val="BodyText"/>
        <w:spacing w:line="300" w:lineRule="auto" w:before="63"/>
        <w:ind w:right="1132" w:firstLine="480"/>
        <w:jc w:val="both"/>
      </w:pPr>
      <w:r>
        <w:rPr>
          <w:spacing w:val="-1"/>
        </w:rPr>
        <w:t>（</w:t>
      </w:r>
      <w:r>
        <w:rPr>
          <w:rFonts w:ascii="Times New Roman" w:hAnsi="Times New Roman" w:cs="Times New Roman" w:eastAsia="Times New Roman" w:hint="default"/>
          <w:spacing w:val="-1"/>
        </w:rPr>
        <w:t>13</w:t>
      </w:r>
      <w:r>
        <w:rPr>
          <w:spacing w:val="-1"/>
        </w:rPr>
        <w:t>）</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月，本公司之子公司苏州爱康薄膜新材料有限公司收到张家港市财政局支付的张家港市科技局专利资</w:t>
      </w:r>
      <w:r>
        <w:rPr/>
        <w:t> 助款</w:t>
      </w:r>
      <w:r>
        <w:rPr>
          <w:rFonts w:ascii="Times New Roman" w:hAnsi="Times New Roman" w:cs="Times New Roman" w:eastAsia="Times New Roman" w:hint="default"/>
        </w:rPr>
        <w:t>9,000.00</w:t>
      </w:r>
      <w:r>
        <w:rPr/>
        <w:t>元。</w:t>
      </w:r>
    </w:p>
    <w:p>
      <w:pPr>
        <w:pStyle w:val="BodyText"/>
        <w:spacing w:line="300" w:lineRule="auto" w:before="13"/>
        <w:ind w:right="1128" w:firstLine="480"/>
        <w:jc w:val="both"/>
      </w:pPr>
      <w:r>
        <w:rPr>
          <w:spacing w:val="-1"/>
        </w:rPr>
        <w:t>（</w:t>
      </w:r>
      <w:r>
        <w:rPr>
          <w:rFonts w:ascii="Times New Roman" w:hAnsi="Times New Roman" w:cs="Times New Roman" w:eastAsia="Times New Roman" w:hint="default"/>
          <w:spacing w:val="-1"/>
        </w:rPr>
        <w:t>14</w:t>
      </w:r>
      <w:r>
        <w:rPr>
          <w:spacing w:val="-1"/>
        </w:rPr>
        <w:t>）根据张家港市人民政府张政办抄</w:t>
      </w:r>
      <w:r>
        <w:rPr>
          <w:rFonts w:ascii="Times New Roman" w:hAnsi="Times New Roman" w:cs="Times New Roman" w:eastAsia="Times New Roman" w:hint="default"/>
          <w:spacing w:val="-1"/>
        </w:rPr>
        <w:t>[2012]2</w:t>
      </w:r>
      <w:r>
        <w:rPr>
          <w:spacing w:val="-1"/>
        </w:rPr>
        <w:t>号文件，采购张家港市光伏企业生产的组件可以按照</w:t>
      </w:r>
      <w:r>
        <w:rPr>
          <w:rFonts w:ascii="Times New Roman" w:hAnsi="Times New Roman" w:cs="Times New Roman" w:eastAsia="Times New Roman" w:hint="default"/>
          <w:spacing w:val="-1"/>
        </w:rPr>
        <w:t>0.40</w:t>
      </w:r>
      <w:r>
        <w:rPr>
          <w:spacing w:val="-1"/>
        </w:rPr>
        <w:t>元</w:t>
      </w:r>
      <w:r>
        <w:rPr>
          <w:rFonts w:ascii="Times New Roman" w:hAnsi="Times New Roman" w:cs="Times New Roman" w:eastAsia="Times New Roman" w:hint="default"/>
          <w:spacing w:val="-1"/>
        </w:rPr>
        <w:t>/</w:t>
      </w:r>
      <w:r>
        <w:rPr>
          <w:spacing w:val="-1"/>
        </w:rPr>
        <w:t>瓦的标准获</w:t>
      </w:r>
      <w:r>
        <w:rPr/>
        <w:t> </w:t>
      </w:r>
      <w:r>
        <w:rPr>
          <w:spacing w:val="-2"/>
        </w:rPr>
        <w:t>得补助。《企业会计准则</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政府补助》规定，按照固定的定额标准拨付的，可以按照应收的金额计量。本公司之子公司</w:t>
      </w:r>
      <w:r>
        <w:rPr>
          <w:spacing w:val="-65"/>
        </w:rPr>
        <w:t> </w:t>
      </w:r>
      <w:r>
        <w:rPr>
          <w:spacing w:val="-65"/>
        </w:rPr>
      </w:r>
      <w:r>
        <w:rPr>
          <w:spacing w:val="14"/>
        </w:rPr>
        <w:t>苏州爱康电力开发有限公司和孙公司苏州中康电力开发有限公司合计采购符合条件的组件</w:t>
      </w:r>
      <w:r>
        <w:rPr>
          <w:spacing w:val="-59"/>
        </w:rPr>
        <w:t> </w:t>
      </w:r>
      <w:r>
        <w:rPr>
          <w:rFonts w:ascii="Times New Roman" w:hAnsi="Times New Roman" w:cs="Times New Roman" w:eastAsia="Times New Roman" w:hint="default"/>
        </w:rPr>
        <w:t>71,735,664.25</w:t>
      </w:r>
      <w:r>
        <w:rPr>
          <w:rFonts w:ascii="Times New Roman" w:hAnsi="Times New Roman" w:cs="Times New Roman" w:eastAsia="Times New Roman" w:hint="default"/>
          <w:spacing w:val="-22"/>
        </w:rPr>
        <w:t> </w:t>
      </w:r>
      <w:r>
        <w:rPr>
          <w:spacing w:val="11"/>
        </w:rPr>
        <w:t>瓦，可获得</w:t>
      </w:r>
      <w:r>
        <w:rPr>
          <w:spacing w:val="-80"/>
        </w:rPr>
        <w:t> </w:t>
      </w:r>
      <w:r>
        <w:rPr>
          <w:spacing w:val="-80"/>
        </w:rPr>
      </w:r>
      <w:r>
        <w:rPr>
          <w:rFonts w:ascii="Times New Roman" w:hAnsi="Times New Roman" w:cs="Times New Roman" w:eastAsia="Times New Roman" w:hint="default"/>
        </w:rPr>
        <w:t>28,694,265.70</w:t>
      </w:r>
      <w:r>
        <w:rPr/>
        <w:t>元组件采购补贴。</w:t>
      </w:r>
    </w:p>
    <w:p>
      <w:pPr>
        <w:pStyle w:val="BodyText"/>
        <w:spacing w:line="240" w:lineRule="auto" w:before="13"/>
        <w:ind w:left="633" w:right="1115"/>
        <w:jc w:val="left"/>
      </w:pP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月，本公司收到无锡市科技进步奖</w:t>
      </w:r>
      <w:r>
        <w:rPr>
          <w:rFonts w:ascii="Times New Roman" w:hAnsi="Times New Roman" w:cs="Times New Roman" w:eastAsia="Times New Roman" w:hint="default"/>
        </w:rPr>
        <w:t>10,000.00</w:t>
      </w:r>
      <w:r>
        <w:rPr/>
        <w:t>元。</w:t>
      </w:r>
    </w:p>
    <w:p>
      <w:pPr>
        <w:pStyle w:val="BodyText"/>
        <w:spacing w:line="300" w:lineRule="auto" w:before="63"/>
        <w:ind w:right="1132" w:firstLine="480"/>
        <w:jc w:val="both"/>
      </w:pPr>
      <w:r>
        <w:rPr/>
        <w:t>（</w:t>
      </w:r>
      <w:r>
        <w:rPr>
          <w:rFonts w:ascii="Times New Roman" w:hAnsi="Times New Roman" w:cs="Times New Roman" w:eastAsia="Times New Roman" w:hint="default"/>
        </w:rPr>
        <w:t>16</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月，根据澄经信发</w:t>
      </w:r>
      <w:r>
        <w:rPr>
          <w:rFonts w:ascii="Times New Roman" w:hAnsi="Times New Roman" w:cs="Times New Roman" w:eastAsia="Times New Roman" w:hint="default"/>
        </w:rPr>
        <w:t>[2012]5</w:t>
      </w:r>
      <w:r>
        <w:rPr/>
        <w:t>号和澄财工贸</w:t>
      </w:r>
      <w:r>
        <w:rPr>
          <w:rFonts w:ascii="Times New Roman" w:hAnsi="Times New Roman" w:cs="Times New Roman" w:eastAsia="Times New Roman" w:hint="default"/>
        </w:rPr>
        <w:t>[2012]2</w:t>
      </w:r>
      <w:r>
        <w:rPr/>
        <w:t>号，本公司收到江阴市民营中小企业工业发展专项引导 资金</w:t>
      </w:r>
      <w:r>
        <w:rPr>
          <w:rFonts w:ascii="Times New Roman" w:hAnsi="Times New Roman" w:cs="Times New Roman" w:eastAsia="Times New Roman" w:hint="default"/>
        </w:rPr>
        <w:t>50,000.00</w:t>
      </w:r>
      <w:r>
        <w:rPr/>
        <w:t>元。</w:t>
      </w:r>
    </w:p>
    <w:p>
      <w:pPr>
        <w:spacing w:after="0" w:line="300" w:lineRule="auto"/>
        <w:jc w:val="both"/>
        <w:sectPr>
          <w:pgSz w:w="11910" w:h="16840"/>
          <w:pgMar w:header="877" w:footer="1301"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633" w:right="1115"/>
        <w:jc w:val="left"/>
      </w:pPr>
      <w:r>
        <w:rPr/>
        <w:t>（</w:t>
      </w:r>
      <w:r>
        <w:rPr>
          <w:rFonts w:ascii="Times New Roman" w:hAnsi="Times New Roman" w:cs="Times New Roman" w:eastAsia="Times New Roman" w:hint="default"/>
        </w:rPr>
        <w:t>17</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月，本公司收到张家港市杨舍镇财政集中收付中心支付的突出贡献奖</w:t>
      </w:r>
      <w:r>
        <w:rPr>
          <w:rFonts w:ascii="Times New Roman" w:hAnsi="Times New Roman" w:cs="Times New Roman" w:eastAsia="Times New Roman" w:hint="default"/>
        </w:rPr>
        <w:t>100,000.00</w:t>
      </w:r>
      <w:r>
        <w:rPr/>
        <w:t>元。</w:t>
      </w:r>
    </w:p>
    <w:p>
      <w:pPr>
        <w:pStyle w:val="BodyText"/>
        <w:spacing w:line="240" w:lineRule="auto" w:before="63"/>
        <w:ind w:left="633" w:right="1115"/>
        <w:jc w:val="left"/>
      </w:pPr>
      <w:r>
        <w:rPr/>
        <w:t>（</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月，本公司收到张家港市杨舍镇财政集中收付中心支付的技改投入先进单位奖</w:t>
      </w:r>
      <w:r>
        <w:rPr>
          <w:rFonts w:ascii="Times New Roman" w:hAnsi="Times New Roman" w:cs="Times New Roman" w:eastAsia="Times New Roman" w:hint="default"/>
        </w:rPr>
        <w:t>10,000.00</w:t>
      </w:r>
      <w:r>
        <w:rPr/>
        <w:t>元。</w:t>
      </w:r>
    </w:p>
    <w:p>
      <w:pPr>
        <w:pStyle w:val="BodyText"/>
        <w:spacing w:line="240" w:lineRule="auto" w:before="63"/>
        <w:ind w:left="633" w:right="1115"/>
        <w:jc w:val="left"/>
      </w:pPr>
      <w:r>
        <w:rPr/>
        <w:t>（</w:t>
      </w:r>
      <w:r>
        <w:rPr>
          <w:rFonts w:ascii="Times New Roman" w:hAnsi="Times New Roman" w:cs="Times New Roman" w:eastAsia="Times New Roman" w:hint="default"/>
        </w:rPr>
        <w:t>19</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月，本公司收到张家港经济开发区管理委员会补贴款</w:t>
      </w:r>
      <w:r>
        <w:rPr>
          <w:rFonts w:ascii="Times New Roman" w:hAnsi="Times New Roman" w:cs="Times New Roman" w:eastAsia="Times New Roman" w:hint="default"/>
        </w:rPr>
        <w:t>10,000.00</w:t>
      </w:r>
      <w:r>
        <w:rPr/>
        <w:t>元。</w:t>
      </w:r>
    </w:p>
    <w:p>
      <w:pPr>
        <w:pStyle w:val="BodyText"/>
        <w:spacing w:line="240" w:lineRule="auto" w:before="63"/>
        <w:ind w:left="633" w:right="1115"/>
        <w:jc w:val="left"/>
      </w:pPr>
      <w:r>
        <w:rPr/>
        <w:t>（</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月，本公司收到江阴市财政局无锡市科技进步奖</w:t>
      </w:r>
      <w:r>
        <w:rPr>
          <w:rFonts w:ascii="Times New Roman" w:hAnsi="Times New Roman" w:cs="Times New Roman" w:eastAsia="Times New Roman" w:hint="default"/>
        </w:rPr>
        <w:t>10,000.00</w:t>
      </w:r>
      <w:r>
        <w:rPr/>
        <w:t>元。</w:t>
      </w:r>
    </w:p>
    <w:p>
      <w:pPr>
        <w:pStyle w:val="BodyText"/>
        <w:spacing w:line="240" w:lineRule="auto" w:before="63"/>
        <w:ind w:left="633" w:right="1115"/>
        <w:jc w:val="left"/>
      </w:pPr>
      <w:r>
        <w:rPr/>
        <w:t>（</w:t>
      </w:r>
      <w:r>
        <w:rPr>
          <w:rFonts w:ascii="Times New Roman" w:hAnsi="Times New Roman" w:cs="Times New Roman" w:eastAsia="Times New Roman" w:hint="default"/>
        </w:rPr>
        <w:t>21</w:t>
      </w:r>
      <w:r>
        <w:rPr/>
        <w:t>）</w:t>
      </w:r>
      <w:r>
        <w:rPr>
          <w:rFonts w:ascii="Times New Roman" w:hAnsi="Times New Roman" w:cs="Times New Roman" w:eastAsia="Times New Roman" w:hint="default"/>
        </w:rPr>
        <w:t>2012</w:t>
      </w:r>
      <w:r>
        <w:rPr/>
        <w:t>年，本公司之子公司南通爱康金属科技有限公司根据皋人字</w:t>
      </w:r>
      <w:r>
        <w:rPr>
          <w:rFonts w:ascii="Times New Roman" w:hAnsi="Times New Roman" w:cs="Times New Roman" w:eastAsia="Times New Roman" w:hint="default"/>
        </w:rPr>
        <w:t>[2009]54</w:t>
      </w:r>
      <w:r>
        <w:rPr/>
        <w:t>号文收到政府就业资助和就业奖励款</w:t>
      </w:r>
    </w:p>
    <w:p>
      <w:pPr>
        <w:pStyle w:val="BodyText"/>
        <w:spacing w:line="240" w:lineRule="auto" w:before="63"/>
        <w:ind w:right="1115"/>
        <w:jc w:val="left"/>
      </w:pPr>
      <w:r>
        <w:rPr>
          <w:rFonts w:ascii="Times New Roman" w:hAnsi="Times New Roman" w:cs="Times New Roman" w:eastAsia="Times New Roman" w:hint="default"/>
        </w:rPr>
        <w:t>7,000.00</w:t>
      </w:r>
      <w:r>
        <w:rPr/>
        <w:t>元。</w:t>
      </w:r>
    </w:p>
    <w:p>
      <w:pPr>
        <w:pStyle w:val="BodyText"/>
        <w:spacing w:line="300" w:lineRule="auto" w:before="63"/>
        <w:ind w:right="1115" w:firstLine="480"/>
        <w:jc w:val="left"/>
      </w:pPr>
      <w:r>
        <w:rPr/>
        <w:t>（</w:t>
      </w:r>
      <w:r>
        <w:rPr>
          <w:rFonts w:ascii="Times New Roman" w:hAnsi="Times New Roman" w:cs="Times New Roman" w:eastAsia="Times New Roman" w:hint="default"/>
        </w:rPr>
        <w:t>22</w:t>
      </w:r>
      <w:r>
        <w:rPr/>
        <w:t>）</w:t>
      </w:r>
      <w:r>
        <w:rPr>
          <w:rFonts w:ascii="Times New Roman" w:hAnsi="Times New Roman" w:cs="Times New Roman" w:eastAsia="Times New Roman" w:hint="default"/>
        </w:rPr>
        <w:t>2012</w:t>
      </w:r>
      <w:r>
        <w:rPr/>
        <w:t>年，根据皋委发【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110</w:t>
      </w:r>
      <w:r>
        <w:rPr/>
        <w:t>号，皋政办发【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66</w:t>
      </w:r>
      <w:r>
        <w:rPr/>
        <w:t>号等文件，本公司之子公司南通爱康金属科技有限 公司收到政府奖励企业做大做强和鼓励信息化建设奖励款</w:t>
      </w:r>
      <w:r>
        <w:rPr>
          <w:rFonts w:ascii="Times New Roman" w:hAnsi="Times New Roman" w:cs="Times New Roman" w:eastAsia="Times New Roman" w:hint="default"/>
        </w:rPr>
        <w:t>111,300.00</w:t>
      </w:r>
      <w:r>
        <w:rPr/>
        <w:t>元。</w:t>
      </w:r>
    </w:p>
    <w:p>
      <w:pPr>
        <w:pStyle w:val="BodyText"/>
        <w:spacing w:line="240" w:lineRule="auto" w:before="13"/>
        <w:ind w:left="604" w:right="1115"/>
        <w:jc w:val="left"/>
      </w:pPr>
      <w:r>
        <w:rPr/>
        <w:t>（</w:t>
      </w:r>
      <w:r>
        <w:rPr>
          <w:rFonts w:ascii="Times New Roman" w:hAnsi="Times New Roman" w:cs="Times New Roman" w:eastAsia="Times New Roman" w:hint="default"/>
        </w:rPr>
        <w:t>23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月，本公司之子公司苏州爱康金属科技有限公司收到摊位费返还款</w:t>
      </w:r>
      <w:r>
        <w:rPr>
          <w:rFonts w:ascii="Times New Roman" w:hAnsi="Times New Roman" w:cs="Times New Roman" w:eastAsia="Times New Roman" w:hint="default"/>
        </w:rPr>
        <w:t>62,395.00</w:t>
      </w:r>
      <w:r>
        <w:rPr/>
        <w:t>元。</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1,170,004.46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386,108.81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1,170,004.46</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1,170,004.46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386,108.81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1,170,004.46</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480,820.52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480,820.52</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32,113.12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43,383.56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32,113.12</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81,005.91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81,005.91</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421,871.91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49,554.96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421,871.91</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2,185,815.92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789,047.33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2,185,815.92</w:t>
            </w:r>
          </w:p>
        </w:tc>
      </w:tr>
    </w:tbl>
    <w:p>
      <w:pPr>
        <w:pStyle w:val="BodyText"/>
        <w:spacing w:line="240" w:lineRule="auto" w:before="49"/>
        <w:ind w:right="1115"/>
        <w:jc w:val="left"/>
      </w:pPr>
      <w:r>
        <w:rPr/>
        <w:t>营业外支出说明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657"/>
        <w:gridCol w:w="2523"/>
        <w:gridCol w:w="2391"/>
      </w:tblGrid>
      <w:tr>
        <w:trPr>
          <w:trHeight w:val="403"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7,846,394.28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29,037,722.23</w:t>
            </w:r>
          </w:p>
        </w:tc>
      </w:tr>
      <w:tr>
        <w:trPr>
          <w:trHeight w:val="403" w:hRule="exact"/>
        </w:trPr>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-22,436,440.77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-4,347,936.40</w:t>
            </w:r>
          </w:p>
        </w:tc>
      </w:tr>
      <w:tr>
        <w:trPr>
          <w:trHeight w:val="401" w:hRule="exact"/>
        </w:trPr>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-14,590,046.49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24,689,785.83</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5" w:firstLine="480"/>
        <w:jc w:val="left"/>
      </w:pPr>
      <w:r>
        <w:rPr>
          <w:spacing w:val="-1"/>
        </w:rPr>
        <w:t>基本每股收益按照归属于本公司普通股股东的当期净利润，除以发行在外普通股的加权平均数计算。新发行普通股股</w:t>
      </w:r>
      <w:r>
        <w:rPr/>
        <w:t> 数，根据发行合同的具体条款，从应收对价之日（一般为股票发行日）起计算确定。</w:t>
      </w:r>
    </w:p>
    <w:p>
      <w:pPr>
        <w:pStyle w:val="BodyText"/>
        <w:spacing w:line="300" w:lineRule="auto" w:before="19"/>
        <w:ind w:right="1115" w:firstLine="480"/>
        <w:jc w:val="left"/>
      </w:pPr>
      <w:r>
        <w:rPr/>
        <w:t>稀释每股收益的分子以归属于本公司普通股股东的当期净利润，调整下述因素后确定：（</w:t>
      </w:r>
      <w:r>
        <w:rPr>
          <w:rFonts w:ascii="Times New Roman" w:hAnsi="Times New Roman" w:cs="Times New Roman" w:eastAsia="Times New Roman" w:hint="default"/>
        </w:rPr>
        <w:t>1</w:t>
      </w:r>
      <w:r>
        <w:rPr/>
        <w:t>）当期已确认为费用的稀 释性潜在普通股的利息；（</w:t>
      </w:r>
      <w:r>
        <w:rPr>
          <w:rFonts w:ascii="Times New Roman" w:hAnsi="Times New Roman" w:cs="Times New Roman" w:eastAsia="Times New Roman" w:hint="default"/>
        </w:rPr>
        <w:t>2</w:t>
      </w:r>
      <w:r>
        <w:rPr/>
        <w:t>）稀释性潜在普通股转换时将产生的收益或费用；以及（</w:t>
      </w:r>
      <w:r>
        <w:rPr>
          <w:rFonts w:ascii="Times New Roman" w:hAnsi="Times New Roman" w:cs="Times New Roman" w:eastAsia="Times New Roman" w:hint="default"/>
        </w:rPr>
        <w:t>3</w:t>
      </w:r>
      <w:r>
        <w:rPr/>
        <w:t>）上述调整相关的所得税影响。</w:t>
      </w:r>
    </w:p>
    <w:p>
      <w:pPr>
        <w:pStyle w:val="BodyText"/>
        <w:spacing w:line="300" w:lineRule="auto" w:before="13"/>
        <w:ind w:right="1115" w:firstLine="480"/>
        <w:jc w:val="left"/>
      </w:pPr>
      <w:r>
        <w:rPr>
          <w:spacing w:val="-1"/>
        </w:rPr>
        <w:t>稀释每股收益的分母等于下列两项之和：（</w:t>
      </w:r>
      <w:r>
        <w:rPr>
          <w:rFonts w:ascii="Times New Roman" w:hAnsi="Times New Roman" w:cs="Times New Roman" w:eastAsia="Times New Roman" w:hint="default"/>
          <w:spacing w:val="-1"/>
        </w:rPr>
        <w:t>1</w:t>
      </w:r>
      <w:r>
        <w:rPr>
          <w:spacing w:val="-1"/>
        </w:rPr>
        <w:t>）基本每股收益中母公司已发行普通股的加权平均数；及（</w:t>
      </w:r>
      <w:r>
        <w:rPr>
          <w:rFonts w:ascii="Times New Roman" w:hAnsi="Times New Roman" w:cs="Times New Roman" w:eastAsia="Times New Roman" w:hint="default"/>
          <w:spacing w:val="-1"/>
        </w:rPr>
        <w:t>2</w:t>
      </w:r>
      <w:r>
        <w:rPr>
          <w:spacing w:val="-1"/>
        </w:rPr>
        <w:t>）假定稀释</w:t>
      </w:r>
      <w:r>
        <w:rPr/>
        <w:t> 性潜在普通股转换为普通股而增加的普通股的加权平均数。</w:t>
      </w:r>
    </w:p>
    <w:p>
      <w:pPr>
        <w:pStyle w:val="BodyText"/>
        <w:spacing w:line="240" w:lineRule="auto" w:before="31"/>
        <w:ind w:left="633" w:right="0"/>
        <w:jc w:val="left"/>
      </w:pPr>
      <w:r>
        <w:rPr/>
        <w:t>在计算稀释性潜在普通股转换为已发行普通股而增加的普通股股数的加权平均数时，以前期间发行的稀释性潜在普通</w:t>
      </w:r>
    </w:p>
    <w:p>
      <w:pPr>
        <w:spacing w:after="0" w:line="240" w:lineRule="auto"/>
        <w:jc w:val="left"/>
        <w:sectPr>
          <w:pgSz w:w="11910" w:h="16840"/>
          <w:pgMar w:header="877" w:footer="1301" w:top="1060" w:bottom="150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15"/>
        <w:jc w:val="left"/>
      </w:pPr>
      <w:r>
        <w:rPr/>
        <w:t>股，假设在当年年初转换；当年发行的稀释性潜在普通股，假设在发行日转换。</w:t>
      </w:r>
    </w:p>
    <w:p>
      <w:pPr>
        <w:pStyle w:val="BodyText"/>
        <w:spacing w:line="240" w:lineRule="auto" w:before="77"/>
        <w:ind w:left="633" w:right="1115"/>
        <w:jc w:val="left"/>
      </w:pPr>
      <w:r>
        <w:rPr/>
        <w:t>（</w:t>
      </w:r>
      <w:r>
        <w:rPr>
          <w:rFonts w:ascii="Times New Roman" w:hAnsi="Times New Roman" w:cs="Times New Roman" w:eastAsia="Times New Roman" w:hint="default"/>
        </w:rPr>
        <w:t>1</w:t>
      </w:r>
      <w:r>
        <w:rPr/>
        <w:t>）各期基本每股收益和稀释每股收益金额列示</w:t>
      </w:r>
    </w:p>
    <w:p>
      <w:pPr>
        <w:spacing w:line="240" w:lineRule="auto" w:before="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213"/>
        <w:gridCol w:w="1469"/>
        <w:gridCol w:w="1865"/>
        <w:gridCol w:w="1618"/>
        <w:gridCol w:w="2050"/>
      </w:tblGrid>
      <w:tr>
        <w:trPr>
          <w:trHeight w:val="341" w:hRule="exact"/>
        </w:trPr>
        <w:tc>
          <w:tcPr>
            <w:tcW w:w="2213" w:type="dxa"/>
            <w:vMerge w:val="restart"/>
            <w:tcBorders>
              <w:top w:val="single" w:sz="4" w:space="0" w:color="000000"/>
              <w:left w:val="single" w:sz="4" w:space="0" w:color="000000"/>
              <w:right w:val="single" w:sz="4" w:space="0" w:color="000000"/>
            </w:tcBorders>
          </w:tcPr>
          <w:p>
            <w:pPr>
              <w:pStyle w:val="TableParagraph"/>
              <w:spacing w:line="240" w:lineRule="auto" w:before="17"/>
              <w:ind w:left="65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3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36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3" w:hRule="exact"/>
        </w:trPr>
        <w:tc>
          <w:tcPr>
            <w:tcW w:w="2213" w:type="dxa"/>
            <w:vMerge/>
            <w:tcBorders>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9"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86"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65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4"/>
              <w:jc w:val="left"/>
              <w:rPr>
                <w:rFonts w:ascii="宋体" w:hAnsi="宋体" w:cs="宋体" w:eastAsia="宋体" w:hint="default"/>
                <w:sz w:val="18"/>
                <w:szCs w:val="18"/>
              </w:rPr>
            </w:pPr>
            <w:r>
              <w:rPr>
                <w:rFonts w:ascii="宋体" w:hAnsi="宋体" w:cs="宋体" w:eastAsia="宋体" w:hint="default"/>
                <w:sz w:val="18"/>
                <w:szCs w:val="18"/>
              </w:rPr>
              <w:t>归属于公司普通股股东的净 利润</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-0.19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-0.19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0.79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0.79</w:t>
            </w:r>
          </w:p>
        </w:tc>
      </w:tr>
      <w:tr>
        <w:trPr>
          <w:trHeight w:val="655"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34"/>
              <w:jc w:val="left"/>
              <w:rPr>
                <w:rFonts w:ascii="宋体" w:hAnsi="宋体" w:cs="宋体" w:eastAsia="宋体" w:hint="default"/>
                <w:sz w:val="18"/>
                <w:szCs w:val="18"/>
              </w:rPr>
            </w:pPr>
            <w:r>
              <w:rPr>
                <w:rFonts w:ascii="宋体" w:hAnsi="宋体" w:cs="宋体" w:eastAsia="宋体" w:hint="default"/>
                <w:sz w:val="18"/>
                <w:szCs w:val="18"/>
              </w:rPr>
              <w:t>扣除非经常性损益后归属于 公司普通股股东的净利润</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-0.28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-0.28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0.18</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0.18</w:t>
            </w:r>
          </w:p>
        </w:tc>
      </w:tr>
    </w:tbl>
    <w:p>
      <w:pPr>
        <w:pStyle w:val="BodyText"/>
        <w:spacing w:line="300" w:lineRule="auto" w:before="8"/>
        <w:ind w:left="633" w:right="2713"/>
        <w:jc w:val="left"/>
      </w:pPr>
      <w:r>
        <w:rPr/>
        <w:t>（</w:t>
      </w:r>
      <w:r>
        <w:rPr>
          <w:rFonts w:ascii="Times New Roman" w:hAnsi="Times New Roman" w:cs="Times New Roman" w:eastAsia="Times New Roman" w:hint="default"/>
        </w:rPr>
        <w:t>2</w:t>
      </w:r>
      <w:r>
        <w:rPr/>
        <w:t>）每股收益和稀释每股收益的计算过程 于报告期内，本公司不存在具有稀释性的潜在普通股，因此，稀释每股收益等于基本每股收益。</w:t>
      </w:r>
    </w:p>
    <w:p>
      <w:pPr>
        <w:pStyle w:val="BodyText"/>
        <w:spacing w:line="240" w:lineRule="auto" w:before="31"/>
        <w:ind w:left="633" w:right="1115"/>
        <w:jc w:val="left"/>
      </w:pPr>
      <w:r>
        <w:rPr/>
        <w:t>①</w:t>
      </w:r>
      <w:r>
        <w:rPr>
          <w:spacing w:val="-18"/>
        </w:rPr>
        <w:t> </w:t>
      </w:r>
      <w:r>
        <w:rPr/>
        <w:t>计算基本每股收益时，归属于普通股股东的当期净利润为：</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424"/>
        <w:gridCol w:w="2453"/>
        <w:gridCol w:w="2338"/>
      </w:tblGrid>
      <w:tr>
        <w:trPr>
          <w:trHeight w:val="344"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70"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12"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1"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-56,039,723.85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197,263,945.56</w:t>
            </w:r>
          </w:p>
        </w:tc>
      </w:tr>
      <w:tr>
        <w:trPr>
          <w:trHeight w:val="343"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-56,039,723.85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197,263,945.56</w:t>
            </w:r>
          </w:p>
        </w:tc>
      </w:tr>
      <w:tr>
        <w:trPr>
          <w:trHeight w:val="341"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11"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24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-84,452,524.15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45,462,778.09</w:t>
            </w:r>
          </w:p>
        </w:tc>
      </w:tr>
      <w:tr>
        <w:trPr>
          <w:trHeight w:val="341"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-84,452,524.15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45,462,778.09</w:t>
            </w:r>
          </w:p>
        </w:tc>
      </w:tr>
      <w:tr>
        <w:trPr>
          <w:trHeight w:val="343" w:hRule="exact"/>
        </w:trPr>
        <w:tc>
          <w:tcPr>
            <w:tcW w:w="4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11"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2453"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left="633" w:right="1115"/>
        <w:jc w:val="left"/>
      </w:pPr>
      <w:r>
        <w:rPr/>
        <w:t>②</w:t>
      </w:r>
      <w:r>
        <w:rPr>
          <w:spacing w:val="-18"/>
        </w:rPr>
        <w:t> </w:t>
      </w:r>
      <w:r>
        <w:rPr/>
        <w:t>计算稀释性每股收益时，归属于普通股股东的当期净利润为：</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045"/>
        <w:gridCol w:w="2595"/>
        <w:gridCol w:w="2576"/>
      </w:tblGrid>
      <w:tr>
        <w:trPr>
          <w:trHeight w:val="341" w:hRule="exact"/>
        </w:trPr>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42"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2"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3" w:hRule="exact"/>
        </w:trPr>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-56,039,723.85</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197,263,945.56</w:t>
            </w:r>
          </w:p>
        </w:tc>
      </w:tr>
      <w:tr>
        <w:trPr>
          <w:trHeight w:val="653" w:hRule="exact"/>
        </w:trPr>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66"/>
              <w:jc w:val="left"/>
              <w:rPr>
                <w:rFonts w:ascii="宋体" w:hAnsi="宋体" w:cs="宋体" w:eastAsia="宋体" w:hint="default"/>
                <w:sz w:val="18"/>
                <w:szCs w:val="18"/>
              </w:rPr>
            </w:pPr>
            <w:r>
              <w:rPr>
                <w:rFonts w:ascii="宋体" w:hAnsi="宋体" w:cs="宋体" w:eastAsia="宋体" w:hint="default"/>
                <w:sz w:val="18"/>
                <w:szCs w:val="18"/>
              </w:rPr>
              <w:t>当期已确认为费用的稀释性潜在普通股的利息扣除 所得税影响后归属于普通股股东的部分</w:t>
            </w:r>
          </w:p>
        </w:tc>
        <w:tc>
          <w:tcPr>
            <w:tcW w:w="2595" w:type="dxa"/>
            <w:tcBorders>
              <w:top w:val="single" w:sz="4" w:space="0" w:color="000000"/>
              <w:left w:val="single" w:sz="4" w:space="0" w:color="000000"/>
              <w:bottom w:val="single" w:sz="4" w:space="0" w:color="000000"/>
              <w:right w:val="single" w:sz="4" w:space="0" w:color="000000"/>
            </w:tcBorders>
          </w:tcPr>
          <w:p>
            <w:pPr/>
          </w:p>
        </w:tc>
        <w:tc>
          <w:tcPr>
            <w:tcW w:w="2576"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66"/>
              <w:jc w:val="left"/>
              <w:rPr>
                <w:rFonts w:ascii="宋体" w:hAnsi="宋体" w:cs="宋体" w:eastAsia="宋体" w:hint="default"/>
                <w:sz w:val="18"/>
                <w:szCs w:val="18"/>
              </w:rPr>
            </w:pPr>
            <w:r>
              <w:rPr>
                <w:rFonts w:ascii="宋体" w:hAnsi="宋体" w:cs="宋体" w:eastAsia="宋体" w:hint="default"/>
                <w:sz w:val="18"/>
                <w:szCs w:val="18"/>
              </w:rPr>
              <w:t>稀释性潜在普通股转换时将产生的收益或费用扣除 所得税影响后归属于普通股股东的部分</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-56,039,723.85</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197,263,945.56</w:t>
            </w:r>
          </w:p>
        </w:tc>
      </w:tr>
      <w:tr>
        <w:trPr>
          <w:trHeight w:val="341" w:hRule="exact"/>
        </w:trPr>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-56,039,723.85</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197,263,945.56</w:t>
            </w:r>
          </w:p>
        </w:tc>
      </w:tr>
      <w:tr>
        <w:trPr>
          <w:trHeight w:val="343" w:hRule="exact"/>
        </w:trPr>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9"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2595" w:type="dxa"/>
            <w:tcBorders>
              <w:top w:val="single" w:sz="4" w:space="0" w:color="000000"/>
              <w:left w:val="single" w:sz="4" w:space="0" w:color="000000"/>
              <w:bottom w:val="single" w:sz="4" w:space="0" w:color="000000"/>
              <w:right w:val="single" w:sz="4" w:space="0" w:color="000000"/>
            </w:tcBorders>
          </w:tcPr>
          <w:p>
            <w:pPr/>
          </w:p>
        </w:tc>
        <w:tc>
          <w:tcPr>
            <w:tcW w:w="25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
        <w:ind w:left="633" w:right="1115"/>
        <w:jc w:val="left"/>
      </w:pPr>
      <w:r>
        <w:rPr/>
        <w:t>③</w:t>
      </w:r>
      <w:r>
        <w:rPr>
          <w:spacing w:val="-18"/>
        </w:rPr>
        <w:t> </w:t>
      </w:r>
      <w:r>
        <w:rPr/>
        <w:t>计算基本每股收益时，分母为发行在外普通股加权平均数，计算过程如下：</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537"/>
        <w:gridCol w:w="2424"/>
        <w:gridCol w:w="2254"/>
      </w:tblGrid>
      <w:tr>
        <w:trPr>
          <w:trHeight w:val="34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56"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74"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年初发行在外的普通股股数</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200,000,000.00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225,000,000.00</w:t>
            </w:r>
          </w:p>
        </w:tc>
      </w:tr>
      <w:tr>
        <w:trPr>
          <w:trHeight w:val="341"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加：本年发行的普通股加权数</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100,000,000.00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34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减：本年回购的普通股加权数</w:t>
            </w:r>
          </w:p>
        </w:tc>
        <w:tc>
          <w:tcPr>
            <w:tcW w:w="242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300,000,000.00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250,000,000.00</w:t>
            </w:r>
          </w:p>
        </w:tc>
      </w:tr>
    </w:tbl>
    <w:p>
      <w:pPr>
        <w:pStyle w:val="BodyText"/>
        <w:spacing w:line="240" w:lineRule="auto" w:before="8"/>
        <w:ind w:left="633" w:right="1115"/>
        <w:jc w:val="left"/>
      </w:pPr>
      <w:r>
        <w:rPr/>
        <w:t>④</w:t>
      </w:r>
      <w:r>
        <w:rPr>
          <w:spacing w:val="-18"/>
        </w:rPr>
        <w:t> </w:t>
      </w:r>
      <w:r>
        <w:rPr/>
        <w:t>计算稀释每股收益时，为发行在外普通股加权平均数的计算过程如下：</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4585"/>
        <w:gridCol w:w="2254"/>
        <w:gridCol w:w="2377"/>
      </w:tblGrid>
      <w:tr>
        <w:trPr>
          <w:trHeight w:val="341"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72"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31"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43"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计算基本每股收益的普通股加权平均数</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13" w:right="0"/>
              <w:jc w:val="left"/>
              <w:rPr>
                <w:rFonts w:ascii="Times New Roman" w:hAnsi="Times New Roman" w:cs="Times New Roman" w:eastAsia="Times New Roman" w:hint="default"/>
                <w:sz w:val="18"/>
                <w:szCs w:val="18"/>
              </w:rPr>
            </w:pPr>
            <w:r>
              <w:rPr>
                <w:rFonts w:ascii="Times New Roman"/>
                <w:sz w:val="18"/>
              </w:rPr>
              <w:t>300,000,000.00</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36" w:right="0"/>
              <w:jc w:val="left"/>
              <w:rPr>
                <w:rFonts w:ascii="Times New Roman" w:hAnsi="Times New Roman" w:cs="Times New Roman" w:eastAsia="Times New Roman" w:hint="default"/>
                <w:sz w:val="18"/>
                <w:szCs w:val="18"/>
              </w:rPr>
            </w:pPr>
            <w:r>
              <w:rPr>
                <w:rFonts w:ascii="Times New Roman"/>
                <w:sz w:val="18"/>
              </w:rPr>
              <w:t>250,000,000.00</w:t>
            </w:r>
          </w:p>
        </w:tc>
      </w:tr>
      <w:tr>
        <w:trPr>
          <w:trHeight w:val="653"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27" w:right="185"/>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 增加的普通股加权平均数</w:t>
            </w:r>
          </w:p>
        </w:tc>
        <w:tc>
          <w:tcPr>
            <w:tcW w:w="2254"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54"/>
              <w:jc w:val="righ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2254"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5"/>
              <w:jc w:val="right"/>
              <w:rPr>
                <w:rFonts w:ascii="宋体" w:hAnsi="宋体" w:cs="宋体" w:eastAsia="宋体" w:hint="default"/>
                <w:sz w:val="18"/>
                <w:szCs w:val="18"/>
              </w:rPr>
            </w:pPr>
            <w:r>
              <w:rPr>
                <w:rFonts w:ascii="宋体" w:hAnsi="宋体" w:cs="宋体" w:eastAsia="宋体" w:hint="default"/>
                <w:spacing w:val="-1"/>
                <w:sz w:val="18"/>
                <w:szCs w:val="18"/>
              </w:rPr>
              <w:t>认股权证</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股份期权行权而增加的普通股加权数</w:t>
            </w:r>
          </w:p>
        </w:tc>
        <w:tc>
          <w:tcPr>
            <w:tcW w:w="2254"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47"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2254"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01" w:top="1060" w:bottom="15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585"/>
        <w:gridCol w:w="2254"/>
        <w:gridCol w:w="2377"/>
      </w:tblGrid>
      <w:tr>
        <w:trPr>
          <w:trHeight w:val="344" w:hRule="exact"/>
        </w:trPr>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113" w:right="0"/>
              <w:jc w:val="left"/>
              <w:rPr>
                <w:rFonts w:ascii="Times New Roman" w:hAnsi="Times New Roman" w:cs="Times New Roman" w:eastAsia="Times New Roman" w:hint="default"/>
                <w:sz w:val="18"/>
                <w:szCs w:val="18"/>
              </w:rPr>
            </w:pPr>
            <w:r>
              <w:rPr>
                <w:rFonts w:ascii="Times New Roman"/>
                <w:sz w:val="18"/>
              </w:rPr>
              <w:t>300,000,000.00</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236" w:right="0"/>
              <w:jc w:val="left"/>
              <w:rPr>
                <w:rFonts w:ascii="Times New Roman" w:hAnsi="Times New Roman" w:cs="Times New Roman" w:eastAsia="Times New Roman" w:hint="default"/>
                <w:sz w:val="18"/>
                <w:szCs w:val="18"/>
              </w:rPr>
            </w:pPr>
            <w:r>
              <w:rPr>
                <w:rFonts w:ascii="Times New Roman"/>
                <w:sz w:val="18"/>
              </w:rPr>
              <w:t>250,000,000.00</w:t>
            </w:r>
          </w:p>
        </w:tc>
      </w:tr>
    </w:tbl>
    <w:p>
      <w:pPr>
        <w:pStyle w:val="BodyText"/>
        <w:spacing w:line="300" w:lineRule="auto" w:before="8"/>
        <w:ind w:right="1124"/>
        <w:jc w:val="left"/>
      </w:pP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月，本公司以资本公积转增股本</w:t>
      </w:r>
      <w:r>
        <w:rPr>
          <w:rFonts w:ascii="Times New Roman" w:hAnsi="Times New Roman" w:cs="Times New Roman" w:eastAsia="Times New Roman" w:hint="default"/>
        </w:rPr>
        <w:t>100,000,000</w:t>
      </w:r>
      <w:r>
        <w:rPr/>
        <w:t>股，转增后的发行在外普通股股数为</w:t>
      </w:r>
      <w:r>
        <w:rPr>
          <w:rFonts w:ascii="Times New Roman" w:hAnsi="Times New Roman" w:cs="Times New Roman" w:eastAsia="Times New Roman" w:hint="default"/>
        </w:rPr>
        <w:t>300,000,000</w:t>
      </w:r>
      <w:r>
        <w:rPr/>
        <w:t>股。因此，以调整后</w:t>
      </w:r>
      <w:r>
        <w:rPr>
          <w:spacing w:val="-85"/>
        </w:rPr>
        <w:t> </w:t>
      </w:r>
      <w:r>
        <w:rPr/>
        <w:t>的股数为基础计算各列报期间的每股收益。</w:t>
      </w:r>
    </w:p>
    <w:p>
      <w:pPr>
        <w:spacing w:line="240" w:lineRule="auto" w:before="10"/>
        <w:rPr>
          <w:rFonts w:ascii="宋体" w:hAnsi="宋体" w:cs="宋体" w:eastAsia="宋体" w:hint="default"/>
          <w:sz w:val="23"/>
          <w:szCs w:val="23"/>
        </w:rPr>
      </w:pPr>
    </w:p>
    <w:p>
      <w:pPr>
        <w:pStyle w:val="Heading4"/>
        <w:spacing w:line="240" w:lineRule="auto"/>
        <w:ind w:right="1115"/>
        <w:jc w:val="left"/>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 的份额</w:t>
            </w:r>
          </w:p>
        </w:tc>
        <w:tc>
          <w:tcPr>
            <w:tcW w:w="253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557.37</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557.37</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-17,108.16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-17,108.16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128"/>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-17,108.16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557.37</w:t>
            </w:r>
          </w:p>
        </w:tc>
      </w:tr>
    </w:tbl>
    <w:p>
      <w:pPr>
        <w:pStyle w:val="BodyText"/>
        <w:spacing w:line="240" w:lineRule="auto" w:before="49"/>
        <w:ind w:right="1115"/>
        <w:jc w:val="left"/>
      </w:pPr>
      <w:r>
        <w:rPr/>
        <w:t>其他综合收益说明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29,056,659.32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9,272,400.69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风险保证金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157,272.05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罚款及其他收入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1,265,438.76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40,851,770.82</w:t>
            </w:r>
          </w:p>
        </w:tc>
      </w:tr>
    </w:tbl>
    <w:p>
      <w:pPr>
        <w:pStyle w:val="BodyText"/>
        <w:spacing w:line="240" w:lineRule="auto" w:before="49"/>
        <w:ind w:right="1115"/>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票据保证金等</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146,590,174.56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物流费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15,780,261.16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物料支出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11,799,158.57</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水电费及其他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30,916,110.98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1" w:top="1060" w:bottom="15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7,456,547.61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6,579,150.77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5,714,152.99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4,365,204.51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投标及工程保证金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21,100,000.00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68,490,960.32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318,791,721.47</w:t>
            </w:r>
          </w:p>
        </w:tc>
      </w:tr>
    </w:tbl>
    <w:p>
      <w:pPr>
        <w:pStyle w:val="BodyText"/>
        <w:spacing w:line="240" w:lineRule="auto" w:before="49"/>
        <w:ind w:right="1115"/>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购买固定资产信用证保证金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5,740,440.00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5,740,440.00</w:t>
            </w:r>
          </w:p>
        </w:tc>
      </w:tr>
    </w:tbl>
    <w:p>
      <w:pPr>
        <w:pStyle w:val="BodyText"/>
        <w:spacing w:line="240" w:lineRule="auto" w:before="49"/>
        <w:ind w:right="1115"/>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购买固定资产信用证保证金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55,030,000.00</w:t>
            </w:r>
          </w:p>
        </w:tc>
      </w:tr>
    </w:tbl>
    <w:p>
      <w:pPr>
        <w:pStyle w:val="BodyText"/>
        <w:spacing w:line="240" w:lineRule="auto" w:before="49"/>
        <w:ind w:right="1115"/>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15"/>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银行借款融资费用</w:t>
            </w:r>
          </w:p>
        </w:tc>
        <w:tc>
          <w:tcPr>
            <w:tcW w:w="39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发行股票直接支付的手续费、宣传费、咨询费等费用</w:t>
            </w:r>
          </w:p>
        </w:tc>
        <w:tc>
          <w:tcPr>
            <w:tcW w:w="39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01" w:top="1060" w:bottom="150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购买子公司少数股东股权</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138,500,000.00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139,500,000.00</w:t>
            </w:r>
          </w:p>
        </w:tc>
      </w:tr>
    </w:tbl>
    <w:p>
      <w:pPr>
        <w:pStyle w:val="BodyText"/>
        <w:spacing w:line="240" w:lineRule="auto" w:before="49"/>
        <w:ind w:right="1115"/>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-53,526,940.16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195,042,954.31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3,994,655.05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1,582,764.21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51,917,909.25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16,354,451.42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4,772,465.73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2,851,552.73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7,430,525.16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3,329,621.84</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-74,678.85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346,455.05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1,170,004.46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-2,730,680.00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58,600,339.45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34,525,989.82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-6,895,979.34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-181,078,052.57</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-22,381,240.77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-4,403,136.40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55,200.00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-35,204,160.40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-41,338,385.62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-132,538,142.08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-174,594,089.11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269,584,498.82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-103,408,374.13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147,162,056.32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-253,463,728.45</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260,700,378.36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799,764,226.66</w:t>
            </w:r>
          </w:p>
        </w:tc>
      </w:tr>
      <w:tr>
        <w:trPr>
          <w:trHeight w:val="42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799,764,226.66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102,348,464.71</w:t>
            </w:r>
          </w:p>
        </w:tc>
      </w:tr>
      <w:tr>
        <w:trPr>
          <w:trHeight w:val="44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Arial Narrow" w:hAnsi="Arial Narrow" w:cs="Arial Narrow" w:eastAsia="Arial Narrow" w:hint="default"/>
                <w:sz w:val="18"/>
                <w:szCs w:val="18"/>
              </w:rPr>
            </w:pPr>
            <w:r>
              <w:rPr>
                <w:rFonts w:ascii="Arial Narrow"/>
                <w:spacing w:val="-1"/>
                <w:sz w:val="18"/>
              </w:rPr>
              <w:t>-539,063,848.30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4"/>
              <w:jc w:val="right"/>
              <w:rPr>
                <w:rFonts w:ascii="Arial Narrow" w:hAnsi="Arial Narrow" w:cs="Arial Narrow" w:eastAsia="Arial Narrow" w:hint="default"/>
                <w:sz w:val="18"/>
                <w:szCs w:val="18"/>
              </w:rPr>
            </w:pPr>
            <w:r>
              <w:rPr>
                <w:rFonts w:ascii="Arial Narrow"/>
                <w:spacing w:val="-1"/>
                <w:sz w:val="18"/>
              </w:rPr>
              <w:t>697,415,761.95</w:t>
            </w:r>
          </w:p>
        </w:tc>
      </w:tr>
    </w:tbl>
    <w:p>
      <w:pPr>
        <w:spacing w:after="0" w:line="240" w:lineRule="auto"/>
        <w:jc w:val="right"/>
        <w:rPr>
          <w:rFonts w:ascii="Arial Narrow" w:hAnsi="Arial Narrow" w:cs="Arial Narrow" w:eastAsia="Arial Narrow" w:hint="default"/>
          <w:sz w:val="18"/>
          <w:szCs w:val="18"/>
        </w:rPr>
        <w:sectPr>
          <w:pgSz w:w="11910" w:h="16840"/>
          <w:pgMar w:header="877" w:footer="1301" w:top="1060" w:bottom="150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3"/>
        <w:gridCol w:w="2538"/>
        <w:gridCol w:w="2657"/>
      </w:tblGrid>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8"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8"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715"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8"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742,069.29</w:t>
            </w: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8"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7,257,930.71</w:t>
            </w:r>
          </w:p>
        </w:tc>
      </w:tr>
      <w:tr>
        <w:trPr>
          <w:trHeight w:val="404"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8"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301,329.81</w:t>
            </w: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8"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3,598,435.85</w:t>
            </w:r>
          </w:p>
        </w:tc>
      </w:tr>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8"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370,875,375.07</w:t>
            </w: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8"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330,122,481.11</w:t>
            </w:r>
          </w:p>
        </w:tc>
      </w:tr>
      <w:tr>
        <w:trPr>
          <w:trHeight w:val="403"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8"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44,050,000.00</w:t>
            </w:r>
          </w:p>
        </w:tc>
      </w:tr>
      <w:tr>
        <w:trPr>
          <w:trHeight w:val="401" w:hRule="exact"/>
        </w:trPr>
        <w:tc>
          <w:tcPr>
            <w:tcW w:w="4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260,700,378.36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799,764,226.66</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59,801.76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397,849.08</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260,640,576.60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799,366,377.58</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260,700,378.36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799,764,226.66</w:t>
            </w:r>
          </w:p>
        </w:tc>
      </w:tr>
    </w:tbl>
    <w:p>
      <w:pPr>
        <w:pStyle w:val="BodyText"/>
        <w:spacing w:line="240" w:lineRule="auto" w:before="49"/>
        <w:ind w:right="1115"/>
        <w:jc w:val="left"/>
      </w:pPr>
      <w:r>
        <w:rPr/>
        <w:t>现金流量表补充资料的说明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w:t>
      </w:r>
    </w:p>
    <w:p>
      <w:pPr>
        <w:spacing w:line="240" w:lineRule="auto" w:before="3"/>
        <w:rPr>
          <w:rFonts w:ascii="宋体" w:hAnsi="宋体" w:cs="宋体" w:eastAsia="宋体" w:hint="default"/>
          <w:sz w:val="24"/>
          <w:szCs w:val="24"/>
        </w:rPr>
      </w:pPr>
    </w:p>
    <w:p>
      <w:pPr>
        <w:pStyle w:val="Heading2"/>
        <w:spacing w:line="240" w:lineRule="auto"/>
        <w:ind w:right="1115"/>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、公司不具有控制权但实质上承担其风险的特殊目的主体情况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38.931721pt;width:135pt;height:77pt;mso-position-horizontal-relative:page;mso-position-vertical-relative:paragraph;z-index:-966160" coordorigin="9206,779" coordsize="2700,1540">
            <v:shape style="position:absolute;left:9206;top:779;width:2700;height:1540" type="#_x0000_t75" stroked="false">
              <v:imagedata r:id="rId21" o:title=""/>
            </v:shape>
            <v:shape style="position:absolute;left:10502;top:113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147</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headerReference w:type="default" r:id="rId62"/>
          <w:footerReference w:type="default" r:id="rId63"/>
          <w:pgSz w:w="11910" w:h="16840"/>
          <w:pgMar w:header="877" w:footer="0" w:top="1060" w:bottom="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5"/>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652"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18"/>
              <w:jc w:val="both"/>
              <w:rPr>
                <w:rFonts w:ascii="宋体" w:hAnsi="宋体" w:cs="宋体" w:eastAsia="宋体" w:hint="default"/>
                <w:sz w:val="18"/>
                <w:szCs w:val="18"/>
              </w:rPr>
            </w:pPr>
            <w:r>
              <w:rPr>
                <w:rFonts w:ascii="宋体" w:hAnsi="宋体" w:cs="宋体" w:eastAsia="宋体" w:hint="default"/>
                <w:sz w:val="18"/>
                <w:szCs w:val="18"/>
              </w:rPr>
              <w:t>江苏爱康 实业有限 责任公司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15"/>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13"/>
              <w:jc w:val="left"/>
              <w:rPr>
                <w:rFonts w:ascii="宋体" w:hAnsi="宋体" w:cs="宋体" w:eastAsia="宋体" w:hint="default"/>
                <w:sz w:val="18"/>
                <w:szCs w:val="18"/>
              </w:rPr>
            </w:pPr>
            <w:r>
              <w:rPr>
                <w:rFonts w:ascii="宋体" w:hAnsi="宋体" w:cs="宋体" w:eastAsia="宋体" w:hint="default"/>
                <w:sz w:val="18"/>
                <w:szCs w:val="18"/>
              </w:rPr>
              <w:t>江苏苏州 市</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金属模具 </w:t>
            </w:r>
            <w:r>
              <w:rPr>
                <w:rFonts w:ascii="宋体" w:hAnsi="宋体" w:cs="宋体" w:eastAsia="宋体" w:hint="default"/>
                <w:spacing w:val="-18"/>
                <w:sz w:val="18"/>
                <w:szCs w:val="18"/>
              </w:rPr>
              <w:t>的生产；批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发零售以 及进出口 业务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22.67%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22.67%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13"/>
              <w:jc w:val="left"/>
              <w:rPr>
                <w:rFonts w:ascii="宋体" w:hAnsi="宋体" w:cs="宋体" w:eastAsia="宋体" w:hint="default"/>
                <w:sz w:val="18"/>
                <w:szCs w:val="18"/>
              </w:rPr>
            </w:pPr>
            <w:r>
              <w:rPr>
                <w:rFonts w:ascii="宋体" w:hAnsi="宋体" w:cs="宋体" w:eastAsia="宋体" w:hint="default"/>
                <w:sz w:val="18"/>
                <w:szCs w:val="18"/>
              </w:rPr>
              <w:t>邹承慧先 生</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79909470-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357" w:lineRule="auto" w:before="49"/>
        <w:ind w:left="633" w:right="1115" w:hanging="481"/>
        <w:jc w:val="left"/>
      </w:pPr>
      <w:r>
        <w:rPr/>
        <w:t>本企业的母公司情况的说明 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日，江苏爱康实业有限责任公司根据股东决定和章程修正案的规定增加注册资本</w:t>
      </w:r>
      <w:r>
        <w:rPr>
          <w:rFonts w:ascii="Times New Roman" w:hAnsi="Times New Roman" w:cs="Times New Roman" w:eastAsia="Times New Roman" w:hint="default"/>
        </w:rPr>
        <w:t>12,000.00</w:t>
      </w:r>
      <w:r>
        <w:rPr/>
        <w:t>万元，变</w:t>
      </w:r>
    </w:p>
    <w:p>
      <w:pPr>
        <w:pStyle w:val="BodyText"/>
        <w:spacing w:line="214" w:lineRule="exact"/>
        <w:ind w:right="0"/>
        <w:jc w:val="left"/>
      </w:pPr>
      <w:r>
        <w:rPr/>
        <w:t>更后的注册资本为人民币</w:t>
      </w:r>
      <w:r>
        <w:rPr>
          <w:rFonts w:ascii="Times New Roman" w:hAnsi="Times New Roman" w:cs="Times New Roman" w:eastAsia="Times New Roman" w:hint="default"/>
        </w:rPr>
        <w:t>20,000.00</w:t>
      </w:r>
      <w:r>
        <w:rPr/>
        <w:t>万元，新增注册资本由原股东认缴，变更注册资本后，江苏爱康实业有限责任公司股东仍</w:t>
      </w:r>
    </w:p>
    <w:p>
      <w:pPr>
        <w:pStyle w:val="BodyText"/>
        <w:spacing w:line="300" w:lineRule="auto" w:before="63"/>
        <w:ind w:left="604" w:right="1124" w:hanging="452"/>
        <w:jc w:val="left"/>
      </w:pPr>
      <w:r>
        <w:rPr/>
        <w:t>然是自然人邹承慧。是次增资业经无锡文德智信联合会计师事务所验证，并出具文德会验（</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009</w:t>
      </w:r>
      <w:r>
        <w:rPr/>
        <w:t>号验资报告验证。 </w:t>
      </w:r>
      <w:r>
        <w:rPr>
          <w:spacing w:val="-2"/>
        </w:rPr>
        <w:t>注</w:t>
      </w:r>
      <w:r>
        <w:rPr>
          <w:rFonts w:ascii="Times New Roman" w:hAnsi="Times New Roman" w:cs="Times New Roman" w:eastAsia="Times New Roman" w:hint="default"/>
          <w:spacing w:val="-2"/>
        </w:rPr>
        <w:t>2</w:t>
      </w:r>
      <w:r>
        <w:rPr>
          <w:spacing w:val="-2"/>
        </w:rPr>
        <w:t>：截至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日，邹承慧先生本人和其控制的爱康国际控股有限公司、江苏爱康实业有限责任公司以及实施</w:t>
      </w:r>
    </w:p>
    <w:p>
      <w:pPr>
        <w:pStyle w:val="BodyText"/>
        <w:spacing w:line="240" w:lineRule="auto" w:before="13"/>
        <w:ind w:right="1115"/>
        <w:jc w:val="left"/>
      </w:pPr>
      <w:r>
        <w:rPr/>
        <w:t>重大影响的江阴爱康投资有限公司合计持有本公司</w:t>
      </w:r>
      <w:r>
        <w:rPr>
          <w:rFonts w:ascii="Times New Roman" w:hAnsi="Times New Roman" w:cs="Times New Roman" w:eastAsia="Times New Roman" w:hint="default"/>
        </w:rPr>
        <w:t>44.62%</w:t>
      </w:r>
      <w:r>
        <w:rPr/>
        <w:t>表决权股份，本集团最终控制方是自然人邹承慧先生。</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南通爱康金 属科技有限 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江苏省南通 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27,930.00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69548327-5</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苏州爱康薄 膜新材料有 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4"/>
              <w:jc w:val="left"/>
              <w:rPr>
                <w:rFonts w:ascii="宋体" w:hAnsi="宋体" w:cs="宋体" w:eastAsia="宋体" w:hint="default"/>
                <w:sz w:val="18"/>
                <w:szCs w:val="18"/>
              </w:rPr>
            </w:pPr>
            <w:r>
              <w:rPr>
                <w:rFonts w:ascii="宋体" w:hAnsi="宋体" w:cs="宋体" w:eastAsia="宋体" w:hint="default"/>
                <w:sz w:val="18"/>
                <w:szCs w:val="18"/>
              </w:rPr>
              <w:t>江苏省苏州 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28,660.80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55245075-5</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苏州爱康金 属科技有限 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24"/>
              <w:jc w:val="left"/>
              <w:rPr>
                <w:rFonts w:ascii="宋体" w:hAnsi="宋体" w:cs="宋体" w:eastAsia="宋体" w:hint="default"/>
                <w:sz w:val="18"/>
                <w:szCs w:val="18"/>
              </w:rPr>
            </w:pPr>
            <w:r>
              <w:rPr>
                <w:rFonts w:ascii="宋体" w:hAnsi="宋体" w:cs="宋体" w:eastAsia="宋体" w:hint="default"/>
                <w:sz w:val="18"/>
                <w:szCs w:val="18"/>
              </w:rPr>
              <w:t>江苏省苏州 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18,704.80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55460744-5</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佛山市同兴 太阳能器材 有限公司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4"/>
              <w:jc w:val="left"/>
              <w:rPr>
                <w:rFonts w:ascii="宋体" w:hAnsi="宋体" w:cs="宋体" w:eastAsia="宋体" w:hint="default"/>
                <w:sz w:val="18"/>
                <w:szCs w:val="18"/>
              </w:rPr>
            </w:pPr>
            <w:r>
              <w:rPr>
                <w:rFonts w:ascii="宋体" w:hAnsi="宋体" w:cs="宋体" w:eastAsia="宋体" w:hint="default"/>
                <w:sz w:val="18"/>
                <w:szCs w:val="18"/>
              </w:rPr>
              <w:t>广东省佛山 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黄国云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55726876-8</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无锡爱康太 阳能电子科 技有限公司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江苏省无锡 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69213924-8</w:t>
            </w:r>
          </w:p>
        </w:tc>
      </w:tr>
    </w:tbl>
    <w:p>
      <w:pPr>
        <w:spacing w:after="0" w:line="240" w:lineRule="auto"/>
        <w:jc w:val="left"/>
        <w:rPr>
          <w:rFonts w:ascii="Times New Roman" w:hAnsi="Times New Roman" w:cs="Times New Roman" w:eastAsia="Times New Roman" w:hint="default"/>
          <w:sz w:val="18"/>
          <w:szCs w:val="18"/>
        </w:rPr>
        <w:sectPr>
          <w:footerReference w:type="default" r:id="rId64"/>
          <w:pgSz w:w="11910" w:h="16840"/>
          <w:pgMar w:footer="1320" w:header="877" w:top="1060" w:bottom="1500" w:left="980" w:right="0"/>
          <w:pgNumType w:start="148"/>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江阴爱康光 伏焊带有限 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江苏省无锡 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刘述强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139"/>
              <w:jc w:val="left"/>
              <w:rPr>
                <w:rFonts w:ascii="Times New Roman" w:hAnsi="Times New Roman" w:cs="Times New Roman" w:eastAsia="Times New Roman" w:hint="default"/>
                <w:sz w:val="18"/>
                <w:szCs w:val="18"/>
              </w:rPr>
            </w:pPr>
            <w:r>
              <w:rPr>
                <w:rFonts w:ascii="Times New Roman"/>
                <w:sz w:val="18"/>
              </w:rPr>
              <w:t>57945203- X</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苏州爱康电 力开发有限 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4"/>
              <w:jc w:val="left"/>
              <w:rPr>
                <w:rFonts w:ascii="宋体" w:hAnsi="宋体" w:cs="宋体" w:eastAsia="宋体" w:hint="default"/>
                <w:sz w:val="18"/>
                <w:szCs w:val="18"/>
              </w:rPr>
            </w:pPr>
            <w:r>
              <w:rPr>
                <w:rFonts w:ascii="宋体" w:hAnsi="宋体" w:cs="宋体" w:eastAsia="宋体" w:hint="default"/>
                <w:sz w:val="18"/>
                <w:szCs w:val="18"/>
              </w:rPr>
              <w:t>江苏省苏州 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季海瑜</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59399941-0</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香港爱康电 力国际控股 有限公司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60050613-0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00-07-12-7</w:t>
            </w:r>
          </w:p>
        </w:tc>
      </w:tr>
      <w:tr>
        <w:trPr>
          <w:trHeight w:val="134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张家港保税 区爱康商贸 有限责任公 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4"/>
              <w:jc w:val="left"/>
              <w:rPr>
                <w:rFonts w:ascii="宋体" w:hAnsi="宋体" w:cs="宋体" w:eastAsia="宋体" w:hint="default"/>
                <w:sz w:val="18"/>
                <w:szCs w:val="18"/>
              </w:rPr>
            </w:pPr>
            <w:r>
              <w:rPr>
                <w:rFonts w:ascii="宋体" w:hAnsi="宋体" w:cs="宋体" w:eastAsia="宋体" w:hint="default"/>
                <w:sz w:val="18"/>
                <w:szCs w:val="18"/>
              </w:rPr>
              <w:t>江苏省张家 港市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67897492-5</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6"/>
        <w:gridCol w:w="953"/>
        <w:gridCol w:w="961"/>
        <w:gridCol w:w="955"/>
        <w:gridCol w:w="955"/>
        <w:gridCol w:w="960"/>
        <w:gridCol w:w="958"/>
        <w:gridCol w:w="958"/>
        <w:gridCol w:w="958"/>
        <w:gridCol w:w="960"/>
      </w:tblGrid>
      <w:tr>
        <w:trPr>
          <w:trHeight w:val="1338"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2"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19"/>
              <w:jc w:val="center"/>
              <w:rPr>
                <w:rFonts w:ascii="宋体" w:hAnsi="宋体" w:cs="宋体" w:eastAsia="宋体" w:hint="default"/>
                <w:sz w:val="18"/>
                <w:szCs w:val="18"/>
              </w:rPr>
            </w:pPr>
            <w:r>
              <w:rPr>
                <w:rFonts w:ascii="宋体" w:hAnsi="宋体" w:cs="宋体" w:eastAsia="宋体" w:hint="default"/>
                <w:sz w:val="18"/>
                <w:szCs w:val="18"/>
              </w:rPr>
              <w:t>本企业在被 投资单位表 决权比例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2"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广东爱康 太阳能科 技有限公 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2"/>
              <w:jc w:val="left"/>
              <w:rPr>
                <w:rFonts w:ascii="宋体" w:hAnsi="宋体" w:cs="宋体" w:eastAsia="宋体" w:hint="default"/>
                <w:sz w:val="18"/>
                <w:szCs w:val="18"/>
              </w:rPr>
            </w:pPr>
            <w:r>
              <w:rPr>
                <w:rFonts w:ascii="宋体" w:hAnsi="宋体" w:cs="宋体" w:eastAsia="宋体" w:hint="default"/>
                <w:sz w:val="18"/>
                <w:szCs w:val="18"/>
              </w:rPr>
              <w:t>广东省佛山 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
              <w:jc w:val="left"/>
              <w:rPr>
                <w:rFonts w:ascii="宋体" w:hAnsi="宋体" w:cs="宋体" w:eastAsia="宋体" w:hint="default"/>
                <w:sz w:val="18"/>
                <w:szCs w:val="18"/>
              </w:rPr>
            </w:pPr>
            <w:r>
              <w:rPr>
                <w:rFonts w:ascii="宋体" w:hAnsi="宋体" w:cs="宋体" w:eastAsia="宋体" w:hint="default"/>
                <w:sz w:val="18"/>
                <w:szCs w:val="18"/>
              </w:rPr>
              <w:t>太阳能电池 片制造</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3"/>
                <w:sz w:val="18"/>
              </w:rPr>
              <w:t>11,111.12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69647468-4</w:t>
            </w:r>
          </w:p>
        </w:tc>
      </w:tr>
      <w:tr>
        <w:trPr>
          <w:trHeight w:val="1339"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1"/>
              <w:jc w:val="both"/>
              <w:rPr>
                <w:rFonts w:ascii="宋体" w:hAnsi="宋体" w:cs="宋体" w:eastAsia="宋体" w:hint="default"/>
                <w:sz w:val="18"/>
                <w:szCs w:val="18"/>
              </w:rPr>
            </w:pPr>
            <w:r>
              <w:rPr>
                <w:rFonts w:ascii="宋体" w:hAnsi="宋体" w:cs="宋体" w:eastAsia="宋体" w:hint="default"/>
                <w:sz w:val="18"/>
                <w:szCs w:val="18"/>
              </w:rPr>
              <w:t>江苏爱通 新能源科 技有限公 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6" w:right="22"/>
              <w:jc w:val="left"/>
              <w:rPr>
                <w:rFonts w:ascii="宋体" w:hAnsi="宋体" w:cs="宋体" w:eastAsia="宋体" w:hint="default"/>
                <w:sz w:val="18"/>
                <w:szCs w:val="18"/>
              </w:rPr>
            </w:pPr>
            <w:r>
              <w:rPr>
                <w:rFonts w:ascii="宋体" w:hAnsi="宋体" w:cs="宋体" w:eastAsia="宋体" w:hint="default"/>
                <w:sz w:val="18"/>
                <w:szCs w:val="18"/>
              </w:rPr>
              <w:t>江苏省张家 港市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叶巍</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9"/>
              <w:jc w:val="left"/>
              <w:rPr>
                <w:rFonts w:ascii="宋体" w:hAnsi="宋体" w:cs="宋体" w:eastAsia="宋体" w:hint="default"/>
                <w:sz w:val="18"/>
                <w:szCs w:val="18"/>
              </w:rPr>
            </w:pPr>
            <w:r>
              <w:rPr>
                <w:rFonts w:ascii="宋体" w:hAnsi="宋体" w:cs="宋体" w:eastAsia="宋体" w:hint="default"/>
                <w:sz w:val="18"/>
                <w:szCs w:val="18"/>
              </w:rPr>
              <w:t>新能源建筑 研究开发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59562110-4</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35660156-000-05-10-4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55376221-6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广东爱康太阳能科技有限公司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本公司之参股公司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69647468-4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受实际控制人之近亲属控制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69786456-1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江苏爱康能源开发有限公司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59395629-3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20" w:top="1060" w:bottom="152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191"/>
        <w:gridCol w:w="3192"/>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王海芸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邹承慧之妻</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5"/>
        <w:jc w:val="left"/>
      </w:pPr>
      <w:r>
        <w:rPr/>
        <w:t>本企业的其他关联方情况的说明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40"/>
        <w:jc w:val="right"/>
      </w:pPr>
      <w:r>
        <w:rPr/>
        <w:pict>
          <v:shape style="position:absolute;margin-left:409.630005pt;margin-top:3.807726pt;width:85.5pt;height:15.65pt;mso-position-horizontal-relative:page;mso-position-vertical-relative:paragraph;z-index:-966136"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00002pt;margin-top:-51.998276pt;width:479.15pt;height:179.1pt;mso-position-horizontal-relative:page;mso-position-vertical-relative:paragraph;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340"/>
                    <w:gridCol w:w="1254"/>
                    <w:gridCol w:w="797"/>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江阴爱康农业科技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关联方为本公司做绿 化工程</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市场化原则定价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6,281,503.52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0.83%</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4,000,000.00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0.5%</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江阴爱康农业科技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租赁盆景</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市场化原则定价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243,878.40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18.64%</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229,497.63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江苏爱康能源开发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路灯改造工程</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市场化原则定价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61,880.34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right="1115"/>
        <w:jc w:val="left"/>
      </w:pPr>
      <w:r>
        <w:rPr/>
        <w:t>出售商品、提供劳务情况表</w:t>
      </w:r>
    </w:p>
    <w:p>
      <w:pPr>
        <w:pStyle w:val="BodyText"/>
        <w:spacing w:line="240" w:lineRule="auto" w:before="115"/>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40"/>
        <w:jc w:val="right"/>
      </w:pPr>
      <w:r>
        <w:rPr/>
        <w:pict>
          <v:shape style="position:absolute;margin-left:409.630005pt;margin-top:3.831716pt;width:85.5pt;height:15.6pt;mso-position-horizontal-relative:page;mso-position-vertical-relative:paragraph;z-index:-966112"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59999pt;margin-top:-51.988285pt;width:479.1pt;height:71.9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8"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15"/>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5"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pStyle w:val="BodyText"/>
        <w:spacing w:line="240" w:lineRule="auto" w:before="49"/>
        <w:ind w:right="1115"/>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1115"/>
        <w:jc w:val="left"/>
      </w:pPr>
      <w:r>
        <w:rPr/>
        <w:t>关联托管</w:t>
      </w:r>
      <w:r>
        <w:rPr>
          <w:rFonts w:ascii="Times New Roman" w:hAnsi="Times New Roman" w:cs="Times New Roman" w:eastAsia="Times New Roman" w:hint="default"/>
        </w:rPr>
        <w:t>/</w:t>
      </w:r>
      <w:r>
        <w:rPr/>
        <w:t>承包情况说明</w:t>
      </w:r>
    </w:p>
    <w:p>
      <w:pPr>
        <w:spacing w:after="0" w:line="240" w:lineRule="auto"/>
        <w:jc w:val="left"/>
        <w:sectPr>
          <w:pgSz w:w="11910" w:h="16840"/>
          <w:pgMar w:header="877" w:footer="1320" w:top="1060" w:bottom="152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公司出租情况表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50"/>
        <w:ind w:right="1115"/>
        <w:jc w:val="left"/>
      </w:pPr>
      <w:r>
        <w:rPr/>
        <w:t>公司承租情况表</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3"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49"/>
        <w:ind w:right="1115"/>
        <w:jc w:val="left"/>
      </w:pPr>
      <w:r>
        <w:rPr/>
        <w:t>关联租赁情况说明</w:t>
      </w:r>
    </w:p>
    <w:p>
      <w:pPr>
        <w:spacing w:line="240" w:lineRule="auto" w:before="0"/>
        <w:rPr>
          <w:rFonts w:ascii="宋体" w:hAnsi="宋体" w:cs="宋体" w:eastAsia="宋体" w:hint="default"/>
          <w:sz w:val="18"/>
          <w:szCs w:val="18"/>
        </w:rPr>
      </w:pPr>
    </w:p>
    <w:p>
      <w:pPr>
        <w:pStyle w:val="Heading4"/>
        <w:spacing w:line="240" w:lineRule="auto" w:before="121"/>
        <w:ind w:right="1115"/>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江苏爱康实业有限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邹承慧、王海芸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江苏爱康实业有限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江苏爱康实业有限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江苏爱康实业有限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江苏爱康实业有限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江苏爱康实业有限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江苏爱康实业有限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江苏爱康实业有限 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15"/>
        <w:jc w:val="left"/>
      </w:pPr>
      <w:r>
        <w:rPr/>
        <w:t>关联担保情况说明</w:t>
      </w:r>
    </w:p>
    <w:p>
      <w:pPr>
        <w:spacing w:after="0" w:line="240" w:lineRule="auto"/>
        <w:jc w:val="left"/>
        <w:sectPr>
          <w:pgSz w:w="11910" w:h="16840"/>
          <w:pgMar w:header="877" w:footer="1320" w:top="1060" w:bottom="150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633" w:right="1115"/>
        <w:jc w:val="left"/>
      </w:pPr>
      <w:r>
        <w:rPr>
          <w:spacing w:val="9"/>
        </w:rPr>
        <w:t>截至</w:t>
      </w:r>
      <w:r>
        <w:rPr>
          <w:rFonts w:ascii="Times New Roman" w:hAnsi="Times New Roman" w:cs="Times New Roman" w:eastAsia="Times New Roman" w:hint="default"/>
          <w:spacing w:val="9"/>
        </w:rPr>
        <w:t>2012</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日止，江苏爱康实业有限责任公司无偿为本集团借款提供最高额担保，担保总金额为人民币</w:t>
      </w:r>
    </w:p>
    <w:p>
      <w:pPr>
        <w:pStyle w:val="BodyText"/>
        <w:spacing w:line="357" w:lineRule="auto" w:before="61"/>
        <w:ind w:left="633" w:right="0" w:hanging="481"/>
        <w:jc w:val="left"/>
      </w:pPr>
      <w:r>
        <w:rPr>
          <w:rFonts w:ascii="Times New Roman" w:hAnsi="Times New Roman" w:cs="Times New Roman" w:eastAsia="Times New Roman" w:hint="default"/>
        </w:rPr>
        <w:t>180,000,000.00</w:t>
      </w:r>
      <w:r>
        <w:rPr/>
        <w:t>元，实际使用的借款担保额为人民币</w:t>
      </w:r>
      <w:r>
        <w:rPr>
          <w:rFonts w:ascii="Times New Roman" w:hAnsi="Times New Roman" w:cs="Times New Roman" w:eastAsia="Times New Roman" w:hint="default"/>
        </w:rPr>
        <w:t>145,940,950.00</w:t>
      </w:r>
      <w:r>
        <w:rPr/>
        <w:t>元。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日止，邹承慧、王海芸无偿为本集团借款提供最高额担保，担保总金额为人民币</w:t>
      </w:r>
      <w:r>
        <w:rPr>
          <w:rFonts w:ascii="Times New Roman" w:hAnsi="Times New Roman" w:cs="Times New Roman" w:eastAsia="Times New Roman" w:hint="default"/>
        </w:rPr>
        <w:t>180,000,000.00</w:t>
      </w:r>
      <w:r>
        <w:rPr/>
        <w:t>元，</w:t>
      </w:r>
    </w:p>
    <w:p>
      <w:pPr>
        <w:pStyle w:val="BodyText"/>
        <w:spacing w:line="214" w:lineRule="exact"/>
        <w:ind w:right="1115"/>
        <w:jc w:val="left"/>
      </w:pPr>
      <w:r>
        <w:rPr/>
        <w:t>实际使用的借款担保额为人民币</w:t>
      </w:r>
      <w:r>
        <w:rPr>
          <w:rFonts w:ascii="Times New Roman" w:hAnsi="Times New Roman" w:cs="Times New Roman" w:eastAsia="Times New Roman" w:hint="default"/>
        </w:rPr>
        <w:t>145,940,950.00</w:t>
      </w:r>
      <w:r>
        <w:rPr/>
        <w:t>元。</w:t>
      </w:r>
    </w:p>
    <w:p>
      <w:pPr>
        <w:pStyle w:val="BodyText"/>
        <w:spacing w:line="300" w:lineRule="auto" w:before="123"/>
        <w:ind w:right="1115" w:firstLine="480"/>
        <w:jc w:val="left"/>
      </w:pPr>
      <w:r>
        <w:rPr>
          <w:spacing w:val="-1"/>
        </w:rPr>
        <w:t>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日止，江苏爱康实业有限责任公司无偿为本集团借款和开立承兑汇票提供最高额担保，担保总金额</w:t>
      </w:r>
      <w:r>
        <w:rPr/>
        <w:t> 为人民币</w:t>
      </w:r>
      <w:r>
        <w:rPr>
          <w:rFonts w:ascii="Times New Roman" w:hAnsi="Times New Roman" w:cs="Times New Roman" w:eastAsia="Times New Roman" w:hint="default"/>
        </w:rPr>
        <w:t>90,000,000.00</w:t>
      </w:r>
      <w:r>
        <w:rPr/>
        <w:t>元，实际使用于借款担保人民币</w:t>
      </w:r>
      <w:r>
        <w:rPr>
          <w:rFonts w:ascii="Times New Roman" w:hAnsi="Times New Roman" w:cs="Times New Roman" w:eastAsia="Times New Roman" w:hint="default"/>
        </w:rPr>
        <w:t>70,000,000.00</w:t>
      </w:r>
      <w:r>
        <w:rPr/>
        <w:t>元、开立承兑汇票担保人民币</w:t>
      </w:r>
      <w:r>
        <w:rPr>
          <w:rFonts w:ascii="Times New Roman" w:hAnsi="Times New Roman" w:cs="Times New Roman" w:eastAsia="Times New Roman" w:hint="default"/>
        </w:rPr>
        <w:t>20,000,000.00</w:t>
      </w:r>
      <w:r>
        <w:rPr/>
        <w:t>元。</w:t>
      </w:r>
    </w:p>
    <w:p>
      <w:pPr>
        <w:pStyle w:val="BodyText"/>
        <w:spacing w:line="300" w:lineRule="auto" w:before="73"/>
        <w:ind w:right="1115" w:firstLine="480"/>
        <w:jc w:val="left"/>
      </w:pPr>
      <w:r>
        <w:rPr>
          <w:spacing w:val="-1"/>
        </w:rPr>
        <w:t>截至</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日止，江苏爱康实业有限责任公司无偿为本集团开立承兑汇票提供最高额担保，担保总金额为人民</w:t>
      </w:r>
      <w:r>
        <w:rPr/>
        <w:t> 币</w:t>
      </w:r>
      <w:r>
        <w:rPr>
          <w:rFonts w:ascii="Times New Roman" w:hAnsi="Times New Roman" w:cs="Times New Roman" w:eastAsia="Times New Roman" w:hint="default"/>
        </w:rPr>
        <w:t>30,000,000.00</w:t>
      </w:r>
      <w:r>
        <w:rPr/>
        <w:t>元，实际使用担保额为人民币</w:t>
      </w:r>
      <w:r>
        <w:rPr>
          <w:rFonts w:ascii="Times New Roman" w:hAnsi="Times New Roman" w:cs="Times New Roman" w:eastAsia="Times New Roman" w:hint="default"/>
        </w:rPr>
        <w:t>30,000,000.00</w:t>
      </w:r>
      <w:r>
        <w:rPr/>
        <w:t>元。</w:t>
      </w:r>
    </w:p>
    <w:p>
      <w:pPr>
        <w:pStyle w:val="BodyText"/>
        <w:spacing w:line="240" w:lineRule="auto" w:before="73"/>
        <w:ind w:left="633" w:right="1115"/>
        <w:jc w:val="left"/>
      </w:pPr>
      <w:r>
        <w:rPr>
          <w:spacing w:val="9"/>
        </w:rPr>
        <w:t>截至</w:t>
      </w:r>
      <w:r>
        <w:rPr>
          <w:rFonts w:ascii="Times New Roman" w:hAnsi="Times New Roman" w:cs="Times New Roman" w:eastAsia="Times New Roman" w:hint="default"/>
          <w:spacing w:val="9"/>
        </w:rPr>
        <w:t>2012</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日止，江苏爱康实业有限责任公司无偿为本集团借款提供最高额担保，担保总金额为人民币</w:t>
      </w:r>
    </w:p>
    <w:p>
      <w:pPr>
        <w:pStyle w:val="BodyText"/>
        <w:spacing w:line="357" w:lineRule="auto" w:before="63"/>
        <w:ind w:left="633" w:right="1115" w:hanging="481"/>
        <w:jc w:val="left"/>
      </w:pPr>
      <w:r>
        <w:rPr>
          <w:rFonts w:ascii="Times New Roman" w:hAnsi="Times New Roman" w:cs="Times New Roman" w:eastAsia="Times New Roman" w:hint="default"/>
        </w:rPr>
        <w:t>40,000,000.00</w:t>
      </w:r>
      <w:r>
        <w:rPr/>
        <w:t>元，实际使用的借款担保额为人民币</w:t>
      </w:r>
      <w:r>
        <w:rPr>
          <w:rFonts w:ascii="Times New Roman" w:hAnsi="Times New Roman" w:cs="Times New Roman" w:eastAsia="Times New Roman" w:hint="default"/>
        </w:rPr>
        <w:t>40,000,000.00</w:t>
      </w:r>
      <w:r>
        <w:rPr/>
        <w:t>元。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日止，邹承慧无偿为本集团开立承兑汇票提供最高额担保，担保总金额为人民币</w:t>
      </w:r>
      <w:r>
        <w:rPr>
          <w:rFonts w:ascii="Times New Roman" w:hAnsi="Times New Roman" w:cs="Times New Roman" w:eastAsia="Times New Roman" w:hint="default"/>
        </w:rPr>
        <w:t>50,000,000.00</w:t>
      </w:r>
      <w:r>
        <w:rPr/>
        <w:t>元，</w:t>
      </w:r>
    </w:p>
    <w:p>
      <w:pPr>
        <w:pStyle w:val="BodyText"/>
        <w:spacing w:line="215" w:lineRule="exact"/>
        <w:ind w:right="1115"/>
        <w:jc w:val="left"/>
      </w:pPr>
      <w:r>
        <w:rPr/>
        <w:t>实际使用的担保额为人民币</w:t>
      </w:r>
      <w:r>
        <w:rPr>
          <w:rFonts w:ascii="Times New Roman" w:hAnsi="Times New Roman" w:cs="Times New Roman" w:eastAsia="Times New Roman" w:hint="default"/>
        </w:rPr>
        <w:t>50,000,000.00</w:t>
      </w:r>
      <w:r>
        <w:rPr/>
        <w:t>元。</w:t>
      </w:r>
    </w:p>
    <w:p>
      <w:pPr>
        <w:pStyle w:val="BodyText"/>
        <w:spacing w:line="240" w:lineRule="auto" w:before="123"/>
        <w:ind w:left="633" w:right="1115"/>
        <w:jc w:val="left"/>
      </w:pPr>
      <w:r>
        <w:rPr>
          <w:spacing w:val="9"/>
        </w:rPr>
        <w:t>截至</w:t>
      </w:r>
      <w:r>
        <w:rPr>
          <w:rFonts w:ascii="Times New Roman" w:hAnsi="Times New Roman" w:cs="Times New Roman" w:eastAsia="Times New Roman" w:hint="default"/>
          <w:spacing w:val="9"/>
        </w:rPr>
        <w:t>2012</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日止，江苏爱康实业有限责任公司无偿为本集团借款提供最高额担保，担保总金额为人民币</w:t>
      </w:r>
    </w:p>
    <w:p>
      <w:pPr>
        <w:pStyle w:val="BodyText"/>
        <w:spacing w:line="357" w:lineRule="auto" w:before="63"/>
        <w:ind w:left="633" w:right="1115" w:hanging="481"/>
        <w:jc w:val="left"/>
      </w:pPr>
      <w:r>
        <w:rPr>
          <w:rFonts w:ascii="Times New Roman" w:hAnsi="Times New Roman" w:cs="Times New Roman" w:eastAsia="Times New Roman" w:hint="default"/>
        </w:rPr>
        <w:t>50,000,000.00</w:t>
      </w:r>
      <w:r>
        <w:rPr/>
        <w:t>元，实际使用的借款担保额为人民币</w:t>
      </w:r>
      <w:r>
        <w:rPr>
          <w:rFonts w:ascii="Times New Roman" w:hAnsi="Times New Roman" w:cs="Times New Roman" w:eastAsia="Times New Roman" w:hint="default"/>
        </w:rPr>
        <w:t>50,000,000.00</w:t>
      </w:r>
      <w:r>
        <w:rPr/>
        <w:t>元。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日止，邹承惠无偿为本集团借款提供最高额担保，担保总金额为人民币</w:t>
      </w:r>
      <w:r>
        <w:rPr>
          <w:rFonts w:ascii="Times New Roman" w:hAnsi="Times New Roman" w:cs="Times New Roman" w:eastAsia="Times New Roman" w:hint="default"/>
        </w:rPr>
        <w:t>50,000,000.00</w:t>
      </w:r>
      <w:r>
        <w:rPr/>
        <w:t>元，实际使用</w:t>
      </w:r>
    </w:p>
    <w:p>
      <w:pPr>
        <w:pStyle w:val="BodyText"/>
        <w:spacing w:line="214" w:lineRule="exact"/>
        <w:ind w:right="1115"/>
        <w:jc w:val="left"/>
      </w:pPr>
      <w:r>
        <w:rPr/>
        <w:t>的借款担保额为人民币</w:t>
      </w:r>
      <w:r>
        <w:rPr>
          <w:rFonts w:ascii="Times New Roman" w:hAnsi="Times New Roman" w:cs="Times New Roman" w:eastAsia="Times New Roman" w:hint="default"/>
        </w:rPr>
        <w:t>50,000,000.00</w:t>
      </w:r>
      <w:r>
        <w:rPr/>
        <w:t>元。</w:t>
      </w:r>
    </w:p>
    <w:p>
      <w:pPr>
        <w:pStyle w:val="BodyText"/>
        <w:spacing w:line="240" w:lineRule="auto" w:before="123"/>
        <w:ind w:left="633" w:right="1115"/>
        <w:jc w:val="left"/>
      </w:pPr>
      <w:r>
        <w:rPr>
          <w:spacing w:val="9"/>
        </w:rPr>
        <w:t>截至</w:t>
      </w:r>
      <w:r>
        <w:rPr>
          <w:rFonts w:ascii="Times New Roman" w:hAnsi="Times New Roman" w:cs="Times New Roman" w:eastAsia="Times New Roman" w:hint="default"/>
          <w:spacing w:val="9"/>
        </w:rPr>
        <w:t>2012</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日止，江苏爱康实业有限责任公司无偿为本集团借款提供最高额担保，担保总金额为人民币</w:t>
      </w:r>
    </w:p>
    <w:p>
      <w:pPr>
        <w:pStyle w:val="BodyText"/>
        <w:spacing w:line="240" w:lineRule="auto" w:before="63"/>
        <w:ind w:right="1115"/>
        <w:jc w:val="left"/>
      </w:pPr>
      <w:r>
        <w:rPr>
          <w:rFonts w:ascii="Times New Roman" w:hAnsi="Times New Roman" w:cs="Times New Roman" w:eastAsia="Times New Roman" w:hint="default"/>
        </w:rPr>
        <w:t>48,000,000.00</w:t>
      </w:r>
      <w:r>
        <w:rPr/>
        <w:t>元，实际使用的借款担保额为人民币</w:t>
      </w:r>
      <w:r>
        <w:rPr>
          <w:rFonts w:ascii="Times New Roman" w:hAnsi="Times New Roman" w:cs="Times New Roman" w:eastAsia="Times New Roman" w:hint="default"/>
        </w:rPr>
        <w:t>48,000,000.00</w:t>
      </w:r>
      <w:r>
        <w:rPr/>
        <w:t>元。</w:t>
      </w:r>
    </w:p>
    <w:p>
      <w:pPr>
        <w:pStyle w:val="BodyText"/>
        <w:spacing w:line="240" w:lineRule="auto" w:before="123"/>
        <w:ind w:left="633" w:right="1115"/>
        <w:jc w:val="left"/>
      </w:pPr>
      <w:r>
        <w:rPr>
          <w:spacing w:val="9"/>
        </w:rPr>
        <w:t>截至</w:t>
      </w:r>
      <w:r>
        <w:rPr>
          <w:rFonts w:ascii="Times New Roman" w:hAnsi="Times New Roman" w:cs="Times New Roman" w:eastAsia="Times New Roman" w:hint="default"/>
          <w:spacing w:val="9"/>
        </w:rPr>
        <w:t>2012</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日止，江苏爱康实业有限责任公司无偿为本集团借款提供最高额担保，担保总金额为人民币</w:t>
      </w:r>
    </w:p>
    <w:p>
      <w:pPr>
        <w:pStyle w:val="BodyText"/>
        <w:spacing w:line="357" w:lineRule="auto" w:before="63"/>
        <w:ind w:left="633" w:right="1115" w:hanging="481"/>
        <w:jc w:val="left"/>
      </w:pPr>
      <w:r>
        <w:rPr>
          <w:rFonts w:ascii="Times New Roman" w:hAnsi="Times New Roman" w:cs="Times New Roman" w:eastAsia="Times New Roman" w:hint="default"/>
        </w:rPr>
        <w:t>42,000,000.00</w:t>
      </w:r>
      <w:r>
        <w:rPr/>
        <w:t>元，实际使用的借款担保额为人民币</w:t>
      </w:r>
      <w:r>
        <w:rPr>
          <w:rFonts w:ascii="Times New Roman" w:hAnsi="Times New Roman" w:cs="Times New Roman" w:eastAsia="Times New Roman" w:hint="default"/>
        </w:rPr>
        <w:t>42,000,000.00</w:t>
      </w:r>
      <w:r>
        <w:rPr/>
        <w:t>元。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日止，邹承慧无偿为本集团借款提供最高额担保，担保总金额为人民币</w:t>
      </w:r>
      <w:r>
        <w:rPr>
          <w:rFonts w:ascii="Times New Roman" w:hAnsi="Times New Roman" w:cs="Times New Roman" w:eastAsia="Times New Roman" w:hint="default"/>
        </w:rPr>
        <w:t>30,000,000.00</w:t>
      </w:r>
      <w:r>
        <w:rPr/>
        <w:t>元，实际使用</w:t>
      </w:r>
    </w:p>
    <w:p>
      <w:pPr>
        <w:pStyle w:val="BodyText"/>
        <w:spacing w:line="214" w:lineRule="exact"/>
        <w:ind w:right="1115"/>
        <w:jc w:val="left"/>
      </w:pPr>
      <w:r>
        <w:rPr/>
        <w:t>的借款担保额为人民币</w:t>
      </w:r>
      <w:r>
        <w:rPr>
          <w:rFonts w:ascii="Times New Roman" w:hAnsi="Times New Roman" w:cs="Times New Roman" w:eastAsia="Times New Roman" w:hint="default"/>
        </w:rPr>
        <w:t>15,000,000.00</w:t>
      </w:r>
      <w:r>
        <w:rPr/>
        <w:t>元。</w:t>
      </w:r>
    </w:p>
    <w:p>
      <w:pPr>
        <w:pStyle w:val="BodyText"/>
        <w:spacing w:line="240" w:lineRule="auto" w:before="123"/>
        <w:ind w:left="633" w:right="1115"/>
        <w:jc w:val="left"/>
      </w:pPr>
      <w:r>
        <w:rPr>
          <w:spacing w:val="9"/>
        </w:rPr>
        <w:t>截至</w:t>
      </w:r>
      <w:r>
        <w:rPr>
          <w:rFonts w:ascii="Times New Roman" w:hAnsi="Times New Roman" w:cs="Times New Roman" w:eastAsia="Times New Roman" w:hint="default"/>
          <w:spacing w:val="9"/>
        </w:rPr>
        <w:t>2012</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日止，江苏爱康实业有限责任公司无偿为本集团借款提供最高额担保，担保总金额为人民币</w:t>
      </w:r>
    </w:p>
    <w:p>
      <w:pPr>
        <w:pStyle w:val="BodyText"/>
        <w:spacing w:line="357" w:lineRule="auto" w:before="63"/>
        <w:ind w:left="633" w:right="1115" w:hanging="481"/>
        <w:jc w:val="left"/>
      </w:pPr>
      <w:r>
        <w:rPr>
          <w:rFonts w:ascii="Times New Roman" w:hAnsi="Times New Roman" w:cs="Times New Roman" w:eastAsia="Times New Roman" w:hint="default"/>
        </w:rPr>
        <w:t>91,000,000.00</w:t>
      </w:r>
      <w:r>
        <w:rPr/>
        <w:t>元，实际使用的借款担保额为人民币</w:t>
      </w:r>
      <w:r>
        <w:rPr>
          <w:rFonts w:ascii="Times New Roman" w:hAnsi="Times New Roman" w:cs="Times New Roman" w:eastAsia="Times New Roman" w:hint="default"/>
        </w:rPr>
        <w:t>10,000,000.00</w:t>
      </w:r>
      <w:r>
        <w:rPr/>
        <w:t>元。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日止，邹承慧无偿为本集团开立承兑汇票提供最高额担保，担保总金额为人民币</w:t>
      </w:r>
      <w:r>
        <w:rPr>
          <w:rFonts w:ascii="Times New Roman" w:hAnsi="Times New Roman" w:cs="Times New Roman" w:eastAsia="Times New Roman" w:hint="default"/>
        </w:rPr>
        <w:t>20,000,000.00</w:t>
      </w:r>
      <w:r>
        <w:rPr/>
        <w:t>元，</w:t>
      </w:r>
    </w:p>
    <w:p>
      <w:pPr>
        <w:pStyle w:val="BodyText"/>
        <w:spacing w:line="214" w:lineRule="exact"/>
        <w:ind w:right="1115"/>
        <w:jc w:val="left"/>
      </w:pPr>
      <w:r>
        <w:rPr/>
        <w:t>实际使用担保额为人民币</w:t>
      </w:r>
      <w:r>
        <w:rPr>
          <w:rFonts w:ascii="Times New Roman" w:hAnsi="Times New Roman" w:cs="Times New Roman" w:eastAsia="Times New Roman" w:hint="default"/>
        </w:rPr>
        <w:t>20,000,000.00</w:t>
      </w:r>
      <w:r>
        <w:rPr/>
        <w:t>元。</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4"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1"/>
        <w:gridCol w:w="931"/>
        <w:gridCol w:w="1460"/>
        <w:gridCol w:w="1330"/>
        <w:gridCol w:w="1462"/>
        <w:gridCol w:w="797"/>
        <w:gridCol w:w="1462"/>
        <w:gridCol w:w="797"/>
      </w:tblGrid>
      <w:tr>
        <w:trPr>
          <w:trHeight w:val="403"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314"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314"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73"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占同类交 易金额的</w:t>
            </w:r>
          </w:p>
        </w:tc>
      </w:tr>
    </w:tbl>
    <w:p>
      <w:pPr>
        <w:spacing w:after="0" w:line="314" w:lineRule="auto"/>
        <w:jc w:val="left"/>
        <w:rPr>
          <w:rFonts w:ascii="宋体" w:hAnsi="宋体" w:cs="宋体" w:eastAsia="宋体" w:hint="default"/>
          <w:sz w:val="18"/>
          <w:szCs w:val="18"/>
        </w:rPr>
        <w:sectPr>
          <w:pgSz w:w="11910" w:h="16840"/>
          <w:pgMar w:header="877" w:footer="1320" w:top="1060" w:bottom="1500" w:left="980" w:right="0"/>
        </w:sectPr>
      </w:pPr>
    </w:p>
    <w:p>
      <w:pPr>
        <w:spacing w:line="240" w:lineRule="auto" w:before="6"/>
        <w:rPr>
          <w:rFonts w:ascii="宋体" w:hAnsi="宋体" w:cs="宋体" w:eastAsia="宋体" w:hint="default"/>
          <w:sz w:val="26"/>
          <w:szCs w:val="26"/>
        </w:rPr>
      </w:pPr>
    </w:p>
    <w:p>
      <w:pPr>
        <w:pStyle w:val="BodyText"/>
        <w:spacing w:line="240" w:lineRule="auto" w:before="44"/>
        <w:ind w:left="0" w:right="1138"/>
        <w:jc w:val="right"/>
      </w:pPr>
      <w:r>
        <w:rPr/>
        <w:pict>
          <v:shape style="position:absolute;margin-left:416.350006pt;margin-top:1.787738pt;width:78.75pt;height:17.7pt;mso-position-horizontal-relative:page;mso-position-vertical-relative:paragraph;z-index:-966040" type="#_x0000_t202" filled="false" stroked="false">
            <v:textbox inset="0,0,0,0">
              <w:txbxContent>
                <w:p>
                  <w:pPr>
                    <w:pStyle w:val="BodyText"/>
                    <w:spacing w:line="240" w:lineRule="auto" w:before="8"/>
                    <w:ind w:left="0" w:right="0"/>
                    <w:jc w:val="left"/>
                  </w:pPr>
                  <w:r>
                    <w:rPr/>
                    <w:t>）</w:t>
                  </w:r>
                </w:p>
              </w:txbxContent>
            </v:textbox>
            <w10:wrap type="none"/>
          </v:shape>
        </w:pict>
      </w:r>
      <w:r>
        <w:rPr/>
        <w:pict>
          <v:shape style="position:absolute;margin-left:56.459999pt;margin-top:1.311738pt;width:479.2pt;height:18.650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1462"/>
                    <w:gridCol w:w="797"/>
                  </w:tblGrid>
                  <w:tr>
                    <w:trPr>
                      <w:trHeight w:val="363" w:hRule="exact"/>
                    </w:trPr>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1115"/>
        <w:jc w:val="left"/>
      </w:pPr>
      <w:r>
        <w:rPr/>
        <w:t>上市公司应收关联方款项</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402"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江阴爱康农业科技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246,810.54</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5,000,000.00</w:t>
            </w:r>
          </w:p>
        </w:tc>
        <w:tc>
          <w:tcPr>
            <w:tcW w:w="14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15"/>
        <w:jc w:val="left"/>
      </w:pPr>
      <w:r>
        <w:rPr/>
        <w:t>上市公司应付关联方款项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5,752.80</w:t>
            </w:r>
          </w:p>
        </w:tc>
      </w:tr>
    </w:tbl>
    <w:p>
      <w:pPr>
        <w:spacing w:line="240" w:lineRule="auto" w:before="1"/>
        <w:rPr>
          <w:rFonts w:ascii="宋体" w:hAnsi="宋体" w:cs="宋体" w:eastAsia="宋体" w:hint="default"/>
          <w:sz w:val="18"/>
          <w:szCs w:val="18"/>
        </w:rPr>
      </w:pPr>
    </w:p>
    <w:p>
      <w:pPr>
        <w:pStyle w:val="Heading2"/>
        <w:spacing w:line="240" w:lineRule="auto" w:before="26"/>
        <w:ind w:right="1115"/>
        <w:jc w:val="left"/>
        <w:rPr>
          <w:b w:val="0"/>
          <w:bCs w:val="0"/>
        </w:rPr>
      </w:pPr>
      <w:r>
        <w:rPr/>
        <w:t>十、股份支付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320" w:top="1060" w:bottom="1500" w:left="980" w:right="0"/>
        </w:sectPr>
      </w:pPr>
    </w:p>
    <w:p>
      <w:pPr>
        <w:spacing w:line="240" w:lineRule="auto" w:before="0"/>
        <w:rPr>
          <w:rFonts w:ascii="宋体" w:hAnsi="宋体" w:cs="宋体" w:eastAsia="宋体" w:hint="default"/>
          <w:b/>
          <w:bCs/>
          <w:sz w:val="18"/>
          <w:szCs w:val="18"/>
        </w:rPr>
      </w:pPr>
    </w:p>
    <w:p>
      <w:pPr>
        <w:pStyle w:val="BodyText"/>
        <w:spacing w:line="240" w:lineRule="auto" w:before="159"/>
        <w:ind w:right="-5"/>
        <w:jc w:val="left"/>
      </w:pPr>
      <w:r>
        <w:rPr/>
        <w:t>股份支付情况的说明</w:t>
      </w:r>
    </w:p>
    <w:p>
      <w:pPr>
        <w:spacing w:line="240" w:lineRule="auto" w:before="0"/>
        <w:rPr>
          <w:rFonts w:ascii="宋体" w:hAnsi="宋体" w:cs="宋体" w:eastAsia="宋体" w:hint="default"/>
          <w:sz w:val="18"/>
          <w:szCs w:val="18"/>
        </w:rPr>
      </w:pPr>
    </w:p>
    <w:p>
      <w:pPr>
        <w:pStyle w:val="Heading4"/>
        <w:spacing w:line="240" w:lineRule="auto" w:before="120"/>
        <w:ind w:right="-5"/>
        <w:jc w:val="left"/>
        <w:rPr>
          <w:b w:val="0"/>
          <w:bCs w:val="0"/>
        </w:rPr>
      </w:pPr>
      <w:r>
        <w:rPr>
          <w:rFonts w:ascii="Times New Roman" w:hAnsi="Times New Roman" w:cs="Times New Roman" w:eastAsia="Times New Roman" w:hint="default"/>
          <w:spacing w:val="-1"/>
        </w:rPr>
        <w:t>2</w:t>
      </w:r>
      <w:r>
        <w:rPr>
          <w:spacing w:val="-1"/>
        </w:rPr>
        <w:t>、以权益结算的股份支付情况</w:t>
      </w:r>
      <w:r>
        <w:rPr>
          <w:b w:val="0"/>
          <w:bCs w:val="0"/>
          <w:spacing w:val="-1"/>
        </w:rPr>
      </w:r>
    </w:p>
    <w:p>
      <w:pPr>
        <w:pStyle w:val="BodyText"/>
        <w:spacing w:line="240" w:lineRule="auto" w:before="44"/>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80" w:right="0"/>
          <w:cols w:num="2" w:equalWidth="0">
            <w:col w:w="3000" w:space="5829"/>
            <w:col w:w="2101"/>
          </w:cols>
        </w:sect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540" w:left="980" w:right="0"/>
        </w:sectPr>
      </w:pPr>
    </w:p>
    <w:p>
      <w:pPr>
        <w:spacing w:line="240" w:lineRule="auto" w:before="0"/>
        <w:rPr>
          <w:rFonts w:ascii="宋体" w:hAnsi="宋体" w:cs="宋体" w:eastAsia="宋体" w:hint="default"/>
          <w:sz w:val="18"/>
          <w:szCs w:val="18"/>
        </w:rPr>
      </w:pPr>
    </w:p>
    <w:p>
      <w:pPr>
        <w:pStyle w:val="BodyText"/>
        <w:spacing w:line="240" w:lineRule="auto" w:before="161"/>
        <w:ind w:right="-5"/>
        <w:jc w:val="left"/>
      </w:pPr>
      <w:r>
        <w:rPr/>
        <w:t>以权益结算的股份支付的说明</w:t>
      </w:r>
    </w:p>
    <w:p>
      <w:pPr>
        <w:spacing w:line="240" w:lineRule="auto" w:before="0"/>
        <w:rPr>
          <w:rFonts w:ascii="宋体" w:hAnsi="宋体" w:cs="宋体" w:eastAsia="宋体" w:hint="default"/>
          <w:sz w:val="18"/>
          <w:szCs w:val="18"/>
        </w:rPr>
      </w:pPr>
    </w:p>
    <w:p>
      <w:pPr>
        <w:pStyle w:val="Heading4"/>
        <w:spacing w:line="240" w:lineRule="auto" w:before="118"/>
        <w:ind w:right="-5"/>
        <w:jc w:val="left"/>
        <w:rPr>
          <w:b w:val="0"/>
          <w:bCs w:val="0"/>
        </w:rPr>
      </w:pPr>
      <w:r>
        <w:rPr>
          <w:rFonts w:ascii="Times New Roman" w:hAnsi="Times New Roman" w:cs="Times New Roman" w:eastAsia="Times New Roman" w:hint="default"/>
          <w:spacing w:val="-1"/>
        </w:rPr>
        <w:t>3</w:t>
      </w:r>
      <w:r>
        <w:rPr>
          <w:spacing w:val="-1"/>
        </w:rPr>
        <w:t>、以现金结算的股份支付情况</w:t>
      </w:r>
      <w:r>
        <w:rPr>
          <w:b w:val="0"/>
          <w:bCs w:val="0"/>
          <w:spacing w:val="-1"/>
        </w:rPr>
      </w:r>
    </w:p>
    <w:p>
      <w:pPr>
        <w:pStyle w:val="BodyText"/>
        <w:spacing w:line="240" w:lineRule="auto" w:before="44"/>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80" w:right="0"/>
          <w:cols w:num="2" w:equalWidth="0">
            <w:col w:w="3000" w:space="5829"/>
            <w:col w:w="2101"/>
          </w:cols>
        </w:sect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540" w:left="980" w:right="0"/>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BodyText"/>
        <w:spacing w:line="240" w:lineRule="auto"/>
        <w:ind w:right="-20"/>
        <w:jc w:val="left"/>
      </w:pPr>
      <w:r>
        <w:rPr/>
        <w:t>以现金结算的股份支付的说明</w:t>
      </w:r>
    </w:p>
    <w:p>
      <w:pPr>
        <w:spacing w:line="240" w:lineRule="auto" w:before="0"/>
        <w:rPr>
          <w:rFonts w:ascii="宋体" w:hAnsi="宋体" w:cs="宋体" w:eastAsia="宋体" w:hint="default"/>
          <w:sz w:val="18"/>
          <w:szCs w:val="18"/>
        </w:rPr>
      </w:pPr>
    </w:p>
    <w:p>
      <w:pPr>
        <w:pStyle w:val="Heading4"/>
        <w:spacing w:line="240" w:lineRule="auto" w:before="120"/>
        <w:ind w:right="-20"/>
        <w:jc w:val="left"/>
        <w:rPr>
          <w:b w:val="0"/>
          <w:bCs w:val="0"/>
        </w:rPr>
      </w:pPr>
      <w:r>
        <w:rPr>
          <w:rFonts w:ascii="Times New Roman" w:hAnsi="Times New Roman" w:cs="Times New Roman" w:eastAsia="Times New Roman" w:hint="default"/>
        </w:rPr>
        <w:t>4</w:t>
      </w:r>
      <w:r>
        <w:rPr/>
        <w:t>、以股份支付服务情况</w:t>
      </w:r>
      <w:r>
        <w:rPr>
          <w:b w:val="0"/>
          <w:bCs w:val="0"/>
        </w:rPr>
      </w:r>
    </w:p>
    <w:p>
      <w:pPr>
        <w:pStyle w:val="BodyText"/>
        <w:spacing w:line="240" w:lineRule="auto" w:before="44"/>
        <w:ind w:right="0"/>
        <w:jc w:val="left"/>
      </w:pPr>
      <w:r>
        <w:rPr/>
        <w:br w:type="column"/>
      </w:r>
      <w:r>
        <w:rPr/>
        <w:t>单位：</w:t>
      </w:r>
      <w:r>
        <w:rPr>
          <w:spacing w:val="1"/>
        </w:rPr>
        <w:t> </w:t>
      </w:r>
      <w:r>
        <w:rPr/>
        <w:t>元</w:t>
      </w:r>
    </w:p>
    <w:p>
      <w:pPr>
        <w:spacing w:after="0" w:line="240" w:lineRule="auto"/>
        <w:jc w:val="left"/>
        <w:sectPr>
          <w:type w:val="continuous"/>
          <w:pgSz w:w="11910" w:h="16840"/>
          <w:pgMar w:top="1060" w:bottom="1540" w:left="980" w:right="0"/>
          <w:cols w:num="2" w:equalWidth="0">
            <w:col w:w="2493" w:space="6336"/>
            <w:col w:w="2101"/>
          </w:cols>
        </w:sectPr>
      </w:pPr>
    </w:p>
    <w:p>
      <w:pPr>
        <w:spacing w:line="240" w:lineRule="auto" w:before="10"/>
        <w:rPr>
          <w:rFonts w:ascii="宋体" w:hAnsi="宋体" w:cs="宋体" w:eastAsia="宋体" w:hint="default"/>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11"/>
        <w:rPr>
          <w:rFonts w:ascii="宋体" w:hAnsi="宋体" w:cs="宋体" w:eastAsia="宋体" w:hint="default"/>
          <w:b/>
          <w:bCs/>
          <w:sz w:val="22"/>
          <w:szCs w:val="22"/>
        </w:rPr>
      </w:pPr>
    </w:p>
    <w:p>
      <w:pPr>
        <w:spacing w:before="0"/>
        <w:ind w:left="152" w:right="1115" w:firstLine="0"/>
        <w:jc w:val="left"/>
        <w:rPr>
          <w:rFonts w:ascii="宋体" w:hAnsi="宋体" w:cs="宋体" w:eastAsia="宋体" w:hint="default"/>
          <w:sz w:val="24"/>
          <w:szCs w:val="24"/>
        </w:rPr>
      </w:pPr>
      <w:r>
        <w:rPr>
          <w:rFonts w:ascii="宋体" w:hAnsi="宋体" w:cs="宋体" w:eastAsia="宋体" w:hint="default"/>
          <w:b/>
          <w:bCs/>
          <w:sz w:val="24"/>
          <w:szCs w:val="24"/>
        </w:rPr>
        <w:t>十一、或有事项</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、未决诉讼或仲裁形成的或有负债及其财务影响</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spacing w:before="0"/>
        <w:ind w:left="614" w:right="5951" w:firstLine="0"/>
        <w:jc w:val="center"/>
        <w:rPr>
          <w:rFonts w:ascii="宋体" w:hAnsi="宋体" w:cs="宋体" w:eastAsia="宋体" w:hint="default"/>
          <w:sz w:val="24"/>
          <w:szCs w:val="24"/>
        </w:rPr>
      </w:pPr>
      <w:r>
        <w:rPr>
          <w:rFonts w:ascii="宋体" w:hAnsi="宋体" w:cs="宋体" w:eastAsia="宋体" w:hint="default"/>
          <w:sz w:val="24"/>
          <w:szCs w:val="24"/>
        </w:rPr>
        <w:t>本公司无未决诉讼仲裁形成的或有负债。</w:t>
      </w:r>
    </w:p>
    <w:p>
      <w:pPr>
        <w:spacing w:line="240" w:lineRule="auto" w:before="12"/>
        <w:rPr>
          <w:rFonts w:ascii="宋体" w:hAnsi="宋体" w:cs="宋体" w:eastAsia="宋体" w:hint="default"/>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38"/>
        <w:gridCol w:w="2622"/>
        <w:gridCol w:w="3956"/>
      </w:tblGrid>
      <w:tr>
        <w:trPr>
          <w:trHeight w:val="343"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6" w:right="0"/>
              <w:jc w:val="center"/>
              <w:rPr>
                <w:rFonts w:ascii="宋体" w:hAnsi="宋体" w:cs="宋体" w:eastAsia="宋体" w:hint="default"/>
                <w:sz w:val="18"/>
                <w:szCs w:val="18"/>
              </w:rPr>
            </w:pPr>
            <w:r>
              <w:rPr>
                <w:rFonts w:ascii="宋体" w:hAnsi="宋体" w:cs="宋体" w:eastAsia="宋体" w:hint="default"/>
                <w:sz w:val="18"/>
                <w:szCs w:val="18"/>
              </w:rPr>
              <w:t>财务影响</w:t>
            </w:r>
          </w:p>
        </w:tc>
      </w:tr>
      <w:tr>
        <w:trPr>
          <w:trHeight w:val="1589" w:hRule="exact"/>
        </w:trPr>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苏州盛康光伏科技有限公司</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7"/>
              <w:ind w:left="5" w:right="-17"/>
              <w:jc w:val="left"/>
              <w:rPr>
                <w:rFonts w:ascii="宋体" w:hAnsi="宋体" w:cs="宋体" w:eastAsia="宋体" w:hint="default"/>
                <w:sz w:val="18"/>
                <w:szCs w:val="18"/>
              </w:rPr>
            </w:pPr>
            <w:r>
              <w:rPr>
                <w:rFonts w:ascii="宋体" w:hAnsi="宋体" w:cs="宋体" w:eastAsia="宋体" w:hint="default"/>
                <w:spacing w:val="-2"/>
                <w:sz w:val="18"/>
                <w:szCs w:val="18"/>
              </w:rPr>
              <w:t>最高担保额为人民币</w:t>
            </w:r>
            <w:r>
              <w:rPr>
                <w:rFonts w:ascii="Times New Roman" w:hAnsi="Times New Roman" w:cs="Times New Roman" w:eastAsia="Times New Roman" w:hint="default"/>
                <w:spacing w:val="-2"/>
                <w:sz w:val="18"/>
                <w:szCs w:val="18"/>
              </w:rPr>
              <w:t>10,000</w:t>
            </w:r>
            <w:r>
              <w:rPr>
                <w:rFonts w:ascii="宋体" w:hAnsi="宋体" w:cs="宋体" w:eastAsia="宋体" w:hint="default"/>
                <w:spacing w:val="-2"/>
                <w:sz w:val="18"/>
                <w:szCs w:val="18"/>
              </w:rPr>
              <w:t>万元，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实际使用</w:t>
            </w:r>
            <w:r>
              <w:rPr>
                <w:rFonts w:ascii="Times New Roman" w:hAnsi="Times New Roman" w:cs="Times New Roman" w:eastAsia="Times New Roman" w:hint="default"/>
                <w:spacing w:val="-4"/>
                <w:sz w:val="18"/>
                <w:szCs w:val="18"/>
              </w:rPr>
              <w:t>7,000</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月到</w:t>
            </w:r>
            <w:r>
              <w:rPr>
                <w:rFonts w:ascii="宋体" w:hAnsi="宋体" w:cs="宋体" w:eastAsia="宋体" w:hint="default"/>
                <w:spacing w:val="-72"/>
                <w:sz w:val="18"/>
                <w:szCs w:val="18"/>
              </w:rPr>
              <w:t> </w:t>
            </w:r>
            <w:r>
              <w:rPr>
                <w:rFonts w:ascii="宋体" w:hAnsi="宋体" w:cs="宋体" w:eastAsia="宋体" w:hint="default"/>
                <w:sz w:val="18"/>
                <w:szCs w:val="18"/>
              </w:rPr>
              <w:t>期。同时该公司为本公司提供最</w:t>
            </w:r>
            <w:r>
              <w:rPr>
                <w:rFonts w:ascii="宋体" w:hAnsi="宋体" w:cs="宋体" w:eastAsia="宋体" w:hint="default"/>
                <w:sz w:val="18"/>
                <w:szCs w:val="18"/>
              </w:rPr>
              <w:t> 高为人民币</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万元的借款担 保</w:t>
            </w:r>
          </w:p>
        </w:tc>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0"/>
              <w:jc w:val="both"/>
              <w:rPr>
                <w:rFonts w:ascii="宋体" w:hAnsi="宋体" w:cs="宋体" w:eastAsia="宋体" w:hint="default"/>
                <w:sz w:val="18"/>
                <w:szCs w:val="18"/>
              </w:rPr>
            </w:pPr>
            <w:r>
              <w:rPr>
                <w:rFonts w:ascii="宋体" w:hAnsi="宋体" w:cs="宋体" w:eastAsia="宋体" w:hint="default"/>
                <w:spacing w:val="-2"/>
                <w:sz w:val="18"/>
                <w:szCs w:val="18"/>
              </w:rPr>
              <w:t>苏州盛康光伏科技有限公司目前经营情况良好，预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期不存在还款困难，因此，对该公司的担保极小可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能给本公司造成不利影响。</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8"/>
          <w:szCs w:val="28"/>
        </w:rPr>
      </w:pPr>
    </w:p>
    <w:p>
      <w:pPr>
        <w:pStyle w:val="BodyText"/>
        <w:spacing w:line="240" w:lineRule="auto" w:before="44"/>
        <w:ind w:right="1115"/>
        <w:jc w:val="left"/>
      </w:pPr>
      <w:r>
        <w:rPr/>
        <w:t>其他或有负债及其财务影响</w:t>
      </w:r>
    </w:p>
    <w:p>
      <w:pPr>
        <w:spacing w:line="240" w:lineRule="auto" w:before="3"/>
        <w:rPr>
          <w:rFonts w:ascii="宋体" w:hAnsi="宋体" w:cs="宋体" w:eastAsia="宋体" w:hint="default"/>
          <w:sz w:val="25"/>
          <w:szCs w:val="25"/>
        </w:rPr>
      </w:pPr>
    </w:p>
    <w:p>
      <w:pPr>
        <w:pStyle w:val="Heading2"/>
        <w:spacing w:line="240" w:lineRule="auto"/>
        <w:ind w:right="1115"/>
        <w:jc w:val="left"/>
        <w:rPr>
          <w:b w:val="0"/>
          <w:bCs w:val="0"/>
        </w:rPr>
      </w:pPr>
      <w:r>
        <w:rPr/>
        <w:t>十二、承诺事项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6"/>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1320" w:top="1060" w:bottom="1500" w:left="980" w:right="0"/>
        </w:sectPr>
      </w:pPr>
    </w:p>
    <w:p>
      <w:pPr>
        <w:spacing w:before="26"/>
        <w:ind w:left="693" w:right="-2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）资本承诺</w:t>
      </w:r>
    </w:p>
    <w:p>
      <w:pPr>
        <w:spacing w:line="240" w:lineRule="auto" w:before="12"/>
        <w:rPr>
          <w:rFonts w:ascii="宋体" w:hAnsi="宋体" w:cs="宋体" w:eastAsia="宋体" w:hint="default"/>
          <w:sz w:val="27"/>
          <w:szCs w:val="27"/>
        </w:rPr>
      </w:pPr>
      <w:r>
        <w:rPr/>
        <w:br w:type="column"/>
      </w:r>
      <w:r>
        <w:rPr>
          <w:rFonts w:ascii="宋体"/>
          <w:sz w:val="27"/>
        </w:rPr>
      </w:r>
    </w:p>
    <w:p>
      <w:pPr>
        <w:pStyle w:val="Heading5"/>
        <w:spacing w:line="240" w:lineRule="auto" w:before="0"/>
        <w:ind w:left="693" w:right="0" w:firstLine="0"/>
        <w:jc w:val="left"/>
      </w:pPr>
      <w:r>
        <w:rPr/>
        <w:t>人民币元</w:t>
      </w:r>
    </w:p>
    <w:p>
      <w:pPr>
        <w:spacing w:after="0" w:line="240" w:lineRule="auto"/>
        <w:jc w:val="left"/>
        <w:sectPr>
          <w:type w:val="continuous"/>
          <w:pgSz w:w="11910" w:h="16840"/>
          <w:pgMar w:top="1060" w:bottom="1540" w:left="980" w:right="0"/>
          <w:cols w:num="2" w:equalWidth="0">
            <w:col w:w="2254" w:space="5041"/>
            <w:col w:w="3635"/>
          </w:cols>
        </w:sectPr>
      </w:pP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273"/>
        <w:gridCol w:w="2374"/>
        <w:gridCol w:w="2569"/>
      </w:tblGrid>
      <w:tr>
        <w:trPr>
          <w:trHeight w:val="34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已签约但尚未于财务报表中确认的</w:t>
            </w:r>
          </w:p>
        </w:tc>
        <w:tc>
          <w:tcPr>
            <w:tcW w:w="2374" w:type="dxa"/>
            <w:tcBorders>
              <w:top w:val="single" w:sz="4" w:space="0" w:color="000000"/>
              <w:left w:val="single" w:sz="4" w:space="0" w:color="000000"/>
              <w:bottom w:val="single" w:sz="4" w:space="0" w:color="000000"/>
              <w:right w:val="single" w:sz="4" w:space="0" w:color="000000"/>
            </w:tcBorders>
          </w:tcPr>
          <w:p>
            <w:pPr/>
          </w:p>
        </w:tc>
        <w:tc>
          <w:tcPr>
            <w:tcW w:w="256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购建长期资产承诺</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12,341,736.05</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12,583,709.78</w:t>
            </w:r>
          </w:p>
        </w:tc>
      </w:tr>
      <w:tr>
        <w:trPr>
          <w:trHeight w:val="34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大额发包合同</w:t>
            </w:r>
          </w:p>
        </w:tc>
        <w:tc>
          <w:tcPr>
            <w:tcW w:w="2374" w:type="dxa"/>
            <w:tcBorders>
              <w:top w:val="single" w:sz="4" w:space="0" w:color="000000"/>
              <w:left w:val="single" w:sz="4" w:space="0" w:color="000000"/>
              <w:bottom w:val="single" w:sz="4" w:space="0" w:color="000000"/>
              <w:right w:val="single" w:sz="4" w:space="0" w:color="000000"/>
            </w:tcBorders>
          </w:tcPr>
          <w:p>
            <w:pPr/>
          </w:p>
        </w:tc>
        <w:tc>
          <w:tcPr>
            <w:tcW w:w="2569"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对外投资承诺</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3,000,000.00</w:t>
            </w:r>
          </w:p>
        </w:tc>
        <w:tc>
          <w:tcPr>
            <w:tcW w:w="256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15,341,736.05</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12,583,709.78</w:t>
            </w:r>
          </w:p>
        </w:tc>
      </w:tr>
    </w:tbl>
    <w:p>
      <w:pPr>
        <w:pStyle w:val="BodyText"/>
        <w:spacing w:line="300" w:lineRule="auto" w:before="8"/>
        <w:ind w:right="5714" w:firstLine="480"/>
        <w:jc w:val="left"/>
      </w:pPr>
      <w:r>
        <w:rPr/>
        <w:t>（</w:t>
      </w:r>
      <w:r>
        <w:rPr>
          <w:rFonts w:ascii="Times New Roman" w:hAnsi="Times New Roman" w:cs="Times New Roman" w:eastAsia="Times New Roman" w:hint="default"/>
        </w:rPr>
        <w:t>2</w:t>
      </w:r>
      <w:r>
        <w:rPr/>
        <w:t>）其他承诺事项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日，本集团无需要披露的其他重大承诺事项。</w:t>
      </w:r>
    </w:p>
    <w:p>
      <w:pPr>
        <w:spacing w:line="240" w:lineRule="auto" w:before="5"/>
        <w:rPr>
          <w:rFonts w:ascii="宋体" w:hAnsi="宋体" w:cs="宋体" w:eastAsia="宋体" w:hint="default"/>
          <w:sz w:val="22"/>
          <w:szCs w:val="22"/>
        </w:rPr>
      </w:pPr>
    </w:p>
    <w:p>
      <w:pPr>
        <w:spacing w:line="487" w:lineRule="auto" w:before="0"/>
        <w:ind w:left="152" w:right="64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pStyle w:val="BodyText"/>
        <w:spacing w:line="240" w:lineRule="auto" w:before="10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3"/>
        <w:gridCol w:w="2380"/>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 w:right="0"/>
              <w:jc w:val="left"/>
              <w:rPr>
                <w:rFonts w:ascii="宋体" w:hAnsi="宋体" w:cs="宋体" w:eastAsia="宋体" w:hint="default"/>
                <w:sz w:val="18"/>
                <w:szCs w:val="18"/>
              </w:rPr>
            </w:pPr>
            <w:r>
              <w:rPr>
                <w:rFonts w:ascii="宋体" w:hAnsi="宋体" w:cs="宋体" w:eastAsia="宋体" w:hint="default"/>
                <w:sz w:val="18"/>
                <w:szCs w:val="18"/>
              </w:rPr>
              <w:t>对财务状况和经营成果的影</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3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24"/>
          <w:szCs w:val="24"/>
        </w:rPr>
      </w:pPr>
    </w:p>
    <w:p>
      <w:pPr>
        <w:pStyle w:val="Heading4"/>
        <w:spacing w:line="240" w:lineRule="auto" w:before="36"/>
        <w:ind w:right="1115"/>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9"/>
        <w:rPr>
          <w:rFonts w:ascii="宋体" w:hAnsi="宋体" w:cs="宋体" w:eastAsia="宋体" w:hint="default"/>
          <w:b/>
          <w:bCs/>
          <w:sz w:val="21"/>
          <w:szCs w:val="21"/>
        </w:rPr>
      </w:pPr>
    </w:p>
    <w:p>
      <w:pPr>
        <w:spacing w:before="0"/>
        <w:ind w:left="633" w:right="1115" w:firstLine="0"/>
        <w:jc w:val="left"/>
        <w:rPr>
          <w:rFonts w:ascii="宋体" w:hAnsi="宋体" w:cs="宋体" w:eastAsia="宋体" w:hint="default"/>
          <w:sz w:val="25"/>
          <w:szCs w:val="25"/>
        </w:rPr>
      </w:pPr>
      <w:r>
        <w:rPr>
          <w:rFonts w:ascii="宋体" w:hAnsi="宋体" w:cs="宋体" w:eastAsia="宋体" w:hint="default"/>
          <w:i/>
          <w:sz w:val="25"/>
          <w:szCs w:val="25"/>
        </w:rPr>
        <w:t>截至</w:t>
      </w:r>
      <w:r>
        <w:rPr>
          <w:rFonts w:ascii="Times New Roman" w:hAnsi="Times New Roman" w:cs="Times New Roman" w:eastAsia="Times New Roman" w:hint="default"/>
          <w:i/>
          <w:sz w:val="24"/>
          <w:szCs w:val="24"/>
        </w:rPr>
        <w:t>2012</w:t>
      </w:r>
      <w:r>
        <w:rPr>
          <w:rFonts w:ascii="宋体" w:hAnsi="宋体" w:cs="宋体" w:eastAsia="宋体" w:hint="default"/>
          <w:i/>
          <w:sz w:val="25"/>
          <w:szCs w:val="25"/>
        </w:rPr>
        <w:t>年</w:t>
      </w:r>
      <w:r>
        <w:rPr>
          <w:rFonts w:ascii="Times New Roman" w:hAnsi="Times New Roman" w:cs="Times New Roman" w:eastAsia="Times New Roman" w:hint="default"/>
          <w:i/>
          <w:sz w:val="24"/>
          <w:szCs w:val="24"/>
        </w:rPr>
        <w:t>12</w:t>
      </w:r>
      <w:r>
        <w:rPr>
          <w:rFonts w:ascii="宋体" w:hAnsi="宋体" w:cs="宋体" w:eastAsia="宋体" w:hint="default"/>
          <w:i/>
          <w:sz w:val="25"/>
          <w:szCs w:val="25"/>
        </w:rPr>
        <w:t>月</w:t>
      </w:r>
      <w:r>
        <w:rPr>
          <w:rFonts w:ascii="Times New Roman" w:hAnsi="Times New Roman" w:cs="Times New Roman" w:eastAsia="Times New Roman" w:hint="default"/>
          <w:i/>
          <w:sz w:val="24"/>
          <w:szCs w:val="24"/>
        </w:rPr>
        <w:t>31</w:t>
      </w:r>
      <w:r>
        <w:rPr>
          <w:rFonts w:ascii="宋体" w:hAnsi="宋体" w:cs="宋体" w:eastAsia="宋体" w:hint="default"/>
          <w:i/>
          <w:sz w:val="25"/>
          <w:szCs w:val="25"/>
        </w:rPr>
        <w:t>日，本集团无需要披露的资产负债表日后事项。</w:t>
      </w:r>
      <w:r>
        <w:rPr>
          <w:rFonts w:ascii="宋体" w:hAnsi="宋体" w:cs="宋体" w:eastAsia="宋体" w:hint="default"/>
          <w:sz w:val="25"/>
          <w:szCs w:val="25"/>
        </w:rPr>
      </w:r>
    </w:p>
    <w:p>
      <w:pPr>
        <w:spacing w:line="240" w:lineRule="auto" w:before="7"/>
        <w:rPr>
          <w:rFonts w:ascii="宋体" w:hAnsi="宋体" w:cs="宋体" w:eastAsia="宋体" w:hint="default"/>
          <w:i/>
          <w:sz w:val="21"/>
          <w:szCs w:val="21"/>
        </w:rPr>
      </w:pPr>
    </w:p>
    <w:p>
      <w:pPr>
        <w:pStyle w:val="Heading2"/>
        <w:spacing w:line="240" w:lineRule="auto"/>
        <w:ind w:right="1115"/>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、期末发行在外的、可转换为股份的金融工具</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44"/>
        <w:gridCol w:w="1532"/>
        <w:gridCol w:w="1517"/>
        <w:gridCol w:w="1517"/>
        <w:gridCol w:w="1528"/>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71"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07" w:right="3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r>
              <w:rPr>
                <w:rFonts w:ascii="宋体" w:hAnsi="宋体" w:cs="宋体" w:eastAsia="宋体" w:hint="default"/>
                <w:sz w:val="18"/>
                <w:szCs w:val="18"/>
              </w:rPr>
              <w:t> 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368,000.00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-368,000.00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368,000.00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368,000.00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9"/>
        <w:gridCol w:w="1520"/>
        <w:gridCol w:w="1517"/>
        <w:gridCol w:w="1517"/>
        <w:gridCol w:w="1517"/>
        <w:gridCol w:w="1517"/>
      </w:tblGrid>
      <w:tr>
        <w:trPr>
          <w:trHeight w:val="714"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3"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5" w:right="33"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2" w:hRule="exact"/>
        </w:trPr>
        <w:tc>
          <w:tcPr>
            <w:tcW w:w="956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bl>
    <w:p>
      <w:pPr>
        <w:spacing w:after="0" w:line="240" w:lineRule="auto"/>
        <w:jc w:val="left"/>
        <w:rPr>
          <w:rFonts w:ascii="宋体" w:hAnsi="宋体" w:cs="宋体" w:eastAsia="宋体" w:hint="default"/>
          <w:sz w:val="18"/>
          <w:szCs w:val="18"/>
        </w:rPr>
        <w:sectPr>
          <w:pgSz w:w="11910" w:h="16840"/>
          <w:pgMar w:header="877" w:footer="1320" w:top="1060" w:bottom="15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79"/>
        <w:gridCol w:w="1520"/>
        <w:gridCol w:w="1517"/>
        <w:gridCol w:w="1517"/>
        <w:gridCol w:w="1517"/>
        <w:gridCol w:w="1517"/>
      </w:tblGrid>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127,246,549.74</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134,712,056.18</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127,246,549.74</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134,712,056.18</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49,072,789.42</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204,995,664.68</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4"/>
        <w:ind w:right="1115"/>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199"/>
        <w:gridCol w:w="527"/>
        <w:gridCol w:w="1333"/>
        <w:gridCol w:w="666"/>
        <w:gridCol w:w="1195"/>
        <w:gridCol w:w="659"/>
        <w:gridCol w:w="1334"/>
        <w:gridCol w:w="665"/>
      </w:tblGrid>
      <w:tr>
        <w:trPr>
          <w:trHeight w:val="398" w:hRule="exact"/>
        </w:trPr>
        <w:tc>
          <w:tcPr>
            <w:tcW w:w="1994" w:type="dxa"/>
            <w:vMerge w:val="restart"/>
            <w:tcBorders>
              <w:top w:val="single" w:sz="4" w:space="0" w:color="000000"/>
              <w:left w:val="single" w:sz="4" w:space="0" w:color="000000"/>
              <w:right w:val="single" w:sz="4" w:space="0" w:color="000000"/>
            </w:tcBorders>
            <w:shd w:val="clear" w:color="auto" w:fill="D2D2D2"/>
          </w:tcPr>
          <w:p>
            <w:pPr/>
          </w:p>
        </w:tc>
        <w:tc>
          <w:tcPr>
            <w:tcW w:w="37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1994" w:type="dxa"/>
            <w:vMerge/>
            <w:tcBorders>
              <w:left w:val="single" w:sz="4" w:space="0" w:color="000000"/>
              <w:bottom w:val="nil" w:sz="6" w:space="0" w:color="auto"/>
              <w:right w:val="single" w:sz="4" w:space="0" w:color="000000"/>
            </w:tcBorders>
            <w:shd w:val="clear" w:color="auto" w:fill="D2D2D2"/>
          </w:tcPr>
          <w:p>
            <w:pPr/>
          </w:p>
        </w:tc>
        <w:tc>
          <w:tcPr>
            <w:tcW w:w="17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1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726" w:type="dxa"/>
            <w:gridSpan w:val="2"/>
            <w:vMerge/>
            <w:tcBorders>
              <w:left w:val="single" w:sz="4" w:space="0" w:color="000000"/>
              <w:bottom w:val="single" w:sz="4" w:space="0" w:color="000000"/>
              <w:right w:val="single" w:sz="4" w:space="0" w:color="000000"/>
            </w:tcBorders>
            <w:shd w:val="clear" w:color="auto" w:fill="D2D2D2"/>
          </w:tcPr>
          <w:p>
            <w:pPr/>
          </w:p>
        </w:tc>
        <w:tc>
          <w:tcPr>
            <w:tcW w:w="1999" w:type="dxa"/>
            <w:gridSpan w:val="2"/>
            <w:vMerge/>
            <w:tcBorders>
              <w:left w:val="single" w:sz="4" w:space="0" w:color="000000"/>
              <w:bottom w:val="single" w:sz="4" w:space="0" w:color="000000"/>
              <w:right w:val="single" w:sz="4" w:space="0" w:color="000000"/>
            </w:tcBorders>
            <w:shd w:val="clear" w:color="auto" w:fill="D2D2D2"/>
          </w:tcPr>
          <w:p>
            <w:pPr/>
          </w:p>
        </w:tc>
        <w:tc>
          <w:tcPr>
            <w:tcW w:w="1853" w:type="dxa"/>
            <w:gridSpan w:val="2"/>
            <w:vMerge/>
            <w:tcBorders>
              <w:left w:val="single" w:sz="4" w:space="0" w:color="000000"/>
              <w:bottom w:val="single" w:sz="4" w:space="0" w:color="000000"/>
              <w:right w:val="single" w:sz="4" w:space="0" w:color="000000"/>
            </w:tcBorders>
            <w:shd w:val="clear" w:color="auto" w:fill="D2D2D2"/>
          </w:tcPr>
          <w:p>
            <w:pPr/>
          </w:p>
        </w:tc>
        <w:tc>
          <w:tcPr>
            <w:tcW w:w="1999"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1994" w:type="dxa"/>
            <w:vMerge/>
            <w:tcBorders>
              <w:left w:val="single" w:sz="4" w:space="0" w:color="000000"/>
              <w:bottom w:val="nil" w:sz="6" w:space="0" w:color="auto"/>
              <w:right w:val="single" w:sz="4" w:space="0" w:color="000000"/>
            </w:tcBorders>
            <w:shd w:val="clear" w:color="auto" w:fill="D2D2D2"/>
          </w:tcPr>
          <w:p>
            <w:pPr/>
          </w:p>
        </w:tc>
        <w:tc>
          <w:tcPr>
            <w:tcW w:w="11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395" w:hRule="exact"/>
        </w:trPr>
        <w:tc>
          <w:tcPr>
            <w:tcW w:w="1994" w:type="dxa"/>
            <w:vMerge w:val="restart"/>
            <w:tcBorders>
              <w:top w:val="nil" w:sz="6" w:space="0" w:color="auto"/>
              <w:left w:val="single" w:sz="4" w:space="0" w:color="000000"/>
              <w:right w:val="single" w:sz="4" w:space="0" w:color="000000"/>
            </w:tcBorders>
            <w:shd w:val="clear" w:color="auto" w:fill="D2D2D2"/>
          </w:tcPr>
          <w:p>
            <w:pPr/>
          </w:p>
        </w:tc>
        <w:tc>
          <w:tcPr>
            <w:tcW w:w="11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7" w:type="dxa"/>
            <w:vMerge/>
            <w:tcBorders>
              <w:left w:val="single" w:sz="4" w:space="0" w:color="000000"/>
              <w:right w:val="single" w:sz="4" w:space="0" w:color="000000"/>
            </w:tcBorders>
            <w:shd w:val="clear" w:color="auto" w:fill="D2D2D2"/>
          </w:tcPr>
          <w:p>
            <w:pPr/>
          </w:p>
        </w:tc>
        <w:tc>
          <w:tcPr>
            <w:tcW w:w="13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6"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2D2D2"/>
          </w:tcPr>
          <w:p>
            <w:pPr/>
          </w:p>
        </w:tc>
        <w:tc>
          <w:tcPr>
            <w:tcW w:w="13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48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5" w:type="dxa"/>
            <w:vMerge/>
            <w:tcBorders>
              <w:left w:val="single" w:sz="4" w:space="0" w:color="000000"/>
              <w:right w:val="single" w:sz="4" w:space="0" w:color="000000"/>
            </w:tcBorders>
            <w:shd w:val="clear" w:color="auto" w:fill="D2D2D2"/>
          </w:tcPr>
          <w:p>
            <w:pPr/>
          </w:p>
        </w:tc>
      </w:tr>
      <w:tr>
        <w:trPr>
          <w:trHeight w:val="161"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1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27"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c>
          <w:tcPr>
            <w:tcW w:w="133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19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514,208.88</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0.39%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257,104.44</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合并范围内公司往来款 项的组合</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42,958,314.89</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32.86</w:t>
            </w:r>
          </w:p>
          <w:p>
            <w:pPr>
              <w:pStyle w:val="TableParagraph"/>
              <w:spacing w:line="240" w:lineRule="auto" w:before="10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137,766,746.48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51.4%</w:t>
            </w:r>
          </w:p>
        </w:tc>
        <w:tc>
          <w:tcPr>
            <w:tcW w:w="133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无风险的组合</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87,069,038.33</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66.6%</w:t>
            </w:r>
          </w:p>
        </w:tc>
        <w:tc>
          <w:tcPr>
            <w:tcW w:w="133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129,873,025.12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48.46%</w:t>
            </w:r>
          </w:p>
        </w:tc>
        <w:tc>
          <w:tcPr>
            <w:tcW w:w="133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130,027,353.22</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99.46</w:t>
            </w:r>
          </w:p>
          <w:p>
            <w:pPr>
              <w:pStyle w:val="TableParagraph"/>
              <w:spacing w:line="240" w:lineRule="auto" w:before="102"/>
              <w:ind w:right="1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3"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267,639,771.60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99.86%</w:t>
            </w:r>
          </w:p>
        </w:tc>
        <w:tc>
          <w:tcPr>
            <w:tcW w:w="133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197,679.02</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0.15%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197,679.02</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372,398.25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0.14%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372,398.25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130,739,241.12</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454,783.46</w:t>
            </w: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268,012,169.85</w:t>
            </w: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1" w:right="0"/>
              <w:jc w:val="left"/>
              <w:rPr>
                <w:rFonts w:ascii="Times New Roman" w:hAnsi="Times New Roman" w:cs="Times New Roman" w:eastAsia="Times New Roman" w:hint="default"/>
                <w:sz w:val="18"/>
                <w:szCs w:val="18"/>
              </w:rPr>
            </w:pPr>
            <w:r>
              <w:rPr>
                <w:rFonts w:ascii="Times New Roman"/>
                <w:sz w:val="18"/>
              </w:rPr>
              <w:t>372,398.25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20" w:top="1060" w:bottom="1500" w:left="980" w:right="0"/>
        </w:sectPr>
      </w:pPr>
    </w:p>
    <w:p>
      <w:pPr>
        <w:pStyle w:val="BodyText"/>
        <w:spacing w:line="360" w:lineRule="auto" w:before="49"/>
        <w:ind w:right="-20"/>
        <w:jc w:val="left"/>
      </w:pPr>
      <w:r>
        <w:rPr/>
        <w:t>应收账款种类的说明 期末单项金额重大并单项计提坏账准备的应收账款</w:t>
      </w:r>
    </w:p>
    <w:p>
      <w:pPr>
        <w:pStyle w:val="BodyText"/>
        <w:spacing w:line="240" w:lineRule="auto" w:before="2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6"/>
        <w:gridCol w:w="1627"/>
        <w:gridCol w:w="1625"/>
        <w:gridCol w:w="1628"/>
        <w:gridCol w:w="1627"/>
      </w:tblGrid>
      <w:tr>
        <w:trPr>
          <w:trHeight w:val="401"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9"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3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安徽惠德太阳能科技有限公司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514,208.88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257,104.44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1" w:hRule="exact"/>
        </w:trPr>
        <w:tc>
          <w:tcPr>
            <w:tcW w:w="3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514,208.88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257,104.44</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组合中，采用账龄分析法计提坏账准备的应收账款</w:t>
      </w:r>
    </w:p>
    <w:p>
      <w:pPr>
        <w:spacing w:after="0" w:line="240" w:lineRule="auto"/>
        <w:jc w:val="left"/>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320" w:top="1060" w:bottom="1500" w:left="980" w:right="0"/>
        </w:sectPr>
      </w:pPr>
    </w:p>
    <w:p>
      <w:pPr>
        <w:pStyle w:val="BodyText"/>
        <w:spacing w:line="340" w:lineRule="auto" w:before="44"/>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组合中，采用余额百分比法计提坏账准备的应收账款</w:t>
      </w:r>
    </w:p>
    <w:p>
      <w:pPr>
        <w:pStyle w:val="BodyText"/>
        <w:spacing w:line="340" w:lineRule="auto" w:before="39"/>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38"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3"/>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4"/>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473" w:space="435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68"/>
              <w:jc w:val="left"/>
              <w:rPr>
                <w:rFonts w:ascii="Times New Roman" w:hAnsi="Times New Roman" w:cs="Times New Roman" w:eastAsia="Times New Roman" w:hint="default"/>
                <w:sz w:val="18"/>
                <w:szCs w:val="18"/>
              </w:rPr>
            </w:pPr>
            <w:r>
              <w:rPr>
                <w:rFonts w:ascii="Times New Roman"/>
                <w:sz w:val="18"/>
              </w:rPr>
              <w:t>GreenBrilliance</w:t>
            </w:r>
            <w:r>
              <w:rPr>
                <w:rFonts w:ascii="Times New Roman"/>
                <w:spacing w:val="-7"/>
                <w:sz w:val="18"/>
              </w:rPr>
              <w:t> </w:t>
            </w:r>
            <w:r>
              <w:rPr>
                <w:rFonts w:ascii="Times New Roman"/>
                <w:sz w:val="18"/>
              </w:rPr>
              <w:t>Energy</w:t>
            </w:r>
            <w:r>
              <w:rPr>
                <w:rFonts w:ascii="Times New Roman"/>
                <w:w w:val="99"/>
                <w:sz w:val="18"/>
              </w:rPr>
              <w:t> </w:t>
            </w:r>
            <w:r>
              <w:rPr>
                <w:rFonts w:ascii="Times New Roman"/>
                <w:sz w:val="18"/>
              </w:rPr>
              <w:t>Pvt.</w:t>
            </w:r>
            <w:r>
              <w:rPr>
                <w:rFonts w:ascii="Times New Roman"/>
                <w:spacing w:val="-3"/>
                <w:sz w:val="18"/>
              </w:rPr>
              <w:t> </w:t>
            </w:r>
            <w:r>
              <w:rPr>
                <w:rFonts w:ascii="Times New Roman"/>
                <w:sz w:val="18"/>
              </w:rPr>
              <w:t>Ltd.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187,911.31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187,911.31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72"/>
              <w:jc w:val="left"/>
              <w:rPr>
                <w:rFonts w:ascii="Times New Roman" w:hAnsi="Times New Roman" w:cs="Times New Roman" w:eastAsia="Times New Roman" w:hint="default"/>
                <w:sz w:val="18"/>
                <w:szCs w:val="18"/>
              </w:rPr>
            </w:pPr>
            <w:r>
              <w:rPr>
                <w:rFonts w:ascii="Times New Roman"/>
                <w:sz w:val="18"/>
              </w:rPr>
              <w:t>JENN FENG</w:t>
            </w:r>
            <w:r>
              <w:rPr>
                <w:rFonts w:ascii="Times New Roman"/>
                <w:spacing w:val="-5"/>
                <w:sz w:val="18"/>
              </w:rPr>
              <w:t> </w:t>
            </w:r>
            <w:r>
              <w:rPr>
                <w:rFonts w:ascii="Times New Roman"/>
                <w:sz w:val="18"/>
              </w:rPr>
              <w:t>NEW</w:t>
            </w:r>
            <w:r>
              <w:rPr>
                <w:rFonts w:ascii="Times New Roman"/>
                <w:sz w:val="18"/>
              </w:rPr>
              <w:t> ENERGY Co.,</w:t>
            </w:r>
            <w:r>
              <w:rPr>
                <w:rFonts w:ascii="Times New Roman"/>
                <w:spacing w:val="-13"/>
                <w:sz w:val="18"/>
              </w:rPr>
              <w:t> </w:t>
            </w:r>
            <w:r>
              <w:rPr>
                <w:rFonts w:ascii="Times New Roman"/>
                <w:sz w:val="18"/>
              </w:rPr>
              <w:t>Ltd.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8,944.27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8,944.27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江阴市龙砂铝业有限公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PERFECT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台湾全能</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197,679.02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197,679.02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4"/>
        <w:gridCol w:w="1712"/>
        <w:gridCol w:w="1863"/>
        <w:gridCol w:w="1918"/>
        <w:gridCol w:w="1884"/>
      </w:tblGrid>
      <w:tr>
        <w:trPr>
          <w:trHeight w:val="713"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1027" w:hRule="exact"/>
        </w:trPr>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UNIVERSAL</w:t>
            </w:r>
            <w:r>
              <w:rPr>
                <w:rFonts w:ascii="Times New Roman"/>
                <w:spacing w:val="-13"/>
                <w:sz w:val="18"/>
              </w:rPr>
              <w:t> </w:t>
            </w:r>
            <w:r>
              <w:rPr>
                <w:rFonts w:ascii="Times New Roman"/>
                <w:sz w:val="18"/>
              </w:rPr>
              <w:t>ENERGY</w:t>
            </w:r>
          </w:p>
          <w:p>
            <w:pPr>
              <w:pStyle w:val="TableParagraph"/>
              <w:spacing w:line="312" w:lineRule="auto" w:before="105"/>
              <w:ind w:left="24" w:right="265"/>
              <w:jc w:val="left"/>
              <w:rPr>
                <w:rFonts w:ascii="宋体" w:hAnsi="宋体" w:cs="宋体" w:eastAsia="宋体" w:hint="default"/>
                <w:sz w:val="18"/>
                <w:szCs w:val="18"/>
              </w:rPr>
            </w:pPr>
            <w:r>
              <w:rPr>
                <w:rFonts w:ascii="Times New Roman" w:hAnsi="Times New Roman" w:cs="Times New Roman" w:eastAsia="Times New Roman" w:hint="default"/>
                <w:sz w:val="18"/>
                <w:szCs w:val="18"/>
              </w:rPr>
              <w:t>Nanjing Solar</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Technology</w:t>
            </w:r>
            <w:r>
              <w:rPr>
                <w:rFonts w:ascii="Times New Roman" w:hAnsi="Times New Roman" w:cs="Times New Roman" w:eastAsia="Times New Roman" w:hint="default"/>
                <w:sz w:val="18"/>
                <w:szCs w:val="18"/>
              </w:rPr>
              <w:t> Co</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等公司</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款项已经收回</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逾期未收回</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125,589.07</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1" w:right="0"/>
              <w:jc w:val="left"/>
              <w:rPr>
                <w:rFonts w:ascii="Times New Roman" w:hAnsi="Times New Roman" w:cs="Times New Roman" w:eastAsia="Times New Roman" w:hint="default"/>
                <w:sz w:val="18"/>
                <w:szCs w:val="18"/>
              </w:rPr>
            </w:pPr>
            <w:r>
              <w:rPr>
                <w:rFonts w:ascii="Times New Roman"/>
                <w:sz w:val="18"/>
              </w:rPr>
              <w:t>125,589.07</w:t>
            </w:r>
          </w:p>
        </w:tc>
      </w:tr>
      <w:tr>
        <w:trPr>
          <w:trHeight w:val="401" w:hRule="exact"/>
        </w:trPr>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125,589.07</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期末单项金额重大或虽不重大但单独进行减值测试的应收账款坏账准备计提</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4"/>
        <w:gridCol w:w="1832"/>
      </w:tblGrid>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357" w:lineRule="auto" w:before="49"/>
        <w:ind w:left="633" w:right="1115" w:hanging="481"/>
        <w:jc w:val="left"/>
      </w:pPr>
      <w:r>
        <w:rPr/>
        <w:t>单项金额不重大但按信用风险特征组合后该组合的风险较大的应收账款的说明 </w:t>
      </w:r>
      <w:r>
        <w:rPr>
          <w:spacing w:val="-1"/>
        </w:rPr>
        <w:t>年末单项金额虽不重大但单项计提坏账准备的应收账款的说明：本公司对于超过信用期所有客户的应收账款，单</w:t>
      </w:r>
    </w:p>
    <w:p>
      <w:pPr>
        <w:pStyle w:val="BodyText"/>
        <w:spacing w:line="237" w:lineRule="exact"/>
        <w:ind w:right="1115"/>
        <w:jc w:val="left"/>
      </w:pPr>
      <w:r>
        <w:rPr/>
        <w:t>项金额均未超过</w:t>
      </w:r>
      <w:r>
        <w:rPr>
          <w:rFonts w:ascii="Times New Roman" w:hAnsi="Times New Roman" w:cs="Times New Roman" w:eastAsia="Times New Roman" w:hint="default"/>
        </w:rPr>
        <w:t>50</w:t>
      </w:r>
      <w:r>
        <w:rPr/>
        <w:t>万元，但由于该等客户均超过信用期尚未付款且截至报告出具日尚未付款，本公司认为该部分客户应</w:t>
      </w:r>
    </w:p>
    <w:p>
      <w:pPr>
        <w:pStyle w:val="BodyText"/>
        <w:spacing w:line="240" w:lineRule="auto" w:before="63"/>
        <w:ind w:right="1115"/>
        <w:jc w:val="left"/>
      </w:pPr>
      <w:r>
        <w:rPr/>
        <w:t>收款的风险较大，按</w:t>
      </w:r>
      <w:r>
        <w:rPr>
          <w:rFonts w:ascii="Times New Roman" w:hAnsi="Times New Roman" w:cs="Times New Roman" w:eastAsia="Times New Roman" w:hint="default"/>
        </w:rPr>
        <w:t>100</w:t>
      </w:r>
      <w:r>
        <w:rPr/>
        <w:t>％计提坏账准备。</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2" w:right="0"/>
              <w:jc w:val="left"/>
              <w:rPr>
                <w:rFonts w:ascii="宋体" w:hAnsi="宋体" w:cs="宋体" w:eastAsia="宋体" w:hint="default"/>
                <w:sz w:val="18"/>
                <w:szCs w:val="18"/>
              </w:rPr>
            </w:pPr>
            <w:r>
              <w:rPr>
                <w:rFonts w:ascii="宋体" w:hAnsi="宋体" w:cs="宋体" w:eastAsia="宋体" w:hint="default"/>
                <w:sz w:val="18"/>
                <w:szCs w:val="18"/>
              </w:rPr>
              <w:t>是否因关联交易产</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65968" coordorigin="9206,15298" coordsize="2700,1540">
            <v:shape style="position:absolute;left:9206;top:15298;width:2700;height:1540" type="#_x0000_t75" stroked="false">
              <v:imagedata r:id="rId21"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158</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36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生</w:t>
            </w:r>
          </w:p>
        </w:tc>
      </w:tr>
    </w:tbl>
    <w:p>
      <w:pPr>
        <w:pStyle w:val="BodyText"/>
        <w:spacing w:line="240" w:lineRule="auto" w:before="49"/>
        <w:ind w:right="1115"/>
        <w:jc w:val="left"/>
      </w:pPr>
      <w:r>
        <w:rPr/>
        <w:t>应收账款核销说明</w:t>
      </w:r>
    </w:p>
    <w:p>
      <w:pPr>
        <w:pStyle w:val="BodyText"/>
        <w:spacing w:line="240" w:lineRule="auto" w:before="115"/>
        <w:ind w:left="633" w:right="1115"/>
        <w:jc w:val="left"/>
      </w:pPr>
      <w:r>
        <w:rPr/>
        <w:t>报告期核销坏账的应收账款金额合计</w:t>
      </w:r>
      <w:r>
        <w:rPr>
          <w:rFonts w:ascii="Times New Roman" w:hAnsi="Times New Roman" w:cs="Times New Roman" w:eastAsia="Times New Roman" w:hint="default"/>
        </w:rPr>
        <w:t>52,372.85</w:t>
      </w:r>
      <w:r>
        <w:rPr/>
        <w:t>元，无实际核销的大额应收账款。</w:t>
      </w:r>
    </w:p>
    <w:p>
      <w:pPr>
        <w:spacing w:line="240" w:lineRule="auto" w:before="2"/>
        <w:rPr>
          <w:rFonts w:ascii="宋体" w:hAnsi="宋体" w:cs="宋体" w:eastAsia="宋体" w:hint="default"/>
          <w:sz w:val="26"/>
          <w:szCs w:val="26"/>
        </w:rPr>
      </w:pPr>
    </w:p>
    <w:p>
      <w:pPr>
        <w:pStyle w:val="Heading4"/>
        <w:spacing w:line="240" w:lineRule="auto"/>
        <w:ind w:right="1115"/>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3"/>
        <w:gridCol w:w="1862"/>
      </w:tblGrid>
      <w:tr>
        <w:trPr>
          <w:trHeight w:val="401"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8"/>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青海蓓翔新能源开发有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26,871,344.87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20.55%</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353"/>
              <w:jc w:val="left"/>
              <w:rPr>
                <w:rFonts w:ascii="Times New Roman" w:hAnsi="Times New Roman" w:cs="Times New Roman" w:eastAsia="Times New Roman" w:hint="default"/>
                <w:sz w:val="18"/>
                <w:szCs w:val="18"/>
              </w:rPr>
            </w:pPr>
            <w:r>
              <w:rPr>
                <w:rFonts w:ascii="Times New Roman"/>
                <w:sz w:val="18"/>
              </w:rPr>
              <w:t>SUMITOMO</w:t>
            </w:r>
            <w:r>
              <w:rPr>
                <w:rFonts w:ascii="Times New Roman"/>
                <w:w w:val="99"/>
                <w:sz w:val="18"/>
              </w:rPr>
              <w:t> </w:t>
            </w:r>
            <w:r>
              <w:rPr>
                <w:rFonts w:ascii="Times New Roman"/>
                <w:spacing w:val="-3"/>
                <w:sz w:val="18"/>
              </w:rPr>
              <w:t>CORPORATION</w:t>
            </w:r>
            <w:r>
              <w:rPr>
                <w:rFonts w:ascii="Times New Roman"/>
                <w:spacing w:val="-36"/>
                <w:sz w:val="18"/>
              </w:rPr>
              <w:t> </w:t>
            </w:r>
            <w:r>
              <w:rPr>
                <w:rFonts w:ascii="Times New Roman"/>
                <w:spacing w:val="-36"/>
                <w:sz w:val="18"/>
              </w:rPr>
            </w:r>
            <w:r>
              <w:rPr>
                <w:rFonts w:ascii="Times New Roman"/>
                <w:sz w:val="18"/>
              </w:rPr>
              <w:t>(SHANGHAI )</w:t>
            </w:r>
            <w:r>
              <w:rPr>
                <w:rFonts w:ascii="Times New Roman"/>
                <w:spacing w:val="-4"/>
                <w:sz w:val="18"/>
              </w:rPr>
              <w:t> </w:t>
            </w:r>
            <w:r>
              <w:rPr>
                <w:rFonts w:ascii="Times New Roman"/>
                <w:spacing w:val="-5"/>
                <w:sz w:val="18"/>
              </w:rPr>
              <w:t>LTD.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18,679,908.53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14.29%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REC Modules Pte</w:t>
            </w:r>
            <w:r>
              <w:rPr>
                <w:rFonts w:ascii="Times New Roman"/>
                <w:spacing w:val="-5"/>
                <w:sz w:val="18"/>
              </w:rPr>
              <w:t> </w:t>
            </w:r>
            <w:r>
              <w:rPr>
                <w:rFonts w:ascii="Times New Roman"/>
                <w:sz w:val="18"/>
              </w:rPr>
              <w:t>Ltd.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18,419,523.76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苏州爱康电力开发有限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12,193,559.55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w:t>
            </w:r>
          </w:p>
        </w:tc>
      </w:tr>
      <w:tr>
        <w:trPr>
          <w:trHeight w:val="133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22"/>
              <w:jc w:val="left"/>
              <w:rPr>
                <w:rFonts w:ascii="Times New Roman" w:hAnsi="Times New Roman" w:cs="Times New Roman" w:eastAsia="Times New Roman" w:hint="default"/>
                <w:sz w:val="18"/>
                <w:szCs w:val="18"/>
              </w:rPr>
            </w:pPr>
            <w:r>
              <w:rPr>
                <w:rFonts w:ascii="Times New Roman"/>
                <w:sz w:val="18"/>
              </w:rPr>
              <w:t>FLEXTRONICS</w:t>
            </w:r>
            <w:r>
              <w:rPr>
                <w:rFonts w:ascii="Times New Roman"/>
                <w:w w:val="99"/>
                <w:sz w:val="18"/>
              </w:rPr>
              <w:t> </w:t>
            </w:r>
            <w:r>
              <w:rPr>
                <w:rFonts w:ascii="Times New Roman"/>
                <w:sz w:val="18"/>
              </w:rPr>
              <w:t>TECHNOLOGY</w:t>
            </w:r>
            <w:r>
              <w:rPr>
                <w:rFonts w:ascii="Times New Roman"/>
                <w:w w:val="99"/>
                <w:sz w:val="18"/>
              </w:rPr>
              <w:t> </w:t>
            </w:r>
            <w:r>
              <w:rPr>
                <w:rFonts w:ascii="Times New Roman"/>
                <w:spacing w:val="-3"/>
                <w:sz w:val="18"/>
              </w:rPr>
              <w:t>(MALAYSIA)</w:t>
            </w:r>
            <w:r>
              <w:rPr>
                <w:rFonts w:ascii="Times New Roman"/>
                <w:spacing w:val="6"/>
                <w:sz w:val="18"/>
              </w:rPr>
              <w:t> </w:t>
            </w:r>
            <w:r>
              <w:rPr>
                <w:rFonts w:ascii="Times New Roman"/>
                <w:sz w:val="18"/>
              </w:rPr>
              <w:t>SDN</w:t>
            </w:r>
            <w:r>
              <w:rPr>
                <w:rFonts w:ascii="Times New Roman"/>
                <w:spacing w:val="-43"/>
                <w:sz w:val="18"/>
              </w:rPr>
              <w:t> </w:t>
            </w:r>
            <w:r>
              <w:rPr>
                <w:rFonts w:ascii="Times New Roman"/>
                <w:spacing w:val="-43"/>
                <w:sz w:val="18"/>
              </w:rPr>
            </w:r>
            <w:r>
              <w:rPr>
                <w:rFonts w:ascii="Times New Roman"/>
                <w:sz w:val="18"/>
              </w:rPr>
              <w:t>BHD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10,370,574.17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86,534,910.88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66.19%</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青海蓓翔新能源开发有限公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26,871,344.87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20.55%</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12,193,559.55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3,345,770.47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8"/>
              <w:jc w:val="center"/>
              <w:rPr>
                <w:rFonts w:ascii="宋体" w:hAnsi="宋体" w:cs="宋体" w:eastAsia="宋体" w:hint="default"/>
                <w:sz w:val="18"/>
                <w:szCs w:val="18"/>
              </w:rPr>
            </w:pPr>
            <w:r>
              <w:rPr>
                <w:rFonts w:ascii="宋体" w:hAnsi="宋体" w:cs="宋体" w:eastAsia="宋体" w:hint="default"/>
                <w:sz w:val="18"/>
                <w:szCs w:val="18"/>
              </w:rPr>
              <w:t>无锡爱康太阳能电子科技有</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541,556.00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0.41%</w:t>
            </w:r>
          </w:p>
        </w:tc>
      </w:tr>
    </w:tbl>
    <w:p>
      <w:pPr>
        <w:spacing w:after="0" w:line="240" w:lineRule="auto"/>
        <w:jc w:val="right"/>
        <w:rPr>
          <w:rFonts w:ascii="Times New Roman" w:hAnsi="Times New Roman" w:cs="Times New Roman" w:eastAsia="Times New Roman" w:hint="default"/>
          <w:sz w:val="18"/>
          <w:szCs w:val="18"/>
        </w:rPr>
        <w:sectPr>
          <w:headerReference w:type="default" r:id="rId65"/>
          <w:footerReference w:type="default" r:id="rId66"/>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36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2"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苏州爱康薄膜新材料有限公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6,084.00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42,958,314.89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32.86%</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15"/>
        <w:jc w:val="left"/>
      </w:pPr>
      <w:r>
        <w:rPr/>
        <w:t>不符合终止确认条件的应收账款的转移金额为元。</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1"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4"/>
              <w:jc w:val="left"/>
              <w:rPr>
                <w:rFonts w:ascii="宋体" w:hAnsi="宋体" w:cs="宋体" w:eastAsia="宋体" w:hint="default"/>
                <w:sz w:val="18"/>
                <w:szCs w:val="18"/>
              </w:rPr>
            </w:pPr>
            <w:r>
              <w:rPr>
                <w:rFonts w:ascii="宋体" w:hAnsi="宋体" w:cs="宋体" w:eastAsia="宋体" w:hint="default"/>
                <w:sz w:val="18"/>
                <w:szCs w:val="18"/>
              </w:rPr>
              <w:t>合并范围内公司往来款项 的组合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619,431,021.35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79,443,637.34</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无风险的组合</w:t>
            </w:r>
          </w:p>
        </w:tc>
        <w:tc>
          <w:tcPr>
            <w:tcW w:w="145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8,502,492.76</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9.66%</w:t>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职工周转用备用金的组合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840,203.83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0.13%</w:t>
            </w: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47,618.50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0.05%</w:t>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620,271,225.18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87,993,748.60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4"/>
              <w:jc w:val="both"/>
              <w:rPr>
                <w:rFonts w:ascii="宋体" w:hAnsi="宋体" w:cs="宋体" w:eastAsia="宋体" w:hint="default"/>
                <w:sz w:val="18"/>
                <w:szCs w:val="18"/>
              </w:rPr>
            </w:pPr>
            <w:r>
              <w:rPr>
                <w:rFonts w:ascii="宋体" w:hAnsi="宋体" w:cs="宋体" w:eastAsia="宋体" w:hint="default"/>
                <w:sz w:val="18"/>
                <w:szCs w:val="18"/>
              </w:rPr>
              <w:t>单项金额虽不重大但单项 计提坏账准备的其他应收 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0.01%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4,867.91</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0.01%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4,867.91</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620,271,625.18</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87,998,616.51</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4,867.91</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6614"/>
        <w:jc w:val="left"/>
      </w:pPr>
      <w:r>
        <w:rPr/>
        <w:t>其他应收款种类的说明 期末单项金额重大并单项计提坏账准备的其他应收款</w:t>
      </w:r>
    </w:p>
    <w:p>
      <w:pPr>
        <w:pStyle w:val="BodyText"/>
        <w:spacing w:line="340" w:lineRule="auto" w:before="29"/>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340" w:lineRule="auto" w:before="39"/>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组合中，采用余额百分比法计提坏账准备的其他应收款</w:t>
      </w:r>
    </w:p>
    <w:p>
      <w:pPr>
        <w:pStyle w:val="BodyText"/>
        <w:spacing w:line="338" w:lineRule="auto" w:before="41"/>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1115"/>
        <w:jc w:val="left"/>
      </w:pPr>
      <w:r>
        <w:rPr/>
        <w:pict>
          <v:group style="position:absolute;margin-left:460.320007pt;margin-top:12.00572pt;width:135pt;height:77pt;mso-position-horizontal-relative:page;mso-position-vertical-relative:paragraph;z-index:3016" coordorigin="9206,240" coordsize="2700,1540">
            <v:shape style="position:absolute;left:9206;top:240;width:2700;height:1540" type="#_x0000_t75" stroked="false">
              <v:imagedata r:id="rId21" o:title=""/>
            </v:shape>
            <v:shape style="position:absolute;left:10502;top:600;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159</w:t>
                    </w:r>
                  </w:p>
                </w:txbxContent>
              </v:textbox>
              <w10:wrap type="none"/>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headerReference w:type="default" r:id="rId67"/>
          <w:footerReference w:type="default" r:id="rId68"/>
          <w:pgSz w:w="11910" w:h="16840"/>
          <w:pgMar w:header="877" w:footer="0" w:top="1060" w:bottom="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9"/>
          <w:footerReference w:type="default" r:id="rId70"/>
          <w:pgSz w:w="11910" w:h="16840"/>
          <w:pgMar w:header="877" w:footer="0" w:top="1060" w:bottom="0" w:left="980" w:right="0"/>
        </w:sectPr>
      </w:pPr>
    </w:p>
    <w:p>
      <w:pPr>
        <w:pStyle w:val="BodyText"/>
        <w:spacing w:line="240" w:lineRule="auto" w:before="44"/>
        <w:ind w:right="-20"/>
        <w:jc w:val="left"/>
      </w:pPr>
      <w:r>
        <w:rPr/>
        <w:t>期末单项金额虽不重大但单项计提坏账准备的其他应收款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离职员工欠款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1115"/>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1115"/>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357" w:lineRule="auto" w:before="49"/>
        <w:ind w:left="633" w:right="7123" w:hanging="481"/>
        <w:jc w:val="left"/>
      </w:pPr>
      <w:r>
        <w:rPr/>
        <w:t>其他应收款核销说明 报告期实际核销其他应收款</w:t>
      </w:r>
      <w:r>
        <w:rPr>
          <w:rFonts w:ascii="Times New Roman" w:hAnsi="Times New Roman" w:cs="Times New Roman" w:eastAsia="Times New Roman" w:hint="default"/>
        </w:rPr>
        <w:t>4,467.91</w:t>
      </w:r>
      <w:r>
        <w:rPr/>
        <w:t>元。</w:t>
      </w:r>
    </w:p>
    <w:p>
      <w:pPr>
        <w:spacing w:line="240" w:lineRule="auto" w:before="9"/>
        <w:rPr>
          <w:rFonts w:ascii="宋体" w:hAnsi="宋体" w:cs="宋体" w:eastAsia="宋体" w:hint="default"/>
          <w:sz w:val="18"/>
          <w:szCs w:val="18"/>
        </w:rPr>
      </w:pPr>
    </w:p>
    <w:p>
      <w:pPr>
        <w:pStyle w:val="Heading4"/>
        <w:spacing w:line="240" w:lineRule="auto"/>
        <w:ind w:right="1115"/>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106.73172pt;width:135pt;height:77pt;mso-position-horizontal-relative:page;mso-position-vertical-relative:paragraph;z-index:-965872" coordorigin="9206,2135" coordsize="2700,1540">
            <v:shape style="position:absolute;left:9206;top:2135;width:2700;height:1540" type="#_x0000_t75" stroked="false">
              <v:imagedata r:id="rId21" o:title=""/>
            </v:shape>
            <v:shape style="position:absolute;left:10502;top:2495;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160</w:t>
                    </w:r>
                  </w:p>
                </w:txbxContent>
              </v:textbox>
              <w10:wrap type="none"/>
            </v:shape>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苏州爱康电力开发有限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353,752,608.06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57.03%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7"/>
              <w:jc w:val="center"/>
              <w:rPr>
                <w:rFonts w:ascii="宋体" w:hAnsi="宋体" w:cs="宋体" w:eastAsia="宋体" w:hint="default"/>
                <w:sz w:val="18"/>
                <w:szCs w:val="18"/>
              </w:rPr>
            </w:pPr>
            <w:r>
              <w:rPr>
                <w:rFonts w:ascii="宋体" w:hAnsi="宋体" w:cs="宋体" w:eastAsia="宋体" w:hint="default"/>
                <w:sz w:val="18"/>
                <w:szCs w:val="18"/>
              </w:rPr>
              <w:t>青海蓓翔新能源开发有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99,720,035.72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965824" coordorigin="9206,15298" coordsize="2700,1540">
            <v:shape style="position:absolute;left:9206;top:15298;width:2700;height:1540" type="#_x0000_t75" stroked="false">
              <v:imagedata r:id="rId21"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161</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36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苏州中康电力开发有限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74,436,066.09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新疆爱康电力开发有限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71,698,571.86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无锡爱康太阳能电子科 技有限公司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14,209,883.79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613,817,165.52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99.86%</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353,752,608.06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57.03%</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青海蓓翔新能源开发有限公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控股孙公司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99,720,035.72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16.08%</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74,436,066.09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全资孙公司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71,698,571.86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11.56%</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无锡爱康太阳能电子科技有 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14,209,883.79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江阴爱康光伏焊带有限公司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5,568,855.83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center"/>
              <w:rPr>
                <w:rFonts w:ascii="宋体" w:hAnsi="宋体" w:cs="宋体" w:eastAsia="宋体" w:hint="default"/>
                <w:sz w:val="18"/>
                <w:szCs w:val="18"/>
              </w:rPr>
            </w:pPr>
            <w:r>
              <w:rPr>
                <w:rFonts w:ascii="宋体" w:hAnsi="宋体" w:cs="宋体" w:eastAsia="宋体" w:hint="default"/>
                <w:sz w:val="18"/>
                <w:szCs w:val="18"/>
              </w:rPr>
              <w:t>苏州爱康金属科技有限公司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619,431,021.35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99.87%</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15"/>
        <w:jc w:val="left"/>
      </w:pPr>
      <w:r>
        <w:rPr/>
        <w:t>不符合终止确认条件的其他应收款项的转移金额为元。</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1963"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5"/>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0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南通爱康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279,300,0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279,300,0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279,300,0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71"/>
          <w:footerReference w:type="default" r:id="rId72"/>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67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9"/>
              <w:jc w:val="left"/>
              <w:rPr>
                <w:rFonts w:ascii="宋体" w:hAnsi="宋体" w:cs="宋体" w:eastAsia="宋体" w:hint="default"/>
                <w:sz w:val="18"/>
                <w:szCs w:val="18"/>
              </w:rPr>
            </w:pPr>
            <w:r>
              <w:rPr>
                <w:rFonts w:ascii="宋体" w:hAnsi="宋体" w:cs="宋体" w:eastAsia="宋体" w:hint="default"/>
                <w:sz w:val="18"/>
                <w:szCs w:val="18"/>
              </w:rPr>
              <w:t>金属科技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苏州爱康 薄膜新材 料有限公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286,608,0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286,608,0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286,608,0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苏州爱康 金属科技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187,048,0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187,048,0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187,048,0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佛山市同 兴太阳能 器材有限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4,028,715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4,028,715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无锡爱康 太阳能电 子科技有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江阴爱康 光伏焊带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苏州爱康 电力开发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香港爱康 电力国际 控股有限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64,987,77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64,987,77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64,987,77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张家港保 税区爱康 商贸有限 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19,770,23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19,770,23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9.44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19,770,23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9.44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青海蓓翔 新能源开 发有限公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61,600,00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-61,600,0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新疆爱康 电力开发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广东爱康 太阳能科 技有限公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95,157,98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5.70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5,832,752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100,990,7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38.46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3"/>
          <w:pgSz w:w="11910" w:h="16840"/>
          <w:pgMar w:footer="1267" w:header="877" w:top="1060" w:bottom="1460" w:left="980" w:right="0"/>
          <w:pgNumType w:start="162"/>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36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江苏爱通 新能源科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293,066.5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293,066.5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37" w:right="0"/>
              <w:jc w:val="lef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36" w:right="0"/>
              <w:jc w:val="left"/>
              <w:rPr>
                <w:rFonts w:ascii="Times New Roman" w:hAnsi="Times New Roman" w:cs="Times New Roman" w:eastAsia="Times New Roman" w:hint="default"/>
                <w:sz w:val="18"/>
                <w:szCs w:val="18"/>
              </w:rPr>
            </w:pPr>
            <w:r>
              <w:rPr>
                <w:rFonts w:ascii="Times New Roman"/>
                <w:sz w:val="18"/>
              </w:rPr>
              <w:t>40%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940,714,0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948,484,2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25.14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72,513,59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1,020,997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,818.33</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4,028,715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4,028,715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Heading6"/>
        <w:spacing w:line="240" w:lineRule="auto" w:before="49"/>
        <w:ind w:right="1115"/>
        <w:jc w:val="left"/>
        <w:rPr>
          <w:b w:val="0"/>
          <w:bCs w:val="0"/>
        </w:rPr>
      </w:pPr>
      <w:r>
        <w:rPr/>
        <w:t>长期股权投资的说明</w:t>
      </w:r>
      <w:r>
        <w:rPr>
          <w:b w:val="0"/>
          <w:bCs w:val="0"/>
        </w:rPr>
      </w:r>
    </w:p>
    <w:p>
      <w:pPr>
        <w:pStyle w:val="BodyText"/>
        <w:spacing w:line="300" w:lineRule="auto" w:before="115"/>
        <w:ind w:right="0"/>
        <w:jc w:val="left"/>
      </w:pPr>
      <w:r>
        <w:rPr>
          <w:rFonts w:ascii="Times New Roman" w:hAnsi="Times New Roman" w:cs="Times New Roman" w:eastAsia="Times New Roman" w:hint="default"/>
        </w:rPr>
        <w:t>(1)2012</w:t>
      </w:r>
      <w:r>
        <w:rPr/>
        <w:t>年</w:t>
      </w:r>
      <w:r>
        <w:rPr>
          <w:rFonts w:ascii="Times New Roman" w:hAnsi="Times New Roman" w:cs="Times New Roman" w:eastAsia="Times New Roman" w:hint="default"/>
        </w:rPr>
        <w:t>12</w:t>
      </w:r>
      <w:r>
        <w:rPr/>
        <w:t>月本公司与自然人陈刚签订协议，将本公司持有的广东爱康太阳能科技有限公司</w:t>
      </w:r>
      <w:r>
        <w:rPr>
          <w:rFonts w:ascii="Times New Roman" w:hAnsi="Times New Roman" w:cs="Times New Roman" w:eastAsia="Times New Roman" w:hint="default"/>
        </w:rPr>
        <w:t>5%</w:t>
      </w:r>
      <w:r>
        <w:rPr/>
        <w:t>的股权转让给自然人陈刚，</w:t>
      </w:r>
      <w:r>
        <w:rPr>
          <w:spacing w:val="-86"/>
        </w:rPr>
        <w:t> </w:t>
      </w:r>
      <w:r>
        <w:rPr>
          <w:spacing w:val="-86"/>
        </w:rPr>
      </w:r>
      <w:r>
        <w:rPr/>
        <w:t>因相关法律手续尚未办理，本公司仍持有广东爱康太阳能科技有限公司</w:t>
      </w:r>
      <w:r>
        <w:rPr>
          <w:rFonts w:ascii="Times New Roman" w:hAnsi="Times New Roman" w:cs="Times New Roman" w:eastAsia="Times New Roman" w:hint="default"/>
        </w:rPr>
        <w:t>20%</w:t>
      </w:r>
      <w:r>
        <w:rPr/>
        <w:t>的股权，本公司长期股权投资采用权益法核算。</w:t>
      </w:r>
      <w:r>
        <w:rPr>
          <w:spacing w:val="-62"/>
        </w:rPr>
        <w:t> </w:t>
      </w:r>
      <w:r>
        <w:rPr>
          <w:spacing w:val="-62"/>
        </w:rPr>
      </w:r>
      <w:r>
        <w:rPr>
          <w:rFonts w:ascii="Times New Roman" w:hAnsi="Times New Roman" w:cs="Times New Roman" w:eastAsia="Times New Roman" w:hint="default"/>
        </w:rPr>
        <w:t>(2)</w:t>
      </w:r>
      <w:r>
        <w:rPr/>
        <w:t>佛山市同兴太阳能器材有限公司由于进入清算阶段，不存在持续经营的可能，于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日，本集团对持有的佛山</w:t>
      </w:r>
      <w:r>
        <w:rPr>
          <w:spacing w:val="-30"/>
        </w:rPr>
        <w:t> </w:t>
      </w:r>
      <w:r>
        <w:rPr>
          <w:spacing w:val="-30"/>
        </w:rPr>
      </w:r>
      <w:r>
        <w:rPr/>
        <w:t>市同兴太阳能器材有限公司长期股权投资计提减值准备</w:t>
      </w:r>
      <w:r>
        <w:rPr>
          <w:rFonts w:ascii="Times New Roman" w:hAnsi="Times New Roman" w:cs="Times New Roman" w:eastAsia="Times New Roman" w:hint="default"/>
        </w:rPr>
        <w:t>4,028,715.27</w:t>
      </w:r>
      <w:r>
        <w:rPr/>
        <w:t>元。</w:t>
      </w:r>
    </w:p>
    <w:p>
      <w:pPr>
        <w:spacing w:line="240" w:lineRule="auto" w:before="4"/>
        <w:rPr>
          <w:rFonts w:ascii="宋体" w:hAnsi="宋体" w:cs="宋体" w:eastAsia="宋体" w:hint="default"/>
          <w:sz w:val="22"/>
          <w:szCs w:val="22"/>
        </w:rPr>
      </w:pPr>
    </w:p>
    <w:p>
      <w:pPr>
        <w:pStyle w:val="Heading4"/>
        <w:spacing w:line="240" w:lineRule="auto"/>
        <w:ind w:right="1115"/>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883,252,082.07</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1,206,100,777.91</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33,762,916.94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53,684,602.16</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917,014,999.01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1,259,785,380.07</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842,454,393.20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1,049,151,475.96</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太阳能光伏制造业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883,252,082.07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792,097,774.65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1,206,100,777.91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980,978,880.89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883,252,082.07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792,097,774.65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1,206,100,777.91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980,978,880.89</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781,130,685.45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689,976,378.24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1,088,543,528.09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871,228,176.10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太阳能组件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102,121,396.62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102,121,396.41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117,557,249.82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109,750,704.79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67"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883,252,082.07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792,097,774.65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1,206,100,777.91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980,978,880.89</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出口销售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674,266,379.13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596,155,134.95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920,916,971.05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723,653,822.85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208,985,702.94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195,942,639.70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285,183,806.86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257,325,058.04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883,252,082.07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792,097,774.65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1,206,100,777.91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980,978,880.89</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SUMITOMO </w:t>
            </w:r>
            <w:r>
              <w:rPr>
                <w:rFonts w:ascii="Times New Roman"/>
                <w:spacing w:val="-3"/>
                <w:sz w:val="18"/>
              </w:rPr>
              <w:t>CORPORATION </w:t>
            </w:r>
            <w:r>
              <w:rPr>
                <w:rFonts w:ascii="Times New Roman"/>
                <w:sz w:val="18"/>
              </w:rPr>
              <w:t>(SHANGHAI )</w:t>
            </w:r>
            <w:r>
              <w:rPr>
                <w:rFonts w:ascii="Times New Roman"/>
                <w:spacing w:val="6"/>
                <w:sz w:val="18"/>
              </w:rPr>
              <w:t> </w:t>
            </w:r>
            <w:r>
              <w:rPr>
                <w:rFonts w:ascii="Times New Roman"/>
                <w:spacing w:val="-7"/>
                <w:sz w:val="18"/>
              </w:rPr>
              <w:t>LTD</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415,542,335.33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45.31%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65,550,051.10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FLEXTRONICS TECHNOLOGY </w:t>
            </w:r>
            <w:r>
              <w:rPr>
                <w:rFonts w:ascii="Times New Roman"/>
                <w:spacing w:val="-3"/>
                <w:sz w:val="18"/>
              </w:rPr>
              <w:t>(MALAYSIA) </w:t>
            </w:r>
            <w:r>
              <w:rPr>
                <w:rFonts w:ascii="Times New Roman"/>
                <w:sz w:val="18"/>
              </w:rPr>
              <w:t>SDN</w:t>
            </w:r>
            <w:r>
              <w:rPr>
                <w:rFonts w:ascii="Times New Roman"/>
                <w:spacing w:val="-5"/>
                <w:sz w:val="18"/>
              </w:rPr>
              <w:t> </w:t>
            </w:r>
            <w:r>
              <w:rPr>
                <w:rFonts w:ascii="Times New Roman"/>
                <w:sz w:val="18"/>
              </w:rPr>
              <w:t>BHD</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58,830,579.04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REC Modules Pte</w:t>
            </w:r>
            <w:r>
              <w:rPr>
                <w:rFonts w:ascii="Times New Roman"/>
                <w:spacing w:val="-6"/>
                <w:sz w:val="18"/>
              </w:rPr>
              <w:t> </w:t>
            </w:r>
            <w:r>
              <w:rPr>
                <w:rFonts w:ascii="Times New Roman"/>
                <w:sz w:val="18"/>
              </w:rPr>
              <w:t>Ltd</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56,333,517.69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37,684,997.20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633,941,480.36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69.13%</w:t>
            </w:r>
          </w:p>
        </w:tc>
      </w:tr>
    </w:tbl>
    <w:p>
      <w:pPr>
        <w:pStyle w:val="BodyText"/>
        <w:spacing w:line="240" w:lineRule="auto" w:before="49"/>
        <w:ind w:right="1115"/>
        <w:jc w:val="left"/>
      </w:pPr>
      <w:r>
        <w:rPr/>
        <w:t>营业收入的说明</w:t>
      </w:r>
    </w:p>
    <w:p>
      <w:pPr>
        <w:spacing w:line="240" w:lineRule="auto" w:before="0"/>
        <w:rPr>
          <w:rFonts w:ascii="宋体" w:hAnsi="宋体" w:cs="宋体" w:eastAsia="宋体" w:hint="default"/>
          <w:sz w:val="18"/>
          <w:szCs w:val="18"/>
        </w:rPr>
      </w:pPr>
    </w:p>
    <w:p>
      <w:pPr>
        <w:pStyle w:val="Heading4"/>
        <w:spacing w:line="240" w:lineRule="auto" w:before="120"/>
        <w:ind w:right="1115"/>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spacing w:before="0"/>
        <w:ind w:left="152" w:right="111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5,125,819.34</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21,552,530.28</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4" w:type="dxa"/>
            <w:tcBorders>
              <w:top w:val="single" w:sz="4" w:space="0" w:color="000000"/>
              <w:left w:val="single" w:sz="10" w:space="0" w:color="D2D2D2"/>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163,197,272.29</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1,770,160.00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-3,671,750.00</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6,895,979.34</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181,078,052.57</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267"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广东爱康太阳能科技有限公司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5,832,752.76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21,552,530.28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公司净利润变动</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江苏爱通新能源科技有限公司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-706,933.42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公司净利润变动</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5,125,819.34</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21,552,530.28</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15"/>
        <w:jc w:val="left"/>
      </w:pPr>
      <w:r>
        <w:rPr/>
        <w:t>投资收益的说明</w:t>
      </w:r>
    </w:p>
    <w:p>
      <w:pPr>
        <w:spacing w:line="240" w:lineRule="auto" w:before="0"/>
        <w:rPr>
          <w:rFonts w:ascii="宋体" w:hAnsi="宋体" w:cs="宋体" w:eastAsia="宋体" w:hint="default"/>
          <w:sz w:val="18"/>
          <w:szCs w:val="18"/>
        </w:rPr>
      </w:pPr>
    </w:p>
    <w:p>
      <w:pPr>
        <w:pStyle w:val="Heading4"/>
        <w:spacing w:line="240" w:lineRule="auto" w:before="118"/>
        <w:ind w:right="1115"/>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-69,492,509.17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216,389,163.51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4,816,983.10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412,841.28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13,157,243.28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9,963,034.35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2,252,329.69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603,388.58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3,766,725.87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1,037,898.10</w:t>
            </w:r>
          </w:p>
        </w:tc>
      </w:tr>
      <w:tr>
        <w:trPr>
          <w:trHeight w:val="71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-74,589.53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17,598.51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368,000.00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-2,730,680.00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43,493,939.97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32,846,644.54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-6,895,979.34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-181,078,052.57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-11,635,019.57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249,082.58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-55,200.00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55,200.00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78,707,745.21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-48,578,082.01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-327,804,081.69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-195,647,740.96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237,924,538.98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48,607,823.30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-31,469,873.04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-117,851,880.79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82,836,240.39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309,421,460.43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309,421,460.43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56,383,847.41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-226,585,220.04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253,037,613.02</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15"/>
        <w:jc w:val="left"/>
      </w:pPr>
      <w:r>
        <w:rPr/>
        <w:t>反向购买下以公允价值入账的资产、负债情况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pStyle w:val="BodyText"/>
        <w:spacing w:line="240" w:lineRule="auto" w:before="49"/>
        <w:ind w:right="1115"/>
        <w:jc w:val="left"/>
      </w:pPr>
      <w:r>
        <w:rPr/>
        <w:t>反向购买形成长期股权投资的情况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240" w:lineRule="auto" w:before="26"/>
        <w:ind w:right="1115"/>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15"/>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6"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-0.19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713"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-0.28</w:t>
            </w:r>
          </w:p>
        </w:tc>
      </w:tr>
    </w:tbl>
    <w:p>
      <w:pPr>
        <w:spacing w:line="240" w:lineRule="auto" w:before="3"/>
        <w:rPr>
          <w:rFonts w:ascii="宋体" w:hAnsi="宋体" w:cs="宋体" w:eastAsia="宋体" w:hint="default"/>
          <w:sz w:val="19"/>
          <w:szCs w:val="19"/>
        </w:rPr>
      </w:pPr>
    </w:p>
    <w:p>
      <w:pPr>
        <w:pStyle w:val="Heading4"/>
        <w:spacing w:line="240" w:lineRule="auto" w:before="36"/>
        <w:ind w:right="1115"/>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15" w:firstLine="480"/>
        <w:jc w:val="left"/>
      </w:pPr>
      <w:r>
        <w:rPr>
          <w:spacing w:val="-2"/>
        </w:rPr>
        <w:t>货币资金</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日年末数为</w:t>
      </w:r>
      <w:r>
        <w:rPr>
          <w:rFonts w:ascii="Times New Roman" w:hAnsi="Times New Roman" w:cs="Times New Roman" w:eastAsia="Times New Roman" w:hint="default"/>
          <w:spacing w:val="-2"/>
        </w:rPr>
        <w:t>691,433,729.35</w:t>
      </w:r>
      <w:r>
        <w:rPr>
          <w:spacing w:val="-2"/>
        </w:rPr>
        <w:t>元，比年初数减少</w:t>
      </w:r>
      <w:r>
        <w:rPr>
          <w:rFonts w:ascii="Times New Roman" w:hAnsi="Times New Roman" w:cs="Times New Roman" w:eastAsia="Times New Roman" w:hint="default"/>
          <w:spacing w:val="-2"/>
        </w:rPr>
        <w:t>22.67%</w:t>
      </w:r>
      <w:r>
        <w:rPr>
          <w:spacing w:val="-2"/>
        </w:rPr>
        <w:t>，减少的主要原因系在建工程及固定资产投</w:t>
      </w:r>
      <w:r>
        <w:rPr/>
        <w:t> 入增加较多所致；</w:t>
      </w:r>
    </w:p>
    <w:p>
      <w:pPr>
        <w:pStyle w:val="BodyText"/>
        <w:spacing w:line="300" w:lineRule="auto" w:before="31"/>
        <w:ind w:right="1115" w:firstLine="480"/>
        <w:jc w:val="left"/>
      </w:pPr>
      <w:r>
        <w:rPr>
          <w:spacing w:val="-2"/>
        </w:rPr>
        <w:t>交易性金融资产</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日年末数为</w:t>
      </w:r>
      <w:r>
        <w:rPr>
          <w:rFonts w:ascii="Times New Roman" w:hAnsi="Times New Roman" w:cs="Times New Roman" w:eastAsia="Times New Roman" w:hint="default"/>
          <w:spacing w:val="-2"/>
        </w:rPr>
        <w:t>0.00</w:t>
      </w:r>
      <w:r>
        <w:rPr>
          <w:spacing w:val="-2"/>
        </w:rPr>
        <w:t>元，年初数为</w:t>
      </w:r>
      <w:r>
        <w:rPr>
          <w:rFonts w:ascii="Times New Roman" w:hAnsi="Times New Roman" w:cs="Times New Roman" w:eastAsia="Times New Roman" w:hint="default"/>
          <w:spacing w:val="-2"/>
        </w:rPr>
        <w:t>368,000.00</w:t>
      </w:r>
      <w:r>
        <w:rPr>
          <w:spacing w:val="-2"/>
        </w:rPr>
        <w:t>元，减少的主要原因系上年远期外汇合约已经结</w:t>
      </w:r>
      <w:r>
        <w:rPr/>
        <w:t> 清，期末无余额；</w:t>
      </w:r>
    </w:p>
    <w:p>
      <w:pPr>
        <w:pStyle w:val="BodyText"/>
        <w:spacing w:line="300" w:lineRule="auto" w:before="31"/>
        <w:ind w:right="1115" w:firstLine="480"/>
        <w:jc w:val="left"/>
      </w:pPr>
      <w:r>
        <w:rPr>
          <w:spacing w:val="-2"/>
        </w:rPr>
        <w:t>应收票据</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日年末数为</w:t>
      </w:r>
      <w:r>
        <w:rPr>
          <w:rFonts w:ascii="Times New Roman" w:hAnsi="Times New Roman" w:cs="Times New Roman" w:eastAsia="Times New Roman" w:hint="default"/>
          <w:spacing w:val="-2"/>
        </w:rPr>
        <w:t>23,445,798.99</w:t>
      </w:r>
      <w:r>
        <w:rPr>
          <w:spacing w:val="-2"/>
        </w:rPr>
        <w:t>元，比年初数增加</w:t>
      </w:r>
      <w:r>
        <w:rPr>
          <w:rFonts w:ascii="Times New Roman" w:hAnsi="Times New Roman" w:cs="Times New Roman" w:eastAsia="Times New Roman" w:hint="default"/>
          <w:spacing w:val="-2"/>
        </w:rPr>
        <w:t>156.24%</w:t>
      </w:r>
      <w:r>
        <w:rPr>
          <w:spacing w:val="-2"/>
        </w:rPr>
        <w:t>，增加的主要原因系本年客户以银行承兑汇</w:t>
      </w:r>
      <w:r>
        <w:rPr/>
        <w:t> 票结算金额较多所致；</w:t>
      </w:r>
    </w:p>
    <w:p>
      <w:pPr>
        <w:pStyle w:val="BodyText"/>
        <w:spacing w:line="300" w:lineRule="auto" w:before="31"/>
        <w:ind w:right="1115" w:firstLine="480"/>
        <w:jc w:val="left"/>
      </w:pPr>
      <w:r>
        <w:rPr>
          <w:spacing w:val="-2"/>
        </w:rPr>
        <w:t>应收账款</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日年末数为</w:t>
      </w:r>
      <w:r>
        <w:rPr>
          <w:rFonts w:ascii="Times New Roman" w:hAnsi="Times New Roman" w:cs="Times New Roman" w:eastAsia="Times New Roman" w:hint="default"/>
          <w:spacing w:val="-2"/>
        </w:rPr>
        <w:t>319,878,488.25</w:t>
      </w:r>
      <w:r>
        <w:rPr>
          <w:spacing w:val="-2"/>
        </w:rPr>
        <w:t>元，比年初数增加</w:t>
      </w:r>
      <w:r>
        <w:rPr>
          <w:rFonts w:ascii="Times New Roman" w:hAnsi="Times New Roman" w:cs="Times New Roman" w:eastAsia="Times New Roman" w:hint="default"/>
          <w:spacing w:val="-2"/>
        </w:rPr>
        <w:t>59.15%</w:t>
      </w:r>
      <w:r>
        <w:rPr>
          <w:spacing w:val="-2"/>
        </w:rPr>
        <w:t>，增加的主要原因系本年支架产品销售收入</w:t>
      </w:r>
      <w:r>
        <w:rPr/>
        <w:t> 增加及对客户信用政策调整所致；</w:t>
      </w:r>
    </w:p>
    <w:p>
      <w:pPr>
        <w:pStyle w:val="BodyText"/>
        <w:spacing w:line="300" w:lineRule="auto" w:before="31"/>
        <w:ind w:right="1115" w:firstLine="480"/>
        <w:jc w:val="left"/>
      </w:pPr>
      <w:r>
        <w:rPr/>
        <w:t>预付款项</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8,586,571.65</w:t>
      </w:r>
      <w:r>
        <w:rPr/>
        <w:t>元，比年初数减少</w:t>
      </w:r>
      <w:r>
        <w:rPr>
          <w:rFonts w:ascii="Times New Roman" w:hAnsi="Times New Roman" w:cs="Times New Roman" w:eastAsia="Times New Roman" w:hint="default"/>
        </w:rPr>
        <w:t>87.83%,</w:t>
      </w:r>
      <w:r>
        <w:rPr/>
        <w:t>减少的主要原因系本年采购存货减少预付款 项所致；</w:t>
      </w:r>
    </w:p>
    <w:p>
      <w:pPr>
        <w:spacing w:line="240" w:lineRule="auto" w:before="3"/>
        <w:rPr>
          <w:rFonts w:ascii="宋体" w:hAnsi="宋体" w:cs="宋体" w:eastAsia="宋体" w:hint="default"/>
          <w:sz w:val="13"/>
          <w:szCs w:val="13"/>
        </w:rPr>
      </w:pPr>
    </w:p>
    <w:p>
      <w:pPr>
        <w:pStyle w:val="BodyText"/>
        <w:spacing w:line="405" w:lineRule="auto"/>
        <w:ind w:right="1115" w:firstLine="360"/>
        <w:jc w:val="left"/>
      </w:pPr>
      <w:r>
        <w:rPr/>
        <w:t>应收利息</w:t>
      </w:r>
      <w:r>
        <w:rPr>
          <w:spacing w:val="-42"/>
        </w:rPr>
        <w:t> </w:t>
      </w:r>
      <w:r>
        <w:rPr>
          <w:rFonts w:ascii="宋体" w:hAnsi="宋体" w:cs="宋体" w:eastAsia="宋体" w:hint="default"/>
        </w:rPr>
        <w:t>2012</w:t>
      </w:r>
      <w:r>
        <w:rPr>
          <w:rFonts w:ascii="宋体" w:hAnsi="宋体" w:cs="宋体" w:eastAsia="宋体" w:hint="default"/>
          <w:spacing w:val="-41"/>
        </w:rPr>
        <w:t> </w:t>
      </w:r>
      <w:r>
        <w:rPr/>
        <w:t>年</w:t>
      </w:r>
      <w:r>
        <w:rPr>
          <w:spacing w:val="-42"/>
        </w:rPr>
        <w:t> </w:t>
      </w:r>
      <w:r>
        <w:rPr>
          <w:rFonts w:ascii="宋体" w:hAnsi="宋体" w:cs="宋体" w:eastAsia="宋体" w:hint="default"/>
        </w:rPr>
        <w:t>12</w:t>
      </w:r>
      <w:r>
        <w:rPr>
          <w:rFonts w:ascii="宋体" w:hAnsi="宋体" w:cs="宋体" w:eastAsia="宋体" w:hint="default"/>
          <w:spacing w:val="-41"/>
        </w:rPr>
        <w:t> </w:t>
      </w:r>
      <w:r>
        <w:rPr/>
        <w:t>月</w:t>
      </w:r>
      <w:r>
        <w:rPr>
          <w:spacing w:val="-42"/>
        </w:rPr>
        <w:t> </w:t>
      </w:r>
      <w:r>
        <w:rPr>
          <w:rFonts w:ascii="宋体" w:hAnsi="宋体" w:cs="宋体" w:eastAsia="宋体" w:hint="default"/>
        </w:rPr>
        <w:t>31</w:t>
      </w:r>
      <w:r>
        <w:rPr>
          <w:rFonts w:ascii="宋体" w:hAnsi="宋体" w:cs="宋体" w:eastAsia="宋体" w:hint="default"/>
          <w:spacing w:val="-41"/>
        </w:rPr>
        <w:t> </w:t>
      </w:r>
      <w:r>
        <w:rPr/>
        <w:t>日年末数为</w:t>
      </w:r>
      <w:r>
        <w:rPr>
          <w:spacing w:val="-42"/>
        </w:rPr>
        <w:t> </w:t>
      </w:r>
      <w:r>
        <w:rPr>
          <w:rFonts w:ascii="宋体" w:hAnsi="宋体" w:cs="宋体" w:eastAsia="宋体" w:hint="default"/>
        </w:rPr>
        <w:t>956,295.38</w:t>
      </w:r>
      <w:r>
        <w:rPr>
          <w:rFonts w:ascii="宋体" w:hAnsi="宋体" w:cs="宋体" w:eastAsia="宋体" w:hint="default"/>
          <w:spacing w:val="-40"/>
        </w:rPr>
        <w:t> </w:t>
      </w:r>
      <w:r>
        <w:rPr/>
        <w:t>元，比年初数减少</w:t>
      </w:r>
      <w:r>
        <w:rPr>
          <w:spacing w:val="-42"/>
        </w:rPr>
        <w:t> </w:t>
      </w:r>
      <w:r>
        <w:rPr>
          <w:rFonts w:ascii="宋体" w:hAnsi="宋体" w:cs="宋体" w:eastAsia="宋体" w:hint="default"/>
        </w:rPr>
        <w:t>54.65%</w:t>
      </w:r>
      <w:r>
        <w:rPr/>
        <w:t>，减少的主要原因系应收的本年期末计提 定期存款利息减少所致；</w:t>
      </w:r>
    </w:p>
    <w:p>
      <w:pPr>
        <w:pStyle w:val="BodyText"/>
        <w:spacing w:line="228" w:lineRule="exact"/>
        <w:ind w:left="633" w:right="0"/>
        <w:jc w:val="left"/>
      </w:pPr>
      <w:r>
        <w:rPr/>
        <w:t>其他应收款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120,526,351.21</w:t>
      </w:r>
      <w:r>
        <w:rPr/>
        <w:t>元，比年初数增加</w:t>
      </w:r>
      <w:r>
        <w:rPr>
          <w:rFonts w:ascii="Times New Roman" w:hAnsi="Times New Roman" w:cs="Times New Roman" w:eastAsia="Times New Roman" w:hint="default"/>
        </w:rPr>
        <w:t>103.62%</w:t>
      </w:r>
      <w:r>
        <w:rPr/>
        <w:t>，增加的主要原因系应收张家港市财政</w:t>
      </w:r>
    </w:p>
    <w:p>
      <w:pPr>
        <w:pStyle w:val="BodyText"/>
        <w:spacing w:line="316" w:lineRule="auto" w:before="63"/>
        <w:ind w:left="633" w:right="1123" w:hanging="481"/>
        <w:jc w:val="left"/>
      </w:pPr>
      <w:r>
        <w:rPr/>
        <w:t>局采购本地组件补贴款和青海省发展投资有限公司投资保证金增加所致。 其他流动资产</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55,414,952.37</w:t>
      </w:r>
      <w:r>
        <w:rPr/>
        <w:t>元，比年初数增加</w:t>
      </w:r>
      <w:r>
        <w:rPr>
          <w:rFonts w:ascii="Times New Roman" w:hAnsi="Times New Roman" w:cs="Times New Roman" w:eastAsia="Times New Roman" w:hint="default"/>
        </w:rPr>
        <w:t>1648.34%</w:t>
      </w:r>
      <w:r>
        <w:rPr/>
        <w:t>，增加的主要原因系根据财政部财会</w:t>
      </w:r>
    </w:p>
    <w:p>
      <w:pPr>
        <w:pStyle w:val="BodyText"/>
        <w:spacing w:line="248" w:lineRule="exact"/>
        <w:ind w:right="1115"/>
        <w:jc w:val="left"/>
      </w:pPr>
      <w:r>
        <w:rPr>
          <w:rFonts w:ascii="Times New Roman" w:hAnsi="Times New Roman" w:cs="Times New Roman" w:eastAsia="Times New Roman" w:hint="default"/>
        </w:rPr>
        <w:t>(2012)13</w:t>
      </w:r>
      <w:r>
        <w:rPr/>
        <w:t>号文将待抵扣增值税进项税税金调整至本科目所致；</w:t>
      </w:r>
    </w:p>
    <w:p>
      <w:pPr>
        <w:spacing w:after="0" w:line="248" w:lineRule="exact"/>
        <w:jc w:val="left"/>
        <w:sectPr>
          <w:pgSz w:w="11910" w:h="16840"/>
          <w:pgMar w:header="877" w:footer="1267" w:top="1060" w:bottom="14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15" w:firstLine="480"/>
        <w:jc w:val="left"/>
      </w:pPr>
      <w:r>
        <w:rPr>
          <w:spacing w:val="-1"/>
        </w:rPr>
        <w:t>固定资产</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1,005,486,310.46</w:t>
      </w:r>
      <w:r>
        <w:rPr>
          <w:spacing w:val="-1"/>
        </w:rPr>
        <w:t>元，比年初数增加</w:t>
      </w:r>
      <w:r>
        <w:rPr>
          <w:rFonts w:ascii="Times New Roman" w:hAnsi="Times New Roman" w:cs="Times New Roman" w:eastAsia="Times New Roman" w:hint="default"/>
          <w:spacing w:val="-1"/>
        </w:rPr>
        <w:t>50.93%</w:t>
      </w:r>
      <w:r>
        <w:rPr>
          <w:spacing w:val="-1"/>
        </w:rPr>
        <w:t>，增加的主要原因系在建工程项目完工转</w:t>
      </w:r>
      <w:r>
        <w:rPr/>
        <w:t> 入固定资产所致；</w:t>
      </w:r>
    </w:p>
    <w:p>
      <w:pPr>
        <w:pStyle w:val="BodyText"/>
        <w:spacing w:line="300" w:lineRule="auto" w:before="31"/>
        <w:ind w:right="1115" w:firstLine="480"/>
        <w:jc w:val="left"/>
      </w:pPr>
      <w:r>
        <w:rPr>
          <w:spacing w:val="-2"/>
        </w:rPr>
        <w:t>在建工程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日年末数为</w:t>
      </w:r>
      <w:r>
        <w:rPr>
          <w:rFonts w:ascii="Times New Roman" w:hAnsi="Times New Roman" w:cs="Times New Roman" w:eastAsia="Times New Roman" w:hint="default"/>
          <w:spacing w:val="-2"/>
        </w:rPr>
        <w:t>405,972,429.98</w:t>
      </w:r>
      <w:r>
        <w:rPr>
          <w:spacing w:val="-2"/>
        </w:rPr>
        <w:t>元，比年初数增加</w:t>
      </w:r>
      <w:r>
        <w:rPr>
          <w:rFonts w:ascii="Times New Roman" w:hAnsi="Times New Roman" w:cs="Times New Roman" w:eastAsia="Times New Roman" w:hint="default"/>
          <w:spacing w:val="-2"/>
        </w:rPr>
        <w:t>50.05%</w:t>
      </w:r>
      <w:r>
        <w:rPr>
          <w:spacing w:val="-2"/>
        </w:rPr>
        <w:t>，增加的主要原因系上年在建工程已经完工</w:t>
      </w:r>
      <w:r>
        <w:rPr/>
        <w:t> 转固，本年青海光伏电厂新增三期</w:t>
      </w:r>
      <w:r>
        <w:rPr>
          <w:rFonts w:ascii="Times New Roman" w:hAnsi="Times New Roman" w:cs="Times New Roman" w:eastAsia="Times New Roman" w:hint="default"/>
        </w:rPr>
        <w:t>20MW</w:t>
      </w:r>
      <w:r>
        <w:rPr/>
        <w:t>工程以及新疆爱康电力开发有限公司新增一期</w:t>
      </w:r>
      <w:r>
        <w:rPr>
          <w:rFonts w:ascii="Times New Roman" w:hAnsi="Times New Roman" w:cs="Times New Roman" w:eastAsia="Times New Roman" w:hint="default"/>
        </w:rPr>
        <w:t>20MW</w:t>
      </w:r>
      <w:r>
        <w:rPr/>
        <w:t>工程所致；</w:t>
      </w:r>
    </w:p>
    <w:p>
      <w:pPr>
        <w:pStyle w:val="BodyText"/>
        <w:spacing w:line="300" w:lineRule="auto" w:before="13"/>
        <w:ind w:right="1124" w:firstLine="480"/>
        <w:jc w:val="left"/>
      </w:pPr>
      <w:r>
        <w:rPr/>
        <w:t>工程物资</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189,650,275.87</w:t>
      </w:r>
      <w:r>
        <w:rPr/>
        <w:t>元，比年初数增加</w:t>
      </w:r>
      <w:r>
        <w:rPr>
          <w:rFonts w:ascii="Times New Roman" w:hAnsi="Times New Roman" w:cs="Times New Roman" w:eastAsia="Times New Roman" w:hint="default"/>
        </w:rPr>
        <w:t>10342.29%</w:t>
      </w:r>
      <w:r>
        <w:rPr/>
        <w:t>，增加的主要原因系为进行青海光伏电 厂四期</w:t>
      </w:r>
      <w:r>
        <w:rPr>
          <w:rFonts w:ascii="Times New Roman" w:hAnsi="Times New Roman" w:cs="Times New Roman" w:eastAsia="Times New Roman" w:hint="default"/>
        </w:rPr>
        <w:t>20MW</w:t>
      </w:r>
      <w:r>
        <w:rPr/>
        <w:t>项目和新疆爱康电力开发有限公司二期</w:t>
      </w:r>
      <w:r>
        <w:rPr>
          <w:rFonts w:ascii="Times New Roman" w:hAnsi="Times New Roman" w:cs="Times New Roman" w:eastAsia="Times New Roman" w:hint="default"/>
        </w:rPr>
        <w:t>20MW</w:t>
      </w:r>
      <w:r>
        <w:rPr/>
        <w:t>项目采购组件库存增加所致；</w:t>
      </w:r>
    </w:p>
    <w:p>
      <w:pPr>
        <w:pStyle w:val="BodyText"/>
        <w:spacing w:line="300" w:lineRule="auto" w:before="13"/>
        <w:ind w:right="1124" w:firstLine="480"/>
        <w:jc w:val="left"/>
      </w:pPr>
      <w:r>
        <w:rPr/>
        <w:t>长期待摊费用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24,418,730.66</w:t>
      </w:r>
      <w:r>
        <w:rPr/>
        <w:t>元，比年初数增加</w:t>
      </w:r>
      <w:r>
        <w:rPr>
          <w:rFonts w:ascii="Times New Roman" w:hAnsi="Times New Roman" w:cs="Times New Roman" w:eastAsia="Times New Roman" w:hint="default"/>
        </w:rPr>
        <w:t>32.99%</w:t>
      </w:r>
      <w:r>
        <w:rPr/>
        <w:t>，增加的主要原因系本年租入固定资产 改良支出增加所致；</w:t>
      </w:r>
    </w:p>
    <w:p>
      <w:pPr>
        <w:pStyle w:val="BodyText"/>
        <w:spacing w:line="300" w:lineRule="auto" w:before="31"/>
        <w:ind w:right="1115" w:firstLine="480"/>
        <w:jc w:val="left"/>
      </w:pPr>
      <w:r>
        <w:rPr>
          <w:spacing w:val="-2"/>
        </w:rPr>
        <w:t>递延所得税资产</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日年末数为</w:t>
      </w:r>
      <w:r>
        <w:rPr>
          <w:rFonts w:ascii="Times New Roman" w:hAnsi="Times New Roman" w:cs="Times New Roman" w:eastAsia="Times New Roman" w:hint="default"/>
          <w:spacing w:val="-2"/>
        </w:rPr>
        <w:t>29,060,066.62</w:t>
      </w:r>
      <w:r>
        <w:rPr>
          <w:spacing w:val="-2"/>
        </w:rPr>
        <w:t>元，比年初数增加</w:t>
      </w:r>
      <w:r>
        <w:rPr>
          <w:rFonts w:ascii="Times New Roman" w:hAnsi="Times New Roman" w:cs="Times New Roman" w:eastAsia="Times New Roman" w:hint="default"/>
          <w:spacing w:val="-2"/>
        </w:rPr>
        <w:t>335.11%</w:t>
      </w:r>
      <w:r>
        <w:rPr>
          <w:spacing w:val="-2"/>
        </w:rPr>
        <w:t>，增加的主要原因系计提的资产减值</w:t>
      </w:r>
      <w:r>
        <w:rPr/>
        <w:t> 损失增加和可弥补的亏损确认递延所得税的金额增加所致；</w:t>
      </w:r>
    </w:p>
    <w:p>
      <w:pPr>
        <w:pStyle w:val="BodyText"/>
        <w:spacing w:line="300" w:lineRule="auto" w:before="31"/>
        <w:ind w:right="1124" w:firstLine="480"/>
        <w:jc w:val="left"/>
      </w:pPr>
      <w:r>
        <w:rPr/>
        <w:t>其他非流动资产</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120,905,723.27</w:t>
      </w:r>
      <w:r>
        <w:rPr/>
        <w:t>元，比年初数增加</w:t>
      </w:r>
      <w:r>
        <w:rPr>
          <w:rFonts w:ascii="Times New Roman" w:hAnsi="Times New Roman" w:cs="Times New Roman" w:eastAsia="Times New Roman" w:hint="default"/>
        </w:rPr>
        <w:t>254.67%</w:t>
      </w:r>
      <w:r>
        <w:rPr/>
        <w:t>，增加的主要原因系根据政策将预 期不能在</w:t>
      </w:r>
      <w:r>
        <w:rPr>
          <w:rFonts w:ascii="Times New Roman" w:hAnsi="Times New Roman" w:cs="Times New Roman" w:eastAsia="Times New Roman" w:hint="default"/>
        </w:rPr>
        <w:t>2013</w:t>
      </w:r>
      <w:r>
        <w:rPr/>
        <w:t>年度抵扣的增值税进项税税金调整增加所致；</w:t>
      </w:r>
    </w:p>
    <w:p>
      <w:pPr>
        <w:pStyle w:val="BodyText"/>
        <w:spacing w:line="300" w:lineRule="auto" w:before="13"/>
        <w:ind w:right="1115" w:firstLine="480"/>
        <w:jc w:val="left"/>
      </w:pPr>
      <w:r>
        <w:rPr>
          <w:spacing w:val="-2"/>
        </w:rPr>
        <w:t>短期借款</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日年末数为</w:t>
      </w:r>
      <w:r>
        <w:rPr>
          <w:rFonts w:ascii="Times New Roman" w:hAnsi="Times New Roman" w:cs="Times New Roman" w:eastAsia="Times New Roman" w:hint="default"/>
          <w:spacing w:val="-2"/>
        </w:rPr>
        <w:t>818,687,655.00</w:t>
      </w:r>
      <w:r>
        <w:rPr>
          <w:spacing w:val="-2"/>
        </w:rPr>
        <w:t>元，比年初数增加</w:t>
      </w:r>
      <w:r>
        <w:rPr>
          <w:rFonts w:ascii="Times New Roman" w:hAnsi="Times New Roman" w:cs="Times New Roman" w:eastAsia="Times New Roman" w:hint="default"/>
          <w:spacing w:val="-2"/>
        </w:rPr>
        <w:t>32.86%</w:t>
      </w:r>
      <w:r>
        <w:rPr>
          <w:spacing w:val="-2"/>
        </w:rPr>
        <w:t>，增加的主要原因系本年度经营规模扩大同</w:t>
      </w:r>
      <w:r>
        <w:rPr/>
        <w:t> 时固定资产和在建工程所需资金增加导致借款增加所致；</w:t>
      </w:r>
    </w:p>
    <w:p>
      <w:pPr>
        <w:pStyle w:val="BodyText"/>
        <w:spacing w:line="300" w:lineRule="auto" w:before="31"/>
        <w:ind w:right="1124" w:firstLine="480"/>
        <w:jc w:val="left"/>
      </w:pPr>
      <w:r>
        <w:rPr/>
        <w:t>应付票据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354,070,631.89</w:t>
      </w:r>
      <w:r>
        <w:rPr/>
        <w:t>元，比年初数增加</w:t>
      </w:r>
      <w:r>
        <w:rPr>
          <w:rFonts w:ascii="Times New Roman" w:hAnsi="Times New Roman" w:cs="Times New Roman" w:eastAsia="Times New Roman" w:hint="default"/>
        </w:rPr>
        <w:t>194.57%</w:t>
      </w:r>
      <w:r>
        <w:rPr/>
        <w:t>，增加的主要原因系公司采购业务采用票 据结算增加所致；</w:t>
      </w:r>
    </w:p>
    <w:p>
      <w:pPr>
        <w:pStyle w:val="BodyText"/>
        <w:spacing w:line="300" w:lineRule="auto" w:before="31"/>
        <w:ind w:right="1124" w:firstLine="480"/>
        <w:jc w:val="left"/>
      </w:pPr>
      <w:r>
        <w:rPr/>
        <w:t>应付账款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482,793,017.39</w:t>
      </w:r>
      <w:r>
        <w:rPr/>
        <w:t>元，比年初数增加</w:t>
      </w:r>
      <w:r>
        <w:rPr>
          <w:rFonts w:ascii="Times New Roman" w:hAnsi="Times New Roman" w:cs="Times New Roman" w:eastAsia="Times New Roman" w:hint="default"/>
        </w:rPr>
        <w:t>130.21%</w:t>
      </w:r>
      <w:r>
        <w:rPr/>
        <w:t>，增加的主要原因系新疆爱康电力开发有 限公司应付工程材料款增加所致；</w:t>
      </w:r>
    </w:p>
    <w:p>
      <w:pPr>
        <w:pStyle w:val="BodyText"/>
        <w:spacing w:line="300" w:lineRule="auto" w:before="31"/>
        <w:ind w:right="1115" w:firstLine="480"/>
        <w:jc w:val="left"/>
      </w:pPr>
      <w:r>
        <w:rPr/>
        <w:t>应交税费</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10,370,023.36</w:t>
      </w:r>
      <w:r>
        <w:rPr/>
        <w:t>元，比年初数增加</w:t>
      </w:r>
      <w:r>
        <w:rPr>
          <w:rFonts w:ascii="Times New Roman" w:hAnsi="Times New Roman" w:cs="Times New Roman" w:eastAsia="Times New Roman" w:hint="default"/>
        </w:rPr>
        <w:t>71,491,559.78</w:t>
      </w:r>
      <w:r>
        <w:rPr/>
        <w:t>元，增加的主要原因系本年将期末留 抵的增值税进项税额根据其流动性调整到其他流动资产或其他非流动资产所致；</w:t>
      </w:r>
    </w:p>
    <w:p>
      <w:pPr>
        <w:pStyle w:val="BodyText"/>
        <w:spacing w:line="300" w:lineRule="auto" w:before="91"/>
        <w:ind w:right="1124" w:firstLine="480"/>
        <w:jc w:val="left"/>
      </w:pPr>
      <w:r>
        <w:rPr/>
        <w:t>其他应付款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10,623,484.83</w:t>
      </w:r>
      <w:r>
        <w:rPr/>
        <w:t>元，比年初数减少</w:t>
      </w:r>
      <w:r>
        <w:rPr>
          <w:rFonts w:ascii="Times New Roman" w:hAnsi="Times New Roman" w:cs="Times New Roman" w:eastAsia="Times New Roman" w:hint="default"/>
        </w:rPr>
        <w:t>82.16%</w:t>
      </w:r>
      <w:r>
        <w:rPr/>
        <w:t>，减少的主要原因系青海蓓翔新能源开发 有限公司与原股东尚未结算的往来款减少所致；</w:t>
      </w:r>
    </w:p>
    <w:p>
      <w:pPr>
        <w:pStyle w:val="BodyText"/>
        <w:spacing w:line="300" w:lineRule="auto" w:before="91"/>
        <w:ind w:right="1115" w:firstLine="480"/>
        <w:jc w:val="left"/>
      </w:pPr>
      <w:r>
        <w:rPr>
          <w:spacing w:val="-2"/>
        </w:rPr>
        <w:t>一年内到期的非流动负债</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日年末数为</w:t>
      </w:r>
      <w:r>
        <w:rPr>
          <w:rFonts w:ascii="Times New Roman" w:hAnsi="Times New Roman" w:cs="Times New Roman" w:eastAsia="Times New Roman" w:hint="default"/>
          <w:spacing w:val="-2"/>
        </w:rPr>
        <w:t>79,000,000.00</w:t>
      </w:r>
      <w:r>
        <w:rPr>
          <w:spacing w:val="-2"/>
        </w:rPr>
        <w:t>元，比年初数增加</w:t>
      </w:r>
      <w:r>
        <w:rPr>
          <w:rFonts w:ascii="Times New Roman" w:hAnsi="Times New Roman" w:cs="Times New Roman" w:eastAsia="Times New Roman" w:hint="default"/>
          <w:spacing w:val="-2"/>
        </w:rPr>
        <w:t>690.00%</w:t>
      </w:r>
      <w:r>
        <w:rPr>
          <w:spacing w:val="-2"/>
        </w:rPr>
        <w:t>，增加主要原因系一年内到</w:t>
      </w:r>
      <w:r>
        <w:rPr/>
        <w:t> 期的抵押借款以及保证借款增加所致；</w:t>
      </w:r>
    </w:p>
    <w:p>
      <w:pPr>
        <w:pStyle w:val="BodyText"/>
        <w:spacing w:line="300" w:lineRule="auto" w:before="91"/>
        <w:ind w:right="1124" w:firstLine="480"/>
        <w:jc w:val="left"/>
      </w:pPr>
      <w:r>
        <w:rPr/>
        <w:t>其他流动负债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4,162,815.80</w:t>
      </w:r>
      <w:r>
        <w:rPr/>
        <w:t>元，比年初数增加</w:t>
      </w:r>
      <w:r>
        <w:rPr>
          <w:rFonts w:ascii="Times New Roman" w:hAnsi="Times New Roman" w:cs="Times New Roman" w:eastAsia="Times New Roman" w:hint="default"/>
        </w:rPr>
        <w:t>408.05%</w:t>
      </w:r>
      <w:r>
        <w:rPr/>
        <w:t>，增加的主要原因系预提的水电费、运 输费增加所致；</w:t>
      </w:r>
    </w:p>
    <w:p>
      <w:pPr>
        <w:pStyle w:val="BodyText"/>
        <w:spacing w:line="300" w:lineRule="auto" w:before="91"/>
        <w:ind w:right="0" w:firstLine="480"/>
        <w:jc w:val="left"/>
      </w:pPr>
      <w:r>
        <w:rPr>
          <w:spacing w:val="-3"/>
        </w:rPr>
        <w:t>长期借款</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日年末数为</w:t>
      </w:r>
      <w:r>
        <w:rPr>
          <w:rFonts w:ascii="Times New Roman" w:hAnsi="Times New Roman" w:cs="Times New Roman" w:eastAsia="Times New Roman" w:hint="default"/>
          <w:spacing w:val="-3"/>
        </w:rPr>
        <w:t>361,700,000.00</w:t>
      </w:r>
      <w:r>
        <w:rPr>
          <w:spacing w:val="-3"/>
        </w:rPr>
        <w:t>元，比年初数增加</w:t>
      </w:r>
      <w:r>
        <w:rPr>
          <w:rFonts w:ascii="Times New Roman" w:hAnsi="Times New Roman" w:cs="Times New Roman" w:eastAsia="Times New Roman" w:hint="default"/>
          <w:spacing w:val="-3"/>
        </w:rPr>
        <w:t>42.01%</w:t>
      </w:r>
      <w:r>
        <w:rPr>
          <w:spacing w:val="-3"/>
        </w:rPr>
        <w:t>，增加的主要原因系本年度资本性支出较大，</w:t>
      </w:r>
      <w:r>
        <w:rPr/>
        <w:t> 项目借款增加所致；</w:t>
      </w:r>
    </w:p>
    <w:p>
      <w:pPr>
        <w:pStyle w:val="BodyText"/>
        <w:spacing w:line="300" w:lineRule="auto" w:before="91"/>
        <w:ind w:right="1124" w:firstLine="480"/>
        <w:jc w:val="left"/>
      </w:pPr>
      <w:r>
        <w:rPr/>
        <w:t>专项应付款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3,030,000.00</w:t>
      </w:r>
      <w:r>
        <w:rPr/>
        <w:t>元，比年初数增加</w:t>
      </w:r>
      <w:r>
        <w:rPr>
          <w:rFonts w:ascii="Times New Roman" w:hAnsi="Times New Roman" w:cs="Times New Roman" w:eastAsia="Times New Roman" w:hint="default"/>
        </w:rPr>
        <w:t>100.00%</w:t>
      </w:r>
      <w:r>
        <w:rPr/>
        <w:t>，增加的主要原因系本年青海蓓翔新能源 开发有限公司收到财政用于公共租赁房建设的</w:t>
      </w:r>
      <w:r>
        <w:rPr>
          <w:rFonts w:ascii="Times New Roman" w:hAnsi="Times New Roman" w:cs="Times New Roman" w:eastAsia="Times New Roman" w:hint="default"/>
        </w:rPr>
        <w:t>303</w:t>
      </w:r>
      <w:r>
        <w:rPr/>
        <w:t>万元投资款；</w:t>
      </w:r>
    </w:p>
    <w:p>
      <w:pPr>
        <w:pStyle w:val="BodyText"/>
        <w:spacing w:line="300" w:lineRule="auto" w:before="13"/>
        <w:ind w:right="1115" w:firstLine="600"/>
        <w:jc w:val="left"/>
      </w:pPr>
      <w:r>
        <w:rPr>
          <w:spacing w:val="-1"/>
        </w:rPr>
        <w:t>递延所得税负债</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0.00</w:t>
      </w:r>
      <w:r>
        <w:rPr>
          <w:spacing w:val="-1"/>
        </w:rPr>
        <w:t>元，比年初数减少</w:t>
      </w:r>
      <w:r>
        <w:rPr>
          <w:rFonts w:ascii="Times New Roman" w:hAnsi="Times New Roman" w:cs="Times New Roman" w:eastAsia="Times New Roman" w:hint="default"/>
          <w:spacing w:val="-1"/>
        </w:rPr>
        <w:t>100.00%</w:t>
      </w:r>
      <w:r>
        <w:rPr>
          <w:spacing w:val="-1"/>
        </w:rPr>
        <w:t>，减少的主要原因系交易性金融资产期末无</w:t>
      </w:r>
      <w:r>
        <w:rPr/>
        <w:t> 余额，转回递延所得税负债所致；</w:t>
      </w:r>
    </w:p>
    <w:p>
      <w:pPr>
        <w:pStyle w:val="BodyText"/>
        <w:spacing w:line="240" w:lineRule="auto" w:before="91"/>
        <w:ind w:left="633" w:right="0"/>
        <w:jc w:val="left"/>
      </w:pPr>
      <w:r>
        <w:rPr/>
        <w:t>股本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300,000,000.00</w:t>
      </w:r>
      <w:r>
        <w:rPr/>
        <w:t>元，比年初数增加</w:t>
      </w:r>
      <w:r>
        <w:rPr>
          <w:rFonts w:ascii="Times New Roman" w:hAnsi="Times New Roman" w:cs="Times New Roman" w:eastAsia="Times New Roman" w:hint="default"/>
        </w:rPr>
        <w:t>50.00%</w:t>
      </w:r>
      <w:r>
        <w:rPr/>
        <w:t>，增加的主要原因系本公司资本公积转增股本所</w:t>
      </w:r>
    </w:p>
    <w:p>
      <w:pPr>
        <w:pStyle w:val="BodyText"/>
        <w:spacing w:line="240" w:lineRule="auto" w:before="63"/>
        <w:ind w:right="1115"/>
        <w:jc w:val="left"/>
      </w:pPr>
      <w:r>
        <w:rPr/>
        <w:t>致；</w:t>
      </w:r>
    </w:p>
    <w:p>
      <w:pPr>
        <w:pStyle w:val="BodyText"/>
        <w:spacing w:line="300" w:lineRule="auto" w:before="137"/>
        <w:ind w:right="1124" w:firstLine="480"/>
        <w:jc w:val="left"/>
      </w:pPr>
      <w:r>
        <w:rPr/>
        <w:t>未分配利润</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71,591,564.14</w:t>
      </w:r>
      <w:r>
        <w:rPr/>
        <w:t>元，比年初数减少</w:t>
      </w:r>
      <w:r>
        <w:rPr>
          <w:rFonts w:ascii="Times New Roman" w:hAnsi="Times New Roman" w:cs="Times New Roman" w:eastAsia="Times New Roman" w:hint="default"/>
        </w:rPr>
        <w:t>68.55%</w:t>
      </w:r>
      <w:r>
        <w:rPr/>
        <w:t>，减少的主要原因系本年利润分配和经营 亏损增加所致。</w:t>
      </w:r>
    </w:p>
    <w:p>
      <w:pPr>
        <w:pStyle w:val="BodyText"/>
        <w:spacing w:line="357" w:lineRule="auto" w:before="31"/>
        <w:ind w:left="633" w:right="0"/>
        <w:jc w:val="left"/>
      </w:pPr>
      <w:r>
        <w:rPr>
          <w:rFonts w:ascii="Times New Roman" w:hAnsi="Times New Roman" w:cs="Times New Roman" w:eastAsia="Times New Roman" w:hint="default"/>
        </w:rPr>
        <w:t>2</w:t>
      </w:r>
      <w:r>
        <w:rPr/>
        <w:t>、利润表、现金流量表项目 </w:t>
      </w:r>
      <w:r>
        <w:rPr>
          <w:spacing w:val="-3"/>
        </w:rPr>
        <w:t>营业收入</w:t>
      </w:r>
      <w:r>
        <w:rPr>
          <w:rFonts w:ascii="Times New Roman" w:hAnsi="Times New Roman" w:cs="Times New Roman" w:eastAsia="Times New Roman" w:hint="default"/>
          <w:spacing w:val="-3"/>
        </w:rPr>
        <w:t>2012</w:t>
      </w:r>
      <w:r>
        <w:rPr>
          <w:spacing w:val="-3"/>
        </w:rPr>
        <w:t>年度发生数为</w:t>
      </w:r>
      <w:r>
        <w:rPr>
          <w:rFonts w:ascii="Times New Roman" w:hAnsi="Times New Roman" w:cs="Times New Roman" w:eastAsia="Times New Roman" w:hint="default"/>
          <w:spacing w:val="-3"/>
        </w:rPr>
        <w:t>1,362,435,009.36</w:t>
      </w:r>
      <w:r>
        <w:rPr>
          <w:spacing w:val="-3"/>
        </w:rPr>
        <w:t>元，比上年数减少</w:t>
      </w:r>
      <w:r>
        <w:rPr>
          <w:rFonts w:ascii="Times New Roman" w:hAnsi="Times New Roman" w:cs="Times New Roman" w:eastAsia="Times New Roman" w:hint="default"/>
          <w:spacing w:val="-3"/>
        </w:rPr>
        <w:t>10.61%</w:t>
      </w:r>
      <w:r>
        <w:rPr>
          <w:spacing w:val="-3"/>
        </w:rPr>
        <w:t>，减少的主要原因系公司边框业务收入减少所致；</w:t>
      </w:r>
      <w:r>
        <w:rPr>
          <w:spacing w:val="-28"/>
        </w:rPr>
        <w:t> </w:t>
      </w:r>
      <w:r>
        <w:rPr>
          <w:spacing w:val="-28"/>
        </w:rPr>
      </w:r>
      <w:r>
        <w:rPr/>
        <w:t>营业成本</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1,258,499,677.89</w:t>
      </w:r>
      <w:r>
        <w:rPr/>
        <w:t>元，比上年数减少</w:t>
      </w:r>
      <w:r>
        <w:rPr>
          <w:rFonts w:ascii="Times New Roman" w:hAnsi="Times New Roman" w:cs="Times New Roman" w:eastAsia="Times New Roman" w:hint="default"/>
        </w:rPr>
        <w:t>2.82%</w:t>
      </w:r>
      <w:r>
        <w:rPr/>
        <w:t>，减少的主要原因系公司业务减少，营业成本随</w:t>
      </w:r>
    </w:p>
    <w:p>
      <w:pPr>
        <w:pStyle w:val="BodyText"/>
        <w:spacing w:line="201" w:lineRule="exact"/>
        <w:ind w:right="1115"/>
        <w:jc w:val="left"/>
      </w:pPr>
      <w:r>
        <w:rPr/>
        <w:t>着营业收入的减少而减少所致；</w:t>
      </w:r>
    </w:p>
    <w:p>
      <w:pPr>
        <w:pStyle w:val="BodyText"/>
        <w:spacing w:line="300" w:lineRule="auto" w:before="136"/>
        <w:ind w:right="1115" w:firstLine="480"/>
        <w:jc w:val="left"/>
      </w:pPr>
      <w:r>
        <w:rPr>
          <w:spacing w:val="-2"/>
        </w:rPr>
        <w:t>营业税金及附加</w:t>
      </w:r>
      <w:r>
        <w:rPr>
          <w:rFonts w:ascii="Times New Roman" w:hAnsi="Times New Roman" w:cs="Times New Roman" w:eastAsia="Times New Roman" w:hint="default"/>
          <w:spacing w:val="-2"/>
        </w:rPr>
        <w:t>2012</w:t>
      </w:r>
      <w:r>
        <w:rPr>
          <w:spacing w:val="-2"/>
        </w:rPr>
        <w:t>年度发生数为</w:t>
      </w:r>
      <w:r>
        <w:rPr>
          <w:rFonts w:ascii="Times New Roman" w:hAnsi="Times New Roman" w:cs="Times New Roman" w:eastAsia="Times New Roman" w:hint="default"/>
          <w:spacing w:val="-2"/>
        </w:rPr>
        <w:t>2,299,891.33</w:t>
      </w:r>
      <w:r>
        <w:rPr>
          <w:spacing w:val="-2"/>
        </w:rPr>
        <w:t>元，比上年数减少</w:t>
      </w:r>
      <w:r>
        <w:rPr>
          <w:rFonts w:ascii="Times New Roman" w:hAnsi="Times New Roman" w:cs="Times New Roman" w:eastAsia="Times New Roman" w:hint="default"/>
          <w:spacing w:val="-2"/>
        </w:rPr>
        <w:t>16.73%</w:t>
      </w:r>
      <w:r>
        <w:rPr>
          <w:spacing w:val="-2"/>
        </w:rPr>
        <w:t>，减少的主要原因系本公司出口抵减内销产品</w:t>
      </w:r>
      <w:r>
        <w:rPr/>
        <w:t> 应纳税额减少导致缴纳城建税和教育费附加减少所致；</w:t>
      </w:r>
    </w:p>
    <w:p>
      <w:pPr>
        <w:spacing w:after="0" w:line="300" w:lineRule="auto"/>
        <w:jc w:val="left"/>
        <w:sectPr>
          <w:pgSz w:w="11910" w:h="16840"/>
          <w:pgMar w:header="877" w:footer="1267" w:top="1060" w:bottom="14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4" w:firstLine="480"/>
        <w:jc w:val="left"/>
      </w:pPr>
      <w:r>
        <w:rPr/>
        <w:t>财务费用</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48,320,462.34</w:t>
      </w:r>
      <w:r>
        <w:rPr/>
        <w:t>元，比上年数增加</w:t>
      </w:r>
      <w:r>
        <w:rPr>
          <w:rFonts w:ascii="Times New Roman" w:hAnsi="Times New Roman" w:cs="Times New Roman" w:eastAsia="Times New Roman" w:hint="default"/>
        </w:rPr>
        <w:t>22.48%</w:t>
      </w:r>
      <w:r>
        <w:rPr/>
        <w:t>，增加的主要原因系本年公司借款增加利息支出增 加所致；</w:t>
      </w:r>
    </w:p>
    <w:p>
      <w:pPr>
        <w:pStyle w:val="BodyText"/>
        <w:spacing w:line="300" w:lineRule="auto" w:before="91"/>
        <w:ind w:right="1124" w:firstLine="480"/>
        <w:jc w:val="left"/>
      </w:pPr>
      <w:r>
        <w:rPr/>
        <w:t>资产减值损失</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3,994,655.05</w:t>
      </w:r>
      <w:r>
        <w:rPr/>
        <w:t>元，比上年数增加</w:t>
      </w:r>
      <w:r>
        <w:rPr>
          <w:rFonts w:ascii="Times New Roman" w:hAnsi="Times New Roman" w:cs="Times New Roman" w:eastAsia="Times New Roman" w:hint="default"/>
        </w:rPr>
        <w:t>152.38%</w:t>
      </w:r>
      <w:r>
        <w:rPr/>
        <w:t>，增加的主要原因系本年计提的应收款项坏账 准备和存货跌价准备增加所致；</w:t>
      </w:r>
    </w:p>
    <w:p>
      <w:pPr>
        <w:pStyle w:val="BodyText"/>
        <w:spacing w:line="300" w:lineRule="auto" w:before="91"/>
        <w:ind w:right="1115" w:firstLine="480"/>
        <w:jc w:val="left"/>
      </w:pPr>
      <w:r>
        <w:rPr>
          <w:spacing w:val="-1"/>
        </w:rPr>
        <w:t>公允价值变动收益</w:t>
      </w:r>
      <w:r>
        <w:rPr>
          <w:rFonts w:ascii="Times New Roman" w:hAnsi="Times New Roman" w:cs="Times New Roman" w:eastAsia="Times New Roman" w:hint="default"/>
          <w:spacing w:val="-1"/>
        </w:rPr>
        <w:t>2012</w:t>
      </w:r>
      <w:r>
        <w:rPr>
          <w:spacing w:val="-1"/>
        </w:rPr>
        <w:t>年度发生数为</w:t>
      </w:r>
      <w:r>
        <w:rPr>
          <w:rFonts w:ascii="Times New Roman" w:hAnsi="Times New Roman" w:cs="Times New Roman" w:eastAsia="Times New Roman" w:hint="default"/>
          <w:spacing w:val="-1"/>
        </w:rPr>
        <w:t>-368,000.00</w:t>
      </w:r>
      <w:r>
        <w:rPr>
          <w:spacing w:val="-1"/>
        </w:rPr>
        <w:t>元，比上年数减少</w:t>
      </w:r>
      <w:r>
        <w:rPr>
          <w:rFonts w:ascii="Times New Roman" w:hAnsi="Times New Roman" w:cs="Times New Roman" w:eastAsia="Times New Roman" w:hint="default"/>
          <w:spacing w:val="-1"/>
        </w:rPr>
        <w:t>3,098,680.00</w:t>
      </w:r>
      <w:r>
        <w:rPr>
          <w:spacing w:val="-1"/>
        </w:rPr>
        <w:t>元，减少的主要原因系远期外汇合约公</w:t>
      </w:r>
      <w:r>
        <w:rPr/>
        <w:t> 允价值变动所致；</w:t>
      </w:r>
    </w:p>
    <w:p>
      <w:pPr>
        <w:pStyle w:val="BodyText"/>
        <w:spacing w:line="240" w:lineRule="auto" w:before="91"/>
        <w:ind w:left="633" w:right="0"/>
        <w:jc w:val="left"/>
      </w:pPr>
      <w:r>
        <w:rPr/>
        <w:t>投资收益</w:t>
      </w:r>
      <w:r>
        <w:rPr>
          <w:rFonts w:ascii="Times New Roman" w:hAnsi="Times New Roman" w:cs="Times New Roman" w:eastAsia="Times New Roman" w:hint="default"/>
        </w:rPr>
        <w:t>2012</w:t>
      </w:r>
      <w:r>
        <w:rPr/>
        <w:t>年度发生数为</w:t>
      </w:r>
      <w:r>
        <w:rPr>
          <w:rFonts w:ascii="Times New Roman" w:hAnsi="Times New Roman" w:cs="Times New Roman" w:eastAsia="Times New Roman" w:hint="default"/>
        </w:rPr>
        <w:t>6,895,979.34</w:t>
      </w:r>
      <w:r>
        <w:rPr/>
        <w:t>元，比上年数减少</w:t>
      </w:r>
      <w:r>
        <w:rPr>
          <w:rFonts w:ascii="Times New Roman" w:hAnsi="Times New Roman" w:cs="Times New Roman" w:eastAsia="Times New Roman" w:hint="default"/>
        </w:rPr>
        <w:t>96.19%</w:t>
      </w:r>
      <w:r>
        <w:rPr/>
        <w:t>，减少的主要原因系上年有处置联营企业股权收益所</w:t>
      </w:r>
    </w:p>
    <w:p>
      <w:pPr>
        <w:pStyle w:val="BodyText"/>
        <w:spacing w:line="240" w:lineRule="auto" w:before="63"/>
        <w:ind w:right="1115"/>
        <w:jc w:val="left"/>
      </w:pPr>
      <w:r>
        <w:rPr/>
        <w:t>致；</w:t>
      </w:r>
    </w:p>
    <w:p>
      <w:pPr>
        <w:pStyle w:val="BodyText"/>
        <w:spacing w:line="300" w:lineRule="auto" w:before="136"/>
        <w:ind w:right="1115" w:firstLine="480"/>
        <w:jc w:val="left"/>
      </w:pPr>
      <w:r>
        <w:rPr>
          <w:spacing w:val="-2"/>
        </w:rPr>
        <w:t>营业外收入</w:t>
      </w:r>
      <w:r>
        <w:rPr>
          <w:rFonts w:ascii="Times New Roman" w:hAnsi="Times New Roman" w:cs="Times New Roman" w:eastAsia="Times New Roman" w:hint="default"/>
          <w:spacing w:val="-2"/>
        </w:rPr>
        <w:t>2012</w:t>
      </w:r>
      <w:r>
        <w:rPr>
          <w:spacing w:val="-2"/>
        </w:rPr>
        <w:t>年度发生数为</w:t>
      </w:r>
      <w:r>
        <w:rPr>
          <w:rFonts w:ascii="Times New Roman" w:hAnsi="Times New Roman" w:cs="Times New Roman" w:eastAsia="Times New Roman" w:hint="default"/>
          <w:spacing w:val="-2"/>
        </w:rPr>
        <w:t>60,053,232.26</w:t>
      </w:r>
      <w:r>
        <w:rPr>
          <w:spacing w:val="-2"/>
        </w:rPr>
        <w:t>元，比上年数增加</w:t>
      </w:r>
      <w:r>
        <w:rPr>
          <w:rFonts w:ascii="Times New Roman" w:hAnsi="Times New Roman" w:cs="Times New Roman" w:eastAsia="Times New Roman" w:hint="default"/>
          <w:spacing w:val="-2"/>
        </w:rPr>
        <w:t>408.86%</w:t>
      </w:r>
      <w:r>
        <w:rPr>
          <w:spacing w:val="-2"/>
        </w:rPr>
        <w:t>，增加的主要原因系确认青海光伏电厂二期项目</w:t>
      </w:r>
      <w:r>
        <w:rPr/>
        <w:t> 电价补贴以及确认张家港市财政局采购本地组件补贴所致；</w:t>
      </w:r>
    </w:p>
    <w:p>
      <w:pPr>
        <w:pStyle w:val="BodyText"/>
        <w:spacing w:line="360" w:lineRule="auto" w:before="91"/>
        <w:ind w:left="633" w:right="1129"/>
        <w:jc w:val="left"/>
      </w:pPr>
      <w:r>
        <w:rPr>
          <w:spacing w:val="-3"/>
        </w:rPr>
        <w:t>营业外支出</w:t>
      </w:r>
      <w:r>
        <w:rPr>
          <w:rFonts w:ascii="Times New Roman" w:hAnsi="Times New Roman" w:cs="Times New Roman" w:eastAsia="Times New Roman" w:hint="default"/>
          <w:spacing w:val="-3"/>
        </w:rPr>
        <w:t>2012</w:t>
      </w:r>
      <w:r>
        <w:rPr>
          <w:spacing w:val="-3"/>
        </w:rPr>
        <w:t>年度发生数为</w:t>
      </w:r>
      <w:r>
        <w:rPr>
          <w:rFonts w:ascii="Times New Roman" w:hAnsi="Times New Roman" w:cs="Times New Roman" w:eastAsia="Times New Roman" w:hint="default"/>
          <w:spacing w:val="-3"/>
        </w:rPr>
        <w:t>2,185,815.92</w:t>
      </w:r>
      <w:r>
        <w:rPr>
          <w:spacing w:val="-3"/>
        </w:rPr>
        <w:t>元，比上年数增加</w:t>
      </w:r>
      <w:r>
        <w:rPr>
          <w:rFonts w:ascii="Times New Roman" w:hAnsi="Times New Roman" w:cs="Times New Roman" w:eastAsia="Times New Roman" w:hint="default"/>
          <w:spacing w:val="-3"/>
        </w:rPr>
        <w:t>177.02%</w:t>
      </w:r>
      <w:r>
        <w:rPr>
          <w:spacing w:val="-3"/>
        </w:rPr>
        <w:t>，增加的主要原因系处置固定资产损失增加所致；</w:t>
      </w:r>
      <w:r>
        <w:rPr>
          <w:spacing w:val="-77"/>
        </w:rPr>
        <w:t> </w:t>
      </w:r>
      <w:r>
        <w:rPr>
          <w:spacing w:val="-77"/>
        </w:rPr>
      </w:r>
      <w:r>
        <w:rPr>
          <w:spacing w:val="-1"/>
        </w:rPr>
        <w:t>所得税费用</w:t>
      </w:r>
      <w:r>
        <w:rPr>
          <w:rFonts w:ascii="Times New Roman" w:hAnsi="Times New Roman" w:cs="Times New Roman" w:eastAsia="Times New Roman" w:hint="default"/>
          <w:spacing w:val="-1"/>
        </w:rPr>
        <w:t>2012</w:t>
      </w:r>
      <w:r>
        <w:rPr>
          <w:spacing w:val="-1"/>
        </w:rPr>
        <w:t>年度发生数为</w:t>
      </w:r>
      <w:r>
        <w:rPr>
          <w:rFonts w:ascii="Times New Roman" w:hAnsi="Times New Roman" w:cs="Times New Roman" w:eastAsia="Times New Roman" w:hint="default"/>
          <w:spacing w:val="-1"/>
        </w:rPr>
        <w:t>-14,590,046.49</w:t>
      </w:r>
      <w:r>
        <w:rPr>
          <w:spacing w:val="-1"/>
        </w:rPr>
        <w:t>元，比上年数减少</w:t>
      </w:r>
      <w:r>
        <w:rPr>
          <w:rFonts w:ascii="Times New Roman" w:hAnsi="Times New Roman" w:cs="Times New Roman" w:eastAsia="Times New Roman" w:hint="default"/>
          <w:spacing w:val="-1"/>
        </w:rPr>
        <w:t>-39,279,832.32</w:t>
      </w:r>
      <w:r>
        <w:rPr>
          <w:spacing w:val="-1"/>
        </w:rPr>
        <w:t>元，减少的主要原因系公司因经营亏损而</w:t>
      </w:r>
    </w:p>
    <w:p>
      <w:pPr>
        <w:pStyle w:val="BodyText"/>
        <w:spacing w:line="199" w:lineRule="exact"/>
        <w:ind w:right="1115"/>
        <w:jc w:val="left"/>
      </w:pPr>
      <w:r>
        <w:rPr/>
        <w:t>计提递延所得税费用所致。</w:t>
      </w:r>
    </w:p>
    <w:p>
      <w:pPr>
        <w:spacing w:line="240" w:lineRule="auto" w:before="0"/>
        <w:rPr>
          <w:rFonts w:ascii="宋体" w:hAnsi="宋体" w:cs="宋体" w:eastAsia="宋体" w:hint="default"/>
          <w:sz w:val="18"/>
          <w:szCs w:val="18"/>
        </w:rPr>
      </w:pPr>
    </w:p>
    <w:p>
      <w:pPr>
        <w:pStyle w:val="BodyText"/>
        <w:spacing w:line="357" w:lineRule="auto" w:before="153"/>
        <w:ind w:left="633" w:right="0"/>
        <w:jc w:val="left"/>
      </w:pPr>
      <w:r>
        <w:rPr>
          <w:rFonts w:ascii="Times New Roman" w:hAnsi="Times New Roman" w:cs="Times New Roman" w:eastAsia="Times New Roman" w:hint="default"/>
        </w:rPr>
        <w:t>3</w:t>
      </w:r>
      <w:r>
        <w:rPr/>
        <w:t>、现金流量表项目 </w:t>
      </w:r>
      <w:r>
        <w:rPr>
          <w:spacing w:val="-1"/>
        </w:rPr>
        <w:t>经营活动产生的现金流经营活动产生的现金流量净额本年金额为</w:t>
      </w:r>
      <w:r>
        <w:rPr>
          <w:rFonts w:ascii="Times New Roman" w:hAnsi="Times New Roman" w:cs="Times New Roman" w:eastAsia="Times New Roman" w:hint="default"/>
          <w:spacing w:val="-1"/>
        </w:rPr>
        <w:t>147,162,056.32</w:t>
      </w:r>
      <w:r>
        <w:rPr>
          <w:spacing w:val="-1"/>
        </w:rPr>
        <w:t>元，比上期金额增加</w:t>
      </w:r>
      <w:r>
        <w:rPr>
          <w:rFonts w:ascii="Times New Roman" w:hAnsi="Times New Roman" w:cs="Times New Roman" w:eastAsia="Times New Roman" w:hint="default"/>
          <w:spacing w:val="-1"/>
        </w:rPr>
        <w:t>400,625,784.77</w:t>
      </w:r>
      <w:r>
        <w:rPr>
          <w:spacing w:val="-1"/>
        </w:rPr>
        <w:t>元，</w:t>
      </w:r>
    </w:p>
    <w:p>
      <w:pPr>
        <w:pStyle w:val="BodyText"/>
        <w:spacing w:line="201" w:lineRule="exact"/>
        <w:ind w:right="1115"/>
        <w:jc w:val="left"/>
      </w:pPr>
      <w:r>
        <w:rPr/>
        <w:t>其主要原因系本年采购材料采用票据结算增加所致；</w:t>
      </w:r>
    </w:p>
    <w:p>
      <w:pPr>
        <w:pStyle w:val="BodyText"/>
        <w:spacing w:line="300" w:lineRule="auto" w:before="136"/>
        <w:ind w:right="1124" w:firstLine="480"/>
        <w:jc w:val="left"/>
      </w:pPr>
      <w:r>
        <w:rPr/>
        <w:t>投资活动产生的现金流量净额本年金额为</w:t>
      </w:r>
      <w:r>
        <w:rPr>
          <w:rFonts w:ascii="Times New Roman" w:hAnsi="Times New Roman" w:cs="Times New Roman" w:eastAsia="Times New Roman" w:hint="default"/>
        </w:rPr>
        <w:t>-758,985,291.95</w:t>
      </w:r>
      <w:r>
        <w:rPr/>
        <w:t>元，比上期金额减少</w:t>
      </w:r>
      <w:r>
        <w:rPr>
          <w:rFonts w:ascii="Times New Roman" w:hAnsi="Times New Roman" w:cs="Times New Roman" w:eastAsia="Times New Roman" w:hint="default"/>
        </w:rPr>
        <w:t>357,801,735.11</w:t>
      </w:r>
      <w:r>
        <w:rPr/>
        <w:t>元，其主要原因系本年购 建固定资产、无形资产和其他长期资产支付的现金增加所致；</w:t>
      </w:r>
    </w:p>
    <w:p>
      <w:pPr>
        <w:pStyle w:val="BodyText"/>
        <w:spacing w:line="300" w:lineRule="auto" w:before="31"/>
        <w:ind w:right="1115" w:firstLine="451"/>
        <w:jc w:val="left"/>
      </w:pPr>
      <w:r>
        <w:rPr/>
        <w:t>筹资活动产生的现金流量净额本年金额为</w:t>
      </w:r>
      <w:r>
        <w:rPr>
          <w:rFonts w:ascii="Times New Roman" w:hAnsi="Times New Roman" w:cs="Times New Roman" w:eastAsia="Times New Roman" w:hint="default"/>
        </w:rPr>
        <w:t>76,515,567.16</w:t>
      </w:r>
      <w:r>
        <w:rPr/>
        <w:t>，比上期金额减少</w:t>
      </w:r>
      <w:r>
        <w:rPr>
          <w:rFonts w:ascii="Times New Roman" w:hAnsi="Times New Roman" w:cs="Times New Roman" w:eastAsia="Times New Roman" w:hint="default"/>
        </w:rPr>
        <w:t>1,279,575,392.15</w:t>
      </w:r>
      <w:r>
        <w:rPr/>
        <w:t>元，其主要原因系公司上年 上市募集资金到位所致。</w:t>
      </w:r>
    </w:p>
    <w:p>
      <w:pPr>
        <w:spacing w:after="0" w:line="300" w:lineRule="auto"/>
        <w:jc w:val="left"/>
        <w:sectPr>
          <w:pgSz w:w="11910" w:h="16840"/>
          <w:pgMar w:header="877" w:footer="1267" w:top="106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1115"/>
        <w:jc w:val="left"/>
        <w:rPr>
          <w:b w:val="0"/>
          <w:bCs w:val="0"/>
        </w:rPr>
      </w:pPr>
      <w:r>
        <w:rPr/>
        <w:t>第十一节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3734"/>
        <w:jc w:val="left"/>
      </w:pPr>
      <w:r>
        <w:rPr/>
        <w:t>一、载有法定代表人、主管会计负责人、会计机构负责人签名并盖章的会计报表。 二、载有会计师事务所盖章、注册会计师签名并盖章的审计报告原件。 三、报告期内在中国证监会指定报纸上公开披露过的所有公司文件的正文及公告的原稿。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5739" w:right="1115"/>
        <w:jc w:val="left"/>
      </w:pPr>
      <w:r>
        <w:rPr/>
        <w:t>法定代表人签字：邹承慧</w:t>
      </w:r>
    </w:p>
    <w:sectPr>
      <w:pgSz w:w="11910" w:h="16840"/>
      <w:pgMar w:header="877" w:footer="1267" w:top="1060" w:bottom="14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7888" type="#_x0000_t75" stroked="false">
          <v:imagedata r:id="rId1" o:title=""/>
        </v:shape>
      </w:pict>
    </w:r>
    <w:r>
      <w:rPr/>
      <w:pict>
        <v:shape style="position:absolute;margin-left:533.099976pt;margin-top:795.637939pt;width:6.5pt;height:11pt;mso-position-horizontal-relative:page;mso-position-vertical-relative:page;z-index:-9678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7312" type="#_x0000_t75" stroked="false">
          <v:imagedata r:id="rId1" o:title=""/>
        </v:shape>
      </w:pict>
    </w:r>
    <w:r>
      <w:rPr/>
      <w:pict>
        <v:shape style="position:absolute;margin-left:527.659973pt;margin-top:781.933899pt;width:13.15pt;height:11pt;mso-position-horizontal-relative:page;mso-position-vertical-relative:page;z-index:-967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78</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7264" type="#_x0000_t75" stroked="false">
          <v:imagedata r:id="rId1" o:title=""/>
        </v:shape>
      </w:pict>
    </w:r>
    <w:r>
      <w:rPr/>
      <w:pict>
        <v:shape style="position:absolute;margin-left:527.659973pt;margin-top:781.933899pt;width:13.15pt;height:11pt;mso-position-horizontal-relative:page;mso-position-vertical-relative:page;z-index:-967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7168" type="#_x0000_t75" stroked="false">
          <v:imagedata r:id="rId1" o:title=""/>
        </v:shape>
      </w:pict>
    </w:r>
    <w:r>
      <w:rPr/>
      <w:pict>
        <v:shape style="position:absolute;margin-left:527.659973pt;margin-top:781.933899pt;width:13.15pt;height:11pt;mso-position-horizontal-relative:page;mso-position-vertical-relative:page;z-index:-967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92</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7120" type="#_x0000_t75" stroked="false">
          <v:imagedata r:id="rId1" o:title=""/>
        </v:shape>
      </w:pict>
    </w:r>
    <w:r>
      <w:rPr/>
      <w:pict>
        <v:shape style="position:absolute;margin-left:524.099976pt;margin-top:781.933899pt;width:15.7pt;height:11pt;mso-position-horizontal-relative:page;mso-position-vertical-relative:page;z-index:-9670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7072" type="#_x0000_t75" stroked="false">
          <v:imagedata r:id="rId1" o:title=""/>
        </v:shape>
      </w:pict>
    </w:r>
    <w:r>
      <w:rPr/>
      <w:pict>
        <v:shape style="position:absolute;margin-left:523.099976pt;margin-top:781.933899pt;width:17.7pt;height:11pt;mso-position-horizontal-relative:page;mso-position-vertical-relative:page;z-index:-967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106</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7840" type="#_x0000_t75" stroked="false">
          <v:imagedata r:id="rId1" o:title=""/>
        </v:shape>
      </w:pict>
    </w:r>
    <w:r>
      <w:rPr/>
      <w:pict>
        <v:shape style="position:absolute;margin-left:527.659973pt;margin-top:781.933899pt;width:13.15pt;height:11pt;mso-position-horizontal-relative:page;mso-position-vertical-relative:page;z-index:-967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6928" type="#_x0000_t75" stroked="false">
          <v:imagedata r:id="rId1" o:title=""/>
        </v:shape>
      </w:pict>
    </w:r>
    <w:r>
      <w:rPr/>
      <w:pict>
        <v:shape style="position:absolute;margin-left:523.460022pt;margin-top:781.933899pt;width:17.3pt;height:11pt;mso-position-horizontal-relative:page;mso-position-vertical-relative:page;z-index:-966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112</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6832" type="#_x0000_t75" stroked="false">
          <v:imagedata r:id="rId1" o:title=""/>
        </v:shape>
      </w:pict>
    </w:r>
    <w:r>
      <w:rPr/>
      <w:pict>
        <v:shape style="position:absolute;margin-left:523.460022pt;margin-top:781.933899pt;width:17.3pt;height:11pt;mso-position-horizontal-relative:page;mso-position-vertical-relative:page;z-index:-966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116</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6736" type="#_x0000_t75" stroked="false">
          <v:imagedata r:id="rId1" o:title=""/>
        </v:shape>
      </w:pict>
    </w:r>
    <w:r>
      <w:rPr/>
      <w:pict>
        <v:shape style="position:absolute;margin-left:523.099976pt;margin-top:781.933899pt;width:17.7pt;height:11pt;mso-position-horizontal-relative:page;mso-position-vertical-relative:page;z-index:-966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r>
                  <w:rPr>
                    <w:rFonts w:ascii="Times New Roman"/>
                    <w:spacing w:val="1"/>
                  </w:rPr>
                </w:r>
                <w:r>
                  <w:rPr>
                    <w:rFonts w:ascii="Times New Roman"/>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6640" type="#_x0000_t75" stroked="false">
          <v:imagedata r:id="rId1" o:title=""/>
        </v:shape>
      </w:pict>
    </w:r>
    <w:r>
      <w:rPr/>
      <w:pict>
        <v:shape style="position:absolute;margin-left:523.099976pt;margin-top:781.933899pt;width:17.7pt;height:11pt;mso-position-horizontal-relative:page;mso-position-vertical-relative:page;z-index:-966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126</w:t>
                </w:r>
                <w:r>
                  <w:rPr/>
                  <w:fldChar w:fldCharType="end"/>
                </w:r>
                <w:r>
                  <w:rPr>
                    <w:rFonts w:ascii="Times New Roman"/>
                    <w:spacing w:val="1"/>
                  </w:rPr>
                </w:r>
                <w:r>
                  <w:rPr>
                    <w:rFonts w:ascii="Times New Roman"/>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7792" type="#_x0000_t75" stroked="false">
          <v:imagedata r:id="rId1" o:title=""/>
        </v:shape>
      </w:pict>
    </w:r>
    <w:r>
      <w:rPr/>
      <w:pict>
        <v:shape style="position:absolute;margin-left:527.659973pt;margin-top:781.933899pt;width:13.15pt;height:11pt;mso-position-horizontal-relative:page;mso-position-vertical-relative:page;z-index:-967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25</w:t>
                </w:r>
                <w:r>
                  <w:rPr/>
                  <w:fldChar w:fldCharType="end"/>
                </w:r>
                <w:r>
                  <w:rPr>
                    <w:rFonts w:ascii="Times New Roman"/>
                    <w:spacing w:val="1"/>
                  </w:rPr>
                </w:r>
                <w:r>
                  <w:rPr>
                    <w:rFonts w:ascii="Times New Roman"/>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6544" type="#_x0000_t75" stroked="false">
          <v:imagedata r:id="rId1" o:title=""/>
        </v:shape>
      </w:pict>
    </w:r>
    <w:r>
      <w:rPr/>
      <w:pict>
        <v:shape style="position:absolute;margin-left:523.099976pt;margin-top:781.933899pt;width:17.7pt;height:11pt;mso-position-horizontal-relative:page;mso-position-vertical-relative:page;z-index:-966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142</w:t>
                </w:r>
                <w:r>
                  <w:rPr/>
                  <w:fldChar w:fldCharType="end"/>
                </w:r>
                <w:r>
                  <w:rPr>
                    <w:rFonts w:ascii="Times New Roman"/>
                    <w:spacing w:val="1"/>
                  </w:rPr>
                </w:r>
                <w:r>
                  <w:rPr>
                    <w:rFonts w:ascii="Times New Roman"/>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6448" type="#_x0000_t75" stroked="false">
          <v:imagedata r:id="rId1" o:title=""/>
        </v:shape>
      </w:pict>
    </w:r>
    <w:r>
      <w:rPr/>
      <w:pict>
        <v:shape style="position:absolute;margin-left:523.099976pt;margin-top:781.933899pt;width:17.7pt;height:11pt;mso-position-horizontal-relative:page;mso-position-vertical-relative:page;z-index:-966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151</w:t>
                </w:r>
                <w:r>
                  <w:rPr/>
                  <w:fldChar w:fldCharType="end"/>
                </w:r>
                <w:r>
                  <w:rPr>
                    <w:rFonts w:ascii="Times New Roman"/>
                    <w:spacing w:val="1"/>
                  </w:rPr>
                </w:r>
                <w:r>
                  <w:rPr>
                    <w:rFonts w:ascii="Times New Roman"/>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6208" type="#_x0000_t75" stroked="false">
          <v:imagedata r:id="rId1" o:title=""/>
        </v:shape>
      </w:pict>
    </w:r>
    <w:r>
      <w:rPr/>
      <w:pict>
        <v:shape style="position:absolute;margin-left:523.099976pt;margin-top:781.933899pt;width:17.7pt;height:11pt;mso-position-horizontal-relative:page;mso-position-vertical-relative:page;z-index:-966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166</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7744" type="#_x0000_t75" stroked="false">
          <v:imagedata r:id="rId1" o:title=""/>
        </v:shape>
      </w:pict>
    </w:r>
    <w:r>
      <w:rPr/>
      <w:pict>
        <v:shape style="position:absolute;margin-left:527.659973pt;margin-top:781.933899pt;width:13.15pt;height:11pt;mso-position-horizontal-relative:page;mso-position-vertical-relative:page;z-index:-967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26</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7648" type="#_x0000_t75" stroked="false">
          <v:imagedata r:id="rId1" o:title=""/>
        </v:shape>
      </w:pict>
    </w:r>
    <w:r>
      <w:rPr/>
      <w:pict>
        <v:shape style="position:absolute;margin-left:527.659973pt;margin-top:781.933899pt;width:13.15pt;height:11pt;mso-position-horizontal-relative:page;mso-position-vertical-relative:page;z-index:-967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7552" type="#_x0000_t75" stroked="false">
          <v:imagedata r:id="rId1" o:title=""/>
        </v:shape>
      </w:pict>
    </w:r>
    <w:r>
      <w:rPr/>
      <w:pict>
        <v:shape style="position:absolute;margin-left:527.659973pt;margin-top:781.933899pt;width:13.15pt;height:11pt;mso-position-horizontal-relative:page;mso-position-vertical-relative:page;z-index:-967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54</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967912"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69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6952"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68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6856"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67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6760"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66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6664"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65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6568"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64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6472"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64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6376"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635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6328"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63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6280"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62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6232"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76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7672"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76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7576"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75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7480"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74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7432"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74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7384"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73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7336"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72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7192"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70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967000" type="#_x0000_t202" filled="false" stroked="false">
          <v:textbox inset="0,0,0,0">
            <w:txbxContent>
              <w:p>
                <w:pPr>
                  <w:pStyle w:val="BodyText"/>
                  <w:spacing w:line="214" w:lineRule="exact"/>
                  <w:ind w:left="20" w:right="0"/>
                  <w:jc w:val="left"/>
                </w:pPr>
                <w:r>
                  <w:rPr/>
                  <w:t>江苏爱康太阳能科技股份有限公司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61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spacing w:before="106"/>
      <w:ind w:left="152" w:firstLine="420"/>
      <w:outlineLvl w:val="5"/>
    </w:pPr>
    <w:rPr>
      <w:rFonts w:ascii="宋体" w:hAnsi="宋体" w:eastAsia="宋体"/>
      <w:sz w:val="21"/>
      <w:szCs w:val="21"/>
    </w:rPr>
  </w:style>
  <w:style w:styleId="Heading6" w:type="paragraph">
    <w:name w:val="Heading 6"/>
    <w:basedOn w:val="Normal"/>
    <w:uiPriority w:val="1"/>
    <w:qFormat/>
    <w:pPr>
      <w:ind w:left="152"/>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akcome.com/" TargetMode="External"/><Relationship Id="rId10" Type="http://schemas.openxmlformats.org/officeDocument/2006/relationships/hyperlink" Target="mailto:zhengquanbu@akcome.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image" Target="media/image7.jpeg"/><Relationship Id="rId19" Type="http://schemas.openxmlformats.org/officeDocument/2006/relationships/header" Target="header2.xml"/><Relationship Id="rId20" Type="http://schemas.openxmlformats.org/officeDocument/2006/relationships/footer" Target="footer5.xml"/><Relationship Id="rId21" Type="http://schemas.openxmlformats.org/officeDocument/2006/relationships/image" Target="media/image1.png"/><Relationship Id="rId22" Type="http://schemas.openxmlformats.org/officeDocument/2006/relationships/footer" Target="footer6.xml"/><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header" Target="header3.xml"/><Relationship Id="rId26" Type="http://schemas.openxmlformats.org/officeDocument/2006/relationships/footer" Target="footer7.xml"/><Relationship Id="rId27" Type="http://schemas.openxmlformats.org/officeDocument/2006/relationships/hyperlink" Target="http://www.cninfo.com/" TargetMode="External"/><Relationship Id="rId28" Type="http://schemas.openxmlformats.org/officeDocument/2006/relationships/footer" Target="footer8.xml"/><Relationship Id="rId29" Type="http://schemas.openxmlformats.org/officeDocument/2006/relationships/header" Target="header4.xml"/><Relationship Id="rId30" Type="http://schemas.openxmlformats.org/officeDocument/2006/relationships/footer" Target="footer9.xml"/><Relationship Id="rId31" Type="http://schemas.openxmlformats.org/officeDocument/2006/relationships/header" Target="header5.xml"/><Relationship Id="rId32" Type="http://schemas.openxmlformats.org/officeDocument/2006/relationships/footer" Target="footer10.xml"/><Relationship Id="rId33" Type="http://schemas.openxmlformats.org/officeDocument/2006/relationships/header" Target="header6.xml"/><Relationship Id="rId34" Type="http://schemas.openxmlformats.org/officeDocument/2006/relationships/footer" Target="footer11.xml"/><Relationship Id="rId35" Type="http://schemas.openxmlformats.org/officeDocument/2006/relationships/header" Target="header7.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header" Target="header8.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header" Target="header9.xml"/><Relationship Id="rId46" Type="http://schemas.openxmlformats.org/officeDocument/2006/relationships/footer" Target="footer20.xml"/><Relationship Id="rId47" Type="http://schemas.openxmlformats.org/officeDocument/2006/relationships/header" Target="header10.xml"/><Relationship Id="rId48" Type="http://schemas.openxmlformats.org/officeDocument/2006/relationships/footer" Target="footer21.xml"/><Relationship Id="rId49" Type="http://schemas.openxmlformats.org/officeDocument/2006/relationships/footer" Target="footer22.xml"/><Relationship Id="rId50" Type="http://schemas.openxmlformats.org/officeDocument/2006/relationships/header" Target="header11.xml"/><Relationship Id="rId51" Type="http://schemas.openxmlformats.org/officeDocument/2006/relationships/footer" Target="footer23.xml"/><Relationship Id="rId52" Type="http://schemas.openxmlformats.org/officeDocument/2006/relationships/footer" Target="footer24.xml"/><Relationship Id="rId53" Type="http://schemas.openxmlformats.org/officeDocument/2006/relationships/header" Target="header12.xml"/><Relationship Id="rId54" Type="http://schemas.openxmlformats.org/officeDocument/2006/relationships/footer" Target="footer25.xml"/><Relationship Id="rId55" Type="http://schemas.openxmlformats.org/officeDocument/2006/relationships/footer" Target="footer26.xml"/><Relationship Id="rId56" Type="http://schemas.openxmlformats.org/officeDocument/2006/relationships/header" Target="header13.xml"/><Relationship Id="rId57" Type="http://schemas.openxmlformats.org/officeDocument/2006/relationships/footer" Target="footer27.xml"/><Relationship Id="rId58" Type="http://schemas.openxmlformats.org/officeDocument/2006/relationships/footer" Target="footer28.xml"/><Relationship Id="rId59" Type="http://schemas.openxmlformats.org/officeDocument/2006/relationships/header" Target="header14.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15.xml"/><Relationship Id="rId63" Type="http://schemas.openxmlformats.org/officeDocument/2006/relationships/footer" Target="footer31.xml"/><Relationship Id="rId64" Type="http://schemas.openxmlformats.org/officeDocument/2006/relationships/footer" Target="footer32.xml"/><Relationship Id="rId65" Type="http://schemas.openxmlformats.org/officeDocument/2006/relationships/header" Target="header16.xml"/><Relationship Id="rId66" Type="http://schemas.openxmlformats.org/officeDocument/2006/relationships/footer" Target="footer33.xml"/><Relationship Id="rId67" Type="http://schemas.openxmlformats.org/officeDocument/2006/relationships/header" Target="header17.xml"/><Relationship Id="rId68" Type="http://schemas.openxmlformats.org/officeDocument/2006/relationships/footer" Target="footer34.xml"/><Relationship Id="rId69" Type="http://schemas.openxmlformats.org/officeDocument/2006/relationships/header" Target="header18.xml"/><Relationship Id="rId70" Type="http://schemas.openxmlformats.org/officeDocument/2006/relationships/footer" Target="footer35.xml"/><Relationship Id="rId71" Type="http://schemas.openxmlformats.org/officeDocument/2006/relationships/header" Target="header19.xml"/><Relationship Id="rId72" Type="http://schemas.openxmlformats.org/officeDocument/2006/relationships/footer" Target="footer36.xml"/><Relationship Id="rId73" Type="http://schemas.openxmlformats.org/officeDocument/2006/relationships/footer" Target="footer3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2020-05-04T01:22:23Z</dcterms:created>
  <dcterms:modified xsi:type="dcterms:W3CDTF">2020-05-04T01:22:23Z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2013-04-23T00:00:00Z</vt:filetime>
  </property>
  <property fmtid="{D5CDD505-2E9C-101B-9397-08002B2CF9AE}" pid="3" name="Creator">
    <vt:lpwstr>Microsoft® Office Word 2007</vt:lpwstr>
  </property>
  <property fmtid="{D5CDD505-2E9C-101B-9397-08002B2CF9AE}" pid="4" name="LastSaved">
    <vt:filetime>2020-05-03T00:00:00Z</vt:filetime>
  </property>
</Properties>
</file>