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50"/>
        <w:ind w:left="0" w:right="977" w:firstLine="0"/>
        <w:jc w:val="center"/>
        <w:rPr>
          <w:rFonts w:ascii="宋体" w:hAnsi="宋体" w:cs="宋体" w:eastAsia="宋体" w:hint="default"/>
          <w:sz w:val="36"/>
          <w:szCs w:val="36"/>
        </w:rPr>
      </w:pPr>
      <w:r>
        <w:rPr>
          <w:rFonts w:ascii="宋体" w:hAnsi="宋体" w:cs="宋体" w:eastAsia="宋体" w:hint="default"/>
          <w:b/>
          <w:bCs/>
          <w:sz w:val="36"/>
          <w:szCs w:val="36"/>
        </w:rPr>
        <w:t>江苏爱康科技股份有限公司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0" w:right="979"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spacing w:line="2250" w:lineRule="exact"/>
        <w:ind w:left="3835" w:right="0" w:firstLine="0"/>
        <w:rPr>
          <w:rFonts w:ascii="宋体" w:hAnsi="宋体" w:cs="宋体" w:eastAsia="宋体" w:hint="default"/>
          <w:sz w:val="20"/>
          <w:szCs w:val="20"/>
        </w:rPr>
      </w:pPr>
      <w:r>
        <w:rPr>
          <w:rFonts w:ascii="宋体" w:hAnsi="宋体" w:cs="宋体" w:eastAsia="宋体" w:hint="default"/>
          <w:position w:val="-44"/>
          <w:sz w:val="20"/>
          <w:szCs w:val="20"/>
        </w:rPr>
        <w:drawing>
          <wp:inline distT="0" distB="0" distL="0" distR="0">
            <wp:extent cx="1409700" cy="1428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09700" cy="1428750"/>
                    </a:xfrm>
                    <a:prstGeom prst="rect">
                      <a:avLst/>
                    </a:prstGeom>
                  </pic:spPr>
                </pic:pic>
              </a:graphicData>
            </a:graphic>
          </wp:inline>
        </w:drawing>
      </w:r>
      <w:r>
        <w:rPr>
          <w:rFonts w:ascii="宋体" w:hAnsi="宋体" w:cs="宋体" w:eastAsia="宋体" w:hint="default"/>
          <w:position w:val="-44"/>
          <w:sz w:val="20"/>
          <w:szCs w:val="20"/>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1"/>
        <w:rPr>
          <w:rFonts w:ascii="宋体" w:hAnsi="宋体" w:cs="宋体" w:eastAsia="宋体" w:hint="default"/>
          <w:b/>
          <w:bCs/>
          <w:sz w:val="32"/>
          <w:szCs w:val="32"/>
        </w:rPr>
      </w:pPr>
    </w:p>
    <w:p>
      <w:pPr>
        <w:spacing w:before="0"/>
        <w:ind w:left="0" w:right="97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122"/>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7"/>
        <w:rPr>
          <w:rFonts w:ascii="宋体" w:hAnsi="宋体" w:cs="宋体" w:eastAsia="宋体" w:hint="default"/>
          <w:b/>
          <w:bCs/>
          <w:sz w:val="42"/>
          <w:szCs w:val="42"/>
        </w:rPr>
      </w:pPr>
    </w:p>
    <w:p>
      <w:pPr>
        <w:pStyle w:val="BodyText"/>
        <w:spacing w:line="319" w:lineRule="auto"/>
        <w:ind w:right="1122" w:firstLine="360"/>
        <w:jc w:val="left"/>
      </w:pPr>
      <w:r>
        <w:rPr>
          <w:spacing w:val="-2"/>
        </w:rPr>
        <w:t>公司董事会、监事会及董事、监事、高级管理人员保证年度报告内容的真实、准确、完整，不存在虚假记载、误导性陈</w:t>
      </w:r>
      <w:r>
        <w:rPr/>
        <w:t> 述或重大遗漏，并承担个别和连带的法律责任。</w:t>
      </w:r>
    </w:p>
    <w:p>
      <w:pPr>
        <w:pStyle w:val="BodyText"/>
        <w:spacing w:line="302" w:lineRule="auto" w:before="116"/>
        <w:ind w:right="1122" w:firstLine="360"/>
        <w:jc w:val="left"/>
      </w:pPr>
      <w:r>
        <w:rPr>
          <w:spacing w:val="-1"/>
        </w:rPr>
        <w:t>公司负责人邹承慧、主管会计工作负责人李静及会计机构负责人</w:t>
      </w:r>
      <w:r>
        <w:rPr>
          <w:rFonts w:ascii="Times New Roman" w:hAnsi="Times New Roman" w:cs="Times New Roman" w:eastAsia="Times New Roman" w:hint="default"/>
          <w:spacing w:val="-1"/>
        </w:rPr>
        <w:t>(</w:t>
      </w:r>
      <w:r>
        <w:rPr>
          <w:spacing w:val="-1"/>
        </w:rPr>
        <w:t>会计主管人员</w:t>
      </w:r>
      <w:r>
        <w:rPr>
          <w:rFonts w:ascii="Times New Roman" w:hAnsi="Times New Roman" w:cs="Times New Roman" w:eastAsia="Times New Roman" w:hint="default"/>
          <w:spacing w:val="-1"/>
        </w:rPr>
        <w:t>)</w:t>
      </w:r>
      <w:r>
        <w:rPr>
          <w:spacing w:val="-1"/>
        </w:rPr>
        <w:t>钱健声明：保证年度报告中财务报告的</w:t>
      </w:r>
      <w:r>
        <w:rPr/>
        <w:t> 真实、准确、完整。</w:t>
      </w:r>
    </w:p>
    <w:p>
      <w:pPr>
        <w:pStyle w:val="BodyText"/>
        <w:spacing w:line="240" w:lineRule="auto" w:before="129"/>
        <w:ind w:left="513" w:right="1122"/>
        <w:jc w:val="left"/>
      </w:pPr>
      <w:r>
        <w:rPr/>
        <w:t>所有董事均已出席了审议本报告的董事会会议。</w:t>
      </w:r>
    </w:p>
    <w:p>
      <w:pPr>
        <w:spacing w:line="240" w:lineRule="auto" w:before="5"/>
        <w:rPr>
          <w:rFonts w:ascii="宋体" w:hAnsi="宋体" w:cs="宋体" w:eastAsia="宋体" w:hint="default"/>
          <w:sz w:val="13"/>
          <w:szCs w:val="13"/>
        </w:rPr>
      </w:pPr>
    </w:p>
    <w:p>
      <w:pPr>
        <w:pStyle w:val="BodyText"/>
        <w:spacing w:line="302" w:lineRule="auto"/>
        <w:ind w:left="154" w:right="1122" w:firstLine="360"/>
        <w:jc w:val="left"/>
      </w:pPr>
      <w:r>
        <w:rPr>
          <w:rFonts w:ascii="Times New Roman" w:hAnsi="Times New Roman" w:cs="Times New Roman" w:eastAsia="Times New Roman" w:hint="default"/>
        </w:rPr>
        <w:t>1</w:t>
      </w:r>
      <w:r>
        <w:rPr/>
        <w:t>、政策风险。电站的并网政策与电价补贴的下调等情况会对公司的经营业绩产生不利影响，西部地区的税收优惠政策 的变化将对公司经营业绩产生一定影响。</w:t>
      </w:r>
    </w:p>
    <w:p>
      <w:pPr>
        <w:pStyle w:val="BodyText"/>
        <w:spacing w:line="240" w:lineRule="auto" w:before="130"/>
        <w:ind w:left="514" w:right="1122"/>
        <w:jc w:val="left"/>
      </w:pPr>
      <w:r>
        <w:rPr>
          <w:rFonts w:ascii="Times New Roman" w:hAnsi="Times New Roman" w:cs="Times New Roman" w:eastAsia="Times New Roman" w:hint="default"/>
        </w:rPr>
        <w:t>2</w:t>
      </w:r>
      <w:r>
        <w:rPr/>
        <w:t>、弃光限电风险。若公司光伏电站所在区域出现</w:t>
      </w:r>
      <w:r>
        <w:rPr>
          <w:rFonts w:ascii="Times New Roman" w:hAnsi="Times New Roman" w:cs="Times New Roman" w:eastAsia="Times New Roman" w:hint="default"/>
        </w:rPr>
        <w:t>“</w:t>
      </w:r>
      <w:r>
        <w:rPr/>
        <w:t>弃光限电</w:t>
      </w:r>
      <w:r>
        <w:rPr>
          <w:rFonts w:ascii="Times New Roman" w:hAnsi="Times New Roman" w:cs="Times New Roman" w:eastAsia="Times New Roman" w:hint="default"/>
        </w:rPr>
        <w:t>”</w:t>
      </w:r>
      <w:r>
        <w:rPr/>
        <w:t>的情形，将影响公司的盈利情况。</w:t>
      </w:r>
    </w:p>
    <w:p>
      <w:pPr>
        <w:pStyle w:val="BodyText"/>
        <w:spacing w:line="302" w:lineRule="auto" w:before="161"/>
        <w:ind w:left="154" w:right="1122" w:firstLine="360"/>
        <w:jc w:val="left"/>
      </w:pPr>
      <w:r>
        <w:rPr>
          <w:rFonts w:ascii="Times New Roman" w:hAnsi="Times New Roman" w:cs="Times New Roman" w:eastAsia="Times New Roman" w:hint="default"/>
        </w:rPr>
        <w:t>3</w:t>
      </w:r>
      <w:r>
        <w:rPr/>
        <w:t>、汇率波动风险。公司外销比例较高，而原材料主要在境内采购，如未来人民币短期大幅升值，则将会给公司经营业 绩带来一定不利影响。</w:t>
      </w:r>
    </w:p>
    <w:p>
      <w:pPr>
        <w:pStyle w:val="BodyText"/>
        <w:spacing w:line="240" w:lineRule="auto" w:before="129"/>
        <w:ind w:left="514" w:right="0"/>
        <w:jc w:val="left"/>
      </w:pPr>
      <w:r>
        <w:rPr>
          <w:rFonts w:ascii="Times New Roman" w:hAnsi="Times New Roman" w:cs="Times New Roman" w:eastAsia="Times New Roman" w:hint="default"/>
        </w:rPr>
        <w:t>4</w:t>
      </w:r>
      <w:r>
        <w:rPr/>
        <w:t>、应收帐款和现金流的风险。公司在市场扩张的过程中，存在着扩大销售、争取市场份额和信用政策稳健的相对矛盾。</w:t>
      </w:r>
    </w:p>
    <w:p>
      <w:pPr>
        <w:spacing w:line="240" w:lineRule="auto" w:before="5"/>
        <w:rPr>
          <w:rFonts w:ascii="宋体" w:hAnsi="宋体" w:cs="宋体" w:eastAsia="宋体" w:hint="default"/>
          <w:sz w:val="12"/>
          <w:szCs w:val="12"/>
        </w:rPr>
      </w:pPr>
    </w:p>
    <w:p>
      <w:pPr>
        <w:pStyle w:val="BodyText"/>
        <w:spacing w:line="302" w:lineRule="auto"/>
        <w:ind w:left="154" w:right="1122" w:firstLine="360"/>
        <w:jc w:val="left"/>
      </w:pPr>
      <w:r>
        <w:rPr>
          <w:rFonts w:ascii="Times New Roman" w:hAnsi="Times New Roman" w:cs="Times New Roman" w:eastAsia="Times New Roman" w:hint="default"/>
        </w:rPr>
        <w:t>5</w:t>
      </w:r>
      <w:r>
        <w:rPr/>
        <w:t>、管理风险。在快速发展过程中若公司的生产管理、销售管理、质量控制、风险管理等能力不能适应公司规模迅速扩 张的要求，将会引发相应的管理风险。</w:t>
      </w:r>
    </w:p>
    <w:p>
      <w:pPr>
        <w:pStyle w:val="BodyText"/>
        <w:spacing w:line="240" w:lineRule="auto" w:before="129"/>
        <w:ind w:left="514" w:right="1122"/>
        <w:jc w:val="left"/>
      </w:pPr>
      <w:r>
        <w:rPr/>
        <w:t>公司计划不派发现金红利，不送红股，不以公积金转增股本。</w:t>
      </w:r>
    </w:p>
    <w:p>
      <w:pPr>
        <w:spacing w:after="0" w:line="240" w:lineRule="auto"/>
        <w:jc w:val="left"/>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spacing w:line="460" w:lineRule="exact" w:before="0"/>
        <w:ind w:left="0" w:right="976"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13</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46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70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76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77</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87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92</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93</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242</w:t>
            </w:r>
          </w:hyperlink>
        </w:p>
        <w:p>
          <w:pPr/>
          <w:r>
            <w:fldChar w:fldCharType="end"/>
          </w:r>
        </w:p>
      </w:sdtContent>
    </w:sdt>
    <w:p>
      <w:pPr>
        <w:spacing w:after="0"/>
        <w:sectPr>
          <w:pgSz w:w="11910" w:h="16840"/>
          <w:pgMar w:header="747" w:footer="979" w:top="1060" w:bottom="1160" w:left="980" w:right="0"/>
        </w:sectPr>
      </w:pPr>
    </w:p>
    <w:p>
      <w:pPr>
        <w:spacing w:before="946"/>
        <w:ind w:left="0" w:right="976"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爱康科技、公司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爱康实业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江苏爱康实业集团有限公司，系本公司控股股东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爱康国际控股有限公司，系本公司控股股东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爱康投资</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江阴爱康投资有限公司，系本公司控股股东</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爱康光电</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苏州金属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南通金属</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中康电力</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苏州中康电力运营有限公司，系本公司控股子公司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富罗纳征信</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上海富罗纳企业征信服务有限公司，系本公司控股子公司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慧诚电力检测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苏州慧诚电力检测有限公司，系本公司控股子公司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慧喆大数据</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上海慧喆信息技术有限公司，系本公司控股子公司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碳诺科技</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北京碳诺科技有限公司，系本公司控股子公司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爱康农业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江阴爱康农业科技有限公司，系本公司控股股东控制的其他企业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爱康薄膜</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苏州爱康薄膜新材料有限公司，系本公司控股股东控制的其他企业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绿色家园</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江苏爱康绿色家园科技有限公司，系本公司控股股东控制的其他企业</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能源工程</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6" w:lineRule="auto" w:before="51"/>
              <w:ind w:left="27" w:right="22"/>
              <w:jc w:val="left"/>
              <w:rPr>
                <w:rFonts w:ascii="宋体" w:hAnsi="宋体" w:cs="宋体" w:eastAsia="宋体" w:hint="default"/>
                <w:sz w:val="18"/>
                <w:szCs w:val="18"/>
              </w:rPr>
            </w:pPr>
            <w:r>
              <w:rPr>
                <w:rFonts w:ascii="宋体" w:hAnsi="宋体" w:cs="宋体" w:eastAsia="宋体" w:hint="default"/>
                <w:spacing w:val="-2"/>
                <w:sz w:val="18"/>
                <w:szCs w:val="18"/>
              </w:rPr>
              <w:t>苏州爱康能源工程技术股份有限公司，系本公司控股股东控制的其他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企业</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电站后市场</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电站运营、售电、评级检测及碳排放等运维环节的市场</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耐候钢</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9" w:lineRule="auto" w:before="51"/>
              <w:ind w:left="27" w:right="21"/>
              <w:jc w:val="both"/>
              <w:rPr>
                <w:rFonts w:ascii="宋体" w:hAnsi="宋体" w:cs="宋体" w:eastAsia="宋体" w:hint="default"/>
                <w:sz w:val="18"/>
                <w:szCs w:val="18"/>
              </w:rPr>
            </w:pPr>
            <w:r>
              <w:rPr>
                <w:rFonts w:ascii="宋体" w:hAnsi="宋体" w:cs="宋体" w:eastAsia="宋体" w:hint="default"/>
                <w:spacing w:val="-2"/>
                <w:sz w:val="18"/>
                <w:szCs w:val="18"/>
              </w:rPr>
              <w:t>耐候钢是由普通碳素钢材加少量铜、镍等耐腐蚀元素冶炼而成。具有</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优质钢的机械性能，而大气腐蚀能力为普通碳素钢的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倍，还具有 使用时间越长，耐腐蚀性能越突出。</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CCER</w:t>
            </w:r>
          </w:p>
        </w:tc>
        <w:tc>
          <w:tcPr>
            <w:tcW w:w="5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12" w:lineRule="auto" w:before="51"/>
              <w:ind w:left="27" w:right="21"/>
              <w:jc w:val="both"/>
              <w:rPr>
                <w:rFonts w:ascii="宋体" w:hAnsi="宋体" w:cs="宋体" w:eastAsia="宋体" w:hint="default"/>
                <w:sz w:val="18"/>
                <w:szCs w:val="18"/>
              </w:rPr>
            </w:pPr>
            <w:r>
              <w:rPr>
                <w:rFonts w:ascii="宋体" w:hAnsi="宋体" w:cs="宋体" w:eastAsia="宋体" w:hint="default"/>
                <w:spacing w:val="-3"/>
                <w:sz w:val="18"/>
                <w:szCs w:val="18"/>
              </w:rPr>
              <w:t>根据《温室气体自愿减排交易管理暂行办法》，参与自愿减排的减排</w:t>
            </w:r>
            <w:r>
              <w:rPr>
                <w:rFonts w:ascii="宋体" w:hAnsi="宋体" w:cs="宋体" w:eastAsia="宋体" w:hint="default"/>
                <w:sz w:val="18"/>
                <w:szCs w:val="18"/>
              </w:rPr>
              <w:t> </w:t>
            </w:r>
            <w:r>
              <w:rPr>
                <w:rFonts w:ascii="宋体" w:hAnsi="宋体" w:cs="宋体" w:eastAsia="宋体" w:hint="default"/>
                <w:spacing w:val="-2"/>
                <w:sz w:val="18"/>
                <w:szCs w:val="18"/>
              </w:rPr>
              <w:t>量需经国家主管部门在国家自愿减排交易登记簿进行登记备案，经备</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案的减排量称为</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核证自愿减排量</w:t>
            </w:r>
            <w:r>
              <w:rPr>
                <w:rFonts w:ascii="Times New Roman" w:hAnsi="Times New Roman" w:cs="Times New Roman" w:eastAsia="Times New Roman" w:hint="default"/>
                <w:spacing w:val="-2"/>
                <w:sz w:val="18"/>
                <w:szCs w:val="18"/>
              </w:rPr>
              <w:t>(CCER)"</w:t>
            </w:r>
            <w:r>
              <w:rPr>
                <w:rFonts w:ascii="宋体" w:hAnsi="宋体" w:cs="宋体" w:eastAsia="宋体" w:hint="default"/>
                <w:spacing w:val="-2"/>
                <w:sz w:val="18"/>
                <w:szCs w:val="18"/>
              </w:rPr>
              <w:t>。自愿减排项目减排量经备</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案后，在国家登记簿登记并在经备案的交易机构内交易。</w:t>
            </w:r>
          </w:p>
        </w:tc>
      </w:tr>
      <w:tr>
        <w:trPr>
          <w:trHeight w:val="392" w:hRule="exact"/>
        </w:trPr>
        <w:tc>
          <w:tcPr>
            <w:tcW w:w="3536" w:type="dxa"/>
            <w:vMerge/>
            <w:tcBorders>
              <w:left w:val="single" w:sz="4" w:space="0" w:color="000000"/>
              <w:right w:val="single" w:sz="9" w:space="0" w:color="D2D2D2"/>
            </w:tcBorders>
          </w:tcPr>
          <w:p>
            <w:pPr/>
          </w:p>
        </w:tc>
        <w:tc>
          <w:tcPr>
            <w:tcW w:w="5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598"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72.779968pt;width:361.5pt;height:19.6pt;mso-position-horizontal-relative:page;mso-position-vertical-relative:page;z-index:-1651768" coordorigin="3447,5456" coordsize="7230,392">
            <v:shape style="position:absolute;left:3447;top:5456;width:7230;height:392" coordorigin="3447,5456" coordsize="7230,392" path="m3447,5847l10676,5847,10676,5456,3447,5456,3447,5847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1122"/>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002610</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江苏爱康科技股份有限公司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爱康科技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Jiangsu</w:t>
            </w:r>
            <w:r>
              <w:rPr>
                <w:rFonts w:ascii="Times New Roman"/>
                <w:spacing w:val="-13"/>
                <w:sz w:val="18"/>
              </w:rPr>
              <w:t> </w:t>
            </w:r>
            <w:r>
              <w:rPr>
                <w:rFonts w:ascii="Times New Roman"/>
                <w:sz w:val="18"/>
              </w:rPr>
              <w:t>Akcome</w:t>
            </w:r>
            <w:r>
              <w:rPr>
                <w:rFonts w:ascii="Times New Roman"/>
                <w:spacing w:val="-6"/>
                <w:sz w:val="18"/>
              </w:rPr>
              <w:t> </w:t>
            </w:r>
            <w:r>
              <w:rPr>
                <w:rFonts w:ascii="Times New Roman"/>
                <w:sz w:val="18"/>
              </w:rPr>
              <w:t>Science</w:t>
            </w:r>
            <w:r>
              <w:rPr>
                <w:rFonts w:ascii="Times New Roman"/>
                <w:spacing w:val="-5"/>
                <w:sz w:val="18"/>
              </w:rPr>
              <w:t> </w:t>
            </w:r>
            <w:r>
              <w:rPr>
                <w:rFonts w:ascii="Times New Roman"/>
                <w:sz w:val="18"/>
              </w:rPr>
              <w:t>&amp;</w:t>
            </w:r>
            <w:r>
              <w:rPr>
                <w:rFonts w:ascii="Times New Roman"/>
                <w:spacing w:val="-8"/>
                <w:sz w:val="18"/>
              </w:rPr>
              <w:t> </w:t>
            </w:r>
            <w:r>
              <w:rPr>
                <w:rFonts w:ascii="Times New Roman"/>
                <w:sz w:val="18"/>
              </w:rPr>
              <w:t>Technology</w:t>
            </w:r>
            <w:r>
              <w:rPr>
                <w:rFonts w:ascii="Times New Roman"/>
                <w:spacing w:val="-4"/>
                <w:sz w:val="18"/>
              </w:rPr>
              <w:t> </w:t>
            </w:r>
            <w:r>
              <w:rPr>
                <w:rFonts w:ascii="Times New Roman"/>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AKCOME</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邹承慧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江苏省江阴市华士工业集中区红苗园区勤丰路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214425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215600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http://www.akcome.com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2"/>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ZHANG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JING</w:t>
            </w:r>
            <w:r>
              <w:rPr>
                <w:rFonts w:ascii="宋体" w:hAnsi="宋体" w:cs="宋体" w:eastAsia="宋体" w:hint="default"/>
                <w:sz w:val="18"/>
                <w:szCs w:val="18"/>
              </w:rPr>
              <w:t>（张静）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陈晨</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江苏省张家港市经济技术开发区金塘西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0512-82557563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0512-82557563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0512-82557644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0512-82557644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zhengquanbu@akcome.com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2"/>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证券时报、中国证券报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r>
        <w:rPr/>
        <w:pict>
          <v:shape style="position:absolute;margin-left:110.757004pt;margin-top:753.539978pt;width:94.6pt;height:15.6pt;mso-position-horizontal-relative:page;mso-position-vertical-relative:page;z-index:-1651744" type="#_x0000_t202" filled="false" stroked="false">
            <v:textbox inset="0,0,0,0">
              <w:txbxContent>
                <w:p>
                  <w:pPr>
                    <w:pStyle w:val="BodyText"/>
                    <w:spacing w:line="208" w:lineRule="exact"/>
                    <w:ind w:left="0" w:right="0"/>
                    <w:jc w:val="left"/>
                  </w:pPr>
                  <w:r>
                    <w:rPr/>
                    <w:t>（元）</w:t>
                  </w:r>
                </w:p>
              </w:txbxContent>
            </v:textbox>
            <w10:wrap type="none"/>
          </v:shape>
        </w:pict>
      </w:r>
      <w:r>
        <w:rPr/>
        <w:pict>
          <v:group style="position:absolute;margin-left:134.960007pt;margin-top:753.539978pt;width:70.4pt;height:15.6pt;mso-position-horizontal-relative:page;mso-position-vertical-relative:page;z-index:-1651720" coordorigin="2699,15071" coordsize="1408,312">
            <v:shape style="position:absolute;left:2699;top:15071;width:1408;height:312" coordorigin="2699,15071" coordsize="1408,312" path="m2699,15383l4107,15383,4107,15071,2699,15071,2699,15383xe" filled="true" fillcolor="#ffffff" stroked="false">
              <v:path arrowok="t"/>
              <v:fill type="solid"/>
            </v:shape>
            <w10:wrap type="none"/>
          </v:group>
        </w:pict>
      </w:r>
    </w:p>
    <w:p>
      <w:pPr>
        <w:pStyle w:val="Heading2"/>
        <w:spacing w:line="240" w:lineRule="auto" w:before="26"/>
        <w:ind w:right="1122"/>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2"/>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北京市东城区永定门西滨河路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号楼中海地产广场西塔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徐殷鹏、洪烨</w:t>
            </w:r>
          </w:p>
        </w:tc>
      </w:tr>
    </w:tbl>
    <w:p>
      <w:pPr>
        <w:pStyle w:val="BodyText"/>
        <w:spacing w:line="240" w:lineRule="auto" w:before="51"/>
        <w:ind w:left="154" w:right="1122"/>
        <w:jc w:val="left"/>
      </w:pPr>
      <w:r>
        <w:rPr/>
        <w:t>公司聘请的报告期内履行持续督导职责的保荐机构</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重庆市江北区桥北苑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号西南 证券大厦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江轶、唐异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left="154" w:right="1122"/>
        <w:jc w:val="left"/>
      </w:pPr>
      <w:r>
        <w:rPr/>
        <w:t>公司聘请的报告期内履行持续督导职责的财务顾问</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华林证券股份有限公司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97"/>
              <w:jc w:val="left"/>
              <w:rPr>
                <w:rFonts w:ascii="宋体" w:hAnsi="宋体" w:cs="宋体" w:eastAsia="宋体" w:hint="default"/>
                <w:sz w:val="18"/>
                <w:szCs w:val="18"/>
              </w:rPr>
            </w:pPr>
            <w:r>
              <w:rPr>
                <w:rFonts w:ascii="宋体" w:hAnsi="宋体" w:cs="宋体" w:eastAsia="宋体" w:hint="default"/>
                <w:sz w:val="18"/>
                <w:szCs w:val="18"/>
              </w:rPr>
              <w:t>深圳市福田区福华一路免税 商务大厦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崔永新、张敏涛</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公司是否需追溯调整或重述以前年度会计数据</w:t>
      </w:r>
    </w:p>
    <w:p>
      <w:pPr>
        <w:pStyle w:val="BodyText"/>
        <w:spacing w:line="348" w:lineRule="auto" w:before="116"/>
        <w:ind w:right="9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追溯调整或重述原因 同一控制下企业合并</w:t>
      </w:r>
    </w:p>
    <w:tbl>
      <w:tblPr>
        <w:tblW w:w="0" w:type="auto"/>
        <w:jc w:val="left"/>
        <w:tblInd w:w="160" w:type="dxa"/>
        <w:tblLayout w:type="fixed"/>
        <w:tblCellMar>
          <w:top w:w="0" w:type="dxa"/>
          <w:left w:w="0" w:type="dxa"/>
          <w:bottom w:w="0" w:type="dxa"/>
          <w:right w:w="0" w:type="dxa"/>
        </w:tblCellMar>
        <w:tblLook w:val="01E0"/>
      </w:tblPr>
      <w:tblGrid>
        <w:gridCol w:w="1538"/>
        <w:gridCol w:w="267"/>
        <w:gridCol w:w="1162"/>
        <w:gridCol w:w="1419"/>
        <w:gridCol w:w="1416"/>
        <w:gridCol w:w="852"/>
        <w:gridCol w:w="1416"/>
        <w:gridCol w:w="1488"/>
      </w:tblGrid>
      <w:tr>
        <w:trPr>
          <w:trHeight w:val="162" w:hRule="exact"/>
        </w:trPr>
        <w:tc>
          <w:tcPr>
            <w:tcW w:w="1538" w:type="dxa"/>
            <w:vMerge w:val="restart"/>
            <w:tcBorders>
              <w:top w:val="single" w:sz="4" w:space="0" w:color="000000"/>
              <w:left w:val="single" w:sz="4" w:space="0" w:color="000000"/>
              <w:right w:val="single" w:sz="4" w:space="0" w:color="000000"/>
            </w:tcBorders>
            <w:shd w:val="clear" w:color="auto" w:fill="D2D2D2"/>
          </w:tcPr>
          <w:p>
            <w:pPr/>
          </w:p>
        </w:tc>
        <w:tc>
          <w:tcPr>
            <w:tcW w:w="1429" w:type="dxa"/>
            <w:gridSpan w:val="2"/>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51" w:right="59" w:hanging="90"/>
              <w:jc w:val="left"/>
              <w:rPr>
                <w:rFonts w:ascii="宋体" w:hAnsi="宋体" w:cs="宋体" w:eastAsia="宋体" w:hint="default"/>
                <w:sz w:val="18"/>
                <w:szCs w:val="18"/>
              </w:rPr>
            </w:pPr>
            <w:r>
              <w:rPr>
                <w:rFonts w:ascii="宋体" w:hAnsi="宋体" w:cs="宋体" w:eastAsia="宋体" w:hint="default"/>
                <w:sz w:val="18"/>
                <w:szCs w:val="18"/>
              </w:rPr>
              <w:t>本年比上 年增减</w:t>
            </w:r>
          </w:p>
        </w:tc>
        <w:tc>
          <w:tcPr>
            <w:tcW w:w="2904"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0"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52" w:type="dxa"/>
            <w:vMerge/>
            <w:tcBorders>
              <w:left w:val="single" w:sz="4" w:space="0" w:color="000000"/>
              <w:right w:val="single" w:sz="4" w:space="0" w:color="000000"/>
            </w:tcBorders>
            <w:shd w:val="clear" w:color="auto" w:fill="D2D2D2"/>
          </w:tcPr>
          <w:p>
            <w:pPr/>
          </w:p>
        </w:tc>
        <w:tc>
          <w:tcPr>
            <w:tcW w:w="290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191"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142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904" w:type="dxa"/>
            <w:gridSpan w:val="2"/>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29" w:type="dxa"/>
            <w:gridSpan w:val="2"/>
            <w:vMerge/>
            <w:tcBorders>
              <w:left w:val="single" w:sz="4" w:space="0" w:color="000000"/>
              <w:bottom w:val="nil" w:sz="6" w:space="0" w:color="auto"/>
              <w:right w:val="single" w:sz="4" w:space="0" w:color="000000"/>
            </w:tcBorders>
            <w:shd w:val="clear" w:color="auto" w:fill="D2D2D2"/>
          </w:tcPr>
          <w:p>
            <w:pPr/>
          </w:p>
        </w:tc>
        <w:tc>
          <w:tcPr>
            <w:tcW w:w="283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2904"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2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9"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2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28" w:right="0"/>
              <w:jc w:val="left"/>
              <w:rPr>
                <w:rFonts w:ascii="Times New Roman" w:hAnsi="Times New Roman" w:cs="Times New Roman" w:eastAsia="Times New Roman" w:hint="default"/>
                <w:sz w:val="18"/>
                <w:szCs w:val="18"/>
              </w:rPr>
            </w:pPr>
            <w:r>
              <w:rPr>
                <w:rFonts w:ascii="Times New Roman"/>
                <w:sz w:val="18"/>
              </w:rPr>
              <w:t>4,856,493,249.54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3,904,992,406.27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3,899,266,692.00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4,258,682,869.23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4,268,973,670.88</w:t>
            </w:r>
          </w:p>
        </w:tc>
      </w:tr>
      <w:tr>
        <w:trPr>
          <w:trHeight w:val="714"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74"/>
              <w:jc w:val="left"/>
              <w:rPr>
                <w:rFonts w:ascii="宋体" w:hAnsi="宋体" w:cs="宋体" w:eastAsia="宋体" w:hint="default"/>
                <w:sz w:val="18"/>
                <w:szCs w:val="18"/>
              </w:rPr>
            </w:pPr>
            <w:r>
              <w:rPr>
                <w:rFonts w:ascii="宋体" w:hAnsi="宋体" w:cs="宋体" w:eastAsia="宋体" w:hint="default"/>
                <w:sz w:val="18"/>
                <w:szCs w:val="18"/>
              </w:rPr>
              <w:t>归属于上市公司股 东的净利润（元）</w:t>
            </w:r>
          </w:p>
        </w:tc>
        <w:tc>
          <w:tcPr>
            <w:tcW w:w="1429"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113,455,312.64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147,433,897.69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141,227,739.68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122,195,838.13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120,046,277.26</w:t>
            </w:r>
          </w:p>
        </w:tc>
      </w:tr>
      <w:tr>
        <w:trPr>
          <w:trHeight w:val="1026"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4"/>
              <w:jc w:val="both"/>
              <w:rPr>
                <w:rFonts w:ascii="宋体" w:hAnsi="宋体" w:cs="宋体" w:eastAsia="宋体" w:hint="default"/>
                <w:sz w:val="18"/>
                <w:szCs w:val="18"/>
              </w:rPr>
            </w:pPr>
            <w:r>
              <w:rPr>
                <w:rFonts w:ascii="宋体" w:hAnsi="宋体" w:cs="宋体" w:eastAsia="宋体" w:hint="default"/>
                <w:sz w:val="18"/>
                <w:szCs w:val="18"/>
              </w:rPr>
              <w:t>归属于上市公司股 东的扣除非经常性 损益的净利润</w:t>
            </w:r>
          </w:p>
        </w:tc>
        <w:tc>
          <w:tcPr>
            <w:tcW w:w="267" w:type="dxa"/>
            <w:tcBorders>
              <w:top w:val="single" w:sz="4" w:space="0" w:color="000000"/>
              <w:left w:val="single" w:sz="9" w:space="0" w:color="D2D2D2"/>
              <w:bottom w:val="single" w:sz="4" w:space="0" w:color="000000"/>
              <w:right w:val="nil" w:sz="6" w:space="0" w:color="auto"/>
            </w:tcBorders>
          </w:tcPr>
          <w:p>
            <w:pPr/>
          </w:p>
        </w:tc>
        <w:tc>
          <w:tcPr>
            <w:tcW w:w="1162"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2,787,905.11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14,341,817.46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14,341,817.46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-80.56%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46,099,461.87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46,099,461.87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417"/>
        <w:gridCol w:w="1419"/>
        <w:gridCol w:w="1416"/>
        <w:gridCol w:w="852"/>
        <w:gridCol w:w="1416"/>
        <w:gridCol w:w="143"/>
        <w:gridCol w:w="1345"/>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经营活动产生的现 金流量净额（元）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871,339,865.98</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39,021,298.98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27,031,182.44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3,123.46%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359,770,999.86</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359,744,401.00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1" w:right="0"/>
              <w:jc w:val="left"/>
              <w:rPr>
                <w:rFonts w:ascii="Times New Roman" w:hAnsi="Times New Roman" w:cs="Times New Roman" w:eastAsia="Times New Roman" w:hint="default"/>
                <w:sz w:val="18"/>
                <w:szCs w:val="18"/>
              </w:rPr>
            </w:pPr>
            <w:r>
              <w:rPr>
                <w:rFonts w:ascii="Times New Roman"/>
                <w:sz w:val="18"/>
              </w:rPr>
              <w:t>0.0290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0.040</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1" w:right="0"/>
              <w:jc w:val="left"/>
              <w:rPr>
                <w:rFonts w:ascii="Times New Roman" w:hAnsi="Times New Roman" w:cs="Times New Roman" w:eastAsia="Times New Roman" w:hint="default"/>
                <w:sz w:val="18"/>
                <w:szCs w:val="18"/>
              </w:rPr>
            </w:pPr>
            <w:r>
              <w:rPr>
                <w:rFonts w:ascii="Times New Roman"/>
                <w:sz w:val="18"/>
              </w:rPr>
              <w:t>0.0290</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加权平均净资产收 益率</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4.78%</w:t>
            </w:r>
          </w:p>
        </w:tc>
      </w:tr>
      <w:tr>
        <w:trPr>
          <w:trHeight w:val="317" w:hRule="exact"/>
        </w:trPr>
        <w:tc>
          <w:tcPr>
            <w:tcW w:w="1560" w:type="dxa"/>
            <w:vMerge w:val="restart"/>
            <w:tcBorders>
              <w:top w:val="single" w:sz="4" w:space="0" w:color="000000"/>
              <w:left w:val="single" w:sz="4" w:space="0" w:color="000000"/>
              <w:right w:val="single" w:sz="4" w:space="0" w:color="000000"/>
            </w:tcBorders>
            <w:shd w:val="clear" w:color="auto" w:fill="D2D2D2"/>
          </w:tcPr>
          <w:p>
            <w:pPr/>
          </w:p>
        </w:tc>
        <w:tc>
          <w:tcPr>
            <w:tcW w:w="1417" w:type="dxa"/>
            <w:vMerge w:val="restart"/>
            <w:tcBorders>
              <w:top w:val="single" w:sz="4" w:space="0" w:color="000000"/>
              <w:left w:val="single" w:sz="4" w:space="0" w:color="000000"/>
              <w:right w:val="single" w:sz="4" w:space="0" w:color="000000"/>
            </w:tcBorders>
            <w:shd w:val="clear" w:color="auto" w:fill="D2D2D2"/>
          </w:tcPr>
          <w:p>
            <w:pPr/>
          </w:p>
        </w:tc>
        <w:tc>
          <w:tcPr>
            <w:tcW w:w="283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本年末比 上年末增 减</w:t>
            </w:r>
          </w:p>
        </w:tc>
        <w:tc>
          <w:tcPr>
            <w:tcW w:w="2904" w:type="dxa"/>
            <w:gridSpan w:val="3"/>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2" w:type="dxa"/>
            <w:vMerge/>
            <w:tcBorders>
              <w:left w:val="single" w:sz="4" w:space="0" w:color="000000"/>
              <w:right w:val="single" w:sz="4" w:space="0" w:color="000000"/>
            </w:tcBorders>
            <w:shd w:val="clear" w:color="auto" w:fill="D2D2D2"/>
          </w:tcPr>
          <w:p>
            <w:pPr/>
          </w:p>
        </w:tc>
        <w:tc>
          <w:tcPr>
            <w:tcW w:w="290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191"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835" w:type="dxa"/>
            <w:gridSpan w:val="2"/>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904" w:type="dxa"/>
            <w:gridSpan w:val="3"/>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560" w:type="dxa"/>
            <w:vMerge/>
            <w:tcBorders>
              <w:left w:val="single" w:sz="4" w:space="0" w:color="000000"/>
              <w:bottom w:val="nil" w:sz="6" w:space="0" w:color="auto"/>
              <w:right w:val="single" w:sz="4" w:space="0" w:color="000000"/>
            </w:tcBorders>
            <w:shd w:val="clear" w:color="auto" w:fill="D2D2D2"/>
          </w:tcPr>
          <w:p>
            <w:pPr/>
          </w:p>
        </w:tc>
        <w:tc>
          <w:tcPr>
            <w:tcW w:w="1417" w:type="dxa"/>
            <w:vMerge/>
            <w:tcBorders>
              <w:left w:val="single" w:sz="4" w:space="0" w:color="000000"/>
              <w:bottom w:val="nil" w:sz="6" w:space="0" w:color="auto"/>
              <w:right w:val="single" w:sz="4" w:space="0" w:color="000000"/>
            </w:tcBorders>
            <w:shd w:val="clear" w:color="auto" w:fill="D2D2D2"/>
          </w:tcPr>
          <w:p>
            <w:pPr/>
          </w:p>
        </w:tc>
        <w:tc>
          <w:tcPr>
            <w:tcW w:w="2835" w:type="dxa"/>
            <w:gridSpan w:val="2"/>
            <w:vMerge w:val="restart"/>
            <w:tcBorders>
              <w:top w:val="nil" w:sz="6" w:space="0" w:color="auto"/>
              <w:left w:val="single" w:sz="4" w:space="0" w:color="000000"/>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2904" w:type="dxa"/>
            <w:gridSpan w:val="3"/>
            <w:vMerge w:val="restart"/>
            <w:tcBorders>
              <w:top w:val="nil" w:sz="6" w:space="0" w:color="auto"/>
              <w:left w:val="single" w:sz="4" w:space="0" w:color="000000"/>
              <w:right w:val="single" w:sz="4" w:space="0" w:color="000000"/>
            </w:tcBorders>
            <w:shd w:val="clear" w:color="auto" w:fill="D2D2D2"/>
          </w:tcPr>
          <w:p>
            <w:pPr/>
          </w:p>
        </w:tc>
      </w:tr>
      <w:tr>
        <w:trPr>
          <w:trHeight w:val="112" w:hRule="exact"/>
        </w:trPr>
        <w:tc>
          <w:tcPr>
            <w:tcW w:w="1560" w:type="dxa"/>
            <w:vMerge w:val="restart"/>
            <w:tcBorders>
              <w:top w:val="nil" w:sz="6" w:space="0" w:color="auto"/>
              <w:left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
        </w:tc>
        <w:tc>
          <w:tcPr>
            <w:tcW w:w="2835" w:type="dxa"/>
            <w:gridSpan w:val="2"/>
            <w:vMerge/>
            <w:tcBorders>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2904" w:type="dxa"/>
            <w:gridSpan w:val="3"/>
            <w:vMerge/>
            <w:tcBorders>
              <w:left w:val="single" w:sz="4" w:space="0" w:color="000000"/>
              <w:bottom w:val="single" w:sz="4" w:space="0" w:color="000000"/>
              <w:right w:val="single" w:sz="4" w:space="0" w:color="000000"/>
            </w:tcBorders>
            <w:shd w:val="clear" w:color="auto" w:fill="D2D2D2"/>
          </w:tcPr>
          <w:p>
            <w:pPr/>
          </w:p>
        </w:tc>
      </w:tr>
      <w:tr>
        <w:trPr>
          <w:trHeight w:val="407" w:hRule="exact"/>
        </w:trPr>
        <w:tc>
          <w:tcPr>
            <w:tcW w:w="1560" w:type="dxa"/>
            <w:vMerge/>
            <w:tcBorders>
              <w:left w:val="single" w:sz="4" w:space="0" w:color="000000"/>
              <w:bottom w:val="single" w:sz="4" w:space="0" w:color="000000"/>
              <w:right w:val="single" w:sz="4" w:space="0" w:color="000000"/>
            </w:tcBorders>
            <w:shd w:val="clear" w:color="auto" w:fill="D2D2D2"/>
          </w:tcPr>
          <w:p>
            <w:pPr/>
          </w:p>
        </w:tc>
        <w:tc>
          <w:tcPr>
            <w:tcW w:w="1417"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0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56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17,082,786,381.88</w:t>
            </w:r>
          </w:p>
        </w:tc>
        <w:tc>
          <w:tcPr>
            <w:tcW w:w="14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Times New Roman" w:hAnsi="Times New Roman" w:cs="Times New Roman" w:eastAsia="Times New Roman" w:hint="default"/>
                <w:sz w:val="18"/>
                <w:szCs w:val="18"/>
              </w:rPr>
            </w:pPr>
            <w:r>
              <w:rPr>
                <w:rFonts w:ascii="Times New Roman"/>
                <w:sz w:val="18"/>
              </w:rPr>
              <w:t>16,508,384,118.46</w:t>
            </w:r>
          </w:p>
        </w:tc>
        <w:tc>
          <w:tcPr>
            <w:tcW w:w="141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16,509,525,365.67</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3.47%</w:t>
            </w:r>
          </w:p>
        </w:tc>
        <w:tc>
          <w:tcPr>
            <w:tcW w:w="1559" w:type="dxa"/>
            <w:gridSpan w:val="2"/>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13,692,988,523.59</w:t>
            </w:r>
          </w:p>
        </w:tc>
        <w:tc>
          <w:tcPr>
            <w:tcW w:w="134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13,694,485,941.1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392" w:hRule="exact"/>
        </w:trPr>
        <w:tc>
          <w:tcPr>
            <w:tcW w:w="15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17" w:type="dxa"/>
            <w:vMerge/>
            <w:tcBorders>
              <w:left w:val="single" w:sz="9" w:space="0" w:color="D2D2D2"/>
              <w:right w:val="single" w:sz="4" w:space="0" w:color="000000"/>
            </w:tcBorders>
          </w:tcPr>
          <w:p>
            <w:pPr/>
          </w:p>
        </w:tc>
        <w:tc>
          <w:tcPr>
            <w:tcW w:w="1419" w:type="dxa"/>
            <w:vMerge/>
            <w:tcBorders>
              <w:left w:val="single" w:sz="4" w:space="0" w:color="000000"/>
              <w:right w:val="single" w:sz="4" w:space="0" w:color="000000"/>
            </w:tcBorders>
          </w:tcPr>
          <w:p>
            <w:pPr/>
          </w:p>
        </w:tc>
        <w:tc>
          <w:tcPr>
            <w:tcW w:w="1416"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559" w:type="dxa"/>
            <w:gridSpan w:val="2"/>
            <w:vMerge/>
            <w:tcBorders>
              <w:left w:val="single" w:sz="4" w:space="0" w:color="000000"/>
              <w:right w:val="single" w:sz="4" w:space="0" w:color="000000"/>
            </w:tcBorders>
          </w:tcPr>
          <w:p>
            <w:pPr/>
          </w:p>
        </w:tc>
        <w:tc>
          <w:tcPr>
            <w:tcW w:w="1345" w:type="dxa"/>
            <w:vMerge/>
            <w:tcBorders>
              <w:left w:val="single" w:sz="4" w:space="0" w:color="000000"/>
              <w:right w:val="single" w:sz="4" w:space="0" w:color="000000"/>
            </w:tcBorders>
          </w:tcPr>
          <w:p>
            <w:pPr/>
          </w:p>
        </w:tc>
      </w:tr>
      <w:tr>
        <w:trPr>
          <w:trHeight w:val="161" w:hRule="exact"/>
        </w:trPr>
        <w:tc>
          <w:tcPr>
            <w:tcW w:w="15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7" w:type="dxa"/>
            <w:vMerge/>
            <w:tcBorders>
              <w:left w:val="single" w:sz="9" w:space="0" w:color="D2D2D2"/>
              <w:bottom w:val="single" w:sz="4" w:space="0" w:color="000000"/>
              <w:right w:val="single" w:sz="4" w:space="0" w:color="000000"/>
            </w:tcBorders>
          </w:tcPr>
          <w:p>
            <w:pPr/>
          </w:p>
        </w:tc>
        <w:tc>
          <w:tcPr>
            <w:tcW w:w="1419" w:type="dxa"/>
            <w:vMerge/>
            <w:tcBorders>
              <w:left w:val="single" w:sz="4" w:space="0" w:color="000000"/>
              <w:bottom w:val="single" w:sz="4" w:space="0" w:color="000000"/>
              <w:right w:val="single" w:sz="4" w:space="0" w:color="000000"/>
            </w:tcBorders>
          </w:tcPr>
          <w:p>
            <w:pPr/>
          </w:p>
        </w:tc>
        <w:tc>
          <w:tcPr>
            <w:tcW w:w="1416"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59" w:type="dxa"/>
            <w:gridSpan w:val="2"/>
            <w:vMerge/>
            <w:tcBorders>
              <w:left w:val="single" w:sz="4" w:space="0" w:color="000000"/>
              <w:bottom w:val="single" w:sz="4" w:space="0" w:color="000000"/>
              <w:right w:val="single" w:sz="4" w:space="0" w:color="000000"/>
            </w:tcBorders>
          </w:tcPr>
          <w:p>
            <w:pPr/>
          </w:p>
        </w:tc>
        <w:tc>
          <w:tcPr>
            <w:tcW w:w="1345" w:type="dxa"/>
            <w:vMerge/>
            <w:tcBorders>
              <w:left w:val="single" w:sz="4" w:space="0" w:color="000000"/>
              <w:bottom w:val="single" w:sz="4" w:space="0" w:color="000000"/>
              <w:right w:val="single" w:sz="4" w:space="0" w:color="000000"/>
            </w:tcBorders>
          </w:tcPr>
          <w:p>
            <w:pP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归属于上市公司股 东的净资产（元）</w:t>
            </w:r>
          </w:p>
        </w:tc>
        <w:tc>
          <w:tcPr>
            <w:tcW w:w="141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5,715,066,629.53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5,639,829,791.40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5,633,657,156.28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1.45%</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2,585,030,474.29</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2,573,063,997.18</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ind w:right="1122"/>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744,643,002.90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1,430,569,320.97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1,392,609,076.35</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1,288,671,849.32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9,491,542.36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40,796,744.05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104,519,707.62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-41,352,681.39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7,026,241.69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38,773,135.68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3,798,920.56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-46,810,392.82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2,309,330.40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-229,899,587.28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164,924,498.18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934,005,624.68</w:t>
            </w:r>
          </w:p>
        </w:tc>
      </w:tr>
    </w:tbl>
    <w:p>
      <w:pPr>
        <w:pStyle w:val="BodyText"/>
        <w:spacing w:line="240" w:lineRule="auto" w:before="51"/>
        <w:ind w:left="154" w:right="1122"/>
        <w:jc w:val="left"/>
      </w:pPr>
      <w:r>
        <w:rPr/>
        <w:t>上述财务指标或其加总数是否与公司已披露季度报告、半年度报告相关财务指标存在重大差异</w:t>
      </w:r>
    </w:p>
    <w:p>
      <w:pPr>
        <w:pStyle w:val="BodyText"/>
        <w:spacing w:line="240" w:lineRule="auto" w:before="117"/>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9" w:lineRule="auto" w:before="44"/>
        <w:ind w:right="1033"/>
        <w:jc w:val="left"/>
      </w:pPr>
      <w:r>
        <w:rPr>
          <w:spacing w:val="-2"/>
        </w:rPr>
        <w:t>报告期内，公司收购江苏爱康能源研究院有限公司和阳泉爱康太阳能发电有限公司，属于同一控制下的企业合并，基本处理</w:t>
      </w:r>
      <w:r>
        <w:rPr>
          <w:spacing w:val="-66"/>
        </w:rPr>
        <w:t> </w:t>
      </w:r>
      <w:r>
        <w:rPr>
          <w:spacing w:val="-66"/>
        </w:rPr>
      </w:r>
      <w:r>
        <w:rPr/>
        <w:t>原则是视同合并后形成的报告主体在合并日及以前期间一直存在，需要追溯调整</w:t>
      </w:r>
      <w:r>
        <w:rPr>
          <w:rFonts w:ascii="Times New Roman" w:hAnsi="Times New Roman" w:cs="Times New Roman" w:eastAsia="Times New Roman" w:hint="default"/>
        </w:rPr>
        <w:t>2017</w:t>
      </w:r>
      <w:r>
        <w:rPr/>
        <w:t>年度合并财务报表和其比较财务报表， 以客观反映公司的实际经营状况。</w:t>
      </w:r>
    </w:p>
    <w:p>
      <w:pPr>
        <w:spacing w:line="240" w:lineRule="auto" w:before="3"/>
        <w:rPr>
          <w:rFonts w:ascii="宋体" w:hAnsi="宋体" w:cs="宋体" w:eastAsia="宋体" w:hint="default"/>
          <w:sz w:val="21"/>
          <w:szCs w:val="21"/>
        </w:rPr>
      </w:pPr>
    </w:p>
    <w:p>
      <w:pPr>
        <w:pStyle w:val="Heading2"/>
        <w:spacing w:line="240" w:lineRule="auto"/>
        <w:ind w:right="1122"/>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5"/>
        <w:gridCol w:w="193"/>
        <w:gridCol w:w="1093"/>
        <w:gridCol w:w="1276"/>
        <w:gridCol w:w="1277"/>
        <w:gridCol w:w="3614"/>
      </w:tblGrid>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17" w:hRule="exact"/>
        </w:trPr>
        <w:tc>
          <w:tcPr>
            <w:tcW w:w="21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6" w:type="dxa"/>
            <w:gridSpan w:val="2"/>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44,353,769.33</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97,698,095.59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13,787,542.78</w:t>
            </w:r>
          </w:p>
        </w:tc>
        <w:tc>
          <w:tcPr>
            <w:tcW w:w="361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主要为报告期公司出售子公司徐闻爱康电力 </w:t>
            </w:r>
            <w:r>
              <w:rPr>
                <w:rFonts w:ascii="宋体" w:hAnsi="宋体" w:cs="宋体" w:eastAsia="宋体" w:hint="default"/>
                <w:spacing w:val="-3"/>
                <w:sz w:val="18"/>
                <w:szCs w:val="18"/>
              </w:rPr>
              <w:t>开发有限公司、新疆爱康慧诚信息技术有限公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司、青海蓓翔新能源开发有限公司等公司股权</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所取得投资收益和出售日本秋天电站所取得 资产处置收益。</w:t>
            </w:r>
          </w:p>
        </w:tc>
      </w:tr>
      <w:tr>
        <w:trPr>
          <w:trHeight w:val="1016" w:hRule="exact"/>
        </w:trPr>
        <w:tc>
          <w:tcPr>
            <w:tcW w:w="21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8"/>
                <w:sz w:val="18"/>
                <w:szCs w:val="18"/>
              </w:rPr>
              <w:t>非流动资产处置损益（包括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已计提资产减值准备的冲 销部分）</w:t>
            </w:r>
          </w:p>
        </w:tc>
        <w:tc>
          <w:tcPr>
            <w:tcW w:w="1286" w:type="dxa"/>
            <w:gridSpan w:val="2"/>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3614" w:type="dxa"/>
            <w:vMerge/>
            <w:tcBorders>
              <w:left w:val="single" w:sz="4" w:space="0" w:color="000000"/>
              <w:right w:val="single" w:sz="4" w:space="0" w:color="000000"/>
            </w:tcBorders>
          </w:tcPr>
          <w:p>
            <w:pPr/>
          </w:p>
        </w:tc>
      </w:tr>
      <w:tr>
        <w:trPr>
          <w:trHeight w:val="317" w:hRule="exact"/>
        </w:trPr>
        <w:tc>
          <w:tcPr>
            <w:tcW w:w="210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6" w:type="dxa"/>
            <w:gridSpan w:val="2"/>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614" w:type="dxa"/>
            <w:vMerge/>
            <w:tcBorders>
              <w:left w:val="single" w:sz="4" w:space="0" w:color="000000"/>
              <w:bottom w:val="single" w:sz="4" w:space="0" w:color="000000"/>
              <w:right w:val="single" w:sz="4" w:space="0" w:color="000000"/>
            </w:tcBorders>
          </w:tcPr>
          <w:p>
            <w:pPr/>
          </w:p>
        </w:tc>
      </w:tr>
      <w:tr>
        <w:trPr>
          <w:trHeight w:val="1338"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pStyle w:val="TableParagraph"/>
              <w:spacing w:line="319" w:lineRule="auto" w:before="75"/>
              <w:ind w:left="11" w:right="10"/>
              <w:jc w:val="left"/>
              <w:rPr>
                <w:rFonts w:ascii="宋体" w:hAnsi="宋体" w:cs="宋体" w:eastAsia="宋体" w:hint="default"/>
                <w:sz w:val="18"/>
                <w:szCs w:val="18"/>
              </w:rPr>
            </w:pPr>
            <w:r>
              <w:rPr>
                <w:rFonts w:ascii="宋体" w:hAnsi="宋体" w:cs="宋体" w:eastAsia="宋体" w:hint="default"/>
                <w:spacing w:val="-8"/>
                <w:sz w:val="18"/>
                <w:szCs w:val="18"/>
              </w:rPr>
              <w:t>（与企业业务密切相关，按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照国家统一标准定额或定 量享受的政府补助除外）</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57,320,778.77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58,482,432.48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15,696,305.93</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6"/>
              <w:jc w:val="left"/>
              <w:rPr>
                <w:rFonts w:ascii="宋体" w:hAnsi="宋体" w:cs="宋体" w:eastAsia="宋体" w:hint="default"/>
                <w:sz w:val="18"/>
                <w:szCs w:val="18"/>
              </w:rPr>
            </w:pPr>
            <w:r>
              <w:rPr>
                <w:rFonts w:ascii="宋体" w:hAnsi="宋体" w:cs="宋体" w:eastAsia="宋体" w:hint="default"/>
                <w:sz w:val="18"/>
                <w:szCs w:val="18"/>
              </w:rPr>
              <w:t>主要为报告期公司取得上市挂牌公司做大做 强做优资金补助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1108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万元、新能源产业扶持</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奖励款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万元等政府补助。</w:t>
            </w: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计入当期损益的对非金融 企业收取的资金占用费</w:t>
            </w:r>
          </w:p>
        </w:tc>
        <w:tc>
          <w:tcPr>
            <w:tcW w:w="1286" w:type="dxa"/>
            <w:gridSpan w:val="2"/>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14,814,292.50</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同一控制下企业合并产生 的子公司期初至合并日的 当期净损益</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-610,745.80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52,481,775.77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48,908,090.98</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除同公司正常经营业务相 关的有效套期保值业务外 </w:t>
            </w:r>
            <w:r>
              <w:rPr>
                <w:rFonts w:ascii="宋体" w:hAnsi="宋体" w:cs="宋体" w:eastAsia="宋体" w:hint="default"/>
                <w:spacing w:val="-8"/>
                <w:sz w:val="18"/>
                <w:szCs w:val="18"/>
              </w:rPr>
              <w:t>持有交易性金融资产、交易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性金融负债产生的公允价 </w:t>
            </w:r>
            <w:r>
              <w:rPr>
                <w:rFonts w:ascii="宋体" w:hAnsi="宋体" w:cs="宋体" w:eastAsia="宋体" w:hint="default"/>
                <w:spacing w:val="-8"/>
                <w:sz w:val="18"/>
                <w:szCs w:val="18"/>
              </w:rPr>
              <w:t>值变动损益，以及处置交易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性金融资产、交易性金融负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债和可供出售金融资产取 得的投资收益</w:t>
            </w:r>
          </w:p>
        </w:tc>
        <w:tc>
          <w:tcPr>
            <w:tcW w:w="193" w:type="dxa"/>
            <w:tcBorders>
              <w:top w:val="single" w:sz="4" w:space="0" w:color="000000"/>
              <w:left w:val="single" w:sz="13"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109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1" w:right="0"/>
              <w:jc w:val="left"/>
              <w:rPr>
                <w:rFonts w:ascii="Times New Roman" w:hAnsi="Times New Roman" w:cs="Times New Roman" w:eastAsia="Times New Roman" w:hint="default"/>
                <w:sz w:val="18"/>
                <w:szCs w:val="18"/>
              </w:rPr>
            </w:pPr>
            <w:r>
              <w:rPr>
                <w:rFonts w:ascii="Times New Roman"/>
                <w:sz w:val="18"/>
              </w:rPr>
              <w:t>3,280,207.00</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1,212,880.35</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单独进行减值测试的应收 款项减值准备转回</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4,532,033.86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10,414,456.96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4,361,559.98</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1"/>
              <w:jc w:val="left"/>
              <w:rPr>
                <w:rFonts w:ascii="宋体" w:hAnsi="宋体" w:cs="宋体" w:eastAsia="宋体" w:hint="default"/>
                <w:sz w:val="18"/>
                <w:szCs w:val="18"/>
              </w:rPr>
            </w:pPr>
            <w:r>
              <w:rPr>
                <w:rFonts w:ascii="宋体" w:hAnsi="宋体" w:cs="宋体" w:eastAsia="宋体" w:hint="default"/>
                <w:sz w:val="18"/>
                <w:szCs w:val="18"/>
              </w:rPr>
              <w:t>除上述各项之外的其他营 业外收入和支出</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43,738,518.50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4,858,890.63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17,955,078.65</w:t>
            </w:r>
          </w:p>
        </w:tc>
        <w:tc>
          <w:tcPr>
            <w:tcW w:w="3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主要为公司取得光伏电站电量的补偿款。</w:t>
            </w: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left="92" w:right="0"/>
              <w:jc w:val="left"/>
              <w:rPr>
                <w:rFonts w:ascii="Times New Roman" w:hAnsi="Times New Roman" w:cs="Times New Roman" w:eastAsia="Times New Roman" w:hint="default"/>
                <w:sz w:val="20"/>
                <w:szCs w:val="20"/>
              </w:rPr>
            </w:pPr>
            <w:r>
              <w:rPr>
                <w:rFonts w:ascii="Times New Roman"/>
                <w:sz w:val="20"/>
              </w:rPr>
              <w:t>41,605,148.41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61,731,421.62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12,665,775.41</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（税后）</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342,005.72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35,318,307.59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30,123,160.37</w:t>
            </w:r>
          </w:p>
        </w:tc>
        <w:tc>
          <w:tcPr>
            <w:tcW w:w="3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 w:right="0"/>
              <w:jc w:val="left"/>
              <w:rPr>
                <w:rFonts w:ascii="Times New Roman" w:hAnsi="Times New Roman" w:cs="Times New Roman" w:eastAsia="Times New Roman" w:hint="default"/>
                <w:sz w:val="18"/>
                <w:szCs w:val="18"/>
              </w:rPr>
            </w:pPr>
            <w:r>
              <w:rPr>
                <w:rFonts w:ascii="Times New Roman"/>
                <w:sz w:val="18"/>
              </w:rPr>
              <w:t>110,667,407.53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126,885,922.22</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73,946,815.39</w:t>
            </w:r>
          </w:p>
        </w:tc>
        <w:tc>
          <w:tcPr>
            <w:tcW w:w="3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40" w:lineRule="auto" w:before="61"/>
        <w:ind w:right="0"/>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说明原因</w:t>
      </w:r>
    </w:p>
    <w:p>
      <w:pPr>
        <w:pStyle w:val="BodyText"/>
        <w:spacing w:line="240" w:lineRule="auto" w:before="116"/>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2"/>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1122"/>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02" w:lineRule="auto" w:before="25"/>
        <w:ind w:right="1123"/>
        <w:jc w:val="left"/>
      </w:pPr>
      <w:r>
        <w:rPr>
          <w:rFonts w:ascii="Times New Roman" w:hAnsi="Times New Roman" w:cs="Times New Roman" w:eastAsia="Times New Roman" w:hint="default"/>
        </w:rPr>
        <w:t>1</w:t>
      </w:r>
      <w:r>
        <w:rPr/>
        <w:t>、制造板块潜心研发、稳健转型，主要产品包括太阳能电池铝边框和铝型材制造等光伏配件产品，光伏安装支架、太阳能 组件、电池片等光伏成套设备，以及其他非光伏制造业产品；</w:t>
      </w:r>
    </w:p>
    <w:p>
      <w:pPr>
        <w:pStyle w:val="BodyText"/>
        <w:spacing w:line="302" w:lineRule="auto" w:before="68"/>
        <w:ind w:right="1123"/>
        <w:jc w:val="left"/>
      </w:pPr>
      <w:r>
        <w:rPr>
          <w:rFonts w:ascii="Times New Roman" w:hAnsi="Times New Roman" w:cs="Times New Roman" w:eastAsia="Times New Roman" w:hint="default"/>
        </w:rPr>
        <w:t>2</w:t>
      </w:r>
      <w:r>
        <w:rPr/>
        <w:t>、新能源发电业务一方面优化内部管理水平，推进制度流程项目建设，一方面紧盯发电收益，通过度电必争、降本增效、 技改创新等措施，报告期内发电量及电力销售收入均实现大幅增长；</w:t>
      </w:r>
    </w:p>
    <w:p>
      <w:pPr>
        <w:pStyle w:val="BodyText"/>
        <w:spacing w:line="309" w:lineRule="auto" w:before="69"/>
        <w:ind w:left="154" w:right="1133"/>
        <w:jc w:val="both"/>
      </w:pPr>
      <w:r>
        <w:rPr>
          <w:rFonts w:ascii="Times New Roman" w:hAnsi="Times New Roman" w:cs="Times New Roman" w:eastAsia="Times New Roman" w:hint="default"/>
        </w:rPr>
        <w:t>3</w:t>
      </w:r>
      <w:r>
        <w:rPr/>
        <w:t>、综合能源服务方面，公司围绕能源消费用户的需求，面向工业园区和企业客户提供发、配、售、用各个环节的综合能源 </w:t>
      </w:r>
      <w:r>
        <w:rPr>
          <w:spacing w:val="-2"/>
        </w:rPr>
        <w:t>服务和整体解决方案，能提供多能互补能源站和配（微）网投资和运营、需求侧管理、能效监测、节能改造、碳排放管理等</w:t>
      </w:r>
      <w:r>
        <w:rPr>
          <w:spacing w:val="-72"/>
        </w:rPr>
        <w:t> </w:t>
      </w:r>
      <w:r>
        <w:rPr>
          <w:spacing w:val="-72"/>
        </w:rPr>
      </w:r>
      <w:r>
        <w:rPr/>
        <w:t>服务。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left="154"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6"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73"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both"/>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451.03%</w:t>
            </w:r>
            <w:r>
              <w:rPr>
                <w:rFonts w:ascii="宋体" w:hAnsi="宋体" w:cs="宋体" w:eastAsia="宋体" w:hint="default"/>
                <w:sz w:val="18"/>
                <w:szCs w:val="18"/>
              </w:rPr>
              <w:t>，主要系报告公司购买了苏州爱康能源工程技术股份有限公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37.64%</w:t>
            </w:r>
            <w:r>
              <w:rPr>
                <w:rFonts w:ascii="宋体" w:hAnsi="宋体" w:cs="宋体" w:eastAsia="宋体" w:hint="default"/>
                <w:sz w:val="18"/>
                <w:szCs w:val="18"/>
              </w:rPr>
              <w:t>的股权</w:t>
            </w:r>
            <w:r>
              <w:rPr>
                <w:rFonts w:ascii="Times New Roman" w:hAnsi="Times New Roman" w:cs="Times New Roman" w:eastAsia="Times New Roman" w:hint="default"/>
                <w:position w:val="8"/>
                <w:sz w:val="12"/>
                <w:szCs w:val="12"/>
              </w:rPr>
              <w:t>1</w:t>
            </w:r>
            <w:r>
              <w:rPr>
                <w:rFonts w:ascii="宋体" w:hAnsi="宋体" w:cs="宋体" w:eastAsia="宋体" w:hint="default"/>
                <w:sz w:val="18"/>
                <w:szCs w:val="18"/>
              </w:rPr>
              <w:t>，公司对其构成重大影响，以权益法核算增加了长期股权投资； 公司出售金昌电站</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的股权，不再为合并报表范围内的子公司，改由权益法核算 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股权投资所致。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473"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3"/>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6.92%</w:t>
            </w:r>
            <w:r>
              <w:rPr>
                <w:rFonts w:ascii="宋体" w:hAnsi="宋体" w:cs="宋体" w:eastAsia="宋体" w:hint="default"/>
                <w:sz w:val="18"/>
                <w:szCs w:val="18"/>
              </w:rPr>
              <w:t>，主要系报告期除正常折旧减少固定资产净值外，公司出售青海 蓓翔电站、金昌电站、徐闻电站致固定资产净值减少。</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39"/>
              <w:jc w:val="left"/>
              <w:rPr>
                <w:rFonts w:ascii="宋体" w:hAnsi="宋体" w:cs="宋体" w:eastAsia="宋体" w:hint="default"/>
                <w:sz w:val="18"/>
                <w:szCs w:val="18"/>
              </w:rPr>
            </w:pPr>
            <w:r>
              <w:rPr>
                <w:rFonts w:ascii="宋体" w:hAnsi="宋体" w:cs="宋体" w:eastAsia="宋体" w:hint="default"/>
                <w:sz w:val="18"/>
                <w:szCs w:val="18"/>
              </w:rPr>
              <w:t>较年初减少了</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6.11%</w:t>
            </w:r>
            <w:r>
              <w:rPr>
                <w:rFonts w:ascii="宋体" w:hAnsi="宋体" w:cs="宋体" w:eastAsia="宋体" w:hint="default"/>
                <w:sz w:val="18"/>
                <w:szCs w:val="18"/>
              </w:rPr>
              <w:t>，主要系报告期出售日本秋田电站致无形资产特许经营权减少 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43.68%</w:t>
            </w:r>
            <w:r>
              <w:rPr>
                <w:rFonts w:ascii="宋体" w:hAnsi="宋体" w:cs="宋体" w:eastAsia="宋体" w:hint="default"/>
                <w:sz w:val="18"/>
                <w:szCs w:val="18"/>
              </w:rPr>
              <w:t>，主要系报告期在建光伏电站项目并网转固所致。</w:t>
            </w:r>
          </w:p>
        </w:tc>
      </w:tr>
      <w:tr>
        <w:trPr>
          <w:trHeight w:val="402" w:hRule="exact"/>
        </w:trPr>
        <w:tc>
          <w:tcPr>
            <w:tcW w:w="3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较年初增加了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17.72%</w:t>
            </w:r>
            <w:r>
              <w:rPr>
                <w:rFonts w:ascii="宋体" w:hAnsi="宋体" w:cs="宋体" w:eastAsia="宋体" w:hint="default"/>
                <w:sz w:val="18"/>
                <w:szCs w:val="18"/>
              </w:rPr>
              <w:t>，主要系报告系营业收入增加所致。</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568"/>
        <w:gridCol w:w="1701"/>
        <w:gridCol w:w="568"/>
        <w:gridCol w:w="922"/>
        <w:gridCol w:w="1345"/>
        <w:gridCol w:w="1134"/>
        <w:gridCol w:w="992"/>
        <w:gridCol w:w="769"/>
      </w:tblGrid>
      <w:tr>
        <w:trPr>
          <w:trHeight w:val="39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144" w:right="0"/>
              <w:jc w:val="left"/>
              <w:rPr>
                <w:rFonts w:ascii="宋体" w:hAnsi="宋体" w:cs="宋体" w:eastAsia="宋体" w:hint="default"/>
                <w:sz w:val="18"/>
                <w:szCs w:val="18"/>
              </w:rPr>
            </w:pPr>
            <w:r>
              <w:rPr>
                <w:rFonts w:ascii="宋体" w:hAnsi="宋体" w:cs="宋体" w:eastAsia="宋体" w:hint="default"/>
                <w:sz w:val="18"/>
                <w:szCs w:val="18"/>
              </w:rPr>
              <w:t>资产的具体内容</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8" w:right="0"/>
              <w:jc w:val="left"/>
              <w:rPr>
                <w:rFonts w:ascii="宋体" w:hAnsi="宋体" w:cs="宋体" w:eastAsia="宋体" w:hint="default"/>
                <w:sz w:val="18"/>
                <w:szCs w:val="18"/>
              </w:rPr>
            </w:pPr>
            <w:r>
              <w:rPr>
                <w:rFonts w:ascii="宋体" w:hAnsi="宋体" w:cs="宋体" w:eastAsia="宋体" w:hint="default"/>
                <w:sz w:val="18"/>
                <w:szCs w:val="18"/>
              </w:rPr>
              <w:t>形成</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484" w:right="0"/>
              <w:jc w:val="left"/>
              <w:rPr>
                <w:rFonts w:ascii="宋体" w:hAnsi="宋体" w:cs="宋体" w:eastAsia="宋体" w:hint="default"/>
                <w:sz w:val="18"/>
                <w:szCs w:val="18"/>
              </w:rPr>
            </w:pPr>
            <w:r>
              <w:rPr>
                <w:rFonts w:ascii="宋体" w:hAnsi="宋体" w:cs="宋体" w:eastAsia="宋体" w:hint="default"/>
                <w:sz w:val="18"/>
                <w:szCs w:val="18"/>
              </w:rPr>
              <w:t>资产规模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98" w:right="0"/>
              <w:jc w:val="left"/>
              <w:rPr>
                <w:rFonts w:ascii="宋体" w:hAnsi="宋体" w:cs="宋体" w:eastAsia="宋体" w:hint="default"/>
                <w:sz w:val="18"/>
                <w:szCs w:val="18"/>
              </w:rPr>
            </w:pPr>
            <w:r>
              <w:rPr>
                <w:rFonts w:ascii="宋体" w:hAnsi="宋体" w:cs="宋体" w:eastAsia="宋体" w:hint="default"/>
                <w:sz w:val="18"/>
                <w:szCs w:val="18"/>
              </w:rPr>
              <w:t>所在</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96" w:right="0"/>
              <w:jc w:val="left"/>
              <w:rPr>
                <w:rFonts w:ascii="宋体" w:hAnsi="宋体" w:cs="宋体" w:eastAsia="宋体" w:hint="default"/>
                <w:sz w:val="18"/>
                <w:szCs w:val="18"/>
              </w:rPr>
            </w:pPr>
            <w:r>
              <w:rPr>
                <w:rFonts w:ascii="宋体" w:hAnsi="宋体" w:cs="宋体" w:eastAsia="宋体" w:hint="default"/>
                <w:sz w:val="18"/>
                <w:szCs w:val="18"/>
              </w:rPr>
              <w:t>运营模式</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37" w:right="0"/>
              <w:jc w:val="left"/>
              <w:rPr>
                <w:rFonts w:ascii="宋体" w:hAnsi="宋体" w:cs="宋体" w:eastAsia="宋体" w:hint="default"/>
                <w:sz w:val="18"/>
                <w:szCs w:val="18"/>
              </w:rPr>
            </w:pPr>
            <w:r>
              <w:rPr>
                <w:rFonts w:ascii="宋体" w:hAnsi="宋体" w:cs="宋体" w:eastAsia="宋体" w:hint="default"/>
                <w:sz w:val="18"/>
                <w:szCs w:val="18"/>
              </w:rPr>
              <w:t>保障资产安全性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202" w:right="0"/>
              <w:jc w:val="left"/>
              <w:rPr>
                <w:rFonts w:ascii="宋体" w:hAnsi="宋体" w:cs="宋体" w:eastAsia="宋体" w:hint="default"/>
                <w:sz w:val="18"/>
                <w:szCs w:val="18"/>
              </w:rPr>
            </w:pPr>
            <w:r>
              <w:rPr>
                <w:rFonts w:ascii="宋体" w:hAnsi="宋体" w:cs="宋体" w:eastAsia="宋体" w:hint="default"/>
                <w:sz w:val="18"/>
                <w:szCs w:val="18"/>
              </w:rPr>
              <w:t>收益状况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41" w:right="0"/>
              <w:jc w:val="left"/>
              <w:rPr>
                <w:rFonts w:ascii="宋体" w:hAnsi="宋体" w:cs="宋体" w:eastAsia="宋体" w:hint="default"/>
                <w:sz w:val="18"/>
                <w:szCs w:val="18"/>
              </w:rPr>
            </w:pPr>
            <w:r>
              <w:rPr>
                <w:rFonts w:ascii="宋体" w:hAnsi="宋体" w:cs="宋体" w:eastAsia="宋体" w:hint="default"/>
                <w:sz w:val="18"/>
                <w:szCs w:val="18"/>
              </w:rPr>
              <w:t>境外资产占</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6"/>
              <w:ind w:left="23" w:right="0"/>
              <w:jc w:val="left"/>
              <w:rPr>
                <w:rFonts w:ascii="宋体" w:hAnsi="宋体" w:cs="宋体" w:eastAsia="宋体" w:hint="default"/>
                <w:sz w:val="18"/>
                <w:szCs w:val="18"/>
              </w:rPr>
            </w:pPr>
            <w:r>
              <w:rPr>
                <w:rFonts w:ascii="宋体" w:hAnsi="宋体" w:cs="宋体" w:eastAsia="宋体" w:hint="default"/>
                <w:sz w:val="18"/>
                <w:szCs w:val="18"/>
              </w:rPr>
              <w:t>是否存在</w:t>
            </w:r>
          </w:p>
        </w:tc>
      </w:tr>
    </w:tbl>
    <w:p>
      <w:pPr>
        <w:spacing w:line="240" w:lineRule="auto" w:before="8"/>
        <w:rPr>
          <w:rFonts w:ascii="宋体" w:hAnsi="宋体" w:cs="宋体" w:eastAsia="宋体" w:hint="default"/>
          <w:sz w:val="17"/>
          <w:szCs w:val="17"/>
        </w:rPr>
      </w:pPr>
    </w:p>
    <w:p>
      <w:pPr>
        <w:spacing w:line="20" w:lineRule="exact"/>
        <w:ind w:left="149" w:right="0" w:firstLine="0"/>
        <w:rPr>
          <w:rFonts w:ascii="宋体" w:hAnsi="宋体" w:cs="宋体" w:eastAsia="宋体" w:hint="default"/>
          <w:sz w:val="2"/>
          <w:szCs w:val="2"/>
        </w:rPr>
      </w:pPr>
      <w:r>
        <w:rPr>
          <w:rFonts w:ascii="宋体" w:hAnsi="宋体" w:cs="宋体" w:eastAsia="宋体" w:hint="default"/>
          <w:sz w:val="2"/>
          <w:szCs w:val="2"/>
        </w:rPr>
        <w:pict>
          <v:group style="width:144.450pt;height:.45pt;mso-position-horizontal-relative:char;mso-position-vertical-relative:line" coordorigin="0,0" coordsize="2889,9">
            <v:group style="position:absolute;left:4;top:4;width:2881;height:2" coordorigin="4,4" coordsize="2881,2">
              <v:shape style="position:absolute;left:4;top:4;width:2881;height:2" coordorigin="4,4" coordsize="2881,0" path="m4,4l2885,4e" filled="false" stroked="true" strokeweight=".42pt" strokecolor="#000000">
                <v:path arrowok="t"/>
              </v:shape>
            </v:group>
          </v:group>
        </w:pict>
      </w:r>
      <w:r>
        <w:rPr>
          <w:rFonts w:ascii="宋体" w:hAnsi="宋体" w:cs="宋体" w:eastAsia="宋体" w:hint="default"/>
          <w:sz w:val="2"/>
          <w:szCs w:val="2"/>
        </w:rPr>
      </w:r>
    </w:p>
    <w:p>
      <w:pPr>
        <w:pStyle w:val="BodyText"/>
        <w:spacing w:line="234" w:lineRule="exact" w:before="102"/>
        <w:ind w:right="1030"/>
        <w:jc w:val="left"/>
      </w:pPr>
      <w:r>
        <w:rPr>
          <w:rFonts w:ascii="Times New Roman" w:hAnsi="Times New Roman" w:cs="Times New Roman" w:eastAsia="Times New Roman" w:hint="default"/>
          <w:spacing w:val="-12"/>
          <w:position w:val="8"/>
          <w:sz w:val="12"/>
          <w:szCs w:val="12"/>
        </w:rPr>
        <w:t>1</w:t>
      </w:r>
      <w:r>
        <w:rPr>
          <w:spacing w:val="-12"/>
        </w:rPr>
        <w:t>注：公司于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23</w:t>
      </w:r>
      <w:r>
        <w:rPr>
          <w:rFonts w:ascii="Times New Roman" w:hAnsi="Times New Roman" w:cs="Times New Roman" w:eastAsia="Times New Roman" w:hint="default"/>
          <w:spacing w:val="1"/>
        </w:rPr>
        <w:t> </w:t>
      </w:r>
      <w:r>
        <w:rPr>
          <w:spacing w:val="-4"/>
        </w:rPr>
        <w:t>日第三届董事会第十九次临时会议审议通过了《关于收购能源工程部分股权暨关联交易的议案》，</w:t>
      </w:r>
      <w:r>
        <w:rPr/>
        <w:t> 拟从</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 </w:t>
      </w:r>
      <w:r>
        <w:rPr/>
        <w:t>位股东收购其持有的能源工程</w:t>
      </w:r>
      <w:r>
        <w:rPr>
          <w:spacing w:val="-46"/>
        </w:rPr>
        <w:t> </w:t>
      </w:r>
      <w:r>
        <w:rPr>
          <w:rFonts w:ascii="Times New Roman" w:hAnsi="Times New Roman" w:cs="Times New Roman" w:eastAsia="Times New Roman" w:hint="default"/>
        </w:rPr>
        <w:t>38.40%</w:t>
      </w:r>
      <w:r>
        <w:rPr/>
        <w:t>的股权，报告期内公司已办理完成</w:t>
      </w:r>
      <w:r>
        <w:rPr>
          <w:spacing w:val="-46"/>
        </w:rPr>
        <w:t> </w:t>
      </w:r>
      <w:r>
        <w:rPr>
          <w:rFonts w:ascii="Times New Roman" w:hAnsi="Times New Roman" w:cs="Times New Roman" w:eastAsia="Times New Roman" w:hint="default"/>
        </w:rPr>
        <w:t>37.64%</w:t>
      </w:r>
      <w:r>
        <w:rPr/>
        <w:t>的股权转让手续。其中一家交易对 手方苏州工业园区股份有限公司的股权转让手续涉及国有资产备案等程序，涉及的</w:t>
      </w:r>
      <w:r>
        <w:rPr>
          <w:spacing w:val="-48"/>
        </w:rPr>
        <w:t> </w:t>
      </w:r>
      <w:r>
        <w:rPr>
          <w:rFonts w:ascii="Times New Roman" w:hAnsi="Times New Roman" w:cs="Times New Roman" w:eastAsia="Times New Roman" w:hint="default"/>
        </w:rPr>
        <w:t>0.76%</w:t>
      </w:r>
      <w:r>
        <w:rPr/>
        <w:t>的股权转让手续正在办理中。</w:t>
      </w:r>
    </w:p>
    <w:p>
      <w:pPr>
        <w:spacing w:after="0" w:line="234" w:lineRule="exact"/>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568"/>
        <w:gridCol w:w="1701"/>
        <w:gridCol w:w="568"/>
        <w:gridCol w:w="923"/>
        <w:gridCol w:w="1345"/>
        <w:gridCol w:w="1134"/>
        <w:gridCol w:w="991"/>
        <w:gridCol w:w="769"/>
      </w:tblGrid>
      <w:tr>
        <w:trPr>
          <w:trHeight w:val="67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98" w:right="0"/>
              <w:jc w:val="left"/>
              <w:rPr>
                <w:rFonts w:ascii="宋体" w:hAnsi="宋体" w:cs="宋体" w:eastAsia="宋体" w:hint="default"/>
                <w:sz w:val="18"/>
                <w:szCs w:val="18"/>
              </w:rPr>
            </w:pPr>
            <w:r>
              <w:rPr>
                <w:rFonts w:ascii="宋体" w:hAnsi="宋体" w:cs="宋体" w:eastAsia="宋体" w:hint="default"/>
                <w:sz w:val="18"/>
                <w:szCs w:val="18"/>
              </w:rPr>
              <w:t>原因</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的控制措施</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0" w:right="38" w:hanging="180"/>
              <w:jc w:val="left"/>
              <w:rPr>
                <w:rFonts w:ascii="宋体" w:hAnsi="宋体" w:cs="宋体" w:eastAsia="宋体" w:hint="default"/>
                <w:sz w:val="18"/>
                <w:szCs w:val="18"/>
              </w:rPr>
            </w:pPr>
            <w:r>
              <w:rPr>
                <w:rFonts w:ascii="宋体" w:hAnsi="宋体" w:cs="宋体" w:eastAsia="宋体" w:hint="default"/>
                <w:sz w:val="18"/>
                <w:szCs w:val="18"/>
              </w:rPr>
              <w:t>公司净资产 的比重</w:t>
            </w:r>
          </w:p>
        </w:tc>
        <w:tc>
          <w:tcPr>
            <w:tcW w:w="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03" w:right="14" w:hanging="180"/>
              <w:jc w:val="left"/>
              <w:rPr>
                <w:rFonts w:ascii="宋体" w:hAnsi="宋体" w:cs="宋体" w:eastAsia="宋体" w:hint="default"/>
                <w:sz w:val="18"/>
                <w:szCs w:val="18"/>
              </w:rPr>
            </w:pPr>
            <w:r>
              <w:rPr>
                <w:rFonts w:ascii="宋体" w:hAnsi="宋体" w:cs="宋体" w:eastAsia="宋体" w:hint="default"/>
                <w:sz w:val="18"/>
                <w:szCs w:val="18"/>
              </w:rPr>
              <w:t>重大减值 风险</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4" w:right="0"/>
              <w:jc w:val="left"/>
              <w:rPr>
                <w:rFonts w:ascii="宋体" w:hAnsi="宋体" w:cs="宋体" w:eastAsia="宋体" w:hint="default"/>
                <w:sz w:val="18"/>
                <w:szCs w:val="18"/>
              </w:rPr>
            </w:pPr>
            <w:r>
              <w:rPr>
                <w:rFonts w:ascii="宋体" w:hAnsi="宋体" w:cs="宋体" w:eastAsia="宋体" w:hint="default"/>
                <w:sz w:val="18"/>
                <w:szCs w:val="18"/>
              </w:rPr>
              <w:t>日本爱康株式会社</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3981913795.34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日元</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6"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加强风险管控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10,358,912.39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7" w:right="0"/>
              <w:jc w:val="left"/>
              <w:rPr>
                <w:rFonts w:ascii="Times New Roman" w:hAnsi="Times New Roman" w:cs="Times New Roman" w:eastAsia="Times New Roman" w:hint="default"/>
                <w:sz w:val="18"/>
                <w:szCs w:val="18"/>
              </w:rPr>
            </w:pPr>
            <w:r>
              <w:rPr>
                <w:rFonts w:ascii="Times New Roman"/>
                <w:sz w:val="18"/>
              </w:rPr>
              <w:t>3.97%</w:t>
            </w:r>
          </w:p>
        </w:tc>
        <w:tc>
          <w:tcPr>
            <w:tcW w:w="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7693"/>
        <w:jc w:val="left"/>
      </w:pPr>
      <w:r>
        <w:rPr/>
        <w:t>公司是否需要遵守特殊行业的披露要求 否</w:t>
      </w:r>
    </w:p>
    <w:p>
      <w:pPr>
        <w:pStyle w:val="Heading4"/>
        <w:spacing w:line="240" w:lineRule="auto" w:before="28"/>
        <w:ind w:left="154" w:right="1122"/>
        <w:jc w:val="left"/>
        <w:rPr>
          <w:b w:val="0"/>
          <w:bCs w:val="0"/>
        </w:rPr>
      </w:pPr>
      <w:r>
        <w:rPr/>
        <w:t>（一）、公司的市场地位</w:t>
      </w:r>
      <w:r>
        <w:rPr>
          <w:b w:val="0"/>
          <w:bCs w:val="0"/>
        </w:rPr>
      </w:r>
    </w:p>
    <w:p>
      <w:pPr>
        <w:spacing w:line="300" w:lineRule="auto" w:before="76"/>
        <w:ind w:left="573" w:right="112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、太阳能电池配件领域的细分龙头</w:t>
      </w:r>
      <w:r>
        <w:rPr>
          <w:rFonts w:ascii="宋体" w:hAnsi="宋体" w:cs="宋体" w:eastAsia="宋体" w:hint="default"/>
          <w:b/>
          <w:bCs/>
          <w:w w:val="99"/>
          <w:sz w:val="18"/>
          <w:szCs w:val="18"/>
        </w:rPr>
        <w:t> </w:t>
      </w:r>
      <w:r>
        <w:rPr>
          <w:rFonts w:ascii="宋体" w:hAnsi="宋体" w:cs="宋体" w:eastAsia="宋体" w:hint="default"/>
          <w:sz w:val="18"/>
          <w:szCs w:val="18"/>
        </w:rPr>
        <w:t>太阳能电池铝边框与支架等配件是公司的传统优势产品，拥有丰富的制造经验、卓越的品质控制能力、巨大的产能优</w:t>
      </w:r>
    </w:p>
    <w:p>
      <w:pPr>
        <w:pStyle w:val="BodyText"/>
        <w:spacing w:line="309" w:lineRule="auto" w:before="31"/>
        <w:ind w:right="1132"/>
        <w:jc w:val="both"/>
      </w:pPr>
      <w:r>
        <w:rPr>
          <w:spacing w:val="-2"/>
        </w:rPr>
        <w:t>势以及优质的客户群体。其中铝边框产品连续十年占据全球市场份额的首位；太阳能安装支架产品具有领先的设计与研发能</w:t>
      </w:r>
      <w:r>
        <w:rPr>
          <w:spacing w:val="-64"/>
        </w:rPr>
        <w:t> </w:t>
      </w:r>
      <w:r>
        <w:rPr>
          <w:spacing w:val="-64"/>
        </w:rPr>
      </w:r>
      <w:r>
        <w:rPr/>
        <w:t>力，并拥有国际标准化组织下属机构汽车行动组</w:t>
      </w:r>
      <w:r>
        <w:rPr>
          <w:rFonts w:ascii="Times New Roman" w:hAnsi="Times New Roman" w:cs="Times New Roman" w:eastAsia="Times New Roman" w:hint="default"/>
        </w:rPr>
        <w:t>TS16949</w:t>
      </w:r>
      <w:r>
        <w:rPr/>
        <w:t>证书（在</w:t>
      </w:r>
      <w:r>
        <w:rPr>
          <w:rFonts w:ascii="Times New Roman" w:hAnsi="Times New Roman" w:cs="Times New Roman" w:eastAsia="Times New Roman" w:hint="default"/>
        </w:rPr>
        <w:t>ISO9001</w:t>
      </w:r>
      <w:r>
        <w:rPr/>
        <w:t>基础上结合汽车行业零配件特点发布的规范），</w:t>
      </w:r>
      <w:r>
        <w:rPr>
          <w:spacing w:val="-50"/>
        </w:rPr>
        <w:t> </w:t>
      </w:r>
      <w:r>
        <w:rPr>
          <w:spacing w:val="-50"/>
        </w:rPr>
      </w:r>
      <w:r>
        <w:rPr/>
        <w:t>在细分市场同样占据遥遥领先的龙头地位。</w:t>
      </w:r>
    </w:p>
    <w:p>
      <w:pPr>
        <w:spacing w:line="300" w:lineRule="auto" w:before="24"/>
        <w:ind w:left="573" w:right="1122"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、能源互联网的拓荒者与综合能源服务的先行者</w:t>
      </w:r>
      <w:r>
        <w:rPr>
          <w:rFonts w:ascii="宋体" w:hAnsi="宋体" w:cs="宋体" w:eastAsia="宋体" w:hint="default"/>
          <w:b/>
          <w:bCs/>
          <w:w w:val="99"/>
          <w:sz w:val="18"/>
          <w:szCs w:val="18"/>
        </w:rPr>
        <w:t> </w:t>
      </w:r>
      <w:r>
        <w:rPr>
          <w:rFonts w:ascii="宋体" w:hAnsi="宋体" w:cs="宋体" w:eastAsia="宋体" w:hint="default"/>
          <w:sz w:val="18"/>
          <w:szCs w:val="18"/>
        </w:rPr>
        <w:t>随着新一轮电力改革的全面展开，各地售电市场陆续开放。公司紧跟市场变化，与发电和用电侧企业密切合作，分别</w:t>
      </w:r>
    </w:p>
    <w:p>
      <w:pPr>
        <w:pStyle w:val="BodyText"/>
        <w:spacing w:line="316" w:lineRule="auto" w:before="31"/>
        <w:ind w:right="1033"/>
        <w:jc w:val="left"/>
      </w:pPr>
      <w:r>
        <w:rPr/>
        <w:t>与江苏张家港、新疆博州、山西阳泉、江西赣州等地工业园区签署合作协议并成立合资公司积极推进能源互联网项目建设， 全力打通能源生产端和消费端。</w:t>
      </w:r>
    </w:p>
    <w:p>
      <w:pPr>
        <w:pStyle w:val="BodyText"/>
        <w:spacing w:line="312" w:lineRule="auto" w:before="19"/>
        <w:ind w:right="1127" w:firstLine="420"/>
        <w:jc w:val="both"/>
      </w:pPr>
      <w:r>
        <w:rPr/>
        <w:t>公司以基础性业务单元的优质资产为压舱石，通过大数据与金融打通发电侧与售电侧，各业务单元抱团出海，结成大 </w:t>
      </w:r>
      <w:r>
        <w:rPr>
          <w:spacing w:val="-2"/>
        </w:rPr>
        <w:t>船，已基本完成绿色智慧能源的综合服务和解决方案提供商的战略转型，并相继荣获中国能源报首届中国能源互联网领袖论</w:t>
      </w:r>
      <w:r>
        <w:rPr>
          <w:spacing w:val="-64"/>
        </w:rPr>
        <w:t> </w:t>
      </w:r>
      <w:r>
        <w:rPr>
          <w:spacing w:val="-64"/>
        </w:rPr>
      </w:r>
      <w:r>
        <w:rPr>
          <w:spacing w:val="3"/>
        </w:rPr>
        <w:t>坛暨能源互联网最具影响力先锋企业活动颁布的</w:t>
      </w:r>
      <w:r>
        <w:rPr>
          <w:rFonts w:ascii="Times New Roman" w:hAnsi="Times New Roman" w:cs="Times New Roman" w:eastAsia="Times New Roman" w:hint="default"/>
          <w:spacing w:val="3"/>
        </w:rPr>
        <w:t>“</w:t>
      </w:r>
      <w:r>
        <w:rPr>
          <w:spacing w:val="3"/>
        </w:rPr>
        <w:t>中国能源互联网特别贡献奖</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APACE</w:t>
      </w:r>
      <w:r>
        <w:rPr>
          <w:spacing w:val="3"/>
        </w:rPr>
        <w:t>亚太能源光伏大会组委会颁发的</w:t>
      </w:r>
      <w:r>
        <w:rPr>
          <w:spacing w:val="-39"/>
        </w:rPr>
        <w:t> </w:t>
      </w:r>
      <w:r>
        <w:rPr>
          <w:spacing w:val="-39"/>
        </w:rPr>
      </w:r>
      <w:r>
        <w:rPr>
          <w:rFonts w:ascii="Times New Roman" w:hAnsi="Times New Roman" w:cs="Times New Roman" w:eastAsia="Times New Roman" w:hint="default"/>
        </w:rPr>
        <w:t>“2017</w:t>
      </w:r>
      <w:r>
        <w:rPr/>
        <w:t>中国</w:t>
      </w:r>
      <w:r>
        <w:rPr>
          <w:rFonts w:ascii="Times New Roman" w:hAnsi="Times New Roman" w:cs="Times New Roman" w:eastAsia="Times New Roman" w:hint="default"/>
        </w:rPr>
        <w:t>{</w:t>
      </w:r>
      <w:r>
        <w:rPr/>
        <w:t>光伏</w:t>
      </w:r>
      <w:r>
        <w:rPr>
          <w:rFonts w:ascii="Times New Roman" w:hAnsi="Times New Roman" w:cs="Times New Roman" w:eastAsia="Times New Roman" w:hint="default"/>
        </w:rPr>
        <w:t>+}•</w:t>
      </w:r>
      <w:r>
        <w:rPr/>
        <w:t>能源互联网创新企业</w:t>
      </w:r>
      <w:r>
        <w:rPr>
          <w:rFonts w:ascii="Times New Roman" w:hAnsi="Times New Roman" w:cs="Times New Roman" w:eastAsia="Times New Roman" w:hint="default"/>
        </w:rPr>
        <w:t>”</w:t>
      </w:r>
      <w:r>
        <w:rPr>
          <w:rFonts w:ascii="Times New Roman" w:hAnsi="Times New Roman" w:cs="Times New Roman" w:eastAsia="Times New Roman" w:hint="default"/>
          <w:spacing w:val="26"/>
        </w:rPr>
        <w:t> </w:t>
      </w:r>
      <w:r>
        <w:rPr/>
        <w:t>等奖项。</w:t>
      </w:r>
    </w:p>
    <w:p>
      <w:pPr>
        <w:spacing w:line="300" w:lineRule="auto" w:before="3"/>
        <w:ind w:left="573" w:right="1027"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、民营光伏电站运营商的先行者</w:t>
      </w:r>
      <w:r>
        <w:rPr>
          <w:rFonts w:ascii="宋体" w:hAnsi="宋体" w:cs="宋体" w:eastAsia="宋体" w:hint="default"/>
          <w:b/>
          <w:bCs/>
          <w:w w:val="99"/>
          <w:sz w:val="18"/>
          <w:szCs w:val="18"/>
        </w:rPr>
        <w:t> </w:t>
      </w:r>
      <w:r>
        <w:rPr>
          <w:rFonts w:ascii="宋体" w:hAnsi="宋体" w:cs="宋体" w:eastAsia="宋体" w:hint="default"/>
          <w:spacing w:val="-1"/>
          <w:sz w:val="18"/>
          <w:szCs w:val="18"/>
        </w:rPr>
        <w:t>早在</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年，公司借助收购青海蓓翔光伏电厂的契机，就率先进入光伏产业链终端：太阳能电站与其他相关应用领域，</w:t>
      </w:r>
    </w:p>
    <w:p>
      <w:pPr>
        <w:pStyle w:val="BodyText"/>
        <w:spacing w:line="300" w:lineRule="auto" w:before="13"/>
        <w:ind w:right="1122"/>
        <w:jc w:val="left"/>
      </w:pPr>
      <w:r>
        <w:rPr/>
        <w:t>成为民营光伏电站运营的先行者。截至目前，公司已累计运维的并网新能源电站超</w:t>
      </w:r>
      <w:r>
        <w:rPr>
          <w:rFonts w:ascii="Times New Roman" w:hAnsi="Times New Roman" w:cs="Times New Roman" w:eastAsia="Times New Roman" w:hint="default"/>
        </w:rPr>
        <w:t>1GW</w:t>
      </w:r>
      <w:r>
        <w:rPr/>
        <w:t>，在国内同行业民营企业中位列前</w:t>
      </w:r>
      <w:r>
        <w:rPr>
          <w:spacing w:val="-28"/>
        </w:rPr>
        <w:t> </w:t>
      </w:r>
      <w:r>
        <w:rPr>
          <w:spacing w:val="-28"/>
        </w:rPr>
      </w:r>
      <w:r>
        <w:rPr/>
        <w:t>位。</w:t>
      </w:r>
    </w:p>
    <w:p>
      <w:pPr>
        <w:pStyle w:val="BodyText"/>
        <w:spacing w:line="300" w:lineRule="auto" w:before="31"/>
        <w:ind w:right="1122" w:firstLine="420"/>
        <w:jc w:val="left"/>
      </w:pPr>
      <w:r>
        <w:rPr>
          <w:rFonts w:ascii="Times New Roman" w:hAnsi="Times New Roman" w:cs="Times New Roman" w:eastAsia="Times New Roman" w:hint="default"/>
          <w:spacing w:val="-2"/>
        </w:rPr>
        <w:t>2017</w:t>
      </w:r>
      <w:r>
        <w:rPr>
          <w:spacing w:val="-2"/>
        </w:rPr>
        <w:t>年，公司获得北极星太阳能光伏网评选的</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北极星杯</w:t>
      </w:r>
      <w:r>
        <w:rPr>
          <w:rFonts w:ascii="Times New Roman" w:hAnsi="Times New Roman" w:cs="Times New Roman" w:eastAsia="Times New Roman" w:hint="default"/>
          <w:spacing w:val="-2"/>
        </w:rPr>
        <w:t>’</w:t>
      </w:r>
      <w:r>
        <w:rPr>
          <w:spacing w:val="-2"/>
        </w:rPr>
        <w:t>十大光伏电站运维品牌</w:t>
      </w:r>
      <w:r>
        <w:rPr>
          <w:rFonts w:ascii="Times New Roman" w:hAnsi="Times New Roman" w:cs="Times New Roman" w:eastAsia="Times New Roman" w:hint="default"/>
          <w:spacing w:val="-2"/>
        </w:rPr>
        <w:t>”</w:t>
      </w:r>
      <w:r>
        <w:rPr>
          <w:spacing w:val="-2"/>
        </w:rPr>
        <w:t>，并获得光伏行业创新力企</w:t>
      </w:r>
      <w:r>
        <w:rPr/>
        <w:t> 业评价委员会、光伏产业网颁发的</w:t>
      </w:r>
      <w:r>
        <w:rPr>
          <w:rFonts w:ascii="Times New Roman" w:hAnsi="Times New Roman" w:cs="Times New Roman" w:eastAsia="Times New Roman" w:hint="default"/>
        </w:rPr>
        <w:t>“2017</w:t>
      </w:r>
      <w:r>
        <w:rPr/>
        <w:t>光伏行业年度卓越服务商</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t>光伏行业创新力企业五十强</w:t>
      </w:r>
      <w:r>
        <w:rPr>
          <w:rFonts w:ascii="Times New Roman" w:hAnsi="Times New Roman" w:cs="Times New Roman" w:eastAsia="Times New Roman" w:hint="default"/>
        </w:rPr>
        <w:t>”</w:t>
      </w:r>
      <w:r>
        <w:rPr/>
        <w:t>等奖项。</w:t>
      </w:r>
    </w:p>
    <w:p>
      <w:pPr>
        <w:pStyle w:val="Heading4"/>
        <w:spacing w:line="240" w:lineRule="auto" w:before="13"/>
        <w:ind w:left="153" w:right="1122"/>
        <w:jc w:val="left"/>
        <w:rPr>
          <w:b w:val="0"/>
          <w:bCs w:val="0"/>
        </w:rPr>
      </w:pPr>
      <w:r>
        <w:rPr/>
        <w:t>（二）、公司的竞争优势</w:t>
      </w:r>
      <w:r>
        <w:rPr>
          <w:b w:val="0"/>
          <w:bCs w:val="0"/>
        </w:rPr>
      </w:r>
    </w:p>
    <w:p>
      <w:pPr>
        <w:pStyle w:val="BodyText"/>
        <w:spacing w:line="300" w:lineRule="auto" w:before="117"/>
        <w:ind w:left="154" w:right="1036" w:firstLine="420"/>
        <w:jc w:val="left"/>
      </w:pPr>
      <w:r>
        <w:rPr>
          <w:rFonts w:ascii="Times New Roman" w:hAnsi="Times New Roman" w:cs="Times New Roman" w:eastAsia="Times New Roman" w:hint="default"/>
          <w:b/>
          <w:bCs/>
          <w:spacing w:val="-3"/>
        </w:rPr>
        <w:t>1</w:t>
      </w:r>
      <w:r>
        <w:rPr>
          <w:rFonts w:ascii="宋体" w:hAnsi="宋体" w:cs="宋体" w:eastAsia="宋体" w:hint="default"/>
          <w:b/>
          <w:bCs/>
          <w:spacing w:val="-3"/>
        </w:rPr>
        <w:t>、产业链优势。</w:t>
      </w:r>
      <w:r>
        <w:rPr>
          <w:spacing w:val="-3"/>
        </w:rPr>
        <w:t>公司目前产业是以边框支架等配件制造、光伏电池与组件生产、电站开发运维等光伏制造领域为核心，</w:t>
      </w:r>
      <w:r>
        <w:rPr/>
        <w:t> 涵盖智慧能源服务、金融服务、研究院等配套服务领域，业务涵盖全产业链上下游，具有显著的产业链优势：</w:t>
      </w:r>
    </w:p>
    <w:p>
      <w:pPr>
        <w:pStyle w:val="BodyText"/>
        <w:spacing w:line="357" w:lineRule="auto" w:before="71"/>
        <w:ind w:left="573" w:right="1122"/>
        <w:jc w:val="left"/>
      </w:pPr>
      <w:r>
        <w:rPr/>
        <w:t>第一，电站开发与光伏产品销售的协同性 公司涉足光伏电站开发领域后，电站业务显著带动了光伏电池、组件与配件等产品的生产与销售，同时，太阳能制造</w:t>
      </w:r>
    </w:p>
    <w:p>
      <w:pPr>
        <w:pStyle w:val="BodyText"/>
        <w:spacing w:line="224" w:lineRule="exact"/>
        <w:ind w:right="0"/>
        <w:jc w:val="left"/>
      </w:pPr>
      <w:r>
        <w:rPr/>
        <w:t>业务的积累的相关太阳能光伏行业经验，有利于上市公司在电站投资运营中更好地把握行业变动趋势，提高电站整体质量、</w:t>
      </w:r>
    </w:p>
    <w:p>
      <w:pPr>
        <w:pStyle w:val="BodyText"/>
        <w:spacing w:line="240" w:lineRule="auto" w:before="77"/>
        <w:ind w:right="1122"/>
        <w:jc w:val="left"/>
      </w:pPr>
      <w:r>
        <w:rPr/>
        <w:t>降低成本。</w:t>
      </w:r>
    </w:p>
    <w:p>
      <w:pPr>
        <w:pStyle w:val="BodyText"/>
        <w:spacing w:line="357" w:lineRule="auto" w:before="116"/>
        <w:ind w:left="574" w:right="1122"/>
        <w:jc w:val="left"/>
      </w:pPr>
      <w:r>
        <w:rPr/>
        <w:t>第二，铝型材自产与边框支架生产的协同性 通过产业链延伸，公司已经将铝型材完全外购转变为大部分自产，大幅提高了产品精度，同时也能更好的响应客户个</w:t>
      </w:r>
    </w:p>
    <w:p>
      <w:pPr>
        <w:pStyle w:val="BodyText"/>
        <w:spacing w:line="357" w:lineRule="auto"/>
        <w:ind w:left="573" w:right="1122" w:hanging="420"/>
        <w:jc w:val="left"/>
      </w:pPr>
      <w:r>
        <w:rPr/>
        <w:t>性化需求及紧急订单需求进而提高公司议价能力；此外，铝型材自产化也显著降低了太阳能电池边框的综合成本； 第三，上下游产业运营管理与客户资源的协同性 公司的光伏组件制造业务，在技术研发、运营管理、客户资源等方面产生产业链的协同效应。太阳能组件是太阳能电</w:t>
      </w:r>
    </w:p>
    <w:p>
      <w:pPr>
        <w:pStyle w:val="BodyText"/>
        <w:spacing w:line="224" w:lineRule="exact"/>
        <w:ind w:left="154" w:right="0"/>
        <w:jc w:val="left"/>
      </w:pPr>
      <w:r>
        <w:rPr/>
        <w:t>站的主要组成部分，通过产业链整合可以增强公司在市场波动情况下的风险抵御能力。爱康光电的太阳能组件业务可与公司</w:t>
      </w:r>
    </w:p>
    <w:p>
      <w:pPr>
        <w:pStyle w:val="BodyText"/>
        <w:spacing w:line="319" w:lineRule="auto" w:before="76"/>
        <w:ind w:left="154" w:right="1122"/>
        <w:jc w:val="left"/>
      </w:pPr>
      <w:r>
        <w:rPr>
          <w:spacing w:val="-2"/>
        </w:rPr>
        <w:t>太阳能支架业务实现客户资源的共享，对于下游客户而言，同一家公司可以同时提供多种原材料，则在采购时的前期商务谈</w:t>
      </w:r>
      <w:r>
        <w:rPr>
          <w:spacing w:val="-66"/>
        </w:rPr>
        <w:t> </w:t>
      </w:r>
      <w:r>
        <w:rPr>
          <w:spacing w:val="-66"/>
        </w:rPr>
      </w:r>
      <w:r>
        <w:rPr/>
        <w:t>判及后续运营维护中可以大幅降低其供应商管理难度。</w:t>
      </w:r>
    </w:p>
    <w:p>
      <w:pPr>
        <w:spacing w:after="0" w:line="319" w:lineRule="auto"/>
        <w:jc w:val="left"/>
        <w:sectPr>
          <w:footerReference w:type="default" r:id="rId12"/>
          <w:pgSz w:w="11910" w:h="16840"/>
          <w:pgMar w:footer="979" w:header="747" w:top="1060" w:bottom="1160" w:left="980" w:right="0"/>
          <w:pgNumType w:start="11"/>
        </w:sectPr>
      </w:pPr>
    </w:p>
    <w:p>
      <w:pPr>
        <w:spacing w:line="240" w:lineRule="auto" w:before="12"/>
        <w:rPr>
          <w:rFonts w:ascii="宋体" w:hAnsi="宋体" w:cs="宋体" w:eastAsia="宋体" w:hint="default"/>
          <w:sz w:val="25"/>
          <w:szCs w:val="25"/>
        </w:rPr>
      </w:pPr>
    </w:p>
    <w:p>
      <w:pPr>
        <w:pStyle w:val="BodyText"/>
        <w:spacing w:line="307" w:lineRule="auto" w:before="44"/>
        <w:ind w:right="1130" w:firstLine="420"/>
        <w:jc w:val="both"/>
      </w:pPr>
      <w:r>
        <w:rPr>
          <w:rFonts w:ascii="Times New Roman" w:hAnsi="Times New Roman" w:cs="Times New Roman" w:eastAsia="Times New Roman" w:hint="default"/>
          <w:b/>
          <w:bCs/>
          <w:spacing w:val="-2"/>
        </w:rPr>
        <w:t>2</w:t>
      </w:r>
      <w:r>
        <w:rPr>
          <w:rFonts w:ascii="宋体" w:hAnsi="宋体" w:cs="宋体" w:eastAsia="宋体" w:hint="default"/>
          <w:b/>
          <w:bCs/>
          <w:spacing w:val="-2"/>
        </w:rPr>
        <w:t>、客户资源优势。</w:t>
      </w:r>
      <w:r>
        <w:rPr>
          <w:spacing w:val="-2"/>
        </w:rPr>
        <w:t>自成立以来，公司凭借着优质的产品与服务，赢得了大批优质客户，包括国际知名企业与实力雄厚</w:t>
      </w:r>
      <w:r>
        <w:rPr/>
        <w:t> 的大国企。以光伏电池铝边框业务为例，公司的核心客户包括住商、友达、韩华、隆基、</w:t>
      </w:r>
      <w:r>
        <w:rPr>
          <w:rFonts w:ascii="Times New Roman" w:hAnsi="Times New Roman" w:cs="Times New Roman" w:eastAsia="Times New Roman" w:hint="default"/>
        </w:rPr>
        <w:t>SUNPOWER</w:t>
      </w:r>
      <w:r>
        <w:rPr/>
        <w:t>、晶澳等，其中日本</w:t>
      </w:r>
      <w:r>
        <w:rPr>
          <w:spacing w:val="-86"/>
        </w:rPr>
        <w:t> </w:t>
      </w:r>
      <w:r>
        <w:rPr>
          <w:spacing w:val="-86"/>
        </w:rPr>
      </w:r>
      <w:r>
        <w:rPr>
          <w:spacing w:val="-2"/>
        </w:rPr>
        <w:t>知名企业住商与爱康自成立起便达成合作，至今已有十余年，建立了长期稳健的合作关系。同时，公司与多家大型能源集团</w:t>
      </w:r>
      <w:r>
        <w:rPr>
          <w:spacing w:val="-66"/>
        </w:rPr>
        <w:t> </w:t>
      </w:r>
      <w:r>
        <w:rPr>
          <w:spacing w:val="-66"/>
        </w:rPr>
      </w:r>
      <w:r>
        <w:rPr/>
        <w:t>均建立了长期战略合作伙伴关系，在电站投资、综合用能服务等方面都开展了全面合作。</w:t>
      </w:r>
    </w:p>
    <w:p>
      <w:pPr>
        <w:pStyle w:val="BodyText"/>
        <w:spacing w:line="319" w:lineRule="auto" w:before="65"/>
        <w:ind w:right="1130" w:firstLine="420"/>
        <w:jc w:val="both"/>
      </w:pPr>
      <w:r>
        <w:rPr/>
        <w:t>公司长期以来积累的这部分优质客户，具有信誉良好与需求稳定的特点，并且具有较强的抗风险能力。同时，此类企 </w:t>
      </w:r>
      <w:r>
        <w:rPr>
          <w:spacing w:val="-2"/>
        </w:rPr>
        <w:t>业对供应商的具有严格的认定体系，要综合考量生产规模、资信情况、品质体系、生产与技术能力、成本控制能力、物流能</w:t>
      </w:r>
      <w:r>
        <w:rPr>
          <w:spacing w:val="-67"/>
        </w:rPr>
        <w:t> </w:t>
      </w:r>
      <w:r>
        <w:rPr>
          <w:spacing w:val="-67"/>
        </w:rPr>
      </w:r>
      <w:r>
        <w:rPr>
          <w:spacing w:val="-2"/>
        </w:rPr>
        <w:t>力及应急能力、与其他大客户的合作经验等，只有具备足够的综合实力的企业才有资格进入其备选供应商体系。因此，通过</w:t>
      </w:r>
      <w:r>
        <w:rPr>
          <w:spacing w:val="-65"/>
        </w:rPr>
        <w:t> </w:t>
      </w:r>
      <w:r>
        <w:rPr>
          <w:spacing w:val="-65"/>
        </w:rPr>
      </w:r>
      <w:r>
        <w:rPr>
          <w:spacing w:val="-2"/>
        </w:rPr>
        <w:t>长期的合作，公司已经获得了这些优质客户的认可，并逐步建立了长期稳定的合作关系，而公司主要制造类产品为光伏配件</w:t>
      </w:r>
      <w:r>
        <w:rPr>
          <w:spacing w:val="-66"/>
        </w:rPr>
        <w:t> </w:t>
      </w:r>
      <w:r>
        <w:rPr>
          <w:spacing w:val="-66"/>
        </w:rPr>
      </w:r>
      <w:r>
        <w:rPr/>
        <w:t>领域，客户资源具有一定交叉性，优质客户的背书对于新产品的推广也将大有助益。</w:t>
      </w:r>
    </w:p>
    <w:p>
      <w:pPr>
        <w:pStyle w:val="BodyText"/>
        <w:spacing w:line="309" w:lineRule="auto" w:before="56"/>
        <w:ind w:right="1129" w:firstLine="420"/>
        <w:jc w:val="both"/>
      </w:pPr>
      <w:r>
        <w:rPr>
          <w:rFonts w:ascii="Times New Roman" w:hAnsi="Times New Roman" w:cs="Times New Roman" w:eastAsia="Times New Roman" w:hint="default"/>
          <w:b/>
          <w:bCs/>
        </w:rPr>
        <w:t>3</w:t>
      </w:r>
      <w:r>
        <w:rPr>
          <w:rFonts w:ascii="宋体" w:hAnsi="宋体" w:cs="宋体" w:eastAsia="宋体" w:hint="default"/>
          <w:b/>
          <w:bCs/>
        </w:rPr>
        <w:t>、太阳能光伏发电先发优势。</w:t>
      </w:r>
      <w:r>
        <w:rPr/>
        <w:t>公司自进入光伏发电领域已经并网的太阳能光伏发电项目超</w:t>
      </w:r>
      <w:r>
        <w:rPr>
          <w:rFonts w:ascii="Times New Roman" w:hAnsi="Times New Roman" w:cs="Times New Roman" w:eastAsia="Times New Roman" w:hint="default"/>
        </w:rPr>
        <w:t>1GW</w:t>
      </w:r>
      <w:r>
        <w:rPr/>
        <w:t>，通过上述项目的投 </w:t>
      </w:r>
      <w:r>
        <w:rPr>
          <w:spacing w:val="-2"/>
        </w:rPr>
        <w:t>资运营，公司积累了丰富的投资、运维经验，储备了足够的技术和管理人才，搭建了成熟的盈利模式，同时较强的执行力和</w:t>
      </w:r>
      <w:r>
        <w:rPr>
          <w:spacing w:val="-66"/>
        </w:rPr>
        <w:t> </w:t>
      </w:r>
      <w:r>
        <w:rPr>
          <w:spacing w:val="-66"/>
        </w:rPr>
      </w:r>
      <w:r>
        <w:rPr/>
        <w:t>较高的信誉在地方政府、金融机构等相关方也树立起较好的市场口碑。通过多年光伏电站开发的业务积累，公司在国内</w:t>
      </w:r>
      <w:r>
        <w:rPr>
          <w:rFonts w:ascii="Times New Roman" w:hAnsi="Times New Roman" w:cs="Times New Roman" w:eastAsia="Times New Roman" w:hint="default"/>
        </w:rPr>
        <w:t>100</w:t>
      </w:r>
      <w:r>
        <w:rPr>
          <w:rFonts w:ascii="Times New Roman" w:hAnsi="Times New Roman" w:cs="Times New Roman" w:eastAsia="Times New Roman" w:hint="default"/>
          <w:spacing w:val="-36"/>
        </w:rPr>
        <w:t> </w:t>
      </w:r>
      <w:r>
        <w:rPr>
          <w:spacing w:val="-2"/>
        </w:rPr>
        <w:t>多个县市建立了电站项目公司，并同地方政府保持了良好的合作关系和信息沟通渠道，对于公司能源互联网业务的推广具有</w:t>
      </w:r>
      <w:r>
        <w:rPr>
          <w:spacing w:val="-64"/>
        </w:rPr>
        <w:t> </w:t>
      </w:r>
      <w:r>
        <w:rPr>
          <w:spacing w:val="-64"/>
        </w:rPr>
      </w:r>
      <w:r>
        <w:rPr/>
        <w:t>积极的意义。</w:t>
      </w:r>
    </w:p>
    <w:p>
      <w:pPr>
        <w:pStyle w:val="BodyText"/>
        <w:spacing w:line="304" w:lineRule="auto" w:before="62"/>
        <w:ind w:right="1130" w:firstLine="420"/>
        <w:jc w:val="both"/>
      </w:pPr>
      <w:r>
        <w:rPr>
          <w:rFonts w:ascii="Times New Roman" w:hAnsi="Times New Roman" w:cs="Times New Roman" w:eastAsia="Times New Roman" w:hint="default"/>
          <w:b/>
          <w:bCs/>
          <w:spacing w:val="-1"/>
        </w:rPr>
        <w:t>4</w:t>
      </w:r>
      <w:r>
        <w:rPr>
          <w:rFonts w:ascii="宋体" w:hAnsi="宋体" w:cs="宋体" w:eastAsia="宋体" w:hint="default"/>
          <w:b/>
          <w:bCs/>
          <w:spacing w:val="-1"/>
        </w:rPr>
        <w:t>、融资渠道和资金优势。</w:t>
      </w:r>
      <w:r>
        <w:rPr>
          <w:spacing w:val="-1"/>
        </w:rPr>
        <w:t>作为上市公司，公司具有融资渠道的优势。公司自首次公开发行后，于</w:t>
      </w:r>
      <w:r>
        <w:rPr>
          <w:rFonts w:ascii="Times New Roman" w:hAnsi="Times New Roman" w:cs="Times New Roman" w:eastAsia="Times New Roman" w:hint="default"/>
          <w:spacing w:val="-1"/>
        </w:rPr>
        <w:t>2014</w:t>
      </w:r>
      <w:r>
        <w:rPr>
          <w:spacing w:val="-1"/>
        </w:rPr>
        <w:t>年和</w:t>
      </w:r>
      <w:r>
        <w:rPr>
          <w:rFonts w:ascii="Times New Roman" w:hAnsi="Times New Roman" w:cs="Times New Roman" w:eastAsia="Times New Roman" w:hint="default"/>
          <w:spacing w:val="-1"/>
        </w:rPr>
        <w:t>2016</w:t>
      </w:r>
      <w:r>
        <w:rPr>
          <w:spacing w:val="-1"/>
        </w:rPr>
        <w:t>年分别</w:t>
      </w:r>
      <w:r>
        <w:rPr/>
        <w:t> </w:t>
      </w:r>
      <w:r>
        <w:rPr>
          <w:spacing w:val="-2"/>
        </w:rPr>
        <w:t>进行两次非公开发行股票募资。报告期内，公司审议通过了向合格投资者公开发行公司债券的预案和非公开发行创新创业公</w:t>
      </w:r>
      <w:r>
        <w:rPr>
          <w:spacing w:val="-64"/>
        </w:rPr>
        <w:t> </w:t>
      </w:r>
      <w:r>
        <w:rPr>
          <w:spacing w:val="-64"/>
        </w:rPr>
      </w:r>
      <w:r>
        <w:rPr>
          <w:spacing w:val="-2"/>
        </w:rPr>
        <w:t>司债券的议案，并于</w:t>
      </w:r>
      <w:r>
        <w:rPr>
          <w:rFonts w:ascii="Times New Roman" w:hAnsi="Times New Roman" w:cs="Times New Roman" w:eastAsia="Times New Roman" w:hint="default"/>
          <w:spacing w:val="-2"/>
        </w:rPr>
        <w:t>2018</w:t>
      </w:r>
      <w:r>
        <w:rPr>
          <w:spacing w:val="-2"/>
        </w:rPr>
        <w:t>年年初分别取得了深圳证券交易所出具的《关于江苏爱康科技股份有限公司</w:t>
      </w:r>
      <w:r>
        <w:rPr>
          <w:rFonts w:ascii="Times New Roman" w:hAnsi="Times New Roman" w:cs="Times New Roman" w:eastAsia="Times New Roman" w:hint="default"/>
          <w:spacing w:val="-2"/>
        </w:rPr>
        <w:t>2017</w:t>
      </w:r>
      <w:r>
        <w:rPr>
          <w:spacing w:val="-2"/>
        </w:rPr>
        <w:t>年非公开发行创新</w:t>
      </w:r>
      <w:r>
        <w:rPr>
          <w:spacing w:val="-56"/>
        </w:rPr>
        <w:t> </w:t>
      </w:r>
      <w:r>
        <w:rPr/>
        <w:t>创业公司债券符合深交所转让条件的无异议函》（深证函〔</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6</w:t>
      </w:r>
      <w:r>
        <w:rPr/>
        <w:t>号）和中国证券监督管理委员会出具的《中国证监会关</w:t>
      </w:r>
      <w:r>
        <w:rPr>
          <w:spacing w:val="-82"/>
        </w:rPr>
        <w:t> </w:t>
      </w:r>
      <w:r>
        <w:rPr>
          <w:spacing w:val="-82"/>
        </w:rPr>
      </w:r>
      <w:r>
        <w:rPr/>
        <w:t>于核准江苏爱康科技股份有限公司向合格投资者公开发行公司债券的批复》（证监许可〔</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50</w:t>
      </w:r>
      <w:r>
        <w:rPr/>
        <w:t>号）。</w:t>
      </w:r>
    </w:p>
    <w:p>
      <w:pPr>
        <w:spacing w:after="0" w:line="304"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22"/>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right="0" w:firstLine="420"/>
        <w:jc w:val="left"/>
      </w:pPr>
      <w:r>
        <w:rPr/>
        <w:t>公司自成立至今，历经了三次重大的战略转型。</w:t>
      </w:r>
      <w:r>
        <w:rPr>
          <w:rFonts w:ascii="Times New Roman" w:hAnsi="Times New Roman" w:cs="Times New Roman" w:eastAsia="Times New Roman" w:hint="default"/>
        </w:rPr>
        <w:t>2006 </w:t>
      </w:r>
      <w:r>
        <w:rPr/>
        <w:t>年至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年，公司专注于光伏配件制造领域，确立了光伏制造 板块细分产品的龙头地位； </w:t>
      </w:r>
      <w:r>
        <w:rPr>
          <w:rFonts w:ascii="Times New Roman" w:hAnsi="Times New Roman" w:cs="Times New Roman" w:eastAsia="Times New Roman" w:hint="default"/>
        </w:rPr>
        <w:t>2011 </w:t>
      </w:r>
      <w:r>
        <w:rPr/>
        <w:t>年至 </w:t>
      </w: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年，以光伏电站投资为核心，公司完成了从配件供应商到电站运营商的转型， 并确立了自身民营光伏电站运维领军者的地位。截止目前，公司运维的电站约</w:t>
      </w:r>
      <w:r>
        <w:rPr>
          <w:spacing w:val="-45"/>
        </w:rPr>
        <w:t> </w:t>
      </w:r>
      <w:r>
        <w:rPr>
          <w:rFonts w:ascii="Times New Roman" w:hAnsi="Times New Roman" w:cs="Times New Roman" w:eastAsia="Times New Roman" w:hint="default"/>
        </w:rPr>
        <w:t>1GW</w:t>
      </w:r>
      <w:r>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8"/>
        </w:rPr>
        <w:t>年，在能源革命、“互联网</w:t>
      </w:r>
      <w:r>
        <w:rPr>
          <w:rFonts w:ascii="Times New Roman" w:hAnsi="Times New Roman" w:cs="Times New Roman" w:eastAsia="Times New Roman" w:hint="default"/>
          <w:spacing w:val="-18"/>
        </w:rPr>
        <w:t>+</w:t>
      </w:r>
      <w:r>
        <w:rPr>
          <w:spacing w:val="-18"/>
        </w:rPr>
        <w:t>”、</w:t>
      </w:r>
      <w:r>
        <w:rPr>
          <w:spacing w:val="-90"/>
        </w:rPr>
        <w:t> </w:t>
      </w:r>
      <w:r>
        <w:rPr/>
        <w:t>电力体制改革与创新驱动等国家战略的背景下</w:t>
      </w:r>
      <w:r>
        <w:rPr>
          <w:rFonts w:ascii="Times New Roman" w:hAnsi="Times New Roman" w:cs="Times New Roman" w:eastAsia="Times New Roman" w:hint="default"/>
        </w:rPr>
        <w:t>,</w:t>
      </w:r>
      <w:r>
        <w:rPr>
          <w:rFonts w:ascii="Times New Roman" w:hAnsi="Times New Roman" w:cs="Times New Roman" w:eastAsia="Times New Roman" w:hint="default"/>
          <w:spacing w:val="27"/>
        </w:rPr>
        <w:t> </w:t>
      </w:r>
      <w:r>
        <w:rPr/>
        <w:t>结合多年光伏电站开发、运维中积累的经验和资源，公司开启了能源互联网 </w:t>
      </w:r>
      <w:r>
        <w:rPr>
          <w:spacing w:val="-2"/>
        </w:rPr>
        <w:t>时代：努力建设发、配、售一体化的综合能源服务机构，实现大规模绿色电力的智能化生产运营，构建以分布式能源为主的</w:t>
      </w:r>
      <w:r>
        <w:rPr>
          <w:spacing w:val="-66"/>
        </w:rPr>
        <w:t> </w:t>
      </w:r>
      <w:r>
        <w:rPr>
          <w:spacing w:val="-66"/>
        </w:rPr>
      </w:r>
      <w:r>
        <w:rPr>
          <w:spacing w:val="-2"/>
        </w:rPr>
        <w:t>多能协同供应的区域能源综合运营网络，结合信息技术与金融手段，为广泛的电力客户提供创新的智慧能源解决方案与增值</w:t>
      </w:r>
      <w:r>
        <w:rPr>
          <w:spacing w:val="-64"/>
        </w:rPr>
        <w:t> </w:t>
      </w:r>
      <w:r>
        <w:rPr>
          <w:spacing w:val="-64"/>
        </w:rPr>
      </w:r>
      <w:r>
        <w:rPr>
          <w:spacing w:val="-4"/>
        </w:rPr>
        <w:t>服务，推动能源生产和消费方式的变革，致力于成为国际清洁能源服务商、能源互联网运营商。至此，公司已完成围绕发电、</w:t>
      </w:r>
      <w:r>
        <w:rPr>
          <w:spacing w:val="-44"/>
        </w:rPr>
        <w:t> </w:t>
      </w:r>
      <w:r>
        <w:rPr>
          <w:spacing w:val="-44"/>
        </w:rPr>
      </w:r>
      <w:r>
        <w:rPr/>
        <w:t>售电两端的产业链布局。</w:t>
      </w:r>
    </w:p>
    <w:p>
      <w:pPr>
        <w:pStyle w:val="BodyText"/>
        <w:spacing w:line="357" w:lineRule="auto" w:before="65"/>
        <w:ind w:left="573" w:right="1122"/>
        <w:jc w:val="left"/>
      </w:pPr>
      <w:r>
        <w:rPr>
          <w:rFonts w:ascii="宋体" w:hAnsi="宋体" w:cs="宋体" w:eastAsia="宋体" w:hint="default"/>
          <w:b/>
          <w:bCs/>
        </w:rPr>
        <w:t>（一）配件制造</w:t>
      </w:r>
      <w:r>
        <w:rPr>
          <w:rFonts w:ascii="宋体" w:hAnsi="宋体" w:cs="宋体" w:eastAsia="宋体" w:hint="default"/>
          <w:b/>
          <w:bCs/>
          <w:w w:val="99"/>
        </w:rPr>
        <w:t> </w:t>
      </w:r>
      <w:r>
        <w:rPr/>
        <w:t>主要产品包括太阳能电池铝边框、光伏安装支架、铝型材以及其他非光伏制造业产品。光伏配件制造属于公司的传统</w:t>
      </w:r>
    </w:p>
    <w:p>
      <w:pPr>
        <w:pStyle w:val="BodyText"/>
        <w:spacing w:line="357" w:lineRule="auto"/>
        <w:ind w:left="573" w:right="1117" w:hanging="420"/>
        <w:jc w:val="left"/>
      </w:pPr>
      <w:r>
        <w:rPr/>
        <w:t>业务，其中太阳能电池铝边框市场占有率多年保持全球第一的市场地位。 </w:t>
      </w:r>
      <w:r>
        <w:rPr>
          <w:spacing w:val="-1"/>
        </w:rPr>
        <w:t>经过多年的发展，公司已积累了一个相对稳定且优质的客户群体，包括：韩华、隆基、</w:t>
      </w:r>
      <w:r>
        <w:rPr>
          <w:rFonts w:ascii="Times New Roman" w:hAnsi="Times New Roman" w:cs="Times New Roman" w:eastAsia="Times New Roman" w:hint="default"/>
          <w:spacing w:val="-1"/>
        </w:rPr>
        <w:t>SUNPOWER</w:t>
      </w:r>
      <w:r>
        <w:rPr>
          <w:spacing w:val="-1"/>
        </w:rPr>
        <w:t>、晶澳、友达、住</w:t>
      </w:r>
    </w:p>
    <w:p>
      <w:pPr>
        <w:pStyle w:val="BodyText"/>
        <w:spacing w:line="214" w:lineRule="exact"/>
        <w:ind w:left="154" w:right="0"/>
        <w:jc w:val="both"/>
      </w:pPr>
      <w:r>
        <w:rPr/>
        <w:t>商、</w:t>
      </w:r>
      <w:r>
        <w:rPr>
          <w:rFonts w:ascii="Times New Roman" w:hAnsi="Times New Roman" w:cs="Times New Roman" w:eastAsia="Times New Roman" w:hint="default"/>
        </w:rPr>
        <w:t>Mundra</w:t>
      </w:r>
      <w:r>
        <w:rPr/>
        <w:t>、</w:t>
      </w:r>
      <w:r>
        <w:rPr>
          <w:rFonts w:ascii="Times New Roman" w:hAnsi="Times New Roman" w:cs="Times New Roman" w:eastAsia="Times New Roman" w:hint="default"/>
        </w:rPr>
        <w:t>LGE</w:t>
      </w:r>
      <w:r>
        <w:rPr/>
        <w:t>、晁阳、</w:t>
      </w:r>
      <w:r>
        <w:rPr>
          <w:rFonts w:ascii="Times New Roman" w:hAnsi="Times New Roman" w:cs="Times New Roman" w:eastAsia="Times New Roman" w:hint="default"/>
        </w:rPr>
        <w:t>ALEO</w:t>
      </w:r>
      <w:r>
        <w:rPr>
          <w:rFonts w:ascii="Times New Roman" w:hAnsi="Times New Roman" w:cs="Times New Roman" w:eastAsia="Times New Roman" w:hint="default"/>
          <w:spacing w:val="-3"/>
        </w:rPr>
        <w:t> </w:t>
      </w:r>
      <w:r>
        <w:rPr/>
        <w:t>等。凭借着相对完整的产业链、大规模量产能力、卓越的研发设计能力和快速反应能力，</w:t>
      </w:r>
    </w:p>
    <w:p>
      <w:pPr>
        <w:pStyle w:val="BodyText"/>
        <w:spacing w:line="319" w:lineRule="auto" w:before="63"/>
        <w:ind w:left="154" w:right="1132"/>
        <w:jc w:val="both"/>
      </w:pPr>
      <w:r>
        <w:rPr>
          <w:spacing w:val="-2"/>
        </w:rPr>
        <w:t>公司在太阳能电池配件制造领域具备相当的竞争优势。同时，公司也是全球产能前列的太阳能支架生产商，产品形式包括固</w:t>
      </w:r>
      <w:r>
        <w:rPr>
          <w:spacing w:val="-67"/>
        </w:rPr>
        <w:t> </w:t>
      </w:r>
      <w:r>
        <w:rPr>
          <w:spacing w:val="-67"/>
        </w:rPr>
      </w:r>
      <w:r>
        <w:rPr>
          <w:spacing w:val="-2"/>
        </w:rPr>
        <w:t>定支架、分布式光伏支架、柔性支架、追踪支架和水上项目支架等，产品市场遍布中国、日本、东南亚、美国、印度、非洲</w:t>
      </w:r>
      <w:r>
        <w:rPr>
          <w:spacing w:val="-70"/>
        </w:rPr>
        <w:t> </w:t>
      </w:r>
      <w:r>
        <w:rPr>
          <w:spacing w:val="-70"/>
        </w:rPr>
      </w:r>
      <w:r>
        <w:rPr/>
        <w:t>等，并与国内大型发电集团、</w:t>
      </w:r>
      <w:r>
        <w:rPr>
          <w:rFonts w:ascii="Times New Roman" w:hAnsi="Times New Roman" w:cs="Times New Roman" w:eastAsia="Times New Roman" w:hint="default"/>
        </w:rPr>
        <w:t>EPC </w:t>
      </w:r>
      <w:r>
        <w:rPr/>
        <w:t>建设承接方等建立了长期良好的业务合作。</w:t>
      </w:r>
    </w:p>
    <w:p>
      <w:pPr>
        <w:pStyle w:val="BodyText"/>
        <w:spacing w:line="319" w:lineRule="auto" w:before="35"/>
        <w:ind w:right="1132" w:firstLine="420"/>
        <w:jc w:val="both"/>
      </w:pPr>
      <w:r>
        <w:rPr/>
        <w:t>此外，公司在汽车配件、医疗器械等铝材应用领域持续发力，已具备从材料成分设计、加工、制造、装配、应用为一 </w:t>
      </w:r>
      <w:r>
        <w:rPr>
          <w:spacing w:val="-2"/>
        </w:rPr>
        <w:t>体的系统性解决方案能力，并拥有比亚迪、迈瑞医疗、博世、鱼跃医疗、赫比电子、上海英汇等跨领域优质客户群。非光伏</w:t>
      </w:r>
      <w:r>
        <w:rPr>
          <w:spacing w:val="-72"/>
        </w:rPr>
        <w:t> </w:t>
      </w:r>
      <w:r>
        <w:rPr>
          <w:spacing w:val="-72"/>
        </w:rPr>
      </w:r>
      <w:r>
        <w:rPr>
          <w:spacing w:val="-2"/>
        </w:rPr>
        <w:t>领域产品将为公司制造业资产质量提升提供有益帮助，并为传统制造业的转型升级打下了坚实的基础，未来，公司也将进一</w:t>
      </w:r>
      <w:r>
        <w:rPr>
          <w:spacing w:val="-65"/>
        </w:rPr>
        <w:t> </w:t>
      </w:r>
      <w:r>
        <w:rPr>
          <w:spacing w:val="-65"/>
        </w:rPr>
      </w:r>
      <w:r>
        <w:rPr/>
        <w:t>步继续投资开发其他新能源汽车配件领域。</w:t>
      </w:r>
    </w:p>
    <w:p>
      <w:pPr>
        <w:spacing w:line="357" w:lineRule="auto" w:before="56"/>
        <w:ind w:left="573" w:right="1122" w:firstLine="0"/>
        <w:jc w:val="left"/>
        <w:rPr>
          <w:rFonts w:ascii="宋体" w:hAnsi="宋体" w:cs="宋体" w:eastAsia="宋体" w:hint="default"/>
          <w:sz w:val="18"/>
          <w:szCs w:val="18"/>
        </w:rPr>
      </w:pPr>
      <w:r>
        <w:rPr>
          <w:rFonts w:ascii="宋体" w:hAnsi="宋体" w:cs="宋体" w:eastAsia="宋体" w:hint="default"/>
          <w:b/>
          <w:bCs/>
          <w:sz w:val="18"/>
          <w:szCs w:val="18"/>
        </w:rPr>
        <w:t>（二）新能源发电与综合能源服务</w:t>
      </w:r>
      <w:r>
        <w:rPr>
          <w:rFonts w:ascii="宋体" w:hAnsi="宋体" w:cs="宋体" w:eastAsia="宋体" w:hint="default"/>
          <w:b/>
          <w:bCs/>
          <w:w w:val="99"/>
          <w:sz w:val="18"/>
          <w:szCs w:val="18"/>
        </w:rPr>
        <w:t> </w:t>
      </w:r>
      <w:r>
        <w:rPr>
          <w:rFonts w:ascii="宋体" w:hAnsi="宋体" w:cs="宋体" w:eastAsia="宋体" w:hint="default"/>
          <w:sz w:val="18"/>
          <w:szCs w:val="18"/>
        </w:rPr>
        <w:t>新能源发电方面，公司是国内规模较大的、有一定知名度和影响力的新能源发电运营商。公司累计运维的新能源电站</w:t>
      </w:r>
    </w:p>
    <w:p>
      <w:pPr>
        <w:pStyle w:val="BodyText"/>
        <w:spacing w:line="237" w:lineRule="exact"/>
        <w:ind w:left="154" w:right="0"/>
        <w:jc w:val="both"/>
      </w:pPr>
      <w:r>
        <w:rPr/>
        <w:t>超</w:t>
      </w:r>
      <w:r>
        <w:rPr>
          <w:spacing w:val="-24"/>
        </w:rPr>
        <w:t> </w:t>
      </w:r>
      <w:r>
        <w:rPr>
          <w:rFonts w:ascii="Times New Roman" w:hAnsi="Times New Roman" w:cs="Times New Roman" w:eastAsia="Times New Roman" w:hint="default"/>
        </w:rPr>
        <w:t>1GW</w:t>
      </w:r>
      <w:r>
        <w:rPr/>
        <w:t>，处于国内同行业民营企业的前列。公司全面培育全寿命期电站管控能力，精心打造专业化、精细化、标准化、信</w:t>
      </w:r>
    </w:p>
    <w:p>
      <w:pPr>
        <w:pStyle w:val="BodyText"/>
        <w:spacing w:line="319" w:lineRule="auto" w:before="63"/>
        <w:ind w:left="154" w:right="1050"/>
        <w:jc w:val="both"/>
      </w:pPr>
      <w:r>
        <w:rPr/>
        <w:t>息化和智能化运营管理能力，通过流程建设、技术标准化、技改创新、智能优化等措施不断提升发电效率，降低管控成本， 并在新疆、青海、甘肃等地积极利用援疆、双边、多边交易、挂牌竞价机制等，主动参与电量交易，尽最大努力增发电量。 公司上下形成度电必争的责任意识，电站整体发电实力处于行业领先水平。</w:t>
      </w:r>
    </w:p>
    <w:p>
      <w:pPr>
        <w:pStyle w:val="BodyText"/>
        <w:spacing w:line="312" w:lineRule="auto" w:before="55"/>
        <w:ind w:right="1033" w:firstLine="420"/>
        <w:jc w:val="left"/>
      </w:pPr>
      <w:r>
        <w:rPr>
          <w:spacing w:val="-5"/>
        </w:rPr>
        <w:t>综合能源服务方面，在能源革命、“互联网</w:t>
      </w:r>
      <w:r>
        <w:rPr>
          <w:rFonts w:ascii="Times New Roman" w:hAnsi="Times New Roman" w:cs="Times New Roman" w:eastAsia="Times New Roman" w:hint="default"/>
          <w:spacing w:val="-5"/>
        </w:rPr>
        <w:t>+</w:t>
      </w:r>
      <w:r>
        <w:rPr>
          <w:spacing w:val="-5"/>
        </w:rPr>
        <w:t>”、电力体制改革和创新驱动等国家战略的背景下</w:t>
      </w:r>
      <w:r>
        <w:rPr>
          <w:rFonts w:ascii="Times New Roman" w:hAnsi="Times New Roman" w:cs="Times New Roman" w:eastAsia="Times New Roman" w:hint="default"/>
          <w:spacing w:val="-5"/>
        </w:rPr>
        <w:t>,</w:t>
      </w:r>
      <w:r>
        <w:rPr>
          <w:rFonts w:ascii="Times New Roman" w:hAnsi="Times New Roman" w:cs="Times New Roman" w:eastAsia="Times New Roman" w:hint="default"/>
          <w:spacing w:val="22"/>
        </w:rPr>
        <w:t> </w:t>
      </w:r>
      <w:r>
        <w:rPr>
          <w:spacing w:val="-1"/>
        </w:rPr>
        <w:t>在多年光伏电站开发、</w:t>
      </w:r>
      <w:r>
        <w:rPr/>
        <w:t> </w:t>
      </w:r>
      <w:r>
        <w:rPr>
          <w:spacing w:val="-2"/>
        </w:rPr>
        <w:t>运维中积累的经验和资源基础上，公司围绕能源消费用户的需求，面向工业园区和企业客户提供发、配、售、用各个环节的</w:t>
      </w:r>
      <w:r>
        <w:rPr>
          <w:spacing w:val="-66"/>
        </w:rPr>
        <w:t> </w:t>
      </w:r>
      <w:r>
        <w:rPr>
          <w:spacing w:val="-66"/>
        </w:rPr>
      </w:r>
      <w:r>
        <w:rPr>
          <w:spacing w:val="-2"/>
        </w:rPr>
        <w:t>综合能源服务和整体解决方案，能提供多能互补能源站和配（微）网投资和运营、需求侧管理、能效监测、节能改造、碳排</w:t>
      </w:r>
      <w:r>
        <w:rPr>
          <w:spacing w:val="-72"/>
        </w:rPr>
        <w:t> </w:t>
      </w:r>
      <w:r>
        <w:rPr>
          <w:spacing w:val="-72"/>
        </w:rPr>
      </w:r>
      <w:r>
        <w:rPr>
          <w:spacing w:val="-2"/>
        </w:rPr>
        <w:t>放管理等服务。公司针对全国范围布局售电市场，在南京、西安、广州、北京分别设立了东西南北售电四大区域公司，</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18"/>
        </w:rPr>
        <w:t> </w:t>
      </w:r>
      <w:r>
        <w:rPr/>
        <w:t>年，公司在全国范围内拥有</w:t>
      </w:r>
      <w:r>
        <w:rPr>
          <w:spacing w:val="-51"/>
        </w:rPr>
        <w:t> </w:t>
      </w:r>
      <w:r>
        <w:rPr>
          <w:rFonts w:ascii="Times New Roman" w:hAnsi="Times New Roman" w:cs="Times New Roman" w:eastAsia="Times New Roman" w:hint="default"/>
        </w:rPr>
        <w:t>27</w:t>
      </w:r>
      <w:r>
        <w:rPr>
          <w:rFonts w:ascii="Times New Roman" w:hAnsi="Times New Roman" w:cs="Times New Roman" w:eastAsia="Times New Roman" w:hint="default"/>
          <w:spacing w:val="-6"/>
        </w:rPr>
        <w:t> </w:t>
      </w:r>
      <w:r>
        <w:rPr/>
        <w:t>家售电公司，在</w:t>
      </w:r>
      <w:r>
        <w:rPr>
          <w:spacing w:val="-51"/>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个电力交易中心完成市场准入或公示，累计成交电量</w:t>
      </w:r>
      <w:r>
        <w:rPr>
          <w:spacing w:val="-51"/>
        </w:rPr>
        <w:t> </w:t>
      </w:r>
      <w:r>
        <w:rPr>
          <w:rFonts w:ascii="Times New Roman" w:hAnsi="Times New Roman" w:cs="Times New Roman" w:eastAsia="Times New Roman" w:hint="default"/>
        </w:rPr>
        <w:t>26.35</w:t>
      </w:r>
      <w:r>
        <w:rPr>
          <w:rFonts w:ascii="Times New Roman" w:hAnsi="Times New Roman" w:cs="Times New Roman" w:eastAsia="Times New Roman" w:hint="default"/>
          <w:spacing w:val="-6"/>
        </w:rPr>
        <w:t> </w:t>
      </w:r>
      <w:r>
        <w:rPr/>
        <w:t>亿千瓦时。同 </w:t>
      </w:r>
      <w:r>
        <w:rPr>
          <w:spacing w:val="-4"/>
        </w:rPr>
        <w:t>时，公司积极布局能源区块链，全资子公司上海慧喆致力于提供能源互联网领域区块链基础设施，行业解决方案，以及安全、</w:t>
      </w:r>
      <w:r>
        <w:rPr>
          <w:spacing w:val="-46"/>
        </w:rPr>
        <w:t> </w:t>
      </w:r>
      <w:r>
        <w:rPr>
          <w:spacing w:val="-46"/>
        </w:rPr>
      </w:r>
      <w:r>
        <w:rPr>
          <w:spacing w:val="-4"/>
        </w:rPr>
        <w:t>稳定、灵活的区块链云服务。其主要应用区块链、大数据、物联网等技术，通过自主创新研发的购售电管理、综合能耗管控、</w:t>
      </w:r>
      <w:r>
        <w:rPr>
          <w:spacing w:val="-44"/>
        </w:rPr>
        <w:t> </w:t>
      </w:r>
      <w:r>
        <w:rPr>
          <w:spacing w:val="-44"/>
        </w:rPr>
      </w:r>
      <w:r>
        <w:rPr>
          <w:spacing w:val="-9"/>
        </w:rPr>
        <w:t>分布式能源协同、微网管控等平台，支持能源“发电侧”、“交易侧”、“用电侧”服务，支持多种能源协同及衍生商业模式的</w:t>
      </w:r>
      <w:r>
        <w:rPr>
          <w:spacing w:val="-36"/>
        </w:rPr>
        <w:t> </w:t>
      </w:r>
      <w:r>
        <w:rPr>
          <w:spacing w:val="-36"/>
        </w:rPr>
      </w:r>
      <w:r>
        <w:rPr/>
        <w:t>线上安全交易与结算，保障小微发（用）电用户的分布式交易与结算，总体确保相关能源数据资产安全、可靠与灵活应用。</w:t>
      </w:r>
    </w:p>
    <w:p>
      <w:pPr>
        <w:spacing w:line="357" w:lineRule="auto" w:before="62"/>
        <w:ind w:left="574" w:right="1122" w:firstLine="0"/>
        <w:jc w:val="left"/>
        <w:rPr>
          <w:rFonts w:ascii="宋体" w:hAnsi="宋体" w:cs="宋体" w:eastAsia="宋体" w:hint="default"/>
          <w:sz w:val="18"/>
          <w:szCs w:val="18"/>
        </w:rPr>
      </w:pPr>
      <w:r>
        <w:rPr>
          <w:rFonts w:ascii="宋体" w:hAnsi="宋体" w:cs="宋体" w:eastAsia="宋体" w:hint="default"/>
          <w:b/>
          <w:bCs/>
          <w:sz w:val="18"/>
          <w:szCs w:val="18"/>
        </w:rPr>
        <w:t>（三）先进高端光伏设备制造</w:t>
      </w:r>
      <w:r>
        <w:rPr>
          <w:rFonts w:ascii="宋体" w:hAnsi="宋体" w:cs="宋体" w:eastAsia="宋体" w:hint="default"/>
          <w:b/>
          <w:bCs/>
          <w:w w:val="99"/>
          <w:sz w:val="18"/>
          <w:szCs w:val="18"/>
        </w:rPr>
        <w:t> </w:t>
      </w:r>
      <w:r>
        <w:rPr>
          <w:rFonts w:ascii="宋体" w:hAnsi="宋体" w:cs="宋体" w:eastAsia="宋体" w:hint="default"/>
          <w:sz w:val="18"/>
          <w:szCs w:val="18"/>
        </w:rPr>
        <w:t>光伏组件制造方面，公司全资子公司爱康光电聚焦光伏电池、组件的研发、生产和销售，产线兼容了单晶和多晶两种</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15"/>
        <w:jc w:val="left"/>
      </w:pPr>
      <w:r>
        <w:rPr/>
        <w:t>生产工艺，双玻组件、透明单玻、半片组件及其他轻型组件等新型组件产品也已陆续推出，目前具备年产</w:t>
      </w:r>
      <w:r>
        <w:rPr>
          <w:spacing w:val="-56"/>
        </w:rPr>
        <w:t> </w:t>
      </w:r>
      <w:r>
        <w:rPr>
          <w:rFonts w:ascii="Times New Roman" w:hAnsi="Times New Roman" w:cs="Times New Roman" w:eastAsia="Times New Roman" w:hint="default"/>
        </w:rPr>
        <w:t>1GW</w:t>
      </w:r>
      <w:r>
        <w:rPr>
          <w:rFonts w:ascii="Times New Roman" w:hAnsi="Times New Roman" w:cs="Times New Roman" w:eastAsia="Times New Roman" w:hint="default"/>
          <w:spacing w:val="-11"/>
        </w:rPr>
        <w:t> </w:t>
      </w:r>
      <w:r>
        <w:rPr/>
        <w:t>的高效组件 产能。</w:t>
      </w:r>
    </w:p>
    <w:p>
      <w:pPr>
        <w:spacing w:line="240" w:lineRule="auto" w:before="5"/>
        <w:rPr>
          <w:rFonts w:ascii="宋体" w:hAnsi="宋体" w:cs="宋体" w:eastAsia="宋体" w:hint="default"/>
          <w:sz w:val="21"/>
          <w:szCs w:val="21"/>
        </w:rPr>
      </w:pPr>
    </w:p>
    <w:p>
      <w:pPr>
        <w:pStyle w:val="Heading2"/>
        <w:spacing w:line="240" w:lineRule="auto"/>
        <w:ind w:right="1122"/>
        <w:jc w:val="left"/>
        <w:rPr>
          <w:b w:val="0"/>
          <w:bCs w:val="0"/>
        </w:rPr>
      </w:pPr>
      <w:bookmarkStart w:name="二、主营业务分析" w:id="26"/>
      <w:bookmarkEnd w:id="26"/>
      <w:r>
        <w:rPr>
          <w:b w:val="0"/>
          <w:bCs w:val="0"/>
        </w:rPr>
      </w:r>
      <w:r>
        <w:rPr/>
        <w:t>二、主营业务分析</w:t>
      </w:r>
      <w:r>
        <w:rPr>
          <w:b w:val="0"/>
          <w:bCs w:val="0"/>
        </w:rPr>
      </w:r>
    </w:p>
    <w:p>
      <w:pPr>
        <w:spacing w:line="240" w:lineRule="auto" w:before="10"/>
        <w:rPr>
          <w:rFonts w:ascii="宋体" w:hAnsi="宋体" w:cs="宋体" w:eastAsia="宋体" w:hint="default"/>
          <w:b/>
          <w:bCs/>
          <w:sz w:val="24"/>
          <w:szCs w:val="24"/>
        </w:rPr>
      </w:pPr>
    </w:p>
    <w:p>
      <w:pPr>
        <w:spacing w:line="544" w:lineRule="auto" w:before="0"/>
        <w:ind w:left="153" w:right="6473" w:firstLine="0"/>
        <w:jc w:val="left"/>
        <w:rPr>
          <w:rFonts w:ascii="宋体" w:hAnsi="宋体" w:cs="宋体" w:eastAsia="宋体" w:hint="default"/>
          <w:sz w:val="21"/>
          <w:szCs w:val="21"/>
        </w:rPr>
      </w:pPr>
      <w:bookmarkStart w:name="1、概述" w:id="27"/>
      <w:bookmarkEnd w:id="27"/>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8"/>
      <w:bookmarkEnd w:id="28"/>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22"/>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9"/>
        <w:gridCol w:w="1594"/>
        <w:gridCol w:w="1592"/>
        <w:gridCol w:w="1597"/>
        <w:gridCol w:w="1588"/>
        <w:gridCol w:w="1598"/>
      </w:tblGrid>
      <w:tr>
        <w:trPr>
          <w:trHeight w:val="205"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6"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4,856,493,249.54</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3,899,266,692.00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3,954,765,510.47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3,307,901,333.82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84.83%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901,727,739.07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591,365,358.18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1,534,591,620.01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1,289,485,913.89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33.07%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19.01%</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514,879,808.44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10.60%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472,318,674.82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12.11%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r>
      <w:tr>
        <w:trPr>
          <w:trHeight w:val="71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4"/>
              <w:jc w:val="left"/>
              <w:rPr>
                <w:rFonts w:ascii="宋体" w:hAnsi="宋体" w:cs="宋体" w:eastAsia="宋体" w:hint="default"/>
                <w:sz w:val="18"/>
                <w:szCs w:val="18"/>
              </w:rPr>
            </w:pPr>
            <w:r>
              <w:rPr>
                <w:rFonts w:ascii="宋体" w:hAnsi="宋体" w:cs="宋体" w:eastAsia="宋体" w:hint="default"/>
                <w:sz w:val="18"/>
                <w:szCs w:val="18"/>
              </w:rPr>
              <w:t>太阳能电池板（组 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1,306,718,990.18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1,035,288,736.88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26.55%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26.22%</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901,727,739.07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18.57%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591,365,358.18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15.17%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52.48%</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598,575,091.84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12.33%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510,808,008.23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13.10%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3,229,540,452.73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2,407,804,099.75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w:t>
            </w:r>
          </w:p>
        </w:tc>
      </w:tr>
      <w:tr>
        <w:trPr>
          <w:trHeight w:val="402"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1,626,952,796.81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33.50%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1,491,462,592.25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8"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单位：元</w:t>
      </w:r>
    </w:p>
    <w:p>
      <w:pPr>
        <w:spacing w:after="0" w:line="240" w:lineRule="auto"/>
        <w:jc w:val="left"/>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4"/>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50"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3,954,765,510.47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3,559,433,013.00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24.27%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901,727,739.07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449,471,242.56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1,534,591,620.01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1,352,732,740.90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514,879,808.44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440,486,045.09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1,306,718,990.18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1,191,431,404.71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38.28%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-7.95%</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901,727,739.07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449,471,242.56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598,575,091.84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574,782,822.30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3,229,540,452.73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2,574,156,735.60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-0.74%</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外销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1,626,952,796.81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1,434,747,519.96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w:t>
            </w:r>
          </w:p>
        </w:tc>
      </w:tr>
    </w:tbl>
    <w:p>
      <w:pPr>
        <w:pStyle w:val="BodyText"/>
        <w:spacing w:line="240" w:lineRule="auto" w:before="51"/>
        <w:ind w:left="154" w:right="1122"/>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300" w:lineRule="auto"/>
              <w:ind w:left="22" w:right="61"/>
              <w:jc w:val="left"/>
              <w:rPr>
                <w:rFonts w:ascii="宋体" w:hAnsi="宋体" w:cs="宋体" w:eastAsia="宋体" w:hint="default"/>
                <w:sz w:val="18"/>
                <w:szCs w:val="18"/>
              </w:rPr>
            </w:pPr>
            <w:r>
              <w:rPr>
                <w:rFonts w:ascii="宋体" w:hAnsi="宋体" w:cs="宋体" w:eastAsia="宋体" w:hint="default"/>
                <w:sz w:val="18"/>
                <w:szCs w:val="18"/>
              </w:rPr>
              <w:t>太阳能电池边框</w:t>
            </w:r>
            <w:r>
              <w:rPr>
                <w:rFonts w:ascii="Times New Roman" w:hAnsi="Times New Roman" w:cs="Times New Roman" w:eastAsia="Times New Roman" w:hint="default"/>
                <w:sz w:val="18"/>
                <w:szCs w:val="18"/>
              </w:rPr>
              <w:t>(</w:t>
            </w:r>
            <w:r>
              <w:rPr>
                <w:rFonts w:ascii="宋体" w:hAnsi="宋体" w:cs="宋体" w:eastAsia="宋体" w:hint="default"/>
                <w:sz w:val="18"/>
                <w:szCs w:val="18"/>
              </w:rPr>
              <w:t>万 套）</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2,579.97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1,979.7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30.32%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2,584.64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2,052.17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25.95%</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万套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106.66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MW)</w:t>
            </w:r>
            <w:r>
              <w:rPr>
                <w:rFonts w:ascii="宋体" w:hAnsi="宋体" w:cs="宋体" w:eastAsia="宋体"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w w:val="95"/>
                <w:sz w:val="18"/>
              </w:rPr>
              <w:t>1,212.11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1,147.07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1,472.21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-17.06%</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MW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-18.49%</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电力销售（</w:t>
            </w:r>
            <w:r>
              <w:rPr>
                <w:rFonts w:ascii="Times New Roman" w:hAnsi="Times New Roman" w:cs="Times New Roman" w:eastAsia="Times New Roman" w:hint="default"/>
                <w:sz w:val="18"/>
                <w:szCs w:val="18"/>
              </w:rPr>
              <w:t>KWH</w:t>
            </w:r>
            <w:r>
              <w:rPr>
                <w:rFonts w:ascii="宋体" w:hAnsi="宋体" w:cs="宋体" w:eastAsia="宋体"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1,161,382,069.17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754,693,029.7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53.89%</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1,161,382,069.17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754,693,029.7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53.89%</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太阳能组件（</w:t>
            </w:r>
            <w:r>
              <w:rPr>
                <w:rFonts w:ascii="Times New Roman" w:hAnsi="Times New Roman" w:cs="Times New Roman" w:eastAsia="Times New Roman" w:hint="default"/>
                <w:sz w:val="18"/>
                <w:szCs w:val="18"/>
              </w:rPr>
              <w:t>KW</w:t>
            </w:r>
            <w:r>
              <w:rPr>
                <w:rFonts w:ascii="宋体" w:hAnsi="宋体" w:cs="宋体" w:eastAsia="宋体" w:hint="default"/>
                <w:sz w:val="18"/>
                <w:szCs w:val="18"/>
              </w:rPr>
              <w:t>）</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641,849.6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352,425.49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82.12%</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636,769.6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665,758.13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-4.35%</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KW</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17,251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80,469.51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-78.56%</w:t>
            </w:r>
          </w:p>
        </w:tc>
      </w:tr>
    </w:tbl>
    <w:p>
      <w:pPr>
        <w:pStyle w:val="BodyText"/>
        <w:spacing w:line="240" w:lineRule="auto" w:before="51"/>
        <w:ind w:left="154" w:right="1122"/>
        <w:jc w:val="left"/>
      </w:pPr>
      <w:r>
        <w:rPr/>
        <w:t>相关数据同比发生变动</w:t>
      </w:r>
      <w:r>
        <w:rPr>
          <w:spacing w:val="-46"/>
        </w:rPr>
        <w:t> </w:t>
      </w:r>
      <w:r>
        <w:rPr>
          <w:rFonts w:ascii="Times New Roman" w:hAnsi="Times New Roman" w:cs="Times New Roman" w:eastAsia="Times New Roman" w:hint="default"/>
        </w:rPr>
        <w:t>30%</w:t>
      </w:r>
      <w:r>
        <w:rPr/>
        <w:t>以上的原因说明</w:t>
      </w:r>
    </w:p>
    <w:p>
      <w:pPr>
        <w:pStyle w:val="BodyText"/>
        <w:spacing w:line="319" w:lineRule="auto" w:before="102"/>
        <w:ind w:right="10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Times New Roman" w:hAnsi="Times New Roman" w:cs="Times New Roman" w:eastAsia="Times New Roman" w:hint="default"/>
        </w:rPr>
        <w:t>1</w:t>
      </w:r>
      <w:r>
        <w:rPr/>
        <w:t>、太阳能电池边框，销售量同比</w:t>
      </w:r>
      <w:r>
        <w:rPr>
          <w:rFonts w:ascii="Times New Roman" w:hAnsi="Times New Roman" w:cs="Times New Roman" w:eastAsia="Times New Roman" w:hint="default"/>
        </w:rPr>
        <w:t>2016</w:t>
      </w:r>
      <w:r>
        <w:rPr/>
        <w:t>年增加</w:t>
      </w:r>
      <w:r>
        <w:rPr>
          <w:rFonts w:ascii="Times New Roman" w:hAnsi="Times New Roman" w:cs="Times New Roman" w:eastAsia="Times New Roman" w:hint="default"/>
        </w:rPr>
        <w:t>30.32%</w:t>
      </w:r>
      <w:r>
        <w:rPr/>
        <w:t>，主要原因是太阳能电池边框产品销售收入同比</w:t>
      </w:r>
      <w:r>
        <w:rPr>
          <w:rFonts w:ascii="Times New Roman" w:hAnsi="Times New Roman" w:cs="Times New Roman" w:eastAsia="Times New Roman" w:hint="default"/>
        </w:rPr>
        <w:t>2016</w:t>
      </w:r>
      <w:r>
        <w:rPr/>
        <w:t>年增涨了</w:t>
      </w:r>
      <w:r>
        <w:rPr>
          <w:rFonts w:ascii="Times New Roman" w:hAnsi="Times New Roman" w:cs="Times New Roman" w:eastAsia="Times New Roman" w:hint="default"/>
        </w:rPr>
        <w:t>19.01%</w:t>
      </w:r>
      <w:r>
        <w:rPr/>
        <w:t>。 用于内部组件生产</w:t>
      </w:r>
      <w:r>
        <w:rPr>
          <w:rFonts w:ascii="Times New Roman" w:hAnsi="Times New Roman" w:cs="Times New Roman" w:eastAsia="Times New Roman" w:hint="default"/>
        </w:rPr>
        <w:t>3.01</w:t>
      </w:r>
      <w:r>
        <w:rPr/>
        <w:t>万套未列入销售量统计；</w:t>
      </w:r>
    </w:p>
    <w:p>
      <w:pPr>
        <w:spacing w:after="0" w:line="319"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rFonts w:ascii="Times New Roman" w:hAnsi="Times New Roman" w:cs="Times New Roman" w:eastAsia="Times New Roman" w:hint="default"/>
        </w:rPr>
        <w:t>2</w:t>
      </w:r>
      <w:r>
        <w:rPr/>
        <w:t>、太阳能安装支架，公司将子公司生产的支架产品用于内部电站建设，</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12.15MW</w:t>
      </w:r>
      <w:r>
        <w:rPr/>
        <w:t>内部销售未列入销售量统计；</w:t>
      </w:r>
    </w:p>
    <w:p>
      <w:pPr>
        <w:pStyle w:val="BodyText"/>
        <w:spacing w:line="304" w:lineRule="auto" w:before="63"/>
        <w:ind w:right="1033"/>
        <w:jc w:val="left"/>
      </w:pPr>
      <w:r>
        <w:rPr>
          <w:rFonts w:ascii="Times New Roman" w:hAnsi="Times New Roman" w:cs="Times New Roman" w:eastAsia="Times New Roman" w:hint="default"/>
        </w:rPr>
        <w:t>3</w:t>
      </w:r>
      <w:r>
        <w:rPr/>
        <w:t>、电力销售，</w:t>
      </w:r>
      <w:r>
        <w:rPr>
          <w:rFonts w:ascii="Times New Roman" w:hAnsi="Times New Roman" w:cs="Times New Roman" w:eastAsia="Times New Roman" w:hint="default"/>
        </w:rPr>
        <w:t>2017</w:t>
      </w:r>
      <w:r>
        <w:rPr/>
        <w:t>年公司在建电站相继并网，且在公司极力推进运维管理及弃光限电有所改善的情况下，公司发电量大幅</w:t>
      </w:r>
      <w:r>
        <w:rPr>
          <w:spacing w:val="-83"/>
        </w:rPr>
        <w:t> </w:t>
      </w:r>
      <w:r>
        <w:rPr>
          <w:spacing w:val="-83"/>
        </w:rPr>
      </w:r>
      <w:r>
        <w:rPr/>
        <w:t>上升； </w:t>
      </w:r>
      <w:r>
        <w:rPr>
          <w:rFonts w:ascii="Times New Roman" w:hAnsi="Times New Roman" w:cs="Times New Roman" w:eastAsia="Times New Roman" w:hint="default"/>
        </w:rPr>
        <w:t>4</w:t>
      </w:r>
      <w:r>
        <w:rPr/>
        <w:t>、太阳能组件，公司将子公司生产的组件产品用于内部电站建设，</w:t>
      </w:r>
      <w:r>
        <w:rPr>
          <w:rFonts w:ascii="Times New Roman" w:hAnsi="Times New Roman" w:cs="Times New Roman" w:eastAsia="Times New Roman" w:hint="default"/>
        </w:rPr>
        <w:t>2016</w:t>
      </w:r>
      <w:r>
        <w:rPr/>
        <w:t>年有</w:t>
      </w:r>
      <w:r>
        <w:rPr>
          <w:rFonts w:ascii="Times New Roman" w:hAnsi="Times New Roman" w:cs="Times New Roman" w:eastAsia="Times New Roman" w:hint="default"/>
        </w:rPr>
        <w:t>259.66MW</w:t>
      </w:r>
      <w:r>
        <w:rPr/>
        <w:t>组件产品因内部销售未列入销售量</w:t>
      </w:r>
      <w:r>
        <w:rPr>
          <w:spacing w:val="-18"/>
        </w:rPr>
        <w:t> </w:t>
      </w:r>
      <w:r>
        <w:rPr>
          <w:spacing w:val="-18"/>
        </w:rPr>
      </w:r>
      <w:r>
        <w:rPr>
          <w:spacing w:val="-4"/>
        </w:rPr>
        <w:t>统计，致同比</w:t>
      </w:r>
      <w:r>
        <w:rPr>
          <w:rFonts w:ascii="Times New Roman" w:hAnsi="Times New Roman" w:cs="Times New Roman" w:eastAsia="Times New Roman" w:hint="default"/>
          <w:spacing w:val="-4"/>
        </w:rPr>
        <w:t>2017</w:t>
      </w:r>
      <w:r>
        <w:rPr>
          <w:spacing w:val="-4"/>
        </w:rPr>
        <w:t>年销售数据出现差异。库存量下降是由于因春节等原因备货的库存实现销售及公司加强存货周转管理所致。</w:t>
      </w:r>
      <w:r>
        <w:rPr>
          <w:spacing w:val="-36"/>
        </w:rPr>
        <w:t> </w:t>
      </w:r>
      <w:r>
        <w:rPr>
          <w:spacing w:val="-36"/>
        </w:rPr>
      </w:r>
      <w:r>
        <w:rPr>
          <w:rFonts w:ascii="Times New Roman" w:hAnsi="Times New Roman" w:cs="Times New Roman" w:eastAsia="Times New Roman" w:hint="default"/>
        </w:rPr>
        <w:t>2017</w:t>
      </w:r>
      <w:r>
        <w:rPr/>
        <w:t>年有</w:t>
      </w:r>
      <w:r>
        <w:rPr>
          <w:rFonts w:ascii="Times New Roman" w:hAnsi="Times New Roman" w:cs="Times New Roman" w:eastAsia="Times New Roman" w:hint="default"/>
        </w:rPr>
        <w:t>58.14MW</w:t>
      </w:r>
      <w:r>
        <w:rPr/>
        <w:t>组件产品用于公司电站建设未列入销售量统计。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5"/>
        <w:ind w:left="154" w:right="1122"/>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left="154"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5" w:space="8045"/>
            <w:col w:w="201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44"/>
        <w:gridCol w:w="893"/>
        <w:gridCol w:w="1367"/>
        <w:gridCol w:w="1367"/>
        <w:gridCol w:w="1368"/>
        <w:gridCol w:w="1367"/>
        <w:gridCol w:w="1367"/>
      </w:tblGrid>
      <w:tr>
        <w:trPr>
          <w:trHeight w:val="402" w:hRule="exact"/>
        </w:trPr>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8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844"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1,195,381,217.35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944,801,841.56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85.32%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57,715,920.03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58,253,369.03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太阳能电池边框</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99,635,603.53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104,267,034.01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413,480,869.58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389,974,743.26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11,674,617.03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10,182,514.52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太阳能安装支架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15,330,558.48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6,071,490.39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1,114,141,612.74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801,544,412.69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26,657,144.23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24,644,261.68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-0.62%</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太阳能电池板（组件）</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50,632,647.73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35,434,934.84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电力销售收入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电力销售收入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电力销售收入</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449,471,242.56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6" w:right="0"/>
              <w:jc w:val="left"/>
              <w:rPr>
                <w:rFonts w:ascii="Times New Roman" w:hAnsi="Times New Roman" w:cs="Times New Roman" w:eastAsia="Times New Roman" w:hint="default"/>
                <w:sz w:val="18"/>
                <w:szCs w:val="18"/>
              </w:rPr>
            </w:pPr>
            <w:r>
              <w:rPr>
                <w:rFonts w:ascii="Times New Roman"/>
                <w:sz w:val="18"/>
              </w:rPr>
              <w:t>100.00%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330,168,643.01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504,994,897.63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453,018,853.40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直接人工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10,665,017.07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8,617,979.35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59,122,907.60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27,408,490.94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4.69%</w:t>
            </w:r>
          </w:p>
        </w:tc>
      </w:tr>
    </w:tbl>
    <w:p>
      <w:pPr>
        <w:pStyle w:val="BodyText"/>
        <w:spacing w:line="240" w:lineRule="auto" w:before="51"/>
        <w:ind w:left="154" w:right="1122"/>
        <w:jc w:val="left"/>
      </w:pPr>
      <w:r>
        <w:rPr/>
        <w:t>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type w:val="continuous"/>
          <w:pgSz w:w="11910" w:h="16840"/>
          <w:pgMar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rFonts w:ascii="Times New Roman" w:hAnsi="Times New Roman" w:cs="Times New Roman" w:eastAsia="Times New Roman" w:hint="default"/>
        </w:rPr>
        <w:t>1.</w:t>
      </w:r>
      <w:r>
        <w:rPr/>
        <w:t>本年新纳入合并范围的子公司、特殊目的主体、通过受托经营或承租等方式形成控制权的经营实体</w:t>
      </w:r>
    </w:p>
    <w:p>
      <w:pPr>
        <w:spacing w:line="240" w:lineRule="auto" w:before="1"/>
        <w:rPr>
          <w:rFonts w:ascii="宋体" w:hAnsi="宋体" w:cs="宋体" w:eastAsia="宋体" w:hint="default"/>
          <w:sz w:val="4"/>
          <w:szCs w:val="4"/>
        </w:rPr>
      </w:pPr>
    </w:p>
    <w:tbl>
      <w:tblPr>
        <w:tblW w:w="0" w:type="auto"/>
        <w:jc w:val="left"/>
        <w:tblInd w:w="139" w:type="dxa"/>
        <w:tblLayout w:type="fixed"/>
        <w:tblCellMar>
          <w:top w:w="0" w:type="dxa"/>
          <w:left w:w="0" w:type="dxa"/>
          <w:bottom w:w="0" w:type="dxa"/>
          <w:right w:w="0" w:type="dxa"/>
        </w:tblCellMar>
        <w:tblLook w:val="01E0"/>
      </w:tblPr>
      <w:tblGrid>
        <w:gridCol w:w="2820"/>
        <w:gridCol w:w="938"/>
        <w:gridCol w:w="804"/>
        <w:gridCol w:w="1744"/>
        <w:gridCol w:w="1208"/>
        <w:gridCol w:w="2146"/>
      </w:tblGrid>
      <w:tr>
        <w:trPr>
          <w:trHeight w:val="653" w:hRule="exact"/>
        </w:trPr>
        <w:tc>
          <w:tcPr>
            <w:tcW w:w="282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9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80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7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0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股权取得比例</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68</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上海慧喆信息技术有限公司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北京爱康新能电力科技有限公司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重庆</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张北爱康兴业能源有限公司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蒸汽</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赣州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51</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陕西爱康新能电力有限公司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广东爱康电力有限公司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湖北爱康新能电力有限公司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浙江</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四川</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云南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云南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贵州</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贵州</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辽宁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福建</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西安爱康智慧能源管理有限公司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85</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湖南</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西安爱康信能电力有限公司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2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阳泉爱康智慧电力科技有限公司</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10"/>
        <w:ind w:left="154" w:right="1122"/>
        <w:jc w:val="left"/>
      </w:pPr>
      <w:r>
        <w:rPr>
          <w:rFonts w:ascii="Times New Roman" w:hAnsi="Times New Roman" w:cs="Times New Roman" w:eastAsia="Times New Roman" w:hint="default"/>
        </w:rPr>
        <w:t>2.</w:t>
      </w:r>
      <w:r>
        <w:rPr/>
        <w:t>本年不再纳入合并范围的公司、特殊目的主体、通过受托经营或承租等方式形成控制权的经营实体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3105"/>
        <w:gridCol w:w="954"/>
        <w:gridCol w:w="954"/>
        <w:gridCol w:w="1638"/>
        <w:gridCol w:w="1637"/>
        <w:gridCol w:w="1370"/>
      </w:tblGrid>
      <w:tr>
        <w:trPr>
          <w:trHeight w:val="343" w:hRule="exact"/>
        </w:trPr>
        <w:tc>
          <w:tcPr>
            <w:tcW w:w="310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63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6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9" w:right="0"/>
              <w:jc w:val="left"/>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30" w:right="0"/>
              <w:jc w:val="left"/>
              <w:rPr>
                <w:rFonts w:ascii="宋体" w:hAnsi="宋体" w:cs="宋体" w:eastAsia="宋体" w:hint="default"/>
                <w:sz w:val="18"/>
                <w:szCs w:val="18"/>
              </w:rPr>
            </w:pPr>
            <w:r>
              <w:rPr>
                <w:rFonts w:ascii="宋体" w:hAnsi="宋体" w:cs="宋体" w:eastAsia="宋体" w:hint="default"/>
                <w:sz w:val="18"/>
                <w:szCs w:val="18"/>
              </w:rPr>
              <w:t>不纳入原因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3105"/>
        <w:gridCol w:w="954"/>
        <w:gridCol w:w="954"/>
        <w:gridCol w:w="1638"/>
        <w:gridCol w:w="1637"/>
        <w:gridCol w:w="1370"/>
      </w:tblGrid>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青海西宁</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青海西宁</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青海共和</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青海共和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广东</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陕西渭南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陕西渭南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碳金库（北京）投资管理有限公司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北京碳诺信科技有限公司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技术开发咨询</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合同公司阳光产业园</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转让</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盛能国际贸易（上海）有限公司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上海</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654"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8"/>
              <w:jc w:val="left"/>
              <w:rPr>
                <w:rFonts w:ascii="宋体" w:hAnsi="宋体" w:cs="宋体" w:eastAsia="宋体" w:hint="default"/>
                <w:sz w:val="18"/>
                <w:szCs w:val="18"/>
              </w:rPr>
            </w:pPr>
            <w:r>
              <w:rPr>
                <w:rFonts w:ascii="宋体" w:hAnsi="宋体" w:cs="宋体" w:eastAsia="宋体" w:hint="default"/>
                <w:sz w:val="18"/>
                <w:szCs w:val="18"/>
              </w:rPr>
              <w:t>黑龙江省九三农垦昱辉太阳能发电有限 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黑龙江</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黑龙江</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山东烟台</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山东烟台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山东沾化</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山东沾化</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654"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28"/>
              <w:jc w:val="left"/>
              <w:rPr>
                <w:rFonts w:ascii="宋体" w:hAnsi="宋体" w:cs="宋体" w:eastAsia="宋体" w:hint="default"/>
                <w:sz w:val="18"/>
                <w:szCs w:val="18"/>
              </w:rPr>
            </w:pPr>
            <w:r>
              <w:rPr>
                <w:rFonts w:ascii="宋体" w:hAnsi="宋体" w:cs="宋体" w:eastAsia="宋体" w:hint="default"/>
                <w:sz w:val="18"/>
                <w:szCs w:val="18"/>
              </w:rPr>
              <w:t>围场满族蒙古族自治县爱康太阳能发电 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泗水鑫阳新能源电力有限公司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西吉县中康电力开发有限公司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宁夏</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宁夏</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乌兰察布爱康新能源发电有限公司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布拖县中康电力开发有限公司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四川</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四川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鄂尔多斯市爱康兴兆新能源有限公司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昌江爱康电力开发有限公司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海南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元氏县爱康新能源开发有限公司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镇赉县爱康电力有限公司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沭阳爱康新能源开发有限公司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江苏</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巴林左旗爱康电力开发有限公司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巴彦淖尔市爱康新能源有限公司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海兴宏润华夏能源有限公司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芜湖爱康电力开发有限公司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安徽</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康保县爱康新能源开发有限公司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莘县爱康新能源有限公司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山东聊城</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山东聊城</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韩城市爱康电力开发有限公司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正定县爱康新能源开发有限公司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大同市爱康新能源有限公司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山西</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承德县爱康太阳能发电有限公司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隆尧县瑜康新能源科技有限公司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定边中康光伏发电有限公司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陕西定边</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陕西定边</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白山中康电力开发有限公司</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吉林省</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吉林省</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第三合同会社</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日本</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0" w:right="0"/>
              <w:jc w:val="left"/>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3105"/>
        <w:gridCol w:w="954"/>
        <w:gridCol w:w="954"/>
        <w:gridCol w:w="1638"/>
        <w:gridCol w:w="1637"/>
        <w:gridCol w:w="1370"/>
      </w:tblGrid>
      <w:tr>
        <w:trPr>
          <w:trHeight w:val="342" w:hRule="exact"/>
        </w:trPr>
        <w:tc>
          <w:tcPr>
            <w:tcW w:w="3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第四合同会社</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91"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53"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8"/>
          <w:szCs w:val="28"/>
        </w:rPr>
      </w:pPr>
    </w:p>
    <w:p>
      <w:pPr>
        <w:pStyle w:val="Heading3"/>
        <w:spacing w:line="240" w:lineRule="auto" w:before="35"/>
        <w:ind w:left="154" w:right="1122"/>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公司主要销售客户情况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1,120,419,683.48</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5.36%</w:t>
            </w:r>
          </w:p>
        </w:tc>
      </w:tr>
    </w:tbl>
    <w:p>
      <w:pPr>
        <w:pStyle w:val="BodyText"/>
        <w:spacing w:line="240" w:lineRule="auto" w:before="51"/>
        <w:ind w:left="154" w:right="11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313,165,279.70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260,175,852.59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225,861,410.99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168,132,119.11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153,085,021.09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1,120,419,683.48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23.07%</w:t>
            </w:r>
          </w:p>
        </w:tc>
      </w:tr>
    </w:tbl>
    <w:p>
      <w:pPr>
        <w:pStyle w:val="BodyText"/>
        <w:spacing w:line="240" w:lineRule="auto" w:before="51"/>
        <w:ind w:left="154" w:right="1122"/>
        <w:jc w:val="left"/>
      </w:pPr>
      <w:r>
        <w:rPr/>
        <w:t>主要客户其他情况说明</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4"/>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1,221,738,949.42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34.43%</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22"/>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567,322,714.64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15.99%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209,486,323.48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163,956,550.99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4.62%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148,399,471.09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132,573,889.22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3.74%</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1,221,738,949.42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主要供应商其他情况说明</w:t>
      </w:r>
    </w:p>
    <w:p>
      <w:pPr>
        <w:pStyle w:val="BodyText"/>
        <w:spacing w:line="240" w:lineRule="auto" w:before="116"/>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right="1139"/>
        <w:jc w:val="right"/>
      </w:pPr>
      <w:r>
        <w:rPr/>
        <w:pict>
          <v:shape style="position:absolute;margin-left:57.029999pt;margin-top:-36.488312pt;width:478.6pt;height:158.9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1637"/>
                    <w:gridCol w:w="1637"/>
                    <w:gridCol w:w="1462"/>
                    <w:gridCol w:w="2918"/>
                  </w:tblGrid>
                  <w:tr>
                    <w:trPr>
                      <w:trHeight w:val="402"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1" w:right="0"/>
                          <w:jc w:val="left"/>
                          <w:rPr>
                            <w:rFonts w:ascii="Times New Roman" w:hAnsi="Times New Roman" w:cs="Times New Roman" w:eastAsia="Times New Roman" w:hint="default"/>
                            <w:sz w:val="18"/>
                            <w:szCs w:val="18"/>
                          </w:rPr>
                        </w:pPr>
                        <w:r>
                          <w:rPr>
                            <w:rFonts w:ascii="Times New Roman"/>
                            <w:sz w:val="18"/>
                          </w:rPr>
                          <w:t>111,535,511.47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84,509,682.01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31.98%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主要系报告期公司业务物流成本上 </w:t>
                        </w:r>
                        <w:r>
                          <w:rPr>
                            <w:rFonts w:ascii="宋体" w:hAnsi="宋体" w:cs="宋体" w:eastAsia="宋体" w:hint="default"/>
                            <w:spacing w:val="-7"/>
                            <w:sz w:val="18"/>
                            <w:szCs w:val="18"/>
                          </w:rPr>
                          <w:t>升和用于市场开拓差旅、招待、展会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咨询等费用上升所致。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237,375,324.83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188,344,498.60</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26.03%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both"/>
                          <w:rPr>
                            <w:rFonts w:ascii="宋体" w:hAnsi="宋体" w:cs="宋体" w:eastAsia="宋体" w:hint="default"/>
                            <w:sz w:val="18"/>
                            <w:szCs w:val="18"/>
                          </w:rPr>
                        </w:pPr>
                        <w:r>
                          <w:rPr>
                            <w:rFonts w:ascii="宋体" w:hAnsi="宋体" w:cs="宋体" w:eastAsia="宋体" w:hint="default"/>
                            <w:sz w:val="18"/>
                            <w:szCs w:val="18"/>
                          </w:rPr>
                          <w:t>主要系报告期公司为新能源业务开 拓和集团管理效率提升增加管理人 员所致。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1" w:right="0"/>
                          <w:jc w:val="left"/>
                          <w:rPr>
                            <w:rFonts w:ascii="Times New Roman" w:hAnsi="Times New Roman" w:cs="Times New Roman" w:eastAsia="Times New Roman" w:hint="default"/>
                            <w:sz w:val="18"/>
                            <w:szCs w:val="18"/>
                          </w:rPr>
                        </w:pPr>
                        <w:r>
                          <w:rPr>
                            <w:rFonts w:ascii="Times New Roman"/>
                            <w:sz w:val="18"/>
                          </w:rPr>
                          <w:t>451,625,943.77</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348,334,481.56</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29.65%</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3"/>
                          <w:jc w:val="left"/>
                          <w:rPr>
                            <w:rFonts w:ascii="宋体" w:hAnsi="宋体" w:cs="宋体" w:eastAsia="宋体" w:hint="default"/>
                            <w:sz w:val="18"/>
                            <w:szCs w:val="18"/>
                          </w:rPr>
                        </w:pPr>
                        <w:r>
                          <w:rPr>
                            <w:rFonts w:ascii="宋体" w:hAnsi="宋体" w:cs="宋体" w:eastAsia="宋体" w:hint="default"/>
                            <w:sz w:val="18"/>
                            <w:szCs w:val="18"/>
                          </w:rPr>
                          <w:t>主要系报告期公司有息负债增加、光 伏电站并网后利息支出费用化所致。</w:t>
                        </w:r>
                      </w:p>
                    </w:tc>
                  </w:tr>
                  <w:tr>
                    <w:trPr>
                      <w:trHeight w:val="392"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3"/>
        <w:spacing w:line="240" w:lineRule="auto" w:before="35"/>
        <w:ind w:left="154" w:right="1122"/>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04" w:lineRule="auto" w:before="0"/>
        <w:ind w:left="153" w:right="1122" w:firstLine="0"/>
        <w:jc w:val="left"/>
        <w:rPr>
          <w:rFonts w:ascii="宋体" w:hAnsi="宋体" w:cs="宋体" w:eastAsia="宋体" w:hint="default"/>
          <w:sz w:val="20"/>
          <w:szCs w:val="20"/>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r>
        <w:rPr>
          <w:rFonts w:ascii="宋体" w:hAnsi="宋体" w:cs="宋体" w:eastAsia="宋体" w:hint="default"/>
          <w:sz w:val="20"/>
          <w:szCs w:val="20"/>
        </w:rPr>
        <w:t>公司一直高度重视产品研发的投入以及自身研发综合实力的提升，公司将继续加大研发投入力度，保持科技创</w:t>
      </w:r>
      <w:r>
        <w:rPr>
          <w:rFonts w:ascii="宋体" w:hAnsi="宋体" w:cs="宋体" w:eastAsia="宋体" w:hint="default"/>
          <w:w w:val="100"/>
          <w:sz w:val="20"/>
          <w:szCs w:val="20"/>
        </w:rPr>
        <w:t> </w:t>
      </w:r>
      <w:r>
        <w:rPr>
          <w:rFonts w:ascii="宋体" w:hAnsi="宋体" w:cs="宋体" w:eastAsia="宋体" w:hint="default"/>
          <w:spacing w:val="-3"/>
          <w:sz w:val="20"/>
          <w:szCs w:val="20"/>
        </w:rPr>
        <w:t>新。报告期内，公司研发投入</w:t>
      </w:r>
      <w:r>
        <w:rPr>
          <w:rFonts w:ascii="Times New Roman" w:hAnsi="Times New Roman" w:cs="Times New Roman" w:eastAsia="Times New Roman" w:hint="default"/>
          <w:spacing w:val="-3"/>
          <w:sz w:val="20"/>
          <w:szCs w:val="20"/>
        </w:rPr>
        <w:t>3117</w:t>
      </w:r>
      <w:r>
        <w:rPr>
          <w:rFonts w:ascii="宋体" w:hAnsi="宋体" w:cs="宋体" w:eastAsia="宋体" w:hint="default"/>
          <w:spacing w:val="-3"/>
          <w:sz w:val="20"/>
          <w:szCs w:val="20"/>
        </w:rPr>
        <w:t>万元，占营业收入的</w:t>
      </w:r>
      <w:r>
        <w:rPr>
          <w:rFonts w:ascii="Times New Roman" w:hAnsi="Times New Roman" w:cs="Times New Roman" w:eastAsia="Times New Roman" w:hint="default"/>
          <w:spacing w:val="-3"/>
          <w:sz w:val="20"/>
          <w:szCs w:val="20"/>
        </w:rPr>
        <w:t>0.64%</w:t>
      </w:r>
      <w:r>
        <w:rPr>
          <w:rFonts w:ascii="宋体" w:hAnsi="宋体" w:cs="宋体" w:eastAsia="宋体" w:hint="default"/>
          <w:spacing w:val="-3"/>
          <w:sz w:val="20"/>
          <w:szCs w:val="20"/>
        </w:rPr>
        <w:t>。公司将在研发方面的持续加大投入，有利于保持</w:t>
      </w:r>
    </w:p>
    <w:p>
      <w:pPr>
        <w:spacing w:line="237" w:lineRule="exact" w:before="0"/>
        <w:ind w:left="153" w:right="1122" w:firstLine="0"/>
        <w:jc w:val="left"/>
        <w:rPr>
          <w:rFonts w:ascii="宋体" w:hAnsi="宋体" w:cs="宋体" w:eastAsia="宋体" w:hint="default"/>
          <w:sz w:val="20"/>
          <w:szCs w:val="20"/>
        </w:rPr>
      </w:pPr>
      <w:r>
        <w:rPr>
          <w:rFonts w:ascii="宋体" w:hAnsi="宋体" w:cs="宋体" w:eastAsia="宋体" w:hint="default"/>
          <w:sz w:val="20"/>
          <w:szCs w:val="20"/>
        </w:rPr>
        <w:t>公司的产品研发与创新能力，不断推出受市场欢迎的新产品和高品质产品，为公司的经营业绩提升带来积极的</w:t>
      </w:r>
    </w:p>
    <w:p>
      <w:pPr>
        <w:spacing w:before="50"/>
        <w:ind w:left="153" w:right="1122" w:firstLine="0"/>
        <w:jc w:val="left"/>
        <w:rPr>
          <w:rFonts w:ascii="宋体" w:hAnsi="宋体" w:cs="宋体" w:eastAsia="宋体" w:hint="default"/>
          <w:sz w:val="20"/>
          <w:szCs w:val="20"/>
        </w:rPr>
      </w:pPr>
      <w:r>
        <w:rPr>
          <w:rFonts w:ascii="宋体" w:hAnsi="宋体" w:cs="宋体" w:eastAsia="宋体" w:hint="default"/>
          <w:sz w:val="20"/>
          <w:szCs w:val="20"/>
        </w:rPr>
        <w:t>影响。</w:t>
      </w:r>
    </w:p>
    <w:p>
      <w:pPr>
        <w:pStyle w:val="BodyText"/>
        <w:spacing w:line="240" w:lineRule="auto" w:before="107"/>
        <w:ind w:right="1122"/>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31,173,492.97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36,492,264.27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22"/>
        <w:jc w:val="left"/>
      </w:pPr>
      <w:r>
        <w:rPr/>
        <w:t>研发投入总额占营业收入的比重较上年发生显著变化的原因</w:t>
      </w:r>
    </w:p>
    <w:p>
      <w:pPr>
        <w:pStyle w:val="BodyText"/>
        <w:spacing w:line="338" w:lineRule="auto" w:before="117"/>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4,137,309,088.14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4,454,529,731.05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3,265,969,222.16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4,427,498,548.61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-26.23%</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871,339,865.98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27,031,182.44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3,123.46%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185,825,860.85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454,362,492.63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1,396,130,389.07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2,977,917,413.69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-53.12%</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-1,210,304,528.22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-2,523,554,921.06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-52.04%</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5,647,703,703.02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10,816,084,284.87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-47.78%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6,490,047,433.40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7,670,267,639.58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-15.39%</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-842,343,730.38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3,145,816,645.29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-126.78%</w:t>
            </w:r>
            <w:r>
              <w:rPr>
                <w:rFonts w:ascii="Times New Roman"/>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-1,189,183,232.74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658,018,363.70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-280.72%</w:t>
            </w:r>
            <w:r>
              <w:rPr>
                <w:rFonts w:ascii="Times New Roman"/>
                <w:sz w:val="18"/>
              </w:rPr>
            </w:r>
          </w:p>
        </w:tc>
      </w:tr>
    </w:tbl>
    <w:p>
      <w:pPr>
        <w:pStyle w:val="BodyText"/>
        <w:spacing w:line="240" w:lineRule="auto" w:before="51"/>
        <w:ind w:left="154" w:right="1122"/>
        <w:jc w:val="left"/>
      </w:pPr>
      <w:r>
        <w:rPr/>
        <w:t>相关数据同比发生重大变动的主要影响因素说明</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030" w:firstLine="420"/>
        <w:jc w:val="left"/>
      </w:pPr>
      <w:r>
        <w:rPr>
          <w:rFonts w:ascii="宋体" w:hAnsi="宋体" w:cs="宋体" w:eastAsia="宋体" w:hint="default"/>
        </w:rPr>
        <w:t>1</w:t>
      </w:r>
      <w:r>
        <w:rPr/>
        <w:t>、经营活动产生的现金流量净额本年金额为</w:t>
      </w:r>
      <w:r>
        <w:rPr>
          <w:rFonts w:ascii="宋体" w:hAnsi="宋体" w:cs="宋体" w:eastAsia="宋体" w:hint="default"/>
        </w:rPr>
        <w:t>8.71</w:t>
      </w:r>
      <w:r>
        <w:rPr/>
        <w:t>亿元，比上期金额增加</w:t>
      </w:r>
      <w:r>
        <w:rPr>
          <w:rFonts w:ascii="宋体" w:hAnsi="宋体" w:cs="宋体" w:eastAsia="宋体" w:hint="default"/>
        </w:rPr>
        <w:t>8.44</w:t>
      </w:r>
      <w:r>
        <w:rPr/>
        <w:t>亿元。主要差异系</w:t>
      </w:r>
      <w:r>
        <w:rPr>
          <w:rFonts w:ascii="宋体" w:hAnsi="宋体" w:cs="宋体" w:eastAsia="宋体" w:hint="default"/>
        </w:rPr>
        <w:t>2016</w:t>
      </w:r>
      <w:r>
        <w:rPr/>
        <w:t>年公司兑付到期商 </w:t>
      </w:r>
      <w:r>
        <w:rPr>
          <w:spacing w:val="-3"/>
        </w:rPr>
        <w:t>业票据</w:t>
      </w:r>
      <w:r>
        <w:rPr>
          <w:rFonts w:ascii="宋体" w:hAnsi="宋体" w:cs="宋体" w:eastAsia="宋体" w:hint="default"/>
          <w:spacing w:val="-3"/>
        </w:rPr>
        <w:t>9.11</w:t>
      </w:r>
      <w:r>
        <w:rPr>
          <w:spacing w:val="-3"/>
        </w:rPr>
        <w:t>亿元，致</w:t>
      </w:r>
      <w:r>
        <w:rPr>
          <w:rFonts w:ascii="宋体" w:hAnsi="宋体" w:cs="宋体" w:eastAsia="宋体" w:hint="default"/>
          <w:spacing w:val="-3"/>
        </w:rPr>
        <w:t>2016</w:t>
      </w:r>
      <w:r>
        <w:rPr>
          <w:spacing w:val="-3"/>
        </w:rPr>
        <w:t>年经营活动现金净额较低。同时，报告期公司制造业业务稳定，为公司带来了较为稳定的现金流入。</w:t>
      </w:r>
      <w:r>
        <w:rPr/>
        <w:t> </w:t>
      </w:r>
      <w:r>
        <w:rPr>
          <w:spacing w:val="-4"/>
        </w:rPr>
        <w:t>公司光伏电站相继并网发电，公司电站运维管理日趋精细化，光伏发电收入得以大幅提升。光伏电站经营运维所需资金量小，</w:t>
      </w:r>
      <w:r>
        <w:rPr>
          <w:spacing w:val="-44"/>
        </w:rPr>
        <w:t> </w:t>
      </w:r>
      <w:r>
        <w:rPr>
          <w:spacing w:val="-44"/>
        </w:rPr>
      </w:r>
      <w:r>
        <w:rPr/>
        <w:t>随着光伏电费及补贴相继到位，公司经营活动现金流量得以改善。</w:t>
      </w:r>
    </w:p>
    <w:p>
      <w:pPr>
        <w:pStyle w:val="BodyText"/>
        <w:spacing w:line="300" w:lineRule="auto" w:before="17"/>
        <w:ind w:right="1122" w:firstLine="420"/>
        <w:jc w:val="left"/>
      </w:pPr>
      <w:r>
        <w:rPr>
          <w:rFonts w:ascii="宋体" w:hAnsi="宋体" w:cs="宋体" w:eastAsia="宋体" w:hint="default"/>
          <w:spacing w:val="-1"/>
        </w:rPr>
        <w:t>2</w:t>
      </w:r>
      <w:r>
        <w:rPr>
          <w:spacing w:val="-1"/>
        </w:rPr>
        <w:t>、投资活动产生的现金流量净额本年金额为</w:t>
      </w:r>
      <w:r>
        <w:rPr>
          <w:rFonts w:ascii="Times New Roman" w:hAnsi="Times New Roman" w:cs="Times New Roman" w:eastAsia="Times New Roman" w:hint="default"/>
          <w:spacing w:val="-1"/>
        </w:rPr>
        <w:t>-12.10</w:t>
      </w:r>
      <w:r>
        <w:rPr>
          <w:spacing w:val="-1"/>
        </w:rPr>
        <w:t>亿元，比上期金额减少</w:t>
      </w:r>
      <w:r>
        <w:rPr>
          <w:rFonts w:ascii="Times New Roman" w:hAnsi="Times New Roman" w:cs="Times New Roman" w:eastAsia="Times New Roman" w:hint="default"/>
          <w:spacing w:val="-1"/>
        </w:rPr>
        <w:t>13.13</w:t>
      </w:r>
      <w:r>
        <w:rPr>
          <w:spacing w:val="-1"/>
        </w:rPr>
        <w:t>亿元，其主要原因是公司光伏电站项目</w:t>
      </w:r>
      <w:r>
        <w:rPr/>
        <w:t> 相继并网，大幅减少了光伏电站投资支出。</w:t>
      </w:r>
    </w:p>
    <w:p>
      <w:pPr>
        <w:pStyle w:val="BodyText"/>
        <w:spacing w:line="300" w:lineRule="auto" w:before="31"/>
        <w:ind w:left="154" w:right="1185" w:firstLine="420"/>
        <w:jc w:val="both"/>
      </w:pPr>
      <w:r>
        <w:rPr>
          <w:rFonts w:ascii="宋体" w:hAnsi="宋体" w:cs="宋体" w:eastAsia="宋体" w:hint="default"/>
        </w:rPr>
        <w:t>3</w:t>
      </w:r>
      <w:r>
        <w:rPr/>
        <w:t>、筹资活动产生的现金流量净额本年金额为</w:t>
      </w:r>
      <w:r>
        <w:rPr>
          <w:rFonts w:ascii="Times New Roman" w:hAnsi="Times New Roman" w:cs="Times New Roman" w:eastAsia="Times New Roman" w:hint="default"/>
        </w:rPr>
        <w:t>-8.42</w:t>
      </w:r>
      <w:r>
        <w:rPr/>
        <w:t>亿元，比上期金额减少</w:t>
      </w:r>
      <w:r>
        <w:rPr>
          <w:rFonts w:ascii="Times New Roman" w:hAnsi="Times New Roman" w:cs="Times New Roman" w:eastAsia="Times New Roman" w:hint="default"/>
        </w:rPr>
        <w:t>39.88</w:t>
      </w:r>
      <w:r>
        <w:rPr/>
        <w:t>亿元，其主要差异原因是</w:t>
      </w:r>
      <w:r>
        <w:rPr>
          <w:rFonts w:ascii="Times New Roman" w:hAnsi="Times New Roman" w:cs="Times New Roman" w:eastAsia="Times New Roman" w:hint="default"/>
        </w:rPr>
        <w:t>2016</w:t>
      </w:r>
      <w:r>
        <w:rPr/>
        <w:t>年公司有 非公开发行股票取得募集资金</w:t>
      </w:r>
      <w:r>
        <w:rPr>
          <w:rFonts w:ascii="Times New Roman" w:hAnsi="Times New Roman" w:cs="Times New Roman" w:eastAsia="Times New Roman" w:hint="default"/>
        </w:rPr>
        <w:t>37.95</w:t>
      </w:r>
      <w:r>
        <w:rPr/>
        <w:t>亿元。报告期随着公司光伏电站项目相继并网，公司减少了投资资金需求，电站建设项 目贷款大幅减少。</w:t>
      </w:r>
    </w:p>
    <w:p>
      <w:pPr>
        <w:spacing w:line="240" w:lineRule="auto" w:before="0"/>
        <w:rPr>
          <w:rFonts w:ascii="宋体" w:hAnsi="宋体" w:cs="宋体" w:eastAsia="宋体" w:hint="default"/>
          <w:sz w:val="18"/>
          <w:szCs w:val="18"/>
        </w:rPr>
      </w:pPr>
    </w:p>
    <w:p>
      <w:pPr>
        <w:pStyle w:val="BodyText"/>
        <w:spacing w:line="240" w:lineRule="auto" w:before="148"/>
        <w:ind w:left="154" w:right="1122"/>
        <w:jc w:val="left"/>
      </w:pPr>
      <w:r>
        <w:rPr/>
        <w:t>报告期内公司经营活动产生的现金净流量与本年度净利润存在重大差异的原因说明</w:t>
      </w:r>
    </w:p>
    <w:p>
      <w:pPr>
        <w:pStyle w:val="BodyText"/>
        <w:spacing w:line="240" w:lineRule="auto" w:before="117"/>
        <w:ind w:left="154" w:right="1122"/>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19" w:lineRule="auto" w:before="101"/>
        <w:ind w:right="1122" w:firstLine="420"/>
        <w:jc w:val="left"/>
      </w:pPr>
      <w:r>
        <w:rPr/>
        <w:t>报告期内公司经营活动的现金净流量与本年度归属于上市公司股东的净利润相差较大，主要是报告期公司净利润中扣 </w:t>
      </w:r>
      <w:r>
        <w:rPr>
          <w:spacing w:val="-6"/>
        </w:rPr>
        <w:t>减了固定资产折旧</w:t>
      </w:r>
      <w:r>
        <w:rPr>
          <w:spacing w:val="-53"/>
        </w:rPr>
        <w:t> </w:t>
      </w:r>
      <w:r>
        <w:rPr>
          <w:rFonts w:ascii="Times New Roman" w:hAnsi="Times New Roman" w:cs="Times New Roman" w:eastAsia="Times New Roman" w:hint="default"/>
          <w:spacing w:val="-4"/>
        </w:rPr>
        <w:t>4.89</w:t>
      </w:r>
      <w:r>
        <w:rPr>
          <w:rFonts w:ascii="Times New Roman" w:hAnsi="Times New Roman" w:cs="Times New Roman" w:eastAsia="Times New Roman" w:hint="default"/>
          <w:spacing w:val="-6"/>
        </w:rPr>
        <w:t> </w:t>
      </w:r>
      <w:r>
        <w:rPr>
          <w:spacing w:val="-4"/>
        </w:rPr>
        <w:t>亿元、财务费用</w:t>
      </w:r>
      <w:r>
        <w:rPr>
          <w:spacing w:val="-45"/>
        </w:rPr>
        <w:t> </w:t>
      </w:r>
      <w:r>
        <w:rPr>
          <w:rFonts w:ascii="Times New Roman" w:hAnsi="Times New Roman" w:cs="Times New Roman" w:eastAsia="Times New Roman" w:hint="default"/>
        </w:rPr>
        <w:t>5.05 </w:t>
      </w:r>
      <w:r>
        <w:rPr/>
        <w:t>亿元，营业收入大幅上升致经营性应收项目增加</w:t>
      </w:r>
      <w:r>
        <w:rPr>
          <w:spacing w:val="-44"/>
        </w:rPr>
        <w:t> </w:t>
      </w:r>
      <w:r>
        <w:rPr>
          <w:rFonts w:ascii="Times New Roman" w:hAnsi="Times New Roman" w:cs="Times New Roman" w:eastAsia="Times New Roman" w:hint="default"/>
        </w:rPr>
        <w:t>6.15 </w:t>
      </w:r>
      <w:r>
        <w:rPr/>
        <w:t>亿元所致。</w:t>
      </w:r>
    </w:p>
    <w:p>
      <w:pPr>
        <w:spacing w:line="240" w:lineRule="auto" w:before="13"/>
        <w:rPr>
          <w:rFonts w:ascii="宋体" w:hAnsi="宋体" w:cs="宋体" w:eastAsia="宋体" w:hint="default"/>
          <w:sz w:val="18"/>
          <w:szCs w:val="18"/>
        </w:rPr>
      </w:pPr>
    </w:p>
    <w:p>
      <w:pPr>
        <w:pStyle w:val="Heading2"/>
        <w:spacing w:line="240" w:lineRule="auto"/>
        <w:ind w:right="1122"/>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12"/>
        <w:gridCol w:w="1454"/>
        <w:gridCol w:w="1559"/>
        <w:gridCol w:w="4253"/>
        <w:gridCol w:w="780"/>
      </w:tblGrid>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3" w:right="24"/>
              <w:jc w:val="left"/>
              <w:rPr>
                <w:rFonts w:ascii="宋体" w:hAnsi="宋体" w:cs="宋体" w:eastAsia="宋体" w:hint="default"/>
                <w:sz w:val="18"/>
                <w:szCs w:val="18"/>
              </w:rPr>
            </w:pPr>
            <w:r>
              <w:rPr>
                <w:rFonts w:ascii="宋体" w:hAnsi="宋体" w:cs="宋体" w:eastAsia="宋体" w:hint="default"/>
                <w:sz w:val="18"/>
                <w:szCs w:val="18"/>
              </w:rPr>
              <w:t>是否具有 可持续性</w:t>
            </w:r>
          </w:p>
        </w:tc>
      </w:tr>
      <w:tr>
        <w:trPr>
          <w:trHeight w:val="393"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
        </w:tc>
        <w:tc>
          <w:tcPr>
            <w:tcW w:w="14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5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42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425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298"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45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79" w:right="0"/>
              <w:jc w:val="left"/>
              <w:rPr>
                <w:rFonts w:ascii="Times New Roman" w:hAnsi="Times New Roman" w:cs="Times New Roman" w:eastAsia="Times New Roman" w:hint="default"/>
                <w:sz w:val="18"/>
                <w:szCs w:val="18"/>
              </w:rPr>
            </w:pPr>
            <w:r>
              <w:rPr>
                <w:rFonts w:ascii="Times New Roman"/>
                <w:sz w:val="18"/>
              </w:rPr>
              <w:t>69,464,722.64</w:t>
            </w:r>
          </w:p>
        </w:tc>
        <w:tc>
          <w:tcPr>
            <w:tcW w:w="15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971" w:right="0"/>
              <w:jc w:val="left"/>
              <w:rPr>
                <w:rFonts w:ascii="Times New Roman" w:hAnsi="Times New Roman" w:cs="Times New Roman" w:eastAsia="Times New Roman" w:hint="default"/>
                <w:sz w:val="18"/>
                <w:szCs w:val="18"/>
              </w:rPr>
            </w:pPr>
            <w:r>
              <w:rPr>
                <w:rFonts w:ascii="Times New Roman"/>
                <w:sz w:val="18"/>
              </w:rPr>
              <w:t>52.35%</w:t>
            </w:r>
          </w:p>
        </w:tc>
        <w:tc>
          <w:tcPr>
            <w:tcW w:w="425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主要系报告期以权益法按持股比率确认参股公司赣州 发展融资租赁有限责任公司和苏州爱康能源工程技术 股份有限公司的投资收益和出售子公司徐闻爱康电力</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454" w:type="dxa"/>
            <w:vMerge/>
            <w:tcBorders>
              <w:left w:val="single" w:sz="9" w:space="0" w:color="D2D2D2"/>
              <w:right w:val="single" w:sz="4" w:space="0" w:color="000000"/>
            </w:tcBorders>
          </w:tcPr>
          <w:p>
            <w:pPr/>
          </w:p>
        </w:tc>
        <w:tc>
          <w:tcPr>
            <w:tcW w:w="1559" w:type="dxa"/>
            <w:vMerge/>
            <w:tcBorders>
              <w:left w:val="single" w:sz="4" w:space="0" w:color="000000"/>
              <w:right w:val="single" w:sz="4" w:space="0" w:color="000000"/>
            </w:tcBorders>
          </w:tcPr>
          <w:p>
            <w:pPr/>
          </w:p>
        </w:tc>
        <w:tc>
          <w:tcPr>
            <w:tcW w:w="4253"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298"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454" w:type="dxa"/>
            <w:vMerge/>
            <w:tcBorders>
              <w:left w:val="single" w:sz="9" w:space="0" w:color="D2D2D2"/>
              <w:bottom w:val="single" w:sz="4" w:space="0" w:color="000000"/>
              <w:right w:val="single" w:sz="4" w:space="0" w:color="000000"/>
            </w:tcBorders>
          </w:tcPr>
          <w:p>
            <w:pPr/>
          </w:p>
        </w:tc>
        <w:tc>
          <w:tcPr>
            <w:tcW w:w="1559" w:type="dxa"/>
            <w:vMerge/>
            <w:tcBorders>
              <w:left w:val="single" w:sz="4" w:space="0" w:color="000000"/>
              <w:bottom w:val="single" w:sz="4" w:space="0" w:color="000000"/>
              <w:right w:val="single" w:sz="4" w:space="0" w:color="000000"/>
            </w:tcBorders>
          </w:tcPr>
          <w:p>
            <w:pPr/>
          </w:p>
        </w:tc>
        <w:tc>
          <w:tcPr>
            <w:tcW w:w="4253"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3"/>
        <w:gridCol w:w="1454"/>
        <w:gridCol w:w="1559"/>
        <w:gridCol w:w="4253"/>
        <w:gridCol w:w="780"/>
      </w:tblGrid>
      <w:tr>
        <w:trPr>
          <w:trHeight w:val="986"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4"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开发有限公司、新疆爱康慧诚信息技术有限公司、青 海蓓翔新能源开发有限公司等股权所取得投资收益增 加所致。</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主要系远期外汇合约汇率差异产生所致。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37,932,737.65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28.59%</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2"/>
              <w:jc w:val="left"/>
              <w:rPr>
                <w:rFonts w:ascii="宋体" w:hAnsi="宋体" w:cs="宋体" w:eastAsia="宋体" w:hint="default"/>
                <w:sz w:val="18"/>
                <w:szCs w:val="18"/>
              </w:rPr>
            </w:pPr>
            <w:r>
              <w:rPr>
                <w:rFonts w:ascii="宋体" w:hAnsi="宋体" w:cs="宋体" w:eastAsia="宋体" w:hint="default"/>
                <w:spacing w:val="-2"/>
                <w:sz w:val="18"/>
                <w:szCs w:val="18"/>
              </w:rPr>
              <w:t>主要系报告期计提存货跌价准备、应收账款坏账准备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固定资产等长期资产减值损失所致。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559"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38.550pt;height:28pt;mso-position-horizontal-relative:char;mso-position-vertical-relative:line" coordorigin="0,0" coordsize="771,560">
                  <v:group style="position:absolute;left:0;top:0;width:771;height:156" coordorigin="0,0" coordsize="771,156">
                    <v:shape style="position:absolute;left:0;top:0;width:771;height:156" coordorigin="0,0" coordsize="771,156" path="m0,156l770,156,770,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725;height:393" coordorigin="23,156" coordsize="725,393">
                    <v:shape style="position:absolute;left:23;top:156;width:725;height:393" coordorigin="23,156" coordsize="725,393" path="m23,548l748,548,748,156,23,156,23,548xe" filled="true" fillcolor="#ffffff" stroked="false">
                      <v:path arrowok="t"/>
                      <v:fill type="solid"/>
                    </v:shape>
                  </v:group>
                </v:group>
              </w:pict>
            </w:r>
            <w:r>
              <w:rPr>
                <w:rFonts w:ascii="宋体" w:hAnsi="宋体" w:cs="宋体" w:eastAsia="宋体" w:hint="default"/>
                <w:position w:val="-10"/>
                <w:sz w:val="20"/>
                <w:szCs w:val="20"/>
              </w:rPr>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46,415,520.42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34.98%</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主要系报告期公司取得光伏电站电量的补偿款所致。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25,765,642.62</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主要系报告期非流动资产毁损报废损失等增加所致。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16,088,161.25</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主要为公司处置固定资产等长期资产取得的利得。</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57,357,378.77</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43.23%</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主要系公司取得与日常经营相关政府补贴所致。</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37"/>
        <w:gridCol w:w="901"/>
        <w:gridCol w:w="1367"/>
        <w:gridCol w:w="892"/>
        <w:gridCol w:w="798"/>
        <w:gridCol w:w="2918"/>
      </w:tblGrid>
      <w:tr>
        <w:trPr>
          <w:trHeight w:val="385"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5" w:right="84"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367" w:type="dxa"/>
            <w:tcBorders>
              <w:top w:val="single" w:sz="4" w:space="0" w:color="000000"/>
              <w:left w:val="single" w:sz="4" w:space="0" w:color="000000"/>
              <w:bottom w:val="nil" w:sz="6" w:space="0" w:color="auto"/>
              <w:right w:val="single" w:sz="4" w:space="0" w:color="000000"/>
            </w:tcBorders>
            <w:shd w:val="clear" w:color="auto" w:fill="D2D2D2"/>
          </w:tcPr>
          <w:p>
            <w:pP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1" w:type="dxa"/>
            <w:vMerge/>
            <w:tcBorders>
              <w:left w:val="single" w:sz="4" w:space="0" w:color="000000"/>
              <w:right w:val="single" w:sz="4" w:space="0" w:color="000000"/>
            </w:tcBorders>
            <w:shd w:val="clear" w:color="auto" w:fill="D2D2D2"/>
          </w:tcPr>
          <w:p>
            <w:pPr/>
          </w:p>
        </w:tc>
        <w:tc>
          <w:tcPr>
            <w:tcW w:w="13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7" w:type="dxa"/>
            <w:vMerge/>
            <w:tcBorders>
              <w:left w:val="single" w:sz="4" w:space="0" w:color="000000"/>
              <w:bottom w:val="nil" w:sz="6" w:space="0" w:color="auto"/>
              <w:right w:val="single" w:sz="4" w:space="0" w:color="000000"/>
            </w:tcBorders>
            <w:shd w:val="clear" w:color="auto" w:fill="D2D2D2"/>
          </w:tcPr>
          <w:p>
            <w:pPr/>
          </w:p>
        </w:tc>
        <w:tc>
          <w:tcPr>
            <w:tcW w:w="901" w:type="dxa"/>
            <w:vMerge/>
            <w:tcBorders>
              <w:left w:val="single" w:sz="4" w:space="0" w:color="000000"/>
              <w:right w:val="single" w:sz="4" w:space="0" w:color="000000"/>
            </w:tcBorders>
            <w:shd w:val="clear" w:color="auto" w:fill="D2D2D2"/>
          </w:tcPr>
          <w:p>
            <w:pPr/>
          </w:p>
        </w:tc>
        <w:tc>
          <w:tcPr>
            <w:tcW w:w="1367" w:type="dxa"/>
            <w:vMerge/>
            <w:tcBorders>
              <w:left w:val="single" w:sz="4" w:space="0" w:color="000000"/>
              <w:bottom w:val="nil" w:sz="6" w:space="0" w:color="auto"/>
              <w:right w:val="single" w:sz="4" w:space="0" w:color="000000"/>
            </w:tcBorders>
            <w:shd w:val="clear" w:color="auto" w:fill="D2D2D2"/>
          </w:tcPr>
          <w:p>
            <w:pPr/>
          </w:p>
        </w:tc>
        <w:tc>
          <w:tcPr>
            <w:tcW w:w="892"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01"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nil" w:sz="6" w:space="0" w:color="auto"/>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2,862,939,724.35</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2,624,978,457.53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0.86%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1,899,270,363.06</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1,613,339,537.99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9.77%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44" w:right="0"/>
              <w:jc w:val="center"/>
              <w:rPr>
                <w:rFonts w:ascii="Times New Roman" w:hAnsi="Times New Roman" w:cs="Times New Roman" w:eastAsia="Times New Roman" w:hint="default"/>
                <w:sz w:val="18"/>
                <w:szCs w:val="18"/>
              </w:rPr>
            </w:pPr>
            <w:r>
              <w:rPr>
                <w:rFonts w:ascii="Times New Roman"/>
                <w:sz w:val="18"/>
              </w:rPr>
              <w:t>255,569,403.48</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412,669,515.39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7" w:type="dxa"/>
            <w:tcBorders>
              <w:top w:val="single" w:sz="4" w:space="0" w:color="000000"/>
              <w:left w:val="single" w:sz="13" w:space="0" w:color="D2D2D2"/>
              <w:bottom w:val="single" w:sz="4" w:space="0" w:color="000000"/>
              <w:right w:val="single" w:sz="4" w:space="0" w:color="000000"/>
            </w:tcBorders>
          </w:tcPr>
          <w:p>
            <w:pP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4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1,379,073,550.59</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8.09%</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250,731,605.19</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93" w:right="0"/>
              <w:jc w:val="left"/>
              <w:rPr>
                <w:rFonts w:ascii="Times New Roman" w:hAnsi="Times New Roman" w:cs="Times New Roman" w:eastAsia="Times New Roman" w:hint="default"/>
                <w:sz w:val="18"/>
                <w:szCs w:val="18"/>
              </w:rPr>
            </w:pPr>
            <w:r>
              <w:rPr>
                <w:rFonts w:ascii="Times New Roman"/>
                <w:sz w:val="18"/>
              </w:rPr>
              <w:t>1.52%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6.57%</w:t>
            </w:r>
          </w:p>
        </w:tc>
        <w:tc>
          <w:tcPr>
            <w:tcW w:w="2918" w:type="dxa"/>
            <w:vMerge w:val="restart"/>
            <w:tcBorders>
              <w:top w:val="single" w:sz="4" w:space="0" w:color="000000"/>
              <w:left w:val="single" w:sz="4" w:space="0" w:color="000000"/>
              <w:right w:val="single" w:sz="4" w:space="0" w:color="000000"/>
            </w:tcBorders>
          </w:tcPr>
          <w:p>
            <w:pPr>
              <w:pStyle w:val="TableParagraph"/>
              <w:spacing w:line="31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主要系报告公司购买了苏州爱康能 源工程技术股份有限公司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37.64%</w:t>
            </w:r>
            <w:r>
              <w:rPr>
                <w:rFonts w:ascii="宋体" w:hAnsi="宋体" w:cs="宋体" w:eastAsia="宋体" w:hint="default"/>
                <w:sz w:val="18"/>
                <w:szCs w:val="18"/>
              </w:rPr>
              <w:t>的 </w:t>
            </w:r>
            <w:r>
              <w:rPr>
                <w:rFonts w:ascii="宋体" w:hAnsi="宋体" w:cs="宋体" w:eastAsia="宋体" w:hint="default"/>
                <w:spacing w:val="-2"/>
                <w:sz w:val="18"/>
                <w:szCs w:val="18"/>
              </w:rPr>
              <w:t>股权，公司对其构成重大影响，以权</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益法核算增加了长期股权投资；公司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出售金昌电站</w:t>
            </w:r>
            <w:r>
              <w:rPr>
                <w:rFonts w:ascii="宋体" w:hAnsi="宋体" w:cs="宋体" w:eastAsia="宋体" w:hint="default"/>
                <w:spacing w:val="-40"/>
                <w:sz w:val="18"/>
                <w:szCs w:val="18"/>
              </w:rPr>
              <w:t> </w:t>
            </w:r>
            <w:r>
              <w:rPr>
                <w:rFonts w:ascii="Times New Roman" w:hAnsi="Times New Roman" w:cs="Times New Roman" w:eastAsia="Times New Roman" w:hint="default"/>
                <w:spacing w:val="-4"/>
                <w:sz w:val="18"/>
                <w:szCs w:val="18"/>
              </w:rPr>
              <w:t>51%</w:t>
            </w:r>
            <w:r>
              <w:rPr>
                <w:rFonts w:ascii="宋体" w:hAnsi="宋体" w:cs="宋体" w:eastAsia="宋体" w:hint="default"/>
                <w:spacing w:val="-4"/>
                <w:sz w:val="18"/>
                <w:szCs w:val="18"/>
              </w:rPr>
              <w:t>的股权，不在为合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并范围内公司，改由权益法核算剩余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Times New Roman" w:hAnsi="Times New Roman" w:cs="Times New Roman" w:eastAsia="Times New Roman" w:hint="default"/>
                <w:sz w:val="18"/>
                <w:szCs w:val="18"/>
              </w:rPr>
              <w:t>49%</w:t>
            </w:r>
            <w:r>
              <w:rPr>
                <w:rFonts w:ascii="宋体" w:hAnsi="宋体" w:cs="宋体" w:eastAsia="宋体" w:hint="default"/>
                <w:sz w:val="18"/>
                <w:szCs w:val="18"/>
              </w:rPr>
              <w:t>股权投资所致。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94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74"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7,232,797,715.04</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42.34%</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7,770,902,916.48</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47.07%</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-4.73%</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3"/>
              <w:jc w:val="both"/>
              <w:rPr>
                <w:rFonts w:ascii="宋体" w:hAnsi="宋体" w:cs="宋体" w:eastAsia="宋体" w:hint="default"/>
                <w:sz w:val="18"/>
                <w:szCs w:val="18"/>
              </w:rPr>
            </w:pPr>
            <w:r>
              <w:rPr>
                <w:rFonts w:ascii="宋体" w:hAnsi="宋体" w:cs="宋体" w:eastAsia="宋体" w:hint="default"/>
                <w:sz w:val="18"/>
                <w:szCs w:val="18"/>
              </w:rPr>
              <w:t>主要系报告期出售青海蓓翔电站、金 昌电站、徐闻电站减少了固定资产， 同时，抵减了在建光伏电站并网增加 固定资产的影响所致。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473"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1,146,664,179.81</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3" w:right="0"/>
              <w:jc w:val="left"/>
              <w:rPr>
                <w:rFonts w:ascii="Times New Roman" w:hAnsi="Times New Roman" w:cs="Times New Roman" w:eastAsia="Times New Roman" w:hint="default"/>
                <w:sz w:val="18"/>
                <w:szCs w:val="18"/>
              </w:rPr>
            </w:pPr>
            <w:r>
              <w:rPr>
                <w:rFonts w:ascii="Times New Roman"/>
                <w:sz w:val="18"/>
              </w:rPr>
              <w:t>6.71%</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2,036,085,380.65</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12.33%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-5.62%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主要系报告期在建光伏电站项目并 网转固所致。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162"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7"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4,137,819,111.66</w:t>
            </w:r>
          </w:p>
        </w:tc>
        <w:tc>
          <w:tcPr>
            <w:tcW w:w="90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13" w:right="0"/>
              <w:jc w:val="left"/>
              <w:rPr>
                <w:rFonts w:ascii="Times New Roman" w:hAnsi="Times New Roman" w:cs="Times New Roman" w:eastAsia="Times New Roman" w:hint="default"/>
                <w:sz w:val="18"/>
                <w:szCs w:val="18"/>
              </w:rPr>
            </w:pPr>
            <w:r>
              <w:rPr>
                <w:rFonts w:ascii="Times New Roman"/>
                <w:sz w:val="18"/>
              </w:rPr>
              <w:t>24.22%</w:t>
            </w:r>
          </w:p>
        </w:tc>
        <w:tc>
          <w:tcPr>
            <w:tcW w:w="136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2,263,843,316.53</w:t>
            </w:r>
          </w:p>
        </w:tc>
        <w:tc>
          <w:tcPr>
            <w:tcW w:w="89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03" w:right="0"/>
              <w:jc w:val="left"/>
              <w:rPr>
                <w:rFonts w:ascii="Times New Roman" w:hAnsi="Times New Roman" w:cs="Times New Roman" w:eastAsia="Times New Roman" w:hint="default"/>
                <w:sz w:val="18"/>
                <w:szCs w:val="18"/>
              </w:rPr>
            </w:pPr>
            <w:r>
              <w:rPr>
                <w:rFonts w:ascii="Times New Roman"/>
                <w:sz w:val="18"/>
              </w:rPr>
              <w:t>13.71%</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10.51%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主要系公司因经营需要短期融资增 加所致。</w:t>
            </w:r>
          </w:p>
        </w:tc>
      </w:tr>
      <w:tr>
        <w:trPr>
          <w:trHeight w:val="391" w:hRule="exact"/>
        </w:trPr>
        <w:tc>
          <w:tcPr>
            <w:tcW w:w="13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37" w:type="dxa"/>
            <w:vMerge/>
            <w:tcBorders>
              <w:left w:val="single" w:sz="9" w:space="0" w:color="D2D2D2"/>
              <w:right w:val="single" w:sz="4" w:space="0" w:color="000000"/>
            </w:tcBorders>
          </w:tcPr>
          <w:p>
            <w:pPr/>
          </w:p>
        </w:tc>
        <w:tc>
          <w:tcPr>
            <w:tcW w:w="901"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892"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7" w:type="dxa"/>
            <w:vMerge/>
            <w:tcBorders>
              <w:left w:val="single" w:sz="9" w:space="0" w:color="D2D2D2"/>
              <w:bottom w:val="single" w:sz="4" w:space="0" w:color="000000"/>
              <w:right w:val="single" w:sz="4" w:space="0" w:color="000000"/>
            </w:tcBorders>
          </w:tcPr>
          <w:p>
            <w:pPr/>
          </w:p>
        </w:tc>
        <w:tc>
          <w:tcPr>
            <w:tcW w:w="901"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892"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3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2,651,919,241.71</w:t>
            </w:r>
          </w:p>
        </w:tc>
        <w:tc>
          <w:tcPr>
            <w:tcW w:w="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3,346,380,000.00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96"/>
        <w:gridCol w:w="1231"/>
        <w:gridCol w:w="1207"/>
        <w:gridCol w:w="1213"/>
        <w:gridCol w:w="1207"/>
        <w:gridCol w:w="1219"/>
        <w:gridCol w:w="1213"/>
        <w:gridCol w:w="1073"/>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31"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31"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60"/>
              <w:jc w:val="right"/>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61"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31"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31"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64"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9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1" w:right="9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 计量且其变动 计入当期损益 的金融资产</w:t>
            </w:r>
          </w:p>
          <w:p>
            <w:pPr>
              <w:pStyle w:val="TableParagraph"/>
              <w:spacing w:line="319" w:lineRule="auto" w:before="22"/>
              <w:ind w:left="11" w:right="93"/>
              <w:jc w:val="both"/>
              <w:rPr>
                <w:rFonts w:ascii="宋体" w:hAnsi="宋体" w:cs="宋体" w:eastAsia="宋体" w:hint="default"/>
                <w:sz w:val="18"/>
                <w:szCs w:val="18"/>
              </w:rPr>
            </w:pPr>
            <w:r>
              <w:rPr>
                <w:rFonts w:ascii="宋体" w:hAnsi="宋体" w:cs="宋体" w:eastAsia="宋体" w:hint="default"/>
                <w:sz w:val="18"/>
                <w:szCs w:val="18"/>
              </w:rPr>
              <w:t>（不含衍生金 融资产）</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231" w:type="dxa"/>
            <w:tcBorders>
              <w:top w:val="single" w:sz="4" w:space="0" w:color="000000"/>
              <w:left w:val="single" w:sz="13" w:space="0" w:color="D2D2D2"/>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13" w:type="dxa"/>
            <w:tcBorders>
              <w:top w:val="single" w:sz="4" w:space="0" w:color="000000"/>
              <w:left w:val="single" w:sz="4" w:space="0" w:color="000000"/>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23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0.00</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22"/>
        <w:jc w:val="left"/>
      </w:pPr>
      <w:r>
        <w:rPr/>
        <w:t>报告期内公司主要资产计量属性是否发生重大变化</w:t>
      </w:r>
    </w:p>
    <w:p>
      <w:pPr>
        <w:pStyle w:val="BodyText"/>
        <w:spacing w:line="240" w:lineRule="auto" w:before="117"/>
        <w:ind w:left="154"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7"/>
        <w:rPr>
          <w:rFonts w:ascii="宋体" w:hAnsi="宋体" w:cs="宋体" w:eastAsia="宋体" w:hint="default"/>
          <w:b/>
          <w:bCs/>
          <w:sz w:val="26"/>
          <w:szCs w:val="26"/>
        </w:rPr>
      </w:pPr>
    </w:p>
    <w:tbl>
      <w:tblPr>
        <w:tblW w:w="0" w:type="auto"/>
        <w:jc w:val="left"/>
        <w:tblInd w:w="141" w:type="dxa"/>
        <w:tblLayout w:type="fixed"/>
        <w:tblCellMar>
          <w:top w:w="0" w:type="dxa"/>
          <w:left w:w="0" w:type="dxa"/>
          <w:bottom w:w="0" w:type="dxa"/>
          <w:right w:w="0" w:type="dxa"/>
        </w:tblCellMar>
        <w:tblLook w:val="01E0"/>
      </w:tblPr>
      <w:tblGrid>
        <w:gridCol w:w="1357"/>
        <w:gridCol w:w="3294"/>
        <w:gridCol w:w="5006"/>
      </w:tblGrid>
      <w:tr>
        <w:trPr>
          <w:trHeight w:val="326"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398" w:val="left" w:leader="none"/>
              </w:tabs>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329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500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659"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294"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2,149,846,787.65</w:t>
            </w:r>
          </w:p>
        </w:tc>
        <w:tc>
          <w:tcPr>
            <w:tcW w:w="5006" w:type="dxa"/>
            <w:tcBorders>
              <w:top w:val="single" w:sz="8" w:space="0" w:color="000000"/>
              <w:left w:val="single" w:sz="4" w:space="0" w:color="000000"/>
              <w:bottom w:val="single" w:sz="4" w:space="0" w:color="000000"/>
              <w:right w:val="single" w:sz="4" w:space="0" w:color="000000"/>
            </w:tcBorders>
          </w:tcPr>
          <w:p>
            <w:pPr>
              <w:pStyle w:val="TableParagraph"/>
              <w:spacing w:line="316" w:lineRule="auto" w:before="20"/>
              <w:ind w:left="1327" w:right="3" w:hanging="1323"/>
              <w:jc w:val="left"/>
              <w:rPr>
                <w:rFonts w:ascii="宋体" w:hAnsi="宋体" w:cs="宋体" w:eastAsia="宋体" w:hint="default"/>
                <w:sz w:val="18"/>
                <w:szCs w:val="18"/>
              </w:rPr>
            </w:pPr>
            <w:r>
              <w:rPr>
                <w:rFonts w:ascii="宋体" w:hAnsi="宋体" w:cs="宋体" w:eastAsia="宋体" w:hint="default"/>
                <w:spacing w:val="-2"/>
                <w:sz w:val="18"/>
                <w:szCs w:val="18"/>
              </w:rPr>
              <w:t>银行承兑汇票保证金、信用证保证金、质押定期存款、保函保证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金、远期外汇合约保证金等。</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967,477,131.33</w:t>
            </w:r>
          </w:p>
        </w:tc>
        <w:tc>
          <w:tcPr>
            <w:tcW w:w="5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存货</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68,376,068.38</w:t>
            </w:r>
          </w:p>
        </w:tc>
        <w:tc>
          <w:tcPr>
            <w:tcW w:w="5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4,280,045,767.02</w:t>
            </w:r>
          </w:p>
        </w:tc>
        <w:tc>
          <w:tcPr>
            <w:tcW w:w="5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在建工程</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33,635,415.09</w:t>
            </w:r>
          </w:p>
        </w:tc>
        <w:tc>
          <w:tcPr>
            <w:tcW w:w="5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无形资产</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120,812,923.84</w:t>
            </w:r>
          </w:p>
        </w:tc>
        <w:tc>
          <w:tcPr>
            <w:tcW w:w="5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342" w:hRule="exact"/>
        </w:trPr>
        <w:tc>
          <w:tcPr>
            <w:tcW w:w="13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542" w:val="left" w:leader="none"/>
              </w:tabs>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3294"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7,620,194,093.31</w:t>
            </w:r>
          </w:p>
        </w:tc>
        <w:tc>
          <w:tcPr>
            <w:tcW w:w="50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left="154" w:right="1122"/>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5" w:right="0"/>
              <w:jc w:val="left"/>
              <w:rPr>
                <w:rFonts w:ascii="Times New Roman" w:hAnsi="Times New Roman" w:cs="Times New Roman" w:eastAsia="Times New Roman" w:hint="default"/>
                <w:sz w:val="18"/>
                <w:szCs w:val="18"/>
              </w:rPr>
            </w:pPr>
            <w:r>
              <w:rPr>
                <w:rFonts w:ascii="Times New Roman"/>
                <w:sz w:val="18"/>
              </w:rPr>
              <w:t>3,710,035,440.67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97" w:right="0"/>
              <w:jc w:val="left"/>
              <w:rPr>
                <w:rFonts w:ascii="Times New Roman" w:hAnsi="Times New Roman" w:cs="Times New Roman" w:eastAsia="Times New Roman" w:hint="default"/>
                <w:sz w:val="18"/>
                <w:szCs w:val="18"/>
              </w:rPr>
            </w:pPr>
            <w:r>
              <w:rPr>
                <w:rFonts w:ascii="Times New Roman"/>
                <w:sz w:val="18"/>
              </w:rPr>
              <w:t>5,124,871,008.70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904"/>
        <w:gridCol w:w="1537"/>
        <w:gridCol w:w="242"/>
        <w:gridCol w:w="1032"/>
        <w:gridCol w:w="711"/>
        <w:gridCol w:w="566"/>
        <w:gridCol w:w="848"/>
        <w:gridCol w:w="283"/>
        <w:gridCol w:w="568"/>
        <w:gridCol w:w="282"/>
        <w:gridCol w:w="417"/>
        <w:gridCol w:w="1146"/>
        <w:gridCol w:w="250"/>
        <w:gridCol w:w="418"/>
        <w:gridCol w:w="491"/>
      </w:tblGrid>
      <w:tr>
        <w:trPr>
          <w:trHeight w:val="4146" w:hRule="exact"/>
        </w:trPr>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76" w:right="87" w:hanging="90"/>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2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5" w:right="25"/>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60"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7" w:right="9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2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45" w:right="47"/>
              <w:jc w:val="both"/>
              <w:rPr>
                <w:rFonts w:ascii="宋体" w:hAnsi="宋体" w:cs="宋体" w:eastAsia="宋体" w:hint="default"/>
                <w:sz w:val="18"/>
                <w:szCs w:val="18"/>
              </w:rPr>
            </w:pPr>
            <w:r>
              <w:rPr>
                <w:rFonts w:ascii="宋体" w:hAnsi="宋体" w:cs="宋体" w:eastAsia="宋体" w:hint="default"/>
                <w:sz w:val="18"/>
                <w:szCs w:val="18"/>
              </w:rPr>
              <w:t>投 资 期 限</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98" w:right="9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 w:right="43"/>
              <w:jc w:val="both"/>
              <w:rPr>
                <w:rFonts w:ascii="宋体" w:hAnsi="宋体" w:cs="宋体" w:eastAsia="宋体" w:hint="default"/>
                <w:sz w:val="18"/>
                <w:szCs w:val="18"/>
              </w:rPr>
            </w:pPr>
            <w:r>
              <w:rPr>
                <w:rFonts w:ascii="宋体" w:hAnsi="宋体" w:cs="宋体" w:eastAsia="宋体" w:hint="default"/>
                <w:sz w:val="18"/>
                <w:szCs w:val="18"/>
              </w:rPr>
              <w:t>截 至 资 产 负 债 表 日 的 进 展 情 况</w:t>
            </w:r>
          </w:p>
        </w:tc>
        <w:tc>
          <w:tcPr>
            <w:tcW w:w="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2" w:right="22"/>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1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本期投资盈亏</w:t>
            </w:r>
          </w:p>
        </w:tc>
        <w:tc>
          <w:tcPr>
            <w:tcW w:w="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9" w:right="29"/>
              <w:jc w:val="both"/>
              <w:rPr>
                <w:rFonts w:ascii="宋体" w:hAnsi="宋体" w:cs="宋体" w:eastAsia="宋体" w:hint="default"/>
                <w:sz w:val="18"/>
                <w:szCs w:val="18"/>
              </w:rPr>
            </w:pPr>
            <w:r>
              <w:rPr>
                <w:rFonts w:ascii="宋体" w:hAnsi="宋体" w:cs="宋体" w:eastAsia="宋体" w:hint="default"/>
                <w:sz w:val="18"/>
                <w:szCs w:val="18"/>
              </w:rPr>
              <w:t>是 否 涉 诉</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23" w:right="23"/>
              <w:jc w:val="left"/>
              <w:rPr>
                <w:rFonts w:ascii="宋体" w:hAnsi="宋体" w:cs="宋体" w:eastAsia="宋体" w:hint="default"/>
                <w:sz w:val="18"/>
                <w:szCs w:val="18"/>
              </w:rPr>
            </w:pPr>
            <w:r>
              <w:rPr>
                <w:rFonts w:ascii="宋体" w:hAnsi="宋体" w:cs="宋体" w:eastAsia="宋体" w:hint="default"/>
                <w:sz w:val="18"/>
                <w:szCs w:val="18"/>
              </w:rPr>
              <w:t>（如 有）</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60" w:right="5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8"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9"/>
              <w:jc w:val="both"/>
              <w:rPr>
                <w:rFonts w:ascii="宋体" w:hAnsi="宋体" w:cs="宋体" w:eastAsia="宋体" w:hint="default"/>
                <w:sz w:val="18"/>
                <w:szCs w:val="18"/>
              </w:rPr>
            </w:pPr>
            <w:r>
              <w:rPr>
                <w:rFonts w:ascii="宋体" w:hAnsi="宋体" w:cs="宋体" w:eastAsia="宋体" w:hint="default"/>
                <w:sz w:val="18"/>
                <w:szCs w:val="18"/>
              </w:rPr>
              <w:t>阳泉爱康 科技有限 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2"/>
              <w:jc w:val="both"/>
              <w:rPr>
                <w:rFonts w:ascii="宋体" w:hAnsi="宋体" w:cs="宋体" w:eastAsia="宋体" w:hint="default"/>
                <w:sz w:val="18"/>
                <w:szCs w:val="18"/>
              </w:rPr>
            </w:pPr>
            <w:r>
              <w:rPr>
                <w:rFonts w:ascii="宋体" w:hAnsi="宋体" w:cs="宋体" w:eastAsia="宋体" w:hint="default"/>
                <w:sz w:val="18"/>
                <w:szCs w:val="18"/>
              </w:rPr>
              <w:t>设计、研发、制造 节能产品及技术推 广服务等</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新 设</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太阳 能安 装支 架</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-2,227,271.70</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通化中康 电力开发 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both"/>
              <w:rPr>
                <w:rFonts w:ascii="宋体" w:hAnsi="宋体" w:cs="宋体" w:eastAsia="宋体" w:hint="default"/>
                <w:sz w:val="18"/>
                <w:szCs w:val="18"/>
              </w:rPr>
            </w:pPr>
            <w:r>
              <w:rPr>
                <w:rFonts w:ascii="宋体" w:hAnsi="宋体" w:cs="宋体" w:eastAsia="宋体" w:hint="default"/>
                <w:sz w:val="18"/>
                <w:szCs w:val="18"/>
              </w:rPr>
              <w:t>太阳能光伏电站项 目的开发、投资、 建设、运营</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增 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3"/>
              <w:jc w:val="both"/>
              <w:rPr>
                <w:rFonts w:ascii="宋体" w:hAnsi="宋体" w:cs="宋体" w:eastAsia="宋体" w:hint="default"/>
                <w:sz w:val="18"/>
                <w:szCs w:val="18"/>
              </w:rPr>
            </w:pPr>
            <w:r>
              <w:rPr>
                <w:rFonts w:ascii="宋体" w:hAnsi="宋体" w:cs="宋体" w:eastAsia="宋体" w:hint="default"/>
                <w:sz w:val="18"/>
                <w:szCs w:val="18"/>
              </w:rPr>
              <w:t>电力 生产 销售</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-2,056.41</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49"/>
              <w:jc w:val="both"/>
              <w:rPr>
                <w:rFonts w:ascii="宋体" w:hAnsi="宋体" w:cs="宋体" w:eastAsia="宋体" w:hint="default"/>
                <w:sz w:val="18"/>
                <w:szCs w:val="18"/>
              </w:rPr>
            </w:pPr>
            <w:r>
              <w:rPr>
                <w:rFonts w:ascii="宋体" w:hAnsi="宋体" w:cs="宋体" w:eastAsia="宋体" w:hint="default"/>
                <w:sz w:val="18"/>
                <w:szCs w:val="18"/>
              </w:rPr>
              <w:t>江苏爱康 能源研究 院有限公 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可再生能源、能源 互联网及低碳环保 领域内的技术开 发、技术转让、技 术咨询及相关的技 术服务等</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29"/>
              <w:jc w:val="left"/>
              <w:rPr>
                <w:rFonts w:ascii="宋体" w:hAnsi="宋体" w:cs="宋体" w:eastAsia="宋体" w:hint="default"/>
                <w:sz w:val="18"/>
                <w:szCs w:val="18"/>
              </w:rPr>
            </w:pPr>
            <w:r>
              <w:rPr>
                <w:rFonts w:ascii="宋体" w:hAnsi="宋体" w:cs="宋体" w:eastAsia="宋体" w:hint="default"/>
                <w:sz w:val="18"/>
                <w:szCs w:val="18"/>
              </w:rPr>
              <w:t>收 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889,400.00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73"/>
              <w:jc w:val="both"/>
              <w:rPr>
                <w:rFonts w:ascii="宋体" w:hAnsi="宋体" w:cs="宋体" w:eastAsia="宋体" w:hint="default"/>
                <w:sz w:val="18"/>
                <w:szCs w:val="18"/>
              </w:rPr>
            </w:pPr>
            <w:r>
              <w:rPr>
                <w:rFonts w:ascii="宋体" w:hAnsi="宋体" w:cs="宋体" w:eastAsia="宋体" w:hint="default"/>
                <w:sz w:val="18"/>
                <w:szCs w:val="18"/>
              </w:rPr>
              <w:t>新能 源研 究及 技术 服务</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-1,192,870.99</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2" w:right="149"/>
              <w:jc w:val="both"/>
              <w:rPr>
                <w:rFonts w:ascii="宋体" w:hAnsi="宋体" w:cs="宋体" w:eastAsia="宋体" w:hint="default"/>
                <w:sz w:val="18"/>
                <w:szCs w:val="18"/>
              </w:rPr>
            </w:pPr>
            <w:r>
              <w:rPr>
                <w:rFonts w:ascii="宋体" w:hAnsi="宋体" w:cs="宋体" w:eastAsia="宋体" w:hint="default"/>
                <w:sz w:val="18"/>
                <w:szCs w:val="18"/>
              </w:rPr>
              <w:t>江苏智鸿 能源科技 发展有限 公司</w:t>
            </w:r>
          </w:p>
        </w:tc>
        <w:tc>
          <w:tcPr>
            <w:tcW w:w="153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节能环保领域的技 </w:t>
            </w:r>
            <w:r>
              <w:rPr>
                <w:rFonts w:ascii="宋体" w:hAnsi="宋体" w:cs="宋体" w:eastAsia="宋体" w:hint="default"/>
                <w:spacing w:val="-7"/>
                <w:sz w:val="18"/>
                <w:szCs w:val="18"/>
              </w:rPr>
              <w:t>术研发；电力销售</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电能领域内的技术 研发及相关技术服 务等</w:t>
            </w:r>
          </w:p>
        </w:tc>
        <w:tc>
          <w:tcPr>
            <w:tcW w:w="24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196" w:lineRule="exact" w:before="120"/>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6" w:right="0"/>
              <w:jc w:val="left"/>
              <w:rPr>
                <w:rFonts w:ascii="宋体" w:hAnsi="宋体" w:cs="宋体" w:eastAsia="宋体" w:hint="default"/>
                <w:sz w:val="18"/>
                <w:szCs w:val="18"/>
              </w:rPr>
            </w:pPr>
            <w:r>
              <w:rPr>
                <w:rFonts w:ascii="宋体" w:hAnsi="宋体" w:cs="宋体" w:eastAsia="宋体" w:hint="default"/>
                <w:sz w:val="18"/>
                <w:szCs w:val="18"/>
              </w:rPr>
              <w:t>收</w:t>
            </w:r>
          </w:p>
          <w:p>
            <w:pPr>
              <w:pStyle w:val="TableParagraph"/>
              <w:spacing w:line="240" w:lineRule="auto" w:before="76"/>
              <w:ind w:left="16" w:right="0"/>
              <w:jc w:val="left"/>
              <w:rPr>
                <w:rFonts w:ascii="宋体" w:hAnsi="宋体" w:cs="宋体" w:eastAsia="宋体" w:hint="default"/>
                <w:sz w:val="18"/>
                <w:szCs w:val="18"/>
              </w:rPr>
            </w:pPr>
            <w:r>
              <w:rPr>
                <w:rFonts w:ascii="宋体" w:hAnsi="宋体" w:cs="宋体" w:eastAsia="宋体" w:hint="default"/>
                <w:sz w:val="18"/>
                <w:szCs w:val="18"/>
              </w:rPr>
              <w:t>购</w:t>
            </w:r>
          </w:p>
          <w:p>
            <w:pPr>
              <w:pStyle w:val="TableParagraph"/>
              <w:spacing w:line="1755" w:lineRule="exact"/>
              <w:ind w:left="-7" w:right="-50"/>
              <w:jc w:val="left"/>
              <w:rPr>
                <w:rFonts w:ascii="宋体" w:hAnsi="宋体" w:cs="宋体" w:eastAsia="宋体" w:hint="default"/>
                <w:sz w:val="20"/>
                <w:szCs w:val="20"/>
              </w:rPr>
            </w:pPr>
            <w:r>
              <w:rPr>
                <w:rFonts w:ascii="宋体" w:hAnsi="宋体" w:cs="宋体" w:eastAsia="宋体" w:hint="default"/>
                <w:position w:val="-34"/>
                <w:sz w:val="20"/>
                <w:szCs w:val="20"/>
              </w:rPr>
              <w:pict>
                <v:group style="width:11.6pt;height:87.8pt;mso-position-horizontal-relative:char;mso-position-vertical-relative:line" coordorigin="0,0" coordsize="232,1756">
                  <v:group style="position:absolute;left:0;top:0;width:232;height:1404" coordorigin="0,0" coordsize="232,1404">
                    <v:shape style="position:absolute;left:0;top:0;width:232;height:1404" coordorigin="0,0" coordsize="232,1404" path="m0,1404l232,1404,232,0,0,0,0,1404xe" filled="true" fillcolor="#ffffff" stroked="false">
                      <v:path arrowok="t"/>
                      <v:fill type="solid"/>
                    </v:shape>
                  </v:group>
                  <v:group style="position:absolute;left:23;top:1404;width:186;height:352" coordorigin="23,1404" coordsize="186,352">
                    <v:shape style="position:absolute;left:23;top:1404;width:186;height:352" coordorigin="23,1404" coordsize="186,352" path="m23,1756l209,1756,209,1404,23,1404,23,1756xe" filled="true" fillcolor="#ffffff" stroked="false">
                      <v:path arrowok="t"/>
                      <v:fill type="solid"/>
                    </v:shape>
                  </v:group>
                </v:group>
              </w:pict>
            </w:r>
            <w:r>
              <w:rPr>
                <w:rFonts w:ascii="宋体" w:hAnsi="宋体" w:cs="宋体" w:eastAsia="宋体" w:hint="default"/>
                <w:position w:val="-34"/>
                <w:sz w:val="20"/>
                <w:szCs w:val="20"/>
              </w:rPr>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21,360,000.0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张家港沙 洲湖科创 园发展有 限公司， 张家港智 能电力研 究院有限 公司，张 家港沪港 电力设备 有限公司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173"/>
              <w:jc w:val="both"/>
              <w:rPr>
                <w:rFonts w:ascii="宋体" w:hAnsi="宋体" w:cs="宋体" w:eastAsia="宋体" w:hint="default"/>
                <w:sz w:val="18"/>
                <w:szCs w:val="18"/>
              </w:rPr>
            </w:pPr>
            <w:r>
              <w:rPr>
                <w:rFonts w:ascii="宋体" w:hAnsi="宋体" w:cs="宋体" w:eastAsia="宋体" w:hint="default"/>
                <w:sz w:val="18"/>
                <w:szCs w:val="18"/>
              </w:rPr>
              <w:t>配电 售电 业务</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-988,277.77</w:t>
            </w:r>
            <w:r>
              <w:rPr>
                <w:rFonts w:ascii="Times New Roman"/>
                <w:sz w:val="18"/>
              </w:rPr>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上海慧喆</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1"/>
              <w:jc w:val="center"/>
              <w:rPr>
                <w:rFonts w:ascii="宋体" w:hAnsi="宋体" w:cs="宋体" w:eastAsia="宋体" w:hint="default"/>
                <w:sz w:val="18"/>
                <w:szCs w:val="18"/>
              </w:rPr>
            </w:pPr>
            <w:r>
              <w:rPr>
                <w:rFonts w:ascii="宋体" w:hAnsi="宋体" w:cs="宋体" w:eastAsia="宋体" w:hint="default"/>
                <w:sz w:val="18"/>
                <w:szCs w:val="18"/>
              </w:rPr>
              <w:t>从事计算机信息科</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新</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长</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166,691.83</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tabs>
          <w:tab w:pos="3724" w:val="left" w:leader="none"/>
          <w:tab w:pos="5995" w:val="left" w:leader="none"/>
          <w:tab w:pos="6847" w:val="left" w:leader="none"/>
        </w:tabs>
        <w:spacing w:line="240" w:lineRule="auto" w:before="45"/>
        <w:ind w:left="154" w:right="1122"/>
        <w:jc w:val="left"/>
      </w:pPr>
      <w:r>
        <w:rPr/>
        <w:pict>
          <v:shape style="position:absolute;margin-left:135.443008pt;margin-top:19.301746pt;width:53.8pt;height:78.05pt;mso-position-horizontal-relative:page;mso-position-vertical-relative:paragraph;z-index:-1651600"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技术服务、</w:t>
                  </w:r>
                </w:p>
              </w:txbxContent>
            </v:textbox>
            <w10:wrap type="none"/>
          </v:shape>
        </w:pict>
      </w:r>
      <w:r>
        <w:rPr/>
        <w:t>信息技术  技、网络科技领域</w:t>
      </w:r>
      <w:r>
        <w:rPr>
          <w:spacing w:val="10"/>
        </w:rPr>
        <w:t> </w:t>
      </w:r>
      <w:r>
        <w:rPr/>
        <w:t>设</w:t>
        <w:tab/>
      </w:r>
      <w:r>
        <w:rPr>
          <w:rFonts w:ascii="Times New Roman" w:hAnsi="Times New Roman" w:cs="Times New Roman" w:eastAsia="Times New Roman" w:hint="default"/>
        </w:rPr>
        <w:t>0</w:t>
        <w:tab/>
      </w:r>
      <w:r>
        <w:rPr/>
        <w:t>期</w:t>
      </w:r>
      <w:r>
        <w:rPr>
          <w:spacing w:val="13"/>
        </w:rPr>
        <w:t> </w:t>
      </w:r>
      <w:r>
        <w:rPr/>
        <w:t>开发</w:t>
        <w:tab/>
        <w:t>完</w:t>
      </w:r>
    </w:p>
    <w:p>
      <w:pPr>
        <w:spacing w:after="0" w:line="240" w:lineRule="auto"/>
        <w:jc w:val="left"/>
        <w:sectPr>
          <w:pgSz w:w="11910" w:h="16840"/>
          <w:pgMar w:header="747" w:footer="979" w:top="1060" w:bottom="1160" w:left="980" w:right="0"/>
        </w:sectPr>
      </w:pPr>
    </w:p>
    <w:p>
      <w:pPr>
        <w:pStyle w:val="BodyText"/>
        <w:spacing w:line="240" w:lineRule="auto" w:before="63"/>
        <w:ind w:left="154" w:right="-20"/>
        <w:jc w:val="left"/>
      </w:pPr>
      <w:r>
        <w:rPr/>
        <w:t>有限公司</w:t>
      </w:r>
    </w:p>
    <w:p>
      <w:pPr>
        <w:pStyle w:val="BodyText"/>
        <w:spacing w:line="319" w:lineRule="auto" w:before="61"/>
        <w:ind w:left="143" w:right="-19"/>
        <w:jc w:val="left"/>
      </w:pPr>
      <w:r>
        <w:rPr/>
        <w:br w:type="column"/>
      </w:r>
      <w:r>
        <w:rPr/>
        <w:t>内的技术咨询、技 术开发、 技术转让，计算机 数据处理，计算机 软件开发等</w:t>
      </w:r>
    </w:p>
    <w:p>
      <w:pPr>
        <w:pStyle w:val="BodyText"/>
        <w:tabs>
          <w:tab w:pos="722" w:val="left" w:leader="none"/>
        </w:tabs>
        <w:spacing w:line="316" w:lineRule="auto" w:before="63"/>
        <w:ind w:right="3897"/>
        <w:jc w:val="left"/>
      </w:pPr>
      <w:r>
        <w:rPr/>
        <w:br w:type="column"/>
      </w:r>
      <w:r>
        <w:rPr/>
        <w:t>和服</w:t>
        <w:tab/>
        <w:t>成 务</w:t>
      </w:r>
    </w:p>
    <w:p>
      <w:pPr>
        <w:spacing w:after="0" w:line="316" w:lineRule="auto"/>
        <w:jc w:val="left"/>
        <w:sectPr>
          <w:type w:val="continuous"/>
          <w:pgSz w:w="11910" w:h="16840"/>
          <w:pgMar w:top="1060" w:bottom="1160" w:left="980" w:right="0"/>
          <w:cols w:num="3" w:equalWidth="0">
            <w:col w:w="875" w:space="40"/>
            <w:col w:w="1585" w:space="3626"/>
            <w:col w:w="4804"/>
          </w:cols>
        </w:sectPr>
      </w:pPr>
    </w:p>
    <w:p>
      <w:pPr>
        <w:spacing w:line="240" w:lineRule="auto" w:before="4"/>
        <w:rPr>
          <w:rFonts w:ascii="宋体" w:hAnsi="宋体" w:cs="宋体" w:eastAsia="宋体" w:hint="default"/>
          <w:sz w:val="26"/>
          <w:szCs w:val="26"/>
        </w:rPr>
      </w:pPr>
    </w:p>
    <w:p>
      <w:pPr>
        <w:pStyle w:val="BodyText"/>
        <w:spacing w:line="310" w:lineRule="atLeast"/>
        <w:ind w:left="154" w:right="-20"/>
        <w:jc w:val="left"/>
      </w:pPr>
      <w:r>
        <w:rPr/>
        <w:t>广西爱康 新能电力</w:t>
      </w:r>
    </w:p>
    <w:p>
      <w:pPr>
        <w:pStyle w:val="BodyText"/>
        <w:spacing w:line="310" w:lineRule="atLeast" w:before="32"/>
        <w:ind w:left="143" w:right="1171"/>
        <w:jc w:val="left"/>
      </w:pPr>
      <w:r>
        <w:rPr/>
        <w:br w:type="column"/>
      </w:r>
      <w:r>
        <w:rPr/>
        <w:t>配电售电业务；技 </w:t>
      </w:r>
      <w:r>
        <w:rPr>
          <w:spacing w:val="-6"/>
        </w:rPr>
        <w:t>术咨询、技术服务、</w:t>
      </w:r>
    </w:p>
    <w:p>
      <w:pPr>
        <w:pStyle w:val="BodyText"/>
        <w:spacing w:line="124"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-17,903.52</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pStyle w:val="BodyText"/>
        <w:spacing w:line="316" w:lineRule="auto" w:before="121"/>
        <w:ind w:left="154" w:right="-20"/>
        <w:jc w:val="left"/>
      </w:pPr>
      <w:r>
        <w:rPr/>
        <w:t>北京爱康 新能电力</w:t>
      </w:r>
    </w:p>
    <w:p>
      <w:pPr>
        <w:pStyle w:val="BodyText"/>
        <w:spacing w:line="316" w:lineRule="auto" w:before="44"/>
        <w:ind w:left="143" w:right="-17"/>
        <w:jc w:val="left"/>
        <w:rPr>
          <w:rFonts w:ascii="Times New Roman" w:hAnsi="Times New Roman" w:cs="Times New Roman" w:eastAsia="Times New Roman" w:hint="default"/>
        </w:rPr>
      </w:pPr>
      <w:r>
        <w:rPr/>
        <w:br w:type="column"/>
      </w:r>
      <w:r>
        <w:rPr/>
        <w:t>工程勘察；工程设 计；新能源方面的 技术开发、技术咨 新</w:t>
      </w:r>
      <w:r>
        <w:rPr>
          <w:spacing w:val="9"/>
        </w:rPr>
        <w:t> </w:t>
      </w:r>
      <w:r>
        <w:rPr>
          <w:rFonts w:ascii="Times New Roman" w:hAnsi="Times New Roman" w:cs="Times New Roman" w:eastAsia="Times New Roman" w:hint="default"/>
        </w:rPr>
        <w:t>210,000,000.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7"/>
          <w:szCs w:val="17"/>
        </w:rPr>
      </w:pPr>
    </w:p>
    <w:p>
      <w:pPr>
        <w:pStyle w:val="BodyText"/>
        <w:tabs>
          <w:tab w:pos="1292" w:val="left" w:leader="none"/>
        </w:tabs>
        <w:spacing w:line="210"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1"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697" w:val="left" w:leader="none"/>
        </w:tabs>
        <w:spacing w:line="210" w:lineRule="exact" w:before="118"/>
        <w:ind w:left="107" w:right="0"/>
        <w:jc w:val="left"/>
      </w:pPr>
      <w:r>
        <w:rPr>
          <w:rFonts w:ascii="Times New Roman" w:hAnsi="Times New Roman" w:cs="Times New Roman" w:eastAsia="Times New Roman" w:hint="default"/>
        </w:rPr>
        <w:t>0.00</w:t>
        <w:tab/>
        <w:t>-731,104.16</w:t>
      </w:r>
      <w:r>
        <w:rPr>
          <w:rFonts w:ascii="Times New Roman" w:hAnsi="Times New Roman" w:cs="Times New Roman" w:eastAsia="Times New Roman" w:hint="default"/>
          <w:spacing w:val="10"/>
        </w:rPr>
        <w:t> </w:t>
      </w:r>
      <w:r>
        <w:rPr/>
        <w:t>否</w:t>
      </w:r>
    </w:p>
    <w:p>
      <w:pPr>
        <w:spacing w:after="0" w:line="210"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spacing w:line="180" w:lineRule="exact"/>
        <w:ind w:left="154" w:right="-20"/>
        <w:jc w:val="left"/>
      </w:pPr>
      <w:r>
        <w:rPr/>
        <w:t>科技有限</w:t>
      </w:r>
    </w:p>
    <w:p>
      <w:pPr>
        <w:pStyle w:val="BodyText"/>
        <w:spacing w:line="240" w:lineRule="auto" w:before="77"/>
        <w:ind w:left="154" w:right="-20"/>
        <w:jc w:val="left"/>
      </w:pPr>
      <w:r>
        <w:rPr/>
        <w:t>公司</w:t>
      </w:r>
    </w:p>
    <w:p>
      <w:pPr>
        <w:pStyle w:val="BodyText"/>
        <w:tabs>
          <w:tab w:pos="2720" w:val="left" w:leader="none"/>
        </w:tabs>
        <w:spacing w:line="195" w:lineRule="exact"/>
        <w:ind w:left="143" w:right="-20"/>
        <w:jc w:val="left"/>
        <w:rPr>
          <w:rFonts w:ascii="Times New Roman" w:hAnsi="Times New Roman" w:cs="Times New Roman" w:eastAsia="Times New Roman" w:hint="default"/>
        </w:rPr>
      </w:pPr>
      <w:r>
        <w:rPr/>
        <w:br w:type="column"/>
      </w:r>
      <w:r>
        <w:rPr/>
        <w:t>询、技术转让；软</w:t>
      </w:r>
      <w:r>
        <w:rPr>
          <w:spacing w:val="7"/>
        </w:rPr>
        <w:t> </w:t>
      </w:r>
      <w:r>
        <w:rPr/>
        <w:t>设</w:t>
      </w:r>
      <w:r>
        <w:rPr>
          <w:rFonts w:ascii="Times New Roman" w:hAnsi="Times New Roman" w:cs="Times New Roman" w:eastAsia="Times New Roman" w:hint="default"/>
        </w:rPr>
        <w:tab/>
        <w:t>00</w:t>
      </w:r>
    </w:p>
    <w:p>
      <w:pPr>
        <w:pStyle w:val="BodyText"/>
        <w:spacing w:line="319" w:lineRule="auto" w:before="61"/>
        <w:ind w:left="143" w:right="1297"/>
        <w:jc w:val="left"/>
      </w:pPr>
      <w:r>
        <w:rPr/>
        <w:t>件开发；电力供应 等</w:t>
      </w:r>
    </w:p>
    <w:p>
      <w:pPr>
        <w:spacing w:line="141"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spacing w:line="310" w:lineRule="atLeast"/>
        <w:ind w:left="154" w:right="-20"/>
        <w:jc w:val="left"/>
      </w:pPr>
      <w:r>
        <w:rPr/>
        <w:t>阳泉爱康 新能电力</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pStyle w:val="BodyText"/>
        <w:spacing w:line="310" w:lineRule="atLeast"/>
        <w:ind w:left="143" w:right="1171"/>
        <w:jc w:val="left"/>
      </w:pPr>
      <w:r>
        <w:rPr/>
        <w:t>配电售电业务；技 </w:t>
      </w:r>
      <w:r>
        <w:rPr>
          <w:spacing w:val="-6"/>
        </w:rPr>
        <w:t>术咨询、技术服务、</w:t>
      </w:r>
    </w:p>
    <w:p>
      <w:pPr>
        <w:pStyle w:val="BodyText"/>
        <w:spacing w:line="124"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15,000,000.0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BodyText"/>
        <w:spacing w:line="212" w:lineRule="exact"/>
        <w:ind w:left="115" w:right="-19"/>
        <w:jc w:val="left"/>
      </w:pPr>
      <w:r>
        <w:rPr>
          <w:rFonts w:ascii="Times New Roman" w:hAnsi="Times New Roman" w:cs="Times New Roman" w:eastAsia="Times New Roman" w:hint="default"/>
        </w:rPr>
        <w:t>75.00%</w:t>
      </w:r>
      <w:r>
        <w:rPr>
          <w:rFonts w:ascii="Times New Roman" w:hAnsi="Times New Roman" w:cs="Times New Roman" w:eastAsia="Times New Roman" w:hint="default"/>
          <w:spacing w:val="9"/>
        </w:rPr>
        <w:t> </w:t>
      </w:r>
      <w:r>
        <w:rPr/>
        <w:t>自筹</w:t>
      </w:r>
    </w:p>
    <w:p>
      <w:pPr>
        <w:pStyle w:val="BodyText"/>
        <w:spacing w:line="316" w:lineRule="auto" w:before="107"/>
        <w:ind w:right="769"/>
        <w:jc w:val="both"/>
      </w:pPr>
      <w:r>
        <w:rPr/>
        <w:br w:type="column"/>
      </w:r>
      <w:r>
        <w:rPr/>
        <w:t>阳泉市天 顺市政园 林建筑工</w:t>
      </w:r>
    </w:p>
    <w:p>
      <w:pPr>
        <w:pStyle w:val="BodyText"/>
        <w:tabs>
          <w:tab w:pos="1285" w:val="left" w:leader="none"/>
        </w:tabs>
        <w:spacing w:line="158" w:lineRule="auto" w:before="91"/>
        <w:ind w:left="1002" w:right="0" w:hanging="849"/>
        <w:jc w:val="left"/>
      </w:pPr>
      <w:r>
        <w:rPr/>
        <w:t>程有限公</w:t>
        <w:tab/>
        <w:tab/>
        <w:t>配电 长</w:t>
      </w:r>
    </w:p>
    <w:p>
      <w:pPr>
        <w:pStyle w:val="BodyText"/>
        <w:spacing w:line="141" w:lineRule="exact"/>
        <w:ind w:right="0"/>
        <w:jc w:val="both"/>
      </w:pPr>
      <w:r>
        <w:rPr/>
        <w:t>司，阳泉   </w:t>
      </w:r>
      <w:r>
        <w:rPr>
          <w:spacing w:val="51"/>
        </w:rPr>
        <w:t> </w:t>
      </w:r>
      <w:r>
        <w:rPr/>
        <w:t>售电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5"/>
          <w:szCs w:val="25"/>
        </w:rPr>
      </w:pPr>
    </w:p>
    <w:p>
      <w:pPr>
        <w:pStyle w:val="BodyText"/>
        <w:spacing w:line="240" w:lineRule="auto"/>
        <w:ind w:right="0"/>
        <w:jc w:val="left"/>
      </w:pPr>
      <w:r>
        <w:rPr/>
        <w:t>已</w:t>
      </w:r>
    </w:p>
    <w:p>
      <w:pPr>
        <w:pStyle w:val="BodyText"/>
        <w:tabs>
          <w:tab w:pos="1071" w:val="left" w:leader="none"/>
        </w:tabs>
        <w:spacing w:line="212" w:lineRule="exact" w:before="77"/>
        <w:ind w:right="0"/>
        <w:jc w:val="left"/>
      </w:pPr>
      <w:r>
        <w:rPr/>
        <w:t>完</w:t>
      </w:r>
      <w:r>
        <w:rPr>
          <w:spacing w:val="58"/>
        </w:rPr>
        <w:t> </w:t>
      </w:r>
      <w:r>
        <w:rPr>
          <w:rFonts w:ascii="Times New Roman" w:hAnsi="Times New Roman" w:cs="Times New Roman" w:eastAsia="Times New Roman" w:hint="default"/>
        </w:rPr>
        <w:t>0.00</w:t>
        <w:tab/>
        <w:t>-106,890.65</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086" w:space="52"/>
            <w:col w:w="1646" w:space="54"/>
            <w:col w:w="4236"/>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00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spacing w:line="196" w:lineRule="exact"/>
        <w:ind w:right="0"/>
        <w:jc w:val="both"/>
      </w:pPr>
      <w:r>
        <w:rPr/>
        <w:t>经济技术     业务</w:t>
      </w:r>
      <w:r>
        <w:rPr>
          <w:spacing w:val="79"/>
        </w:rPr>
        <w:t> </w:t>
      </w:r>
      <w:r>
        <w:rPr/>
        <w:t>成</w:t>
      </w:r>
    </w:p>
    <w:p>
      <w:pPr>
        <w:pStyle w:val="BodyText"/>
        <w:spacing w:line="319" w:lineRule="auto" w:before="75"/>
        <w:ind w:right="5057"/>
        <w:jc w:val="both"/>
      </w:pPr>
      <w:r>
        <w:rPr/>
        <w:t>开发区众 盈企业服 务中心</w:t>
      </w:r>
    </w:p>
    <w:p>
      <w:pPr>
        <w:spacing w:after="0" w:line="319" w:lineRule="auto"/>
        <w:jc w:val="both"/>
        <w:sectPr>
          <w:type w:val="continuous"/>
          <w:pgSz w:w="11910" w:h="16840"/>
          <w:pgMar w:top="1060" w:bottom="1160" w:left="980" w:right="0"/>
          <w:cols w:num="3" w:equalWidth="0">
            <w:col w:w="875" w:space="40"/>
            <w:col w:w="2901" w:space="1178"/>
            <w:col w:w="5936"/>
          </w:cols>
        </w:sectPr>
      </w:pPr>
    </w:p>
    <w:p>
      <w:pPr>
        <w:spacing w:line="240" w:lineRule="auto" w:before="4"/>
        <w:rPr>
          <w:rFonts w:ascii="宋体" w:hAnsi="宋体" w:cs="宋体" w:eastAsia="宋体" w:hint="default"/>
          <w:sz w:val="26"/>
          <w:szCs w:val="26"/>
        </w:rPr>
      </w:pPr>
    </w:p>
    <w:p>
      <w:pPr>
        <w:pStyle w:val="BodyText"/>
        <w:spacing w:line="310" w:lineRule="atLeast"/>
        <w:ind w:left="154" w:right="-20"/>
        <w:jc w:val="left"/>
      </w:pPr>
      <w:r>
        <w:rPr/>
        <w:t>安徽爱康 新能电力</w:t>
      </w:r>
    </w:p>
    <w:p>
      <w:pPr>
        <w:pStyle w:val="BodyText"/>
        <w:spacing w:line="310" w:lineRule="atLeast" w:before="32"/>
        <w:ind w:left="143" w:right="1171"/>
        <w:jc w:val="left"/>
      </w:pPr>
      <w:r>
        <w:rPr/>
        <w:br w:type="column"/>
      </w:r>
      <w:r>
        <w:rPr/>
        <w:t>配电售电业务；技 </w:t>
      </w:r>
      <w:r>
        <w:rPr>
          <w:spacing w:val="-6"/>
        </w:rPr>
        <w:t>术咨询、技术服务、</w:t>
      </w:r>
    </w:p>
    <w:p>
      <w:pPr>
        <w:pStyle w:val="BodyText"/>
        <w:spacing w:line="124"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101,000,000.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4"/>
          <w:szCs w:val="14"/>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-54,737.30</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spacing w:line="240" w:lineRule="auto" w:before="77"/>
        <w:ind w:left="154" w:right="-20"/>
        <w:jc w:val="left"/>
      </w:pPr>
      <w:r>
        <w:rPr/>
        <w:t>有限公司</w:t>
      </w:r>
    </w:p>
    <w:p>
      <w:pPr>
        <w:pStyle w:val="BodyText"/>
        <w:tabs>
          <w:tab w:pos="2720" w:val="left" w:leader="none"/>
        </w:tabs>
        <w:spacing w:line="124" w:lineRule="exact"/>
        <w:ind w:left="1681" w:right="-20"/>
        <w:jc w:val="left"/>
        <w:rPr>
          <w:rFonts w:ascii="Times New Roman" w:hAnsi="Times New Roman" w:cs="Times New Roman" w:eastAsia="Times New Roman" w:hint="default"/>
        </w:rPr>
      </w:pPr>
      <w:r>
        <w:rPr/>
        <w:br w:type="column"/>
      </w:r>
      <w:r>
        <w:rPr/>
        <w:t>设</w:t>
      </w:r>
      <w:r>
        <w:rPr>
          <w:rFonts w:ascii="Times New Roman" w:hAnsi="Times New Roman" w:cs="Times New Roman" w:eastAsia="Times New Roman" w:hint="default"/>
        </w:rPr>
        <w:tab/>
        <w:t>00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重庆爱康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100,000,000.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04" w:val="left" w:leader="none"/>
        </w:tabs>
        <w:spacing w:line="212" w:lineRule="exact"/>
        <w:ind w:left="107" w:right="0"/>
        <w:jc w:val="left"/>
      </w:pPr>
      <w:r>
        <w:rPr>
          <w:rFonts w:ascii="Times New Roman" w:hAnsi="Times New Roman" w:cs="Times New Roman" w:eastAsia="Times New Roman" w:hint="default"/>
        </w:rPr>
        <w:t>0.00</w:t>
        <w:tab/>
        <w:t>-118,549.26</w:t>
      </w:r>
      <w:r>
        <w:rPr>
          <w:rFonts w:ascii="Times New Roman" w:hAnsi="Times New Roman" w:cs="Times New Roman" w:eastAsia="Times New Roman" w:hint="default"/>
          <w:spacing w:val="2"/>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spacing w:line="240" w:lineRule="auto" w:before="77"/>
        <w:ind w:left="154" w:right="-20"/>
        <w:jc w:val="left"/>
      </w:pPr>
      <w:r>
        <w:rPr/>
        <w:t>有限公司</w:t>
      </w:r>
    </w:p>
    <w:p>
      <w:pPr>
        <w:pStyle w:val="BodyText"/>
        <w:tabs>
          <w:tab w:pos="2720" w:val="left" w:leader="none"/>
        </w:tabs>
        <w:spacing w:line="124" w:lineRule="exact"/>
        <w:ind w:left="1681" w:right="-20"/>
        <w:jc w:val="left"/>
        <w:rPr>
          <w:rFonts w:ascii="Times New Roman" w:hAnsi="Times New Roman" w:cs="Times New Roman" w:eastAsia="Times New Roman" w:hint="default"/>
        </w:rPr>
      </w:pPr>
      <w:r>
        <w:rPr/>
        <w:br w:type="column"/>
      </w:r>
      <w:r>
        <w:rPr/>
        <w:t>设</w:t>
      </w:r>
      <w:r>
        <w:rPr>
          <w:rFonts w:ascii="Times New Roman" w:hAnsi="Times New Roman" w:cs="Times New Roman" w:eastAsia="Times New Roman" w:hint="default"/>
        </w:rPr>
        <w:tab/>
        <w:t>00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赣州爱康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17,000,000.0</w:t>
      </w:r>
    </w:p>
    <w:p>
      <w:pPr>
        <w:pStyle w:val="BodyText"/>
        <w:spacing w:line="165"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10" w:lineRule="exact"/>
        <w:ind w:left="115" w:right="-19"/>
        <w:jc w:val="left"/>
      </w:pPr>
      <w:r>
        <w:rPr>
          <w:rFonts w:ascii="Times New Roman" w:hAnsi="Times New Roman" w:cs="Times New Roman" w:eastAsia="Times New Roman" w:hint="default"/>
        </w:rPr>
        <w:t>85.00%</w:t>
      </w:r>
      <w:r>
        <w:rPr>
          <w:rFonts w:ascii="Times New Roman" w:hAnsi="Times New Roman" w:cs="Times New Roman" w:eastAsia="Times New Roman" w:hint="default"/>
          <w:spacing w:val="9"/>
        </w:rPr>
        <w:t> </w:t>
      </w:r>
      <w:r>
        <w:rPr/>
        <w:t>自筹</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196" w:lineRule="exact"/>
        <w:ind w:right="0"/>
        <w:jc w:val="left"/>
      </w:pPr>
      <w:r>
        <w:rPr/>
        <w:t>赣州市章</w:t>
      </w:r>
    </w:p>
    <w:p>
      <w:pPr>
        <w:pStyle w:val="BodyText"/>
        <w:spacing w:line="156" w:lineRule="exact"/>
        <w:ind w:left="0" w:right="0"/>
        <w:jc w:val="right"/>
      </w:pPr>
      <w:r>
        <w:rPr/>
        <w:t>配电</w:t>
      </w:r>
    </w:p>
    <w:p>
      <w:pPr>
        <w:pStyle w:val="BodyText"/>
        <w:spacing w:line="156" w:lineRule="exact"/>
        <w:ind w:right="0"/>
        <w:jc w:val="left"/>
      </w:pPr>
      <w:r>
        <w:rPr/>
        <w:t>贡区建设</w:t>
      </w:r>
      <w:r>
        <w:rPr>
          <w:spacing w:val="38"/>
        </w:rPr>
        <w:t> </w:t>
      </w:r>
      <w:r>
        <w:rPr/>
        <w:t>长</w:t>
      </w:r>
    </w:p>
    <w:p>
      <w:pPr>
        <w:pStyle w:val="BodyText"/>
        <w:spacing w:line="171" w:lineRule="exact"/>
        <w:ind w:left="0" w:right="0"/>
        <w:jc w:val="right"/>
      </w:pPr>
      <w:r>
        <w:rPr/>
        <w:t>售电</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right="0"/>
        <w:jc w:val="left"/>
      </w:pPr>
      <w:r>
        <w:rPr/>
        <w:t>已</w:t>
      </w:r>
    </w:p>
    <w:p>
      <w:pPr>
        <w:pStyle w:val="BodyText"/>
        <w:tabs>
          <w:tab w:pos="1071" w:val="left" w:leader="none"/>
        </w:tabs>
        <w:spacing w:line="210" w:lineRule="exact" w:before="77"/>
        <w:ind w:right="0"/>
        <w:jc w:val="left"/>
      </w:pPr>
      <w:r>
        <w:rPr/>
        <w:t>完</w:t>
      </w:r>
      <w:r>
        <w:rPr>
          <w:spacing w:val="58"/>
        </w:rPr>
        <w:t> </w:t>
      </w:r>
      <w:r>
        <w:rPr>
          <w:rFonts w:ascii="Times New Roman" w:hAnsi="Times New Roman" w:cs="Times New Roman" w:eastAsia="Times New Roman" w:hint="default"/>
        </w:rPr>
        <w:t>0.00</w:t>
        <w:tab/>
        <w:t>-266,690.71</w:t>
      </w:r>
      <w:r>
        <w:rPr>
          <w:rFonts w:ascii="Times New Roman" w:hAnsi="Times New Roman" w:cs="Times New Roman" w:eastAsia="Times New Roman" w:hint="default"/>
          <w:spacing w:val="10"/>
        </w:rPr>
        <w:t> </w:t>
      </w:r>
      <w:r>
        <w:rPr/>
        <w:t>否</w:t>
      </w:r>
    </w:p>
    <w:p>
      <w:pPr>
        <w:spacing w:after="0" w:line="210" w:lineRule="exact"/>
        <w:jc w:val="left"/>
        <w:sectPr>
          <w:type w:val="continuous"/>
          <w:pgSz w:w="11910" w:h="16840"/>
          <w:pgMar w:top="1060" w:bottom="1160" w:left="980" w:right="0"/>
          <w:cols w:num="5" w:equalWidth="0">
            <w:col w:w="875" w:space="40"/>
            <w:col w:w="2901" w:space="40"/>
            <w:col w:w="1086" w:space="52"/>
            <w:col w:w="1646" w:space="54"/>
            <w:col w:w="4236"/>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pStyle w:val="BodyText"/>
        <w:spacing w:line="117" w:lineRule="exact"/>
        <w:ind w:right="0"/>
        <w:jc w:val="left"/>
      </w:pPr>
      <w:r>
        <w:rPr/>
        <w:br w:type="column"/>
      </w:r>
      <w:r>
        <w:rPr/>
        <w:t>投资集团</w:t>
      </w:r>
      <w:r>
        <w:rPr>
          <w:spacing w:val="38"/>
        </w:rPr>
        <w:t> </w:t>
      </w:r>
      <w:r>
        <w:rPr/>
        <w:t>期</w:t>
      </w:r>
    </w:p>
    <w:p>
      <w:pPr>
        <w:pStyle w:val="BodyText"/>
        <w:tabs>
          <w:tab w:pos="1854" w:val="left" w:leader="none"/>
        </w:tabs>
        <w:spacing w:line="156" w:lineRule="exact"/>
        <w:ind w:left="1285" w:right="0"/>
        <w:jc w:val="left"/>
      </w:pPr>
      <w:r>
        <w:rPr/>
        <w:t>业务</w:t>
        <w:tab/>
        <w:t>成</w:t>
      </w:r>
    </w:p>
    <w:p>
      <w:pPr>
        <w:pStyle w:val="BodyText"/>
        <w:spacing w:line="196" w:lineRule="exact"/>
        <w:ind w:right="0"/>
        <w:jc w:val="left"/>
      </w:pPr>
      <w:r>
        <w:rPr/>
        <w:t>有限公司</w:t>
      </w:r>
    </w:p>
    <w:p>
      <w:pPr>
        <w:spacing w:after="0" w:line="196" w:lineRule="exact"/>
        <w:jc w:val="left"/>
        <w:sectPr>
          <w:type w:val="continuous"/>
          <w:pgSz w:w="11910" w:h="16840"/>
          <w:pgMar w:top="1060" w:bottom="1160" w:left="980" w:right="0"/>
          <w:cols w:num="3" w:equalWidth="0">
            <w:col w:w="875" w:space="40"/>
            <w:col w:w="2901" w:space="1178"/>
            <w:col w:w="5936"/>
          </w:cols>
        </w:sectPr>
      </w:pPr>
    </w:p>
    <w:p>
      <w:pPr>
        <w:spacing w:line="240" w:lineRule="auto" w:before="4"/>
        <w:rPr>
          <w:rFonts w:ascii="宋体" w:hAnsi="宋体" w:cs="宋体" w:eastAsia="宋体" w:hint="default"/>
          <w:sz w:val="9"/>
          <w:szCs w:val="9"/>
        </w:rPr>
      </w:pPr>
      <w:r>
        <w:rPr/>
        <w:pict>
          <v:group style="position:absolute;margin-left:55.080002pt;margin-top:71.759979pt;width:485.25pt;height:690.25pt;mso-position-horizontal-relative:page;mso-position-vertical-relative:page;z-index:-1651576" coordorigin="1102,1435" coordsize="9705,13805">
            <v:group style="position:absolute;left:3552;top:1802;width:232;height:1561" coordorigin="3552,1802" coordsize="232,1561">
              <v:shape style="position:absolute;left:3552;top:1802;width:232;height:1561" coordorigin="3552,1802" coordsize="232,1561" path="m3552,3363l3784,3363,3784,1802,3552,1802,3552,3363xe" filled="true" fillcolor="#ffffff" stroked="false">
                <v:path arrowok="t"/>
                <v:fill type="solid"/>
              </v:shape>
            </v:group>
            <v:group style="position:absolute;left:3552;top:3372;width:232;height:468" coordorigin="3552,3372" coordsize="232,468">
              <v:shape style="position:absolute;left:3552;top:3372;width:232;height:468" coordorigin="3552,3372" coordsize="232,468" path="m3552,3840l3784,3840,3784,3372,3552,3372,3552,3840xe" filled="true" fillcolor="#ffffff" stroked="false">
                <v:path arrowok="t"/>
                <v:fill type="solid"/>
              </v:shape>
            </v:group>
            <v:group style="position:absolute;left:3564;top:3840;width:2;height:705" coordorigin="3564,3840" coordsize="2,705">
              <v:shape style="position:absolute;left:3564;top:3840;width:2;height:705" coordorigin="3564,3840" coordsize="0,705" path="m3564,3840l3564,4545e" filled="false" stroked="true" strokeweight="1.140pt" strokecolor="#ffffff">
                <v:path arrowok="t"/>
              </v:shape>
            </v:group>
            <v:group style="position:absolute;left:3552;top:4545;width:232;height:468" coordorigin="3552,4545" coordsize="232,468">
              <v:shape style="position:absolute;left:3552;top:4545;width:232;height:468" coordorigin="3552,4545" coordsize="232,468" path="m3552,5013l3784,5013,3784,4545,3552,4545,3552,5013xe" filled="true" fillcolor="#ffffff" stroked="false">
                <v:path arrowok="t"/>
                <v:fill type="solid"/>
              </v:shape>
            </v:group>
            <v:group style="position:absolute;left:3575;top:3840;width:186;height:352" coordorigin="3575,3840" coordsize="186,352">
              <v:shape style="position:absolute;left:3575;top:3840;width:186;height:352" coordorigin="3575,3840" coordsize="186,352" path="m3575,4192l3761,4192,3761,3840,3575,3840,3575,4192xe" filled="true" fillcolor="#ffffff" stroked="false">
                <v:path arrowok="t"/>
                <v:fill type="solid"/>
              </v:shape>
            </v:group>
            <v:group style="position:absolute;left:3575;top:4192;width:186;height:353" coordorigin="3575,4192" coordsize="186,353">
              <v:shape style="position:absolute;left:3575;top:4192;width:186;height:353" coordorigin="3575,4192" coordsize="186,353" path="m3575,4545l3761,4545,3761,4192,3575,4192,3575,4545xe" filled="true" fillcolor="#ffffff" stroked="false">
                <v:path arrowok="t"/>
                <v:fill type="solid"/>
              </v:shape>
            </v:group>
            <v:group style="position:absolute;left:1111;top:3368;width:895;height:2" coordorigin="1111,3368" coordsize="895,2">
              <v:shape style="position:absolute;left:1111;top:3368;width:895;height:2" coordorigin="1111,3368" coordsize="895,0" path="m1111,3368l2006,3368e" filled="false" stroked="true" strokeweight=".48pt" strokecolor="#000000">
                <v:path arrowok="t"/>
              </v:shape>
            </v:group>
            <v:group style="position:absolute;left:2015;top:3368;width:1528;height:2" coordorigin="2015,3368" coordsize="1528,2">
              <v:shape style="position:absolute;left:2015;top:3368;width:1528;height:2" coordorigin="2015,3368" coordsize="1528,0" path="m2015,3368l3543,3368e" filled="false" stroked="true" strokeweight=".48pt" strokecolor="#000000">
                <v:path arrowok="t"/>
              </v:shape>
            </v:group>
            <v:group style="position:absolute;left:3552;top:3368;width:233;height:2" coordorigin="3552,3368" coordsize="233,2">
              <v:shape style="position:absolute;left:3552;top:3368;width:233;height:2" coordorigin="3552,3368" coordsize="233,0" path="m3552,3368l3785,3368e" filled="false" stroked="true" strokeweight=".48pt" strokecolor="#000000">
                <v:path arrowok="t"/>
              </v:shape>
            </v:group>
            <v:group style="position:absolute;left:3795;top:3368;width:1023;height:2" coordorigin="3795,3368" coordsize="1023,2">
              <v:shape style="position:absolute;left:3795;top:3368;width:1023;height:2" coordorigin="3795,3368" coordsize="1023,0" path="m3795,3368l4817,3368e" filled="false" stroked="true" strokeweight=".48pt" strokecolor="#000000">
                <v:path arrowok="t"/>
              </v:shape>
            </v:group>
            <v:group style="position:absolute;left:4827;top:3368;width:702;height:2" coordorigin="4827,3368" coordsize="702,2">
              <v:shape style="position:absolute;left:4827;top:3368;width:702;height:2" coordorigin="4827,3368" coordsize="702,0" path="m4827,3368l5528,3368e" filled="false" stroked="true" strokeweight=".48pt" strokecolor="#000000">
                <v:path arrowok="t"/>
              </v:shape>
            </v:group>
            <v:group style="position:absolute;left:5538;top:3368;width:557;height:2" coordorigin="5538,3368" coordsize="557,2">
              <v:shape style="position:absolute;left:5538;top:3368;width:557;height:2" coordorigin="5538,3368" coordsize="557,0" path="m5538,3368l6094,3368e" filled="false" stroked="true" strokeweight=".48pt" strokecolor="#000000">
                <v:path arrowok="t"/>
              </v:shape>
            </v:group>
            <v:group style="position:absolute;left:6104;top:3368;width:839;height:2" coordorigin="6104,3368" coordsize="839,2">
              <v:shape style="position:absolute;left:6104;top:3368;width:839;height:2" coordorigin="6104,3368" coordsize="839,0" path="m6104,3368l6943,3368e" filled="false" stroked="true" strokeweight=".48pt" strokecolor="#000000">
                <v:path arrowok="t"/>
              </v:shape>
            </v:group>
            <v:group style="position:absolute;left:6952;top:3368;width:274;height:2" coordorigin="6952,3368" coordsize="274,2">
              <v:shape style="position:absolute;left:6952;top:3368;width:274;height:2" coordorigin="6952,3368" coordsize="274,0" path="m6952,3368l7226,3368e" filled="false" stroked="true" strokeweight=".48pt" strokecolor="#000000">
                <v:path arrowok="t"/>
              </v:shape>
            </v:group>
            <v:group style="position:absolute;left:7236;top:3368;width:558;height:2" coordorigin="7236,3368" coordsize="558,2">
              <v:shape style="position:absolute;left:7236;top:3368;width:558;height:2" coordorigin="7236,3368" coordsize="558,0" path="m7236,3368l7794,3368e" filled="false" stroked="true" strokeweight=".48pt" strokecolor="#000000">
                <v:path arrowok="t"/>
              </v:shape>
            </v:group>
            <v:group style="position:absolute;left:7803;top:3368;width:273;height:2" coordorigin="7803,3368" coordsize="273,2">
              <v:shape style="position:absolute;left:7803;top:3368;width:273;height:2" coordorigin="7803,3368" coordsize="273,0" path="m7803,3368l8076,3368e" filled="false" stroked="true" strokeweight=".48pt" strokecolor="#000000">
                <v:path arrowok="t"/>
              </v:shape>
            </v:group>
            <v:group style="position:absolute;left:8085;top:3368;width:408;height:2" coordorigin="8085,3368" coordsize="408,2">
              <v:shape style="position:absolute;left:8085;top:3368;width:408;height:2" coordorigin="8085,3368" coordsize="408,0" path="m8085,3368l8492,3368e" filled="false" stroked="true" strokeweight=".48pt" strokecolor="#000000">
                <v:path arrowok="t"/>
              </v:shape>
            </v:group>
            <v:group style="position:absolute;left:8502;top:3368;width:1137;height:2" coordorigin="8502,3368" coordsize="1137,2">
              <v:shape style="position:absolute;left:8502;top:3368;width:1137;height:2" coordorigin="8502,3368" coordsize="1137,0" path="m8502,3368l9638,3368e" filled="false" stroked="true" strokeweight=".48pt" strokecolor="#000000">
                <v:path arrowok="t"/>
              </v:shape>
            </v:group>
            <v:group style="position:absolute;left:9648;top:3368;width:240;height:2" coordorigin="9648,3368" coordsize="240,2">
              <v:shape style="position:absolute;left:9648;top:3368;width:240;height:2" coordorigin="9648,3368" coordsize="240,0" path="m9648,3368l9888,3368e" filled="false" stroked="true" strokeweight=".48pt" strokecolor="#000000">
                <v:path arrowok="t"/>
              </v:shape>
            </v:group>
            <v:group style="position:absolute;left:9898;top:3368;width:408;height:2" coordorigin="9898,3368" coordsize="408,2">
              <v:shape style="position:absolute;left:9898;top:3368;width:408;height:2" coordorigin="9898,3368" coordsize="408,0" path="m9898,3368l10306,3368e" filled="false" stroked="true" strokeweight=".48pt" strokecolor="#000000">
                <v:path arrowok="t"/>
              </v:shape>
            </v:group>
            <v:group style="position:absolute;left:10315;top:3368;width:482;height:2" coordorigin="10315,3368" coordsize="482,2">
              <v:shape style="position:absolute;left:10315;top:3368;width:482;height:2" coordorigin="10315,3368" coordsize="482,0" path="m10315,3368l10796,3368e" filled="false" stroked="true" strokeweight=".48pt" strokecolor="#000000">
                <v:path arrowok="t"/>
              </v:shape>
            </v:group>
            <v:group style="position:absolute;left:1111;top:5018;width:895;height:2" coordorigin="1111,5018" coordsize="895,2">
              <v:shape style="position:absolute;left:1111;top:5018;width:895;height:2" coordorigin="1111,5018" coordsize="895,0" path="m1111,5018l2006,5018e" filled="false" stroked="true" strokeweight=".48pt" strokecolor="#000000">
                <v:path arrowok="t"/>
              </v:shape>
            </v:group>
            <v:group style="position:absolute;left:2015;top:5018;width:1528;height:2" coordorigin="2015,5018" coordsize="1528,2">
              <v:shape style="position:absolute;left:2015;top:5018;width:1528;height:2" coordorigin="2015,5018" coordsize="1528,0" path="m2015,5018l3543,5018e" filled="false" stroked="true" strokeweight=".48pt" strokecolor="#000000">
                <v:path arrowok="t"/>
              </v:shape>
            </v:group>
            <v:group style="position:absolute;left:3552;top:5018;width:233;height:2" coordorigin="3552,5018" coordsize="233,2">
              <v:shape style="position:absolute;left:3552;top:5018;width:233;height:2" coordorigin="3552,5018" coordsize="233,0" path="m3552,5018l3785,5018e" filled="false" stroked="true" strokeweight=".48pt" strokecolor="#000000">
                <v:path arrowok="t"/>
              </v:shape>
            </v:group>
            <v:group style="position:absolute;left:3795;top:5018;width:1023;height:2" coordorigin="3795,5018" coordsize="1023,2">
              <v:shape style="position:absolute;left:3795;top:5018;width:1023;height:2" coordorigin="3795,5018" coordsize="1023,0" path="m3795,5018l4817,5018e" filled="false" stroked="true" strokeweight=".48pt" strokecolor="#000000">
                <v:path arrowok="t"/>
              </v:shape>
            </v:group>
            <v:group style="position:absolute;left:4827;top:5018;width:702;height:2" coordorigin="4827,5018" coordsize="702,2">
              <v:shape style="position:absolute;left:4827;top:5018;width:702;height:2" coordorigin="4827,5018" coordsize="702,0" path="m4827,5018l5528,5018e" filled="false" stroked="true" strokeweight=".48pt" strokecolor="#000000">
                <v:path arrowok="t"/>
              </v:shape>
            </v:group>
            <v:group style="position:absolute;left:5538;top:5018;width:557;height:2" coordorigin="5538,5018" coordsize="557,2">
              <v:shape style="position:absolute;left:5538;top:5018;width:557;height:2" coordorigin="5538,5018" coordsize="557,0" path="m5538,5018l6094,5018e" filled="false" stroked="true" strokeweight=".48pt" strokecolor="#000000">
                <v:path arrowok="t"/>
              </v:shape>
            </v:group>
            <v:group style="position:absolute;left:6104;top:5018;width:839;height:2" coordorigin="6104,5018" coordsize="839,2">
              <v:shape style="position:absolute;left:6104;top:5018;width:839;height:2" coordorigin="6104,5018" coordsize="839,0" path="m6104,5018l6943,5018e" filled="false" stroked="true" strokeweight=".48pt" strokecolor="#000000">
                <v:path arrowok="t"/>
              </v:shape>
            </v:group>
            <v:group style="position:absolute;left:6952;top:5018;width:274;height:2" coordorigin="6952,5018" coordsize="274,2">
              <v:shape style="position:absolute;left:6952;top:5018;width:274;height:2" coordorigin="6952,5018" coordsize="274,0" path="m6952,5018l7226,5018e" filled="false" stroked="true" strokeweight=".48pt" strokecolor="#000000">
                <v:path arrowok="t"/>
              </v:shape>
            </v:group>
            <v:group style="position:absolute;left:7236;top:5018;width:558;height:2" coordorigin="7236,5018" coordsize="558,2">
              <v:shape style="position:absolute;left:7236;top:5018;width:558;height:2" coordorigin="7236,5018" coordsize="558,0" path="m7236,5018l7794,5018e" filled="false" stroked="true" strokeweight=".48pt" strokecolor="#000000">
                <v:path arrowok="t"/>
              </v:shape>
            </v:group>
            <v:group style="position:absolute;left:7803;top:5018;width:273;height:2" coordorigin="7803,5018" coordsize="273,2">
              <v:shape style="position:absolute;left:7803;top:5018;width:273;height:2" coordorigin="7803,5018" coordsize="273,0" path="m7803,5018l8076,5018e" filled="false" stroked="true" strokeweight=".48pt" strokecolor="#000000">
                <v:path arrowok="t"/>
              </v:shape>
            </v:group>
            <v:group style="position:absolute;left:8085;top:5018;width:408;height:2" coordorigin="8085,5018" coordsize="408,2">
              <v:shape style="position:absolute;left:8085;top:5018;width:408;height:2" coordorigin="8085,5018" coordsize="408,0" path="m8085,5018l8492,5018e" filled="false" stroked="true" strokeweight=".48pt" strokecolor="#000000">
                <v:path arrowok="t"/>
              </v:shape>
            </v:group>
            <v:group style="position:absolute;left:8502;top:5018;width:1137;height:2" coordorigin="8502,5018" coordsize="1137,2">
              <v:shape style="position:absolute;left:8502;top:5018;width:1137;height:2" coordorigin="8502,5018" coordsize="1137,0" path="m8502,5018l9638,5018e" filled="false" stroked="true" strokeweight=".48pt" strokecolor="#000000">
                <v:path arrowok="t"/>
              </v:shape>
            </v:group>
            <v:group style="position:absolute;left:9648;top:5018;width:240;height:2" coordorigin="9648,5018" coordsize="240,2">
              <v:shape style="position:absolute;left:9648;top:5018;width:240;height:2" coordorigin="9648,5018" coordsize="240,0" path="m9648,5018l9888,5018e" filled="false" stroked="true" strokeweight=".48pt" strokecolor="#000000">
                <v:path arrowok="t"/>
              </v:shape>
            </v:group>
            <v:group style="position:absolute;left:9898;top:5018;width:408;height:2" coordorigin="9898,5018" coordsize="408,2">
              <v:shape style="position:absolute;left:9898;top:5018;width:408;height:2" coordorigin="9898,5018" coordsize="408,0" path="m9898,5018l10306,5018e" filled="false" stroked="true" strokeweight=".48pt" strokecolor="#000000">
                <v:path arrowok="t"/>
              </v:shape>
            </v:group>
            <v:group style="position:absolute;left:10315;top:5018;width:482;height:2" coordorigin="10315,5018" coordsize="482,2">
              <v:shape style="position:absolute;left:10315;top:5018;width:482;height:2" coordorigin="10315,5018" coordsize="482,0" path="m10315,5018l10796,5018e" filled="false" stroked="true" strokeweight=".48pt" strokecolor="#000000">
                <v:path arrowok="t"/>
              </v:shape>
            </v:group>
            <v:group style="position:absolute;left:1111;top:1445;width:895;height:2" coordorigin="1111,1445" coordsize="895,2">
              <v:shape style="position:absolute;left:1111;top:1445;width:895;height:2" coordorigin="1111,1445" coordsize="895,0" path="m1111,1445l2006,1445e" filled="false" stroked="true" strokeweight=".48pt" strokecolor="#000000">
                <v:path arrowok="t"/>
              </v:shape>
            </v:group>
            <v:group style="position:absolute;left:2015;top:1445;width:1528;height:2" coordorigin="2015,1445" coordsize="1528,2">
              <v:shape style="position:absolute;left:2015;top:1445;width:1528;height:2" coordorigin="2015,1445" coordsize="1528,0" path="m2015,1445l3543,1445e" filled="false" stroked="true" strokeweight=".48pt" strokecolor="#000000">
                <v:path arrowok="t"/>
              </v:shape>
            </v:group>
            <v:group style="position:absolute;left:3552;top:1445;width:233;height:2" coordorigin="3552,1445" coordsize="233,2">
              <v:shape style="position:absolute;left:3552;top:1445;width:233;height:2" coordorigin="3552,1445" coordsize="233,0" path="m3552,1445l3785,1445e" filled="false" stroked="true" strokeweight=".48pt" strokecolor="#000000">
                <v:path arrowok="t"/>
              </v:shape>
            </v:group>
            <v:group style="position:absolute;left:3795;top:1445;width:1023;height:2" coordorigin="3795,1445" coordsize="1023,2">
              <v:shape style="position:absolute;left:3795;top:1445;width:1023;height:2" coordorigin="3795,1445" coordsize="1023,0" path="m3795,1445l4817,1445e" filled="false" stroked="true" strokeweight=".48pt" strokecolor="#000000">
                <v:path arrowok="t"/>
              </v:shape>
            </v:group>
            <v:group style="position:absolute;left:4827;top:1445;width:702;height:2" coordorigin="4827,1445" coordsize="702,2">
              <v:shape style="position:absolute;left:4827;top:1445;width:702;height:2" coordorigin="4827,1445" coordsize="702,0" path="m4827,1445l5528,1445e" filled="false" stroked="true" strokeweight=".48pt" strokecolor="#000000">
                <v:path arrowok="t"/>
              </v:shape>
            </v:group>
            <v:group style="position:absolute;left:5538;top:1445;width:557;height:2" coordorigin="5538,1445" coordsize="557,2">
              <v:shape style="position:absolute;left:5538;top:1445;width:557;height:2" coordorigin="5538,1445" coordsize="557,0" path="m5538,1445l6094,1445e" filled="false" stroked="true" strokeweight=".48pt" strokecolor="#000000">
                <v:path arrowok="t"/>
              </v:shape>
            </v:group>
            <v:group style="position:absolute;left:6104;top:1445;width:839;height:2" coordorigin="6104,1445" coordsize="839,2">
              <v:shape style="position:absolute;left:6104;top:1445;width:839;height:2" coordorigin="6104,1445" coordsize="839,0" path="m6104,1445l6943,1445e" filled="false" stroked="true" strokeweight=".48pt" strokecolor="#000000">
                <v:path arrowok="t"/>
              </v:shape>
            </v:group>
            <v:group style="position:absolute;left:6952;top:1445;width:274;height:2" coordorigin="6952,1445" coordsize="274,2">
              <v:shape style="position:absolute;left:6952;top:1445;width:274;height:2" coordorigin="6952,1445" coordsize="274,0" path="m6952,1445l7226,1445e" filled="false" stroked="true" strokeweight=".48pt" strokecolor="#000000">
                <v:path arrowok="t"/>
              </v:shape>
            </v:group>
            <v:group style="position:absolute;left:7236;top:1445;width:558;height:2" coordorigin="7236,1445" coordsize="558,2">
              <v:shape style="position:absolute;left:7236;top:1445;width:558;height:2" coordorigin="7236,1445" coordsize="558,0" path="m7236,1445l7794,1445e" filled="false" stroked="true" strokeweight=".48pt" strokecolor="#000000">
                <v:path arrowok="t"/>
              </v:shape>
            </v:group>
            <v:group style="position:absolute;left:7803;top:1445;width:273;height:2" coordorigin="7803,1445" coordsize="273,2">
              <v:shape style="position:absolute;left:7803;top:1445;width:273;height:2" coordorigin="7803,1445" coordsize="273,0" path="m7803,1445l8076,1445e" filled="false" stroked="true" strokeweight=".48pt" strokecolor="#000000">
                <v:path arrowok="t"/>
              </v:shape>
            </v:group>
            <v:group style="position:absolute;left:8085;top:1445;width:408;height:2" coordorigin="8085,1445" coordsize="408,2">
              <v:shape style="position:absolute;left:8085;top:1445;width:408;height:2" coordorigin="8085,1445" coordsize="408,0" path="m8085,1445l8492,1445e" filled="false" stroked="true" strokeweight=".48pt" strokecolor="#000000">
                <v:path arrowok="t"/>
              </v:shape>
            </v:group>
            <v:group style="position:absolute;left:8502;top:1445;width:1137;height:2" coordorigin="8502,1445" coordsize="1137,2">
              <v:shape style="position:absolute;left:8502;top:1445;width:1137;height:2" coordorigin="8502,1445" coordsize="1137,0" path="m8502,1445l9638,1445e" filled="false" stroked="true" strokeweight=".48pt" strokecolor="#000000">
                <v:path arrowok="t"/>
              </v:shape>
            </v:group>
            <v:group style="position:absolute;left:9648;top:1445;width:240;height:2" coordorigin="9648,1445" coordsize="240,2">
              <v:shape style="position:absolute;left:9648;top:1445;width:240;height:2" coordorigin="9648,1445" coordsize="240,0" path="m9648,1445l9888,1445e" filled="false" stroked="true" strokeweight=".48pt" strokecolor="#000000">
                <v:path arrowok="t"/>
              </v:shape>
            </v:group>
            <v:group style="position:absolute;left:9898;top:1445;width:408;height:2" coordorigin="9898,1445" coordsize="408,2">
              <v:shape style="position:absolute;left:9898;top:1445;width:408;height:2" coordorigin="9898,1445" coordsize="408,0" path="m9898,1445l10306,1445e" filled="false" stroked="true" strokeweight=".48pt" strokecolor="#000000">
                <v:path arrowok="t"/>
              </v:shape>
            </v:group>
            <v:group style="position:absolute;left:10315;top:1445;width:482;height:2" coordorigin="10315,1445" coordsize="482,2">
              <v:shape style="position:absolute;left:10315;top:1445;width:482;height:2" coordorigin="10315,1445" coordsize="482,0" path="m10315,1445l10796,1445e" filled="false" stroked="true" strokeweight=".48pt" strokecolor="#000000">
                <v:path arrowok="t"/>
              </v:shape>
            </v:group>
            <v:group style="position:absolute;left:3552;top:6984;width:232;height:1092" coordorigin="3552,6984" coordsize="232,1092">
              <v:shape style="position:absolute;left:3552;top:6984;width:232;height:1092" coordorigin="3552,6984" coordsize="232,1092" path="m3552,8076l3784,8076,3784,6984,3552,6984,3552,8076xe" filled="true" fillcolor="#ffffff" stroked="false">
                <v:path arrowok="t"/>
                <v:fill type="solid"/>
              </v:shape>
            </v:group>
            <v:group style="position:absolute;left:3564;top:8076;width:2;height:705" coordorigin="3564,8076" coordsize="2,705">
              <v:shape style="position:absolute;left:3564;top:8076;width:2;height:705" coordorigin="3564,8076" coordsize="0,705" path="m3564,8076l3564,8781e" filled="false" stroked="true" strokeweight="1.140pt" strokecolor="#ffffff">
                <v:path arrowok="t"/>
              </v:shape>
            </v:group>
            <v:group style="position:absolute;left:3552;top:8781;width:232;height:1092" coordorigin="3552,8781" coordsize="232,1092">
              <v:shape style="position:absolute;left:3552;top:8781;width:232;height:1092" coordorigin="3552,8781" coordsize="232,1092" path="m3552,9873l3784,9873,3784,8781,3552,8781,3552,9873xe" filled="true" fillcolor="#ffffff" stroked="false">
                <v:path arrowok="t"/>
                <v:fill type="solid"/>
              </v:shape>
            </v:group>
            <v:group style="position:absolute;left:3575;top:8076;width:186;height:352" coordorigin="3575,8076" coordsize="186,352">
              <v:shape style="position:absolute;left:3575;top:8076;width:186;height:352" coordorigin="3575,8076" coordsize="186,352" path="m3575,8428l3761,8428,3761,8076,3575,8076,3575,8428xe" filled="true" fillcolor="#ffffff" stroked="false">
                <v:path arrowok="t"/>
                <v:fill type="solid"/>
              </v:shape>
            </v:group>
            <v:group style="position:absolute;left:3575;top:8428;width:186;height:353" coordorigin="3575,8428" coordsize="186,353">
              <v:shape style="position:absolute;left:3575;top:8428;width:186;height:353" coordorigin="3575,8428" coordsize="186,353" path="m3575,8781l3761,8781,3761,8428,3575,8428,3575,8781xe" filled="true" fillcolor="#ffffff" stroked="false">
                <v:path arrowok="t"/>
                <v:fill type="solid"/>
              </v:shape>
            </v:group>
            <v:group style="position:absolute;left:1111;top:6980;width:895;height:2" coordorigin="1111,6980" coordsize="895,2">
              <v:shape style="position:absolute;left:1111;top:6980;width:895;height:2" coordorigin="1111,6980" coordsize="895,0" path="m1111,6980l2006,6980e" filled="false" stroked="true" strokeweight=".48pt" strokecolor="#000000">
                <v:path arrowok="t"/>
              </v:shape>
            </v:group>
            <v:group style="position:absolute;left:2015;top:6980;width:1528;height:2" coordorigin="2015,6980" coordsize="1528,2">
              <v:shape style="position:absolute;left:2015;top:6980;width:1528;height:2" coordorigin="2015,6980" coordsize="1528,0" path="m2015,6980l3543,6980e" filled="false" stroked="true" strokeweight=".48pt" strokecolor="#000000">
                <v:path arrowok="t"/>
              </v:shape>
            </v:group>
            <v:group style="position:absolute;left:3552;top:6980;width:233;height:2" coordorigin="3552,6980" coordsize="233,2">
              <v:shape style="position:absolute;left:3552;top:6980;width:233;height:2" coordorigin="3552,6980" coordsize="233,0" path="m3552,6980l3785,6980e" filled="false" stroked="true" strokeweight=".48pt" strokecolor="#000000">
                <v:path arrowok="t"/>
              </v:shape>
            </v:group>
            <v:group style="position:absolute;left:3795;top:6980;width:1023;height:2" coordorigin="3795,6980" coordsize="1023,2">
              <v:shape style="position:absolute;left:3795;top:6980;width:1023;height:2" coordorigin="3795,6980" coordsize="1023,0" path="m3795,6980l4817,6980e" filled="false" stroked="true" strokeweight=".48pt" strokecolor="#000000">
                <v:path arrowok="t"/>
              </v:shape>
            </v:group>
            <v:group style="position:absolute;left:4827;top:6980;width:702;height:2" coordorigin="4827,6980" coordsize="702,2">
              <v:shape style="position:absolute;left:4827;top:6980;width:702;height:2" coordorigin="4827,6980" coordsize="702,0" path="m4827,6980l5528,6980e" filled="false" stroked="true" strokeweight=".48pt" strokecolor="#000000">
                <v:path arrowok="t"/>
              </v:shape>
            </v:group>
            <v:group style="position:absolute;left:5538;top:6980;width:557;height:2" coordorigin="5538,6980" coordsize="557,2">
              <v:shape style="position:absolute;left:5538;top:6980;width:557;height:2" coordorigin="5538,6980" coordsize="557,0" path="m5538,6980l6094,6980e" filled="false" stroked="true" strokeweight=".48pt" strokecolor="#000000">
                <v:path arrowok="t"/>
              </v:shape>
            </v:group>
            <v:group style="position:absolute;left:6104;top:6980;width:839;height:2" coordorigin="6104,6980" coordsize="839,2">
              <v:shape style="position:absolute;left:6104;top:6980;width:839;height:2" coordorigin="6104,6980" coordsize="839,0" path="m6104,6980l6943,6980e" filled="false" stroked="true" strokeweight=".48pt" strokecolor="#000000">
                <v:path arrowok="t"/>
              </v:shape>
            </v:group>
            <v:group style="position:absolute;left:6952;top:6980;width:274;height:2" coordorigin="6952,6980" coordsize="274,2">
              <v:shape style="position:absolute;left:6952;top:6980;width:274;height:2" coordorigin="6952,6980" coordsize="274,0" path="m6952,6980l7226,6980e" filled="false" stroked="true" strokeweight=".48pt" strokecolor="#000000">
                <v:path arrowok="t"/>
              </v:shape>
            </v:group>
            <v:group style="position:absolute;left:7236;top:6980;width:558;height:2" coordorigin="7236,6980" coordsize="558,2">
              <v:shape style="position:absolute;left:7236;top:6980;width:558;height:2" coordorigin="7236,6980" coordsize="558,0" path="m7236,6980l7794,6980e" filled="false" stroked="true" strokeweight=".48pt" strokecolor="#000000">
                <v:path arrowok="t"/>
              </v:shape>
            </v:group>
            <v:group style="position:absolute;left:7803;top:6980;width:273;height:2" coordorigin="7803,6980" coordsize="273,2">
              <v:shape style="position:absolute;left:7803;top:6980;width:273;height:2" coordorigin="7803,6980" coordsize="273,0" path="m7803,6980l8076,6980e" filled="false" stroked="true" strokeweight=".48pt" strokecolor="#000000">
                <v:path arrowok="t"/>
              </v:shape>
            </v:group>
            <v:group style="position:absolute;left:8085;top:6980;width:408;height:2" coordorigin="8085,6980" coordsize="408,2">
              <v:shape style="position:absolute;left:8085;top:6980;width:408;height:2" coordorigin="8085,6980" coordsize="408,0" path="m8085,6980l8492,6980e" filled="false" stroked="true" strokeweight=".48pt" strokecolor="#000000">
                <v:path arrowok="t"/>
              </v:shape>
            </v:group>
            <v:group style="position:absolute;left:8502;top:6980;width:1137;height:2" coordorigin="8502,6980" coordsize="1137,2">
              <v:shape style="position:absolute;left:8502;top:6980;width:1137;height:2" coordorigin="8502,6980" coordsize="1137,0" path="m8502,6980l9638,6980e" filled="false" stroked="true" strokeweight=".48pt" strokecolor="#000000">
                <v:path arrowok="t"/>
              </v:shape>
            </v:group>
            <v:group style="position:absolute;left:9648;top:6980;width:240;height:2" coordorigin="9648,6980" coordsize="240,2">
              <v:shape style="position:absolute;left:9648;top:6980;width:240;height:2" coordorigin="9648,6980" coordsize="240,0" path="m9648,6980l9888,6980e" filled="false" stroked="true" strokeweight=".48pt" strokecolor="#000000">
                <v:path arrowok="t"/>
              </v:shape>
            </v:group>
            <v:group style="position:absolute;left:9898;top:6980;width:408;height:2" coordorigin="9898,6980" coordsize="408,2">
              <v:shape style="position:absolute;left:9898;top:6980;width:408;height:2" coordorigin="9898,6980" coordsize="408,0" path="m9898,6980l10306,6980e" filled="false" stroked="true" strokeweight=".48pt" strokecolor="#000000">
                <v:path arrowok="t"/>
              </v:shape>
            </v:group>
            <v:group style="position:absolute;left:10315;top:6980;width:482;height:2" coordorigin="10315,6980" coordsize="482,2">
              <v:shape style="position:absolute;left:10315;top:6980;width:482;height:2" coordorigin="10315,6980" coordsize="482,0" path="m10315,6980l10796,6980e" filled="false" stroked="true" strokeweight=".48pt" strokecolor="#000000">
                <v:path arrowok="t"/>
              </v:shape>
            </v:group>
            <v:group style="position:absolute;left:3552;top:9883;width:232;height:468" coordorigin="3552,9883" coordsize="232,468">
              <v:shape style="position:absolute;left:3552;top:9883;width:232;height:468" coordorigin="3552,9883" coordsize="232,468" path="m3552,10351l3784,10351,3784,9883,3552,9883,3552,10351xe" filled="true" fillcolor="#ffffff" stroked="false">
                <v:path arrowok="t"/>
                <v:fill type="solid"/>
              </v:shape>
            </v:group>
            <v:group style="position:absolute;left:3564;top:10351;width:2;height:705" coordorigin="3564,10351" coordsize="2,705">
              <v:shape style="position:absolute;left:3564;top:10351;width:2;height:705" coordorigin="3564,10351" coordsize="0,705" path="m3564,10351l3564,11055e" filled="false" stroked="true" strokeweight="1.140pt" strokecolor="#ffffff">
                <v:path arrowok="t"/>
              </v:shape>
            </v:group>
            <v:group style="position:absolute;left:3552;top:11055;width:232;height:468" coordorigin="3552,11055" coordsize="232,468">
              <v:shape style="position:absolute;left:3552;top:11055;width:232;height:468" coordorigin="3552,11055" coordsize="232,468" path="m3552,11523l3784,11523,3784,11055,3552,11055,3552,11523xe" filled="true" fillcolor="#ffffff" stroked="false">
                <v:path arrowok="t"/>
                <v:fill type="solid"/>
              </v:shape>
            </v:group>
            <v:group style="position:absolute;left:3575;top:10351;width:186;height:352" coordorigin="3575,10351" coordsize="186,352">
              <v:shape style="position:absolute;left:3575;top:10351;width:186;height:352" coordorigin="3575,10351" coordsize="186,352" path="m3575,10702l3761,10702,3761,10351,3575,10351,3575,10702xe" filled="true" fillcolor="#ffffff" stroked="false">
                <v:path arrowok="t"/>
                <v:fill type="solid"/>
              </v:shape>
            </v:group>
            <v:group style="position:absolute;left:3575;top:10702;width:186;height:353" coordorigin="3575,10702" coordsize="186,353">
              <v:shape style="position:absolute;left:3575;top:10702;width:186;height:353" coordorigin="3575,10702" coordsize="186,353" path="m3575,11055l3761,11055,3761,10702,3575,10702,3575,11055xe" filled="true" fillcolor="#ffffff" stroked="false">
                <v:path arrowok="t"/>
                <v:fill type="solid"/>
              </v:shape>
            </v:group>
            <v:group style="position:absolute;left:1111;top:9878;width:895;height:2" coordorigin="1111,9878" coordsize="895,2">
              <v:shape style="position:absolute;left:1111;top:9878;width:895;height:2" coordorigin="1111,9878" coordsize="895,0" path="m1111,9878l2006,9878e" filled="false" stroked="true" strokeweight=".48pt" strokecolor="#000000">
                <v:path arrowok="t"/>
              </v:shape>
            </v:group>
            <v:group style="position:absolute;left:2015;top:9878;width:1528;height:2" coordorigin="2015,9878" coordsize="1528,2">
              <v:shape style="position:absolute;left:2015;top:9878;width:1528;height:2" coordorigin="2015,9878" coordsize="1528,0" path="m2015,9878l3543,9878e" filled="false" stroked="true" strokeweight=".48pt" strokecolor="#000000">
                <v:path arrowok="t"/>
              </v:shape>
            </v:group>
            <v:group style="position:absolute;left:3552;top:9878;width:233;height:2" coordorigin="3552,9878" coordsize="233,2">
              <v:shape style="position:absolute;left:3552;top:9878;width:233;height:2" coordorigin="3552,9878" coordsize="233,0" path="m3552,9878l3785,9878e" filled="false" stroked="true" strokeweight=".48pt" strokecolor="#000000">
                <v:path arrowok="t"/>
              </v:shape>
            </v:group>
            <v:group style="position:absolute;left:3795;top:9878;width:1023;height:2" coordorigin="3795,9878" coordsize="1023,2">
              <v:shape style="position:absolute;left:3795;top:9878;width:1023;height:2" coordorigin="3795,9878" coordsize="1023,0" path="m3795,9878l4817,9878e" filled="false" stroked="true" strokeweight=".48pt" strokecolor="#000000">
                <v:path arrowok="t"/>
              </v:shape>
            </v:group>
            <v:group style="position:absolute;left:4827;top:9878;width:702;height:2" coordorigin="4827,9878" coordsize="702,2">
              <v:shape style="position:absolute;left:4827;top:9878;width:702;height:2" coordorigin="4827,9878" coordsize="702,0" path="m4827,9878l5528,9878e" filled="false" stroked="true" strokeweight=".48pt" strokecolor="#000000">
                <v:path arrowok="t"/>
              </v:shape>
            </v:group>
            <v:group style="position:absolute;left:5538;top:9878;width:557;height:2" coordorigin="5538,9878" coordsize="557,2">
              <v:shape style="position:absolute;left:5538;top:9878;width:557;height:2" coordorigin="5538,9878" coordsize="557,0" path="m5538,9878l6094,9878e" filled="false" stroked="true" strokeweight=".48pt" strokecolor="#000000">
                <v:path arrowok="t"/>
              </v:shape>
            </v:group>
            <v:group style="position:absolute;left:6104;top:9878;width:839;height:2" coordorigin="6104,9878" coordsize="839,2">
              <v:shape style="position:absolute;left:6104;top:9878;width:839;height:2" coordorigin="6104,9878" coordsize="839,0" path="m6104,9878l6943,9878e" filled="false" stroked="true" strokeweight=".48pt" strokecolor="#000000">
                <v:path arrowok="t"/>
              </v:shape>
            </v:group>
            <v:group style="position:absolute;left:6952;top:9878;width:274;height:2" coordorigin="6952,9878" coordsize="274,2">
              <v:shape style="position:absolute;left:6952;top:9878;width:274;height:2" coordorigin="6952,9878" coordsize="274,0" path="m6952,9878l7226,9878e" filled="false" stroked="true" strokeweight=".48pt" strokecolor="#000000">
                <v:path arrowok="t"/>
              </v:shape>
            </v:group>
            <v:group style="position:absolute;left:7236;top:9878;width:558;height:2" coordorigin="7236,9878" coordsize="558,2">
              <v:shape style="position:absolute;left:7236;top:9878;width:558;height:2" coordorigin="7236,9878" coordsize="558,0" path="m7236,9878l7794,9878e" filled="false" stroked="true" strokeweight=".48pt" strokecolor="#000000">
                <v:path arrowok="t"/>
              </v:shape>
            </v:group>
            <v:group style="position:absolute;left:7803;top:9878;width:273;height:2" coordorigin="7803,9878" coordsize="273,2">
              <v:shape style="position:absolute;left:7803;top:9878;width:273;height:2" coordorigin="7803,9878" coordsize="273,0" path="m7803,9878l8076,9878e" filled="false" stroked="true" strokeweight=".48pt" strokecolor="#000000">
                <v:path arrowok="t"/>
              </v:shape>
            </v:group>
            <v:group style="position:absolute;left:8085;top:9878;width:408;height:2" coordorigin="8085,9878" coordsize="408,2">
              <v:shape style="position:absolute;left:8085;top:9878;width:408;height:2" coordorigin="8085,9878" coordsize="408,0" path="m8085,9878l8492,9878e" filled="false" stroked="true" strokeweight=".48pt" strokecolor="#000000">
                <v:path arrowok="t"/>
              </v:shape>
            </v:group>
            <v:group style="position:absolute;left:8502;top:9878;width:1137;height:2" coordorigin="8502,9878" coordsize="1137,2">
              <v:shape style="position:absolute;left:8502;top:9878;width:1137;height:2" coordorigin="8502,9878" coordsize="1137,0" path="m8502,9878l9638,9878e" filled="false" stroked="true" strokeweight=".48pt" strokecolor="#000000">
                <v:path arrowok="t"/>
              </v:shape>
            </v:group>
            <v:group style="position:absolute;left:9648;top:9878;width:240;height:2" coordorigin="9648,9878" coordsize="240,2">
              <v:shape style="position:absolute;left:9648;top:9878;width:240;height:2" coordorigin="9648,9878" coordsize="240,0" path="m9648,9878l9888,9878e" filled="false" stroked="true" strokeweight=".48pt" strokecolor="#000000">
                <v:path arrowok="t"/>
              </v:shape>
            </v:group>
            <v:group style="position:absolute;left:9898;top:9878;width:408;height:2" coordorigin="9898,9878" coordsize="408,2">
              <v:shape style="position:absolute;left:9898;top:9878;width:408;height:2" coordorigin="9898,9878" coordsize="408,0" path="m9898,9878l10306,9878e" filled="false" stroked="true" strokeweight=".48pt" strokecolor="#000000">
                <v:path arrowok="t"/>
              </v:shape>
            </v:group>
            <v:group style="position:absolute;left:10315;top:9878;width:482;height:2" coordorigin="10315,9878" coordsize="482,2">
              <v:shape style="position:absolute;left:10315;top:9878;width:482;height:2" coordorigin="10315,9878" coordsize="482,0" path="m10315,9878l10796,9878e" filled="false" stroked="true" strokeweight=".48pt" strokecolor="#000000">
                <v:path arrowok="t"/>
              </v:shape>
            </v:group>
            <v:group style="position:absolute;left:3552;top:11533;width:232;height:468" coordorigin="3552,11533" coordsize="232,468">
              <v:shape style="position:absolute;left:3552;top:11533;width:232;height:468" coordorigin="3552,11533" coordsize="232,468" path="m3552,12001l3784,12001,3784,11533,3552,11533,3552,12001xe" filled="true" fillcolor="#ffffff" stroked="false">
                <v:path arrowok="t"/>
                <v:fill type="solid"/>
              </v:shape>
            </v:group>
            <v:group style="position:absolute;left:3564;top:12001;width:2;height:705" coordorigin="3564,12001" coordsize="2,705">
              <v:shape style="position:absolute;left:3564;top:12001;width:2;height:705" coordorigin="3564,12001" coordsize="0,705" path="m3564,12001l3564,12705e" filled="false" stroked="true" strokeweight="1.140pt" strokecolor="#ffffff">
                <v:path arrowok="t"/>
              </v:shape>
            </v:group>
            <v:group style="position:absolute;left:3552;top:12705;width:232;height:468" coordorigin="3552,12705" coordsize="232,468">
              <v:shape style="position:absolute;left:3552;top:12705;width:232;height:468" coordorigin="3552,12705" coordsize="232,468" path="m3552,13173l3784,13173,3784,12705,3552,12705,3552,13173xe" filled="true" fillcolor="#ffffff" stroked="false">
                <v:path arrowok="t"/>
                <v:fill type="solid"/>
              </v:shape>
            </v:group>
            <v:group style="position:absolute;left:3575;top:12001;width:186;height:352" coordorigin="3575,12001" coordsize="186,352">
              <v:shape style="position:absolute;left:3575;top:12001;width:186;height:352" coordorigin="3575,12001" coordsize="186,352" path="m3575,12352l3761,12352,3761,12001,3575,12001,3575,12352xe" filled="true" fillcolor="#ffffff" stroked="false">
                <v:path arrowok="t"/>
                <v:fill type="solid"/>
              </v:shape>
            </v:group>
            <v:group style="position:absolute;left:3575;top:12352;width:186;height:353" coordorigin="3575,12352" coordsize="186,353">
              <v:shape style="position:absolute;left:3575;top:12352;width:186;height:353" coordorigin="3575,12352" coordsize="186,353" path="m3575,12705l3761,12705,3761,12352,3575,12352,3575,12705xe" filled="true" fillcolor="#ffffff" stroked="false">
                <v:path arrowok="t"/>
                <v:fill type="solid"/>
              </v:shape>
            </v:group>
            <v:group style="position:absolute;left:1111;top:11528;width:895;height:2" coordorigin="1111,11528" coordsize="895,2">
              <v:shape style="position:absolute;left:1111;top:11528;width:895;height:2" coordorigin="1111,11528" coordsize="895,0" path="m1111,11528l2006,11528e" filled="false" stroked="true" strokeweight=".48pt" strokecolor="#000000">
                <v:path arrowok="t"/>
              </v:shape>
            </v:group>
            <v:group style="position:absolute;left:2015;top:11528;width:1528;height:2" coordorigin="2015,11528" coordsize="1528,2">
              <v:shape style="position:absolute;left:2015;top:11528;width:1528;height:2" coordorigin="2015,11528" coordsize="1528,0" path="m2015,11528l3543,11528e" filled="false" stroked="true" strokeweight=".48pt" strokecolor="#000000">
                <v:path arrowok="t"/>
              </v:shape>
            </v:group>
            <v:group style="position:absolute;left:3552;top:11528;width:233;height:2" coordorigin="3552,11528" coordsize="233,2">
              <v:shape style="position:absolute;left:3552;top:11528;width:233;height:2" coordorigin="3552,11528" coordsize="233,0" path="m3552,11528l3785,11528e" filled="false" stroked="true" strokeweight=".48pt" strokecolor="#000000">
                <v:path arrowok="t"/>
              </v:shape>
            </v:group>
            <v:group style="position:absolute;left:3795;top:11528;width:1023;height:2" coordorigin="3795,11528" coordsize="1023,2">
              <v:shape style="position:absolute;left:3795;top:11528;width:1023;height:2" coordorigin="3795,11528" coordsize="1023,0" path="m3795,11528l4817,11528e" filled="false" stroked="true" strokeweight=".48pt" strokecolor="#000000">
                <v:path arrowok="t"/>
              </v:shape>
            </v:group>
            <v:group style="position:absolute;left:4827;top:11528;width:702;height:2" coordorigin="4827,11528" coordsize="702,2">
              <v:shape style="position:absolute;left:4827;top:11528;width:702;height:2" coordorigin="4827,11528" coordsize="702,0" path="m4827,11528l5528,11528e" filled="false" stroked="true" strokeweight=".48pt" strokecolor="#000000">
                <v:path arrowok="t"/>
              </v:shape>
            </v:group>
            <v:group style="position:absolute;left:5538;top:11528;width:557;height:2" coordorigin="5538,11528" coordsize="557,2">
              <v:shape style="position:absolute;left:5538;top:11528;width:557;height:2" coordorigin="5538,11528" coordsize="557,0" path="m5538,11528l6094,11528e" filled="false" stroked="true" strokeweight=".48pt" strokecolor="#000000">
                <v:path arrowok="t"/>
              </v:shape>
            </v:group>
            <v:group style="position:absolute;left:6104;top:11528;width:839;height:2" coordorigin="6104,11528" coordsize="839,2">
              <v:shape style="position:absolute;left:6104;top:11528;width:839;height:2" coordorigin="6104,11528" coordsize="839,0" path="m6104,11528l6943,11528e" filled="false" stroked="true" strokeweight=".48pt" strokecolor="#000000">
                <v:path arrowok="t"/>
              </v:shape>
            </v:group>
            <v:group style="position:absolute;left:6952;top:11528;width:274;height:2" coordorigin="6952,11528" coordsize="274,2">
              <v:shape style="position:absolute;left:6952;top:11528;width:274;height:2" coordorigin="6952,11528" coordsize="274,0" path="m6952,11528l7226,11528e" filled="false" stroked="true" strokeweight=".48pt" strokecolor="#000000">
                <v:path arrowok="t"/>
              </v:shape>
            </v:group>
            <v:group style="position:absolute;left:7236;top:11528;width:558;height:2" coordorigin="7236,11528" coordsize="558,2">
              <v:shape style="position:absolute;left:7236;top:11528;width:558;height:2" coordorigin="7236,11528" coordsize="558,0" path="m7236,11528l7794,11528e" filled="false" stroked="true" strokeweight=".48pt" strokecolor="#000000">
                <v:path arrowok="t"/>
              </v:shape>
            </v:group>
            <v:group style="position:absolute;left:7803;top:11528;width:273;height:2" coordorigin="7803,11528" coordsize="273,2">
              <v:shape style="position:absolute;left:7803;top:11528;width:273;height:2" coordorigin="7803,11528" coordsize="273,0" path="m7803,11528l8076,11528e" filled="false" stroked="true" strokeweight=".48pt" strokecolor="#000000">
                <v:path arrowok="t"/>
              </v:shape>
            </v:group>
            <v:group style="position:absolute;left:8085;top:11528;width:408;height:2" coordorigin="8085,11528" coordsize="408,2">
              <v:shape style="position:absolute;left:8085;top:11528;width:408;height:2" coordorigin="8085,11528" coordsize="408,0" path="m8085,11528l8492,11528e" filled="false" stroked="true" strokeweight=".48pt" strokecolor="#000000">
                <v:path arrowok="t"/>
              </v:shape>
            </v:group>
            <v:group style="position:absolute;left:8502;top:11528;width:1137;height:2" coordorigin="8502,11528" coordsize="1137,2">
              <v:shape style="position:absolute;left:8502;top:11528;width:1137;height:2" coordorigin="8502,11528" coordsize="1137,0" path="m8502,11528l9638,11528e" filled="false" stroked="true" strokeweight=".48pt" strokecolor="#000000">
                <v:path arrowok="t"/>
              </v:shape>
            </v:group>
            <v:group style="position:absolute;left:9648;top:11528;width:240;height:2" coordorigin="9648,11528" coordsize="240,2">
              <v:shape style="position:absolute;left:9648;top:11528;width:240;height:2" coordorigin="9648,11528" coordsize="240,0" path="m9648,11528l9888,11528e" filled="false" stroked="true" strokeweight=".48pt" strokecolor="#000000">
                <v:path arrowok="t"/>
              </v:shape>
            </v:group>
            <v:group style="position:absolute;left:9898;top:11528;width:408;height:2" coordorigin="9898,11528" coordsize="408,2">
              <v:shape style="position:absolute;left:9898;top:11528;width:408;height:2" coordorigin="9898,11528" coordsize="408,0" path="m9898,11528l10306,11528e" filled="false" stroked="true" strokeweight=".48pt" strokecolor="#000000">
                <v:path arrowok="t"/>
              </v:shape>
            </v:group>
            <v:group style="position:absolute;left:10315;top:11528;width:482;height:2" coordorigin="10315,11528" coordsize="482,2">
              <v:shape style="position:absolute;left:10315;top:11528;width:482;height:2" coordorigin="10315,11528" coordsize="482,0" path="m10315,11528l10796,11528e" filled="false" stroked="true" strokeweight=".48pt" strokecolor="#000000">
                <v:path arrowok="t"/>
              </v:shape>
            </v:group>
            <v:group style="position:absolute;left:3552;top:13183;width:232;height:468" coordorigin="3552,13183" coordsize="232,468">
              <v:shape style="position:absolute;left:3552;top:13183;width:232;height:468" coordorigin="3552,13183" coordsize="232,468" path="m3552,13651l3784,13651,3784,13183,3552,13183,3552,13651xe" filled="true" fillcolor="#ffffff" stroked="false">
                <v:path arrowok="t"/>
                <v:fill type="solid"/>
              </v:shape>
            </v:group>
            <v:group style="position:absolute;left:3564;top:13651;width:2;height:705" coordorigin="3564,13651" coordsize="2,705">
              <v:shape style="position:absolute;left:3564;top:13651;width:2;height:705" coordorigin="3564,13651" coordsize="0,705" path="m3564,13651l3564,14356e" filled="false" stroked="true" strokeweight="1.140pt" strokecolor="#ffffff">
                <v:path arrowok="t"/>
              </v:shape>
            </v:group>
            <v:group style="position:absolute;left:3552;top:14356;width:232;height:468" coordorigin="3552,14356" coordsize="232,468">
              <v:shape style="position:absolute;left:3552;top:14356;width:232;height:468" coordorigin="3552,14356" coordsize="232,468" path="m3552,14824l3784,14824,3784,14356,3552,14356,3552,14824xe" filled="true" fillcolor="#ffffff" stroked="false">
                <v:path arrowok="t"/>
                <v:fill type="solid"/>
              </v:shape>
            </v:group>
            <v:group style="position:absolute;left:3575;top:13651;width:186;height:352" coordorigin="3575,13651" coordsize="186,352">
              <v:shape style="position:absolute;left:3575;top:13651;width:186;height:352" coordorigin="3575,13651" coordsize="186,352" path="m3575,14002l3761,14002,3761,13651,3575,13651,3575,14002xe" filled="true" fillcolor="#ffffff" stroked="false">
                <v:path arrowok="t"/>
                <v:fill type="solid"/>
              </v:shape>
            </v:group>
            <v:group style="position:absolute;left:3575;top:14002;width:186;height:354" coordorigin="3575,14002" coordsize="186,354">
              <v:shape style="position:absolute;left:3575;top:14002;width:186;height:354" coordorigin="3575,14002" coordsize="186,354" path="m3575,14356l3761,14356,3761,14002,3575,14002,3575,14356xe" filled="true" fillcolor="#ffffff" stroked="false">
                <v:path arrowok="t"/>
                <v:fill type="solid"/>
              </v:shape>
            </v:group>
            <v:group style="position:absolute;left:1111;top:13178;width:895;height:2" coordorigin="1111,13178" coordsize="895,2">
              <v:shape style="position:absolute;left:1111;top:13178;width:895;height:2" coordorigin="1111,13178" coordsize="895,0" path="m1111,13178l2006,13178e" filled="false" stroked="true" strokeweight=".48pt" strokecolor="#000000">
                <v:path arrowok="t"/>
              </v:shape>
            </v:group>
            <v:group style="position:absolute;left:2015;top:13178;width:1528;height:2" coordorigin="2015,13178" coordsize="1528,2">
              <v:shape style="position:absolute;left:2015;top:13178;width:1528;height:2" coordorigin="2015,13178" coordsize="1528,0" path="m2015,13178l3543,13178e" filled="false" stroked="true" strokeweight=".48pt" strokecolor="#000000">
                <v:path arrowok="t"/>
              </v:shape>
            </v:group>
            <v:group style="position:absolute;left:3552;top:13178;width:233;height:2" coordorigin="3552,13178" coordsize="233,2">
              <v:shape style="position:absolute;left:3552;top:13178;width:233;height:2" coordorigin="3552,13178" coordsize="233,0" path="m3552,13178l3785,13178e" filled="false" stroked="true" strokeweight=".48pt" strokecolor="#000000">
                <v:path arrowok="t"/>
              </v:shape>
            </v:group>
            <v:group style="position:absolute;left:3795;top:13178;width:1023;height:2" coordorigin="3795,13178" coordsize="1023,2">
              <v:shape style="position:absolute;left:3795;top:13178;width:1023;height:2" coordorigin="3795,13178" coordsize="1023,0" path="m3795,13178l4817,13178e" filled="false" stroked="true" strokeweight=".48pt" strokecolor="#000000">
                <v:path arrowok="t"/>
              </v:shape>
            </v:group>
            <v:group style="position:absolute;left:4827;top:13178;width:702;height:2" coordorigin="4827,13178" coordsize="702,2">
              <v:shape style="position:absolute;left:4827;top:13178;width:702;height:2" coordorigin="4827,13178" coordsize="702,0" path="m4827,13178l5528,13178e" filled="false" stroked="true" strokeweight=".48pt" strokecolor="#000000">
                <v:path arrowok="t"/>
              </v:shape>
            </v:group>
            <v:group style="position:absolute;left:5538;top:13178;width:557;height:2" coordorigin="5538,13178" coordsize="557,2">
              <v:shape style="position:absolute;left:5538;top:13178;width:557;height:2" coordorigin="5538,13178" coordsize="557,0" path="m5538,13178l6094,13178e" filled="false" stroked="true" strokeweight=".48pt" strokecolor="#000000">
                <v:path arrowok="t"/>
              </v:shape>
            </v:group>
            <v:group style="position:absolute;left:6104;top:13178;width:839;height:2" coordorigin="6104,13178" coordsize="839,2">
              <v:shape style="position:absolute;left:6104;top:13178;width:839;height:2" coordorigin="6104,13178" coordsize="839,0" path="m6104,13178l6943,13178e" filled="false" stroked="true" strokeweight=".48pt" strokecolor="#000000">
                <v:path arrowok="t"/>
              </v:shape>
            </v:group>
            <v:group style="position:absolute;left:6952;top:13178;width:274;height:2" coordorigin="6952,13178" coordsize="274,2">
              <v:shape style="position:absolute;left:6952;top:13178;width:274;height:2" coordorigin="6952,13178" coordsize="274,0" path="m6952,13178l7226,13178e" filled="false" stroked="true" strokeweight=".48pt" strokecolor="#000000">
                <v:path arrowok="t"/>
              </v:shape>
            </v:group>
            <v:group style="position:absolute;left:7236;top:13178;width:558;height:2" coordorigin="7236,13178" coordsize="558,2">
              <v:shape style="position:absolute;left:7236;top:13178;width:558;height:2" coordorigin="7236,13178" coordsize="558,0" path="m7236,13178l7794,13178e" filled="false" stroked="true" strokeweight=".48pt" strokecolor="#000000">
                <v:path arrowok="t"/>
              </v:shape>
            </v:group>
            <v:group style="position:absolute;left:7803;top:13178;width:273;height:2" coordorigin="7803,13178" coordsize="273,2">
              <v:shape style="position:absolute;left:7803;top:13178;width:273;height:2" coordorigin="7803,13178" coordsize="273,0" path="m7803,13178l8076,13178e" filled="false" stroked="true" strokeweight=".48pt" strokecolor="#000000">
                <v:path arrowok="t"/>
              </v:shape>
            </v:group>
            <v:group style="position:absolute;left:8085;top:13178;width:408;height:2" coordorigin="8085,13178" coordsize="408,2">
              <v:shape style="position:absolute;left:8085;top:13178;width:408;height:2" coordorigin="8085,13178" coordsize="408,0" path="m8085,13178l8492,13178e" filled="false" stroked="true" strokeweight=".48pt" strokecolor="#000000">
                <v:path arrowok="t"/>
              </v:shape>
            </v:group>
            <v:group style="position:absolute;left:8502;top:13178;width:1137;height:2" coordorigin="8502,13178" coordsize="1137,2">
              <v:shape style="position:absolute;left:8502;top:13178;width:1137;height:2" coordorigin="8502,13178" coordsize="1137,0" path="m8502,13178l9638,13178e" filled="false" stroked="true" strokeweight=".48pt" strokecolor="#000000">
                <v:path arrowok="t"/>
              </v:shape>
            </v:group>
            <v:group style="position:absolute;left:9648;top:13178;width:240;height:2" coordorigin="9648,13178" coordsize="240,2">
              <v:shape style="position:absolute;left:9648;top:13178;width:240;height:2" coordorigin="9648,13178" coordsize="240,0" path="m9648,13178l9888,13178e" filled="false" stroked="true" strokeweight=".48pt" strokecolor="#000000">
                <v:path arrowok="t"/>
              </v:shape>
            </v:group>
            <v:group style="position:absolute;left:9898;top:13178;width:408;height:2" coordorigin="9898,13178" coordsize="408,2">
              <v:shape style="position:absolute;left:9898;top:13178;width:408;height:2" coordorigin="9898,13178" coordsize="408,0" path="m9898,13178l10306,13178e" filled="false" stroked="true" strokeweight=".48pt" strokecolor="#000000">
                <v:path arrowok="t"/>
              </v:shape>
            </v:group>
            <v:group style="position:absolute;left:10315;top:13178;width:482;height:2" coordorigin="10315,13178" coordsize="482,2">
              <v:shape style="position:absolute;left:10315;top:13178;width:482;height:2" coordorigin="10315,13178" coordsize="482,0" path="m10315,13178l10796,13178e" filled="false" stroked="true" strokeweight=".48pt" strokecolor="#000000">
                <v:path arrowok="t"/>
              </v:shape>
            </v:group>
            <v:group style="position:absolute;left:1111;top:14828;width:895;height:2" coordorigin="1111,14828" coordsize="895,2">
              <v:shape style="position:absolute;left:1111;top:14828;width:895;height:2" coordorigin="1111,14828" coordsize="895,0" path="m1111,14828l2006,14828e" filled="false" stroked="true" strokeweight=".48pt" strokecolor="#000000">
                <v:path arrowok="t"/>
              </v:shape>
            </v:group>
            <v:group style="position:absolute;left:2015;top:14828;width:1528;height:2" coordorigin="2015,14828" coordsize="1528,2">
              <v:shape style="position:absolute;left:2015;top:14828;width:1528;height:2" coordorigin="2015,14828" coordsize="1528,0" path="m2015,14828l3543,14828e" filled="false" stroked="true" strokeweight=".48pt" strokecolor="#000000">
                <v:path arrowok="t"/>
              </v:shape>
            </v:group>
            <v:group style="position:absolute;left:3552;top:14828;width:233;height:2" coordorigin="3552,14828" coordsize="233,2">
              <v:shape style="position:absolute;left:3552;top:14828;width:233;height:2" coordorigin="3552,14828" coordsize="233,0" path="m3552,14828l3785,14828e" filled="false" stroked="true" strokeweight=".48pt" strokecolor="#000000">
                <v:path arrowok="t"/>
              </v:shape>
            </v:group>
            <v:group style="position:absolute;left:3795;top:14828;width:1023;height:2" coordorigin="3795,14828" coordsize="1023,2">
              <v:shape style="position:absolute;left:3795;top:14828;width:1023;height:2" coordorigin="3795,14828" coordsize="1023,0" path="m3795,14828l4817,14828e" filled="false" stroked="true" strokeweight=".48pt" strokecolor="#000000">
                <v:path arrowok="t"/>
              </v:shape>
            </v:group>
            <v:group style="position:absolute;left:4827;top:14828;width:702;height:2" coordorigin="4827,14828" coordsize="702,2">
              <v:shape style="position:absolute;left:4827;top:14828;width:702;height:2" coordorigin="4827,14828" coordsize="702,0" path="m4827,14828l5528,14828e" filled="false" stroked="true" strokeweight=".48pt" strokecolor="#000000">
                <v:path arrowok="t"/>
              </v:shape>
            </v:group>
            <v:group style="position:absolute;left:5538;top:14828;width:557;height:2" coordorigin="5538,14828" coordsize="557,2">
              <v:shape style="position:absolute;left:5538;top:14828;width:557;height:2" coordorigin="5538,14828" coordsize="557,0" path="m5538,14828l6094,14828e" filled="false" stroked="true" strokeweight=".48pt" strokecolor="#000000">
                <v:path arrowok="t"/>
              </v:shape>
            </v:group>
            <v:group style="position:absolute;left:6104;top:14828;width:839;height:2" coordorigin="6104,14828" coordsize="839,2">
              <v:shape style="position:absolute;left:6104;top:14828;width:839;height:2" coordorigin="6104,14828" coordsize="839,0" path="m6104,14828l6943,14828e" filled="false" stroked="true" strokeweight=".48pt" strokecolor="#000000">
                <v:path arrowok="t"/>
              </v:shape>
            </v:group>
            <v:group style="position:absolute;left:6952;top:14828;width:274;height:2" coordorigin="6952,14828" coordsize="274,2">
              <v:shape style="position:absolute;left:6952;top:14828;width:274;height:2" coordorigin="6952,14828" coordsize="274,0" path="m6952,14828l7226,14828e" filled="false" stroked="true" strokeweight=".48pt" strokecolor="#000000">
                <v:path arrowok="t"/>
              </v:shape>
            </v:group>
            <v:group style="position:absolute;left:7236;top:14828;width:558;height:2" coordorigin="7236,14828" coordsize="558,2">
              <v:shape style="position:absolute;left:7236;top:14828;width:558;height:2" coordorigin="7236,14828" coordsize="558,0" path="m7236,14828l7794,14828e" filled="false" stroked="true" strokeweight=".48pt" strokecolor="#000000">
                <v:path arrowok="t"/>
              </v:shape>
            </v:group>
            <v:group style="position:absolute;left:7803;top:14828;width:273;height:2" coordorigin="7803,14828" coordsize="273,2">
              <v:shape style="position:absolute;left:7803;top:14828;width:273;height:2" coordorigin="7803,14828" coordsize="273,0" path="m7803,14828l8076,14828e" filled="false" stroked="true" strokeweight=".48pt" strokecolor="#000000">
                <v:path arrowok="t"/>
              </v:shape>
            </v:group>
            <v:group style="position:absolute;left:8085;top:14828;width:408;height:2" coordorigin="8085,14828" coordsize="408,2">
              <v:shape style="position:absolute;left:8085;top:14828;width:408;height:2" coordorigin="8085,14828" coordsize="408,0" path="m8085,14828l8492,14828e" filled="false" stroked="true" strokeweight=".48pt" strokecolor="#000000">
                <v:path arrowok="t"/>
              </v:shape>
            </v:group>
            <v:group style="position:absolute;left:8502;top:14828;width:1137;height:2" coordorigin="8502,14828" coordsize="1137,2">
              <v:shape style="position:absolute;left:8502;top:14828;width:1137;height:2" coordorigin="8502,14828" coordsize="1137,0" path="m8502,14828l9638,14828e" filled="false" stroked="true" strokeweight=".48pt" strokecolor="#000000">
                <v:path arrowok="t"/>
              </v:shape>
            </v:group>
            <v:group style="position:absolute;left:9648;top:14828;width:240;height:2" coordorigin="9648,14828" coordsize="240,2">
              <v:shape style="position:absolute;left:9648;top:14828;width:240;height:2" coordorigin="9648,14828" coordsize="240,0" path="m9648,14828l9888,14828e" filled="false" stroked="true" strokeweight=".48pt" strokecolor="#000000">
                <v:path arrowok="t"/>
              </v:shape>
            </v:group>
            <v:group style="position:absolute;left:9898;top:14828;width:408;height:2" coordorigin="9898,14828" coordsize="408,2">
              <v:shape style="position:absolute;left:9898;top:14828;width:408;height:2" coordorigin="9898,14828" coordsize="408,0" path="m9898,14828l10306,14828e" filled="false" stroked="true" strokeweight=".48pt" strokecolor="#000000">
                <v:path arrowok="t"/>
              </v:shape>
            </v:group>
            <v:group style="position:absolute;left:10315;top:14828;width:482;height:2" coordorigin="10315,14828" coordsize="482,2">
              <v:shape style="position:absolute;left:10315;top:14828;width:482;height:2" coordorigin="10315,14828" coordsize="482,0" path="m10315,14828l10796,14828e" filled="false" stroked="true" strokeweight=".48pt" strokecolor="#000000">
                <v:path arrowok="t"/>
              </v:shape>
            </v:group>
            <v:group style="position:absolute;left:1106;top:1440;width:2;height:13796" coordorigin="1106,1440" coordsize="2,13796">
              <v:shape style="position:absolute;left:1106;top:1440;width:2;height:13796" coordorigin="1106,1440" coordsize="0,13796" path="m1106,1440l1106,15235e" filled="false" stroked="true" strokeweight=".48pt" strokecolor="#000000">
                <v:path arrowok="t"/>
              </v:shape>
            </v:group>
            <v:group style="position:absolute;left:1111;top:15230;width:895;height:2" coordorigin="1111,15230" coordsize="895,2">
              <v:shape style="position:absolute;left:1111;top:15230;width:895;height:2" coordorigin="1111,15230" coordsize="895,0" path="m1111,15230l2006,15230e" filled="false" stroked="true" strokeweight=".48pt" strokecolor="#000000">
                <v:path arrowok="t"/>
              </v:shape>
            </v:group>
            <v:group style="position:absolute;left:2010;top:1440;width:2;height:13796" coordorigin="2010,1440" coordsize="2,13796">
              <v:shape style="position:absolute;left:2010;top:1440;width:2;height:13796" coordorigin="2010,1440" coordsize="0,13796" path="m2010,1440l2010,15235e" filled="false" stroked="true" strokeweight=".48pt" strokecolor="#000000">
                <v:path arrowok="t"/>
              </v:shape>
            </v:group>
            <v:group style="position:absolute;left:2015;top:15230;width:1528;height:2" coordorigin="2015,15230" coordsize="1528,2">
              <v:shape style="position:absolute;left:2015;top:15230;width:1528;height:2" coordorigin="2015,15230" coordsize="1528,0" path="m2015,15230l3543,15230e" filled="false" stroked="true" strokeweight=".48pt" strokecolor="#000000">
                <v:path arrowok="t"/>
              </v:shape>
            </v:group>
            <v:group style="position:absolute;left:3548;top:1440;width:2;height:13796" coordorigin="3548,1440" coordsize="2,13796">
              <v:shape style="position:absolute;left:3548;top:1440;width:2;height:13796" coordorigin="3548,1440" coordsize="0,13796" path="m3548,1440l3548,15235e" filled="false" stroked="true" strokeweight=".48pt" strokecolor="#000000">
                <v:path arrowok="t"/>
              </v:shape>
            </v:group>
            <v:group style="position:absolute;left:3552;top:15230;width:233;height:2" coordorigin="3552,15230" coordsize="233,2">
              <v:shape style="position:absolute;left:3552;top:15230;width:233;height:2" coordorigin="3552,15230" coordsize="233,0" path="m3552,15230l3785,15230e" filled="false" stroked="true" strokeweight=".48pt" strokecolor="#000000">
                <v:path arrowok="t"/>
              </v:shape>
            </v:group>
            <v:group style="position:absolute;left:3790;top:1440;width:2;height:13796" coordorigin="3790,1440" coordsize="2,13796">
              <v:shape style="position:absolute;left:3790;top:1440;width:2;height:13796" coordorigin="3790,1440" coordsize="0,13796" path="m3790,1440l3790,15235e" filled="false" stroked="true" strokeweight=".48pt" strokecolor="#000000">
                <v:path arrowok="t"/>
              </v:shape>
            </v:group>
            <v:group style="position:absolute;left:3795;top:15230;width:1023;height:2" coordorigin="3795,15230" coordsize="1023,2">
              <v:shape style="position:absolute;left:3795;top:15230;width:1023;height:2" coordorigin="3795,15230" coordsize="1023,0" path="m3795,15230l4817,15230e" filled="false" stroked="true" strokeweight=".48pt" strokecolor="#000000">
                <v:path arrowok="t"/>
              </v:shape>
            </v:group>
            <v:group style="position:absolute;left:4822;top:1440;width:2;height:13796" coordorigin="4822,1440" coordsize="2,13796">
              <v:shape style="position:absolute;left:4822;top:1440;width:2;height:13796" coordorigin="4822,1440" coordsize="0,13796" path="m4822,1440l4822,15235e" filled="false" stroked="true" strokeweight=".48pt" strokecolor="#000000">
                <v:path arrowok="t"/>
              </v:shape>
            </v:group>
            <v:group style="position:absolute;left:4827;top:15230;width:702;height:2" coordorigin="4827,15230" coordsize="702,2">
              <v:shape style="position:absolute;left:4827;top:15230;width:702;height:2" coordorigin="4827,15230" coordsize="702,0" path="m4827,15230l5528,15230e" filled="false" stroked="true" strokeweight=".48pt" strokecolor="#000000">
                <v:path arrowok="t"/>
              </v:shape>
            </v:group>
            <v:group style="position:absolute;left:5533;top:1440;width:2;height:13796" coordorigin="5533,1440" coordsize="2,13796">
              <v:shape style="position:absolute;left:5533;top:1440;width:2;height:13796" coordorigin="5533,1440" coordsize="0,13796" path="m5533,1440l5533,15235e" filled="false" stroked="true" strokeweight=".48pt" strokecolor="#000000">
                <v:path arrowok="t"/>
              </v:shape>
            </v:group>
            <v:group style="position:absolute;left:5538;top:15230;width:557;height:2" coordorigin="5538,15230" coordsize="557,2">
              <v:shape style="position:absolute;left:5538;top:15230;width:557;height:2" coordorigin="5538,15230" coordsize="557,0" path="m5538,15230l6094,15230e" filled="false" stroked="true" strokeweight=".48pt" strokecolor="#000000">
                <v:path arrowok="t"/>
              </v:shape>
            </v:group>
            <v:group style="position:absolute;left:6099;top:1440;width:2;height:13796" coordorigin="6099,1440" coordsize="2,13796">
              <v:shape style="position:absolute;left:6099;top:1440;width:2;height:13796" coordorigin="6099,1440" coordsize="0,13796" path="m6099,1440l6099,15235e" filled="false" stroked="true" strokeweight=".48pt" strokecolor="#000000">
                <v:path arrowok="t"/>
              </v:shape>
            </v:group>
            <v:group style="position:absolute;left:6104;top:15230;width:839;height:2" coordorigin="6104,15230" coordsize="839,2">
              <v:shape style="position:absolute;left:6104;top:15230;width:839;height:2" coordorigin="6104,15230" coordsize="839,0" path="m6104,15230l6943,15230e" filled="false" stroked="true" strokeweight=".48pt" strokecolor="#000000">
                <v:path arrowok="t"/>
              </v:shape>
            </v:group>
            <v:group style="position:absolute;left:6948;top:1440;width:2;height:13796" coordorigin="6948,1440" coordsize="2,13796">
              <v:shape style="position:absolute;left:6948;top:1440;width:2;height:13796" coordorigin="6948,1440" coordsize="0,13796" path="m6948,1440l6948,15235e" filled="false" stroked="true" strokeweight=".48pt" strokecolor="#000000">
                <v:path arrowok="t"/>
              </v:shape>
            </v:group>
            <v:group style="position:absolute;left:6952;top:15230;width:274;height:2" coordorigin="6952,15230" coordsize="274,2">
              <v:shape style="position:absolute;left:6952;top:15230;width:274;height:2" coordorigin="6952,15230" coordsize="274,0" path="m6952,15230l7226,15230e" filled="false" stroked="true" strokeweight=".48pt" strokecolor="#000000">
                <v:path arrowok="t"/>
              </v:shape>
            </v:group>
            <v:group style="position:absolute;left:7231;top:1440;width:2;height:13796" coordorigin="7231,1440" coordsize="2,13796">
              <v:shape style="position:absolute;left:7231;top:1440;width:2;height:13796" coordorigin="7231,1440" coordsize="0,13796" path="m7231,1440l7231,15235e" filled="false" stroked="true" strokeweight=".48pt" strokecolor="#000000">
                <v:path arrowok="t"/>
              </v:shape>
            </v:group>
            <v:group style="position:absolute;left:7236;top:15230;width:558;height:2" coordorigin="7236,15230" coordsize="558,2">
              <v:shape style="position:absolute;left:7236;top:15230;width:558;height:2" coordorigin="7236,15230" coordsize="558,0" path="m7236,15230l7794,15230e" filled="false" stroked="true" strokeweight=".48pt" strokecolor="#000000">
                <v:path arrowok="t"/>
              </v:shape>
            </v:group>
            <v:group style="position:absolute;left:7798;top:1440;width:2;height:13796" coordorigin="7798,1440" coordsize="2,13796">
              <v:shape style="position:absolute;left:7798;top:1440;width:2;height:13796" coordorigin="7798,1440" coordsize="0,13796" path="m7798,1440l7798,15235e" filled="false" stroked="true" strokeweight=".48pt" strokecolor="#000000">
                <v:path arrowok="t"/>
              </v:shape>
            </v:group>
            <v:group style="position:absolute;left:7803;top:15230;width:273;height:2" coordorigin="7803,15230" coordsize="273,2">
              <v:shape style="position:absolute;left:7803;top:15230;width:273;height:2" coordorigin="7803,15230" coordsize="273,0" path="m7803,15230l8076,15230e" filled="false" stroked="true" strokeweight=".48pt" strokecolor="#000000">
                <v:path arrowok="t"/>
              </v:shape>
            </v:group>
            <v:group style="position:absolute;left:8080;top:1440;width:2;height:13796" coordorigin="8080,1440" coordsize="2,13796">
              <v:shape style="position:absolute;left:8080;top:1440;width:2;height:13796" coordorigin="8080,1440" coordsize="0,13796" path="m8080,1440l8080,15235e" filled="false" stroked="true" strokeweight=".48pt" strokecolor="#000000">
                <v:path arrowok="t"/>
              </v:shape>
            </v:group>
            <v:group style="position:absolute;left:8085;top:15230;width:408;height:2" coordorigin="8085,15230" coordsize="408,2">
              <v:shape style="position:absolute;left:8085;top:15230;width:408;height:2" coordorigin="8085,15230" coordsize="408,0" path="m8085,15230l8492,15230e" filled="false" stroked="true" strokeweight=".48pt" strokecolor="#000000">
                <v:path arrowok="t"/>
              </v:shape>
            </v:group>
            <v:group style="position:absolute;left:8497;top:1440;width:2;height:13796" coordorigin="8497,1440" coordsize="2,13796">
              <v:shape style="position:absolute;left:8497;top:1440;width:2;height:13796" coordorigin="8497,1440" coordsize="0,13796" path="m8497,1440l8497,15235e" filled="false" stroked="true" strokeweight=".48pt" strokecolor="#000000">
                <v:path arrowok="t"/>
              </v:shape>
            </v:group>
            <v:group style="position:absolute;left:8502;top:15230;width:1137;height:2" coordorigin="8502,15230" coordsize="1137,2">
              <v:shape style="position:absolute;left:8502;top:15230;width:1137;height:2" coordorigin="8502,15230" coordsize="1137,0" path="m8502,15230l9638,15230e" filled="false" stroked="true" strokeweight=".48pt" strokecolor="#000000">
                <v:path arrowok="t"/>
              </v:shape>
            </v:group>
            <v:group style="position:absolute;left:9643;top:1440;width:2;height:13796" coordorigin="9643,1440" coordsize="2,13796">
              <v:shape style="position:absolute;left:9643;top:1440;width:2;height:13796" coordorigin="9643,1440" coordsize="0,13796" path="m9643,1440l9643,15235e" filled="false" stroked="true" strokeweight=".48pt" strokecolor="#000000">
                <v:path arrowok="t"/>
              </v:shape>
            </v:group>
            <v:group style="position:absolute;left:9648;top:15230;width:240;height:2" coordorigin="9648,15230" coordsize="240,2">
              <v:shape style="position:absolute;left:9648;top:15230;width:240;height:2" coordorigin="9648,15230" coordsize="240,0" path="m9648,15230l9888,15230e" filled="false" stroked="true" strokeweight=".48pt" strokecolor="#000000">
                <v:path arrowok="t"/>
              </v:shape>
            </v:group>
            <v:group style="position:absolute;left:9893;top:1440;width:2;height:13796" coordorigin="9893,1440" coordsize="2,13796">
              <v:shape style="position:absolute;left:9893;top:1440;width:2;height:13796" coordorigin="9893,1440" coordsize="0,13796" path="m9893,1440l9893,15235e" filled="false" stroked="true" strokeweight=".48pt" strokecolor="#000000">
                <v:path arrowok="t"/>
              </v:shape>
            </v:group>
            <v:group style="position:absolute;left:9898;top:15230;width:408;height:2" coordorigin="9898,15230" coordsize="408,2">
              <v:shape style="position:absolute;left:9898;top:15230;width:408;height:2" coordorigin="9898,15230" coordsize="408,0" path="m9898,15230l10306,15230e" filled="false" stroked="true" strokeweight=".48pt" strokecolor="#000000">
                <v:path arrowok="t"/>
              </v:shape>
            </v:group>
            <v:group style="position:absolute;left:10310;top:1440;width:2;height:13796" coordorigin="10310,1440" coordsize="2,13796">
              <v:shape style="position:absolute;left:10310;top:1440;width:2;height:13796" coordorigin="10310,1440" coordsize="0,13796" path="m10310,1440l10310,15235e" filled="false" stroked="true" strokeweight=".48pt" strokecolor="#000000">
                <v:path arrowok="t"/>
              </v:shape>
            </v:group>
            <v:group style="position:absolute;left:10315;top:15230;width:482;height:2" coordorigin="10315,15230" coordsize="482,2">
              <v:shape style="position:absolute;left:10315;top:15230;width:482;height:2" coordorigin="10315,15230" coordsize="482,0" path="m10315,15230l10796,15230e" filled="false" stroked="true" strokeweight=".48pt" strokecolor="#000000">
                <v:path arrowok="t"/>
              </v:shape>
            </v:group>
            <v:group style="position:absolute;left:10801;top:1440;width:2;height:13796" coordorigin="10801,1440" coordsize="2,13796">
              <v:shape style="position:absolute;left:10801;top:1440;width:2;height:13796" coordorigin="10801,1440" coordsize="0,13796" path="m10801,1440l10801,15235e" filled="false" stroked="true" strokeweight=".48pt" strokecolor="#000000">
                <v:path arrowok="t"/>
              </v:shape>
            </v:group>
            <w10:wrap type="none"/>
          </v:group>
        </w:pict>
      </w:r>
    </w:p>
    <w:p>
      <w:pPr>
        <w:pStyle w:val="BodyText"/>
        <w:tabs>
          <w:tab w:pos="5146" w:val="left" w:leader="none"/>
          <w:tab w:pos="5995" w:val="left" w:leader="none"/>
          <w:tab w:pos="6847" w:val="left" w:leader="none"/>
          <w:tab w:pos="7831" w:val="left" w:leader="none"/>
        </w:tabs>
        <w:spacing w:line="240" w:lineRule="auto" w:before="45"/>
        <w:ind w:left="154" w:right="1122"/>
        <w:jc w:val="left"/>
      </w:pPr>
      <w:r>
        <w:rPr/>
        <w:t>新疆爱康  配电售电业务；技 新 </w:t>
      </w:r>
      <w:r>
        <w:rPr>
          <w:rFonts w:ascii="Times New Roman" w:hAnsi="Times New Roman" w:cs="Times New Roman" w:eastAsia="Times New Roman" w:hint="default"/>
        </w:rPr>
        <w:t>20,000,000.0 </w:t>
      </w:r>
      <w:r>
        <w:rPr>
          <w:rFonts w:ascii="Times New Roman" w:hAnsi="Times New Roman" w:cs="Times New Roman" w:eastAsia="Times New Roman" w:hint="default"/>
          <w:position w:val="2"/>
        </w:rPr>
        <w:t>100.00%</w:t>
      </w:r>
      <w:r>
        <w:rPr>
          <w:rFonts w:ascii="Times New Roman" w:hAnsi="Times New Roman" w:cs="Times New Roman" w:eastAsia="Times New Roman" w:hint="default"/>
          <w:spacing w:val="41"/>
          <w:position w:val="2"/>
        </w:rPr>
        <w:t> </w:t>
      </w:r>
      <w:r>
        <w:rPr>
          <w:position w:val="2"/>
        </w:rPr>
        <w:t>自筹</w:t>
        <w:tab/>
        <w:t>无</w:t>
        <w:tab/>
      </w:r>
      <w:r>
        <w:rPr/>
        <w:t>长</w:t>
      </w:r>
      <w:r>
        <w:rPr>
          <w:spacing w:val="13"/>
        </w:rPr>
        <w:t> </w:t>
      </w:r>
      <w:r>
        <w:rPr/>
        <w:t>配电</w:t>
        <w:tab/>
        <w:t>已</w:t>
      </w:r>
      <w:r>
        <w:rPr>
          <w:spacing w:val="58"/>
        </w:rPr>
        <w:t> </w:t>
      </w:r>
      <w:r>
        <w:rPr>
          <w:rFonts w:ascii="Times New Roman" w:hAnsi="Times New Roman" w:cs="Times New Roman" w:eastAsia="Times New Roman" w:hint="default"/>
          <w:position w:val="2"/>
        </w:rPr>
        <w:t>0.00</w:t>
        <w:tab/>
        <w:t>115,637.24</w:t>
      </w:r>
      <w:r>
        <w:rPr>
          <w:rFonts w:ascii="Times New Roman" w:hAnsi="Times New Roman" w:cs="Times New Roman" w:eastAsia="Times New Roman" w:hint="default"/>
          <w:spacing w:val="2"/>
          <w:position w:val="2"/>
        </w:rPr>
        <w:t> </w:t>
      </w:r>
      <w:r>
        <w:rPr>
          <w:position w:val="2"/>
        </w:rPr>
        <w:t>否</w:t>
      </w:r>
      <w:r>
        <w:rPr/>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6"/>
          <w:szCs w:val="26"/>
        </w:rPr>
      </w:pPr>
    </w:p>
    <w:p>
      <w:pPr>
        <w:pStyle w:val="BodyText"/>
        <w:tabs>
          <w:tab w:pos="3724" w:val="left" w:leader="none"/>
          <w:tab w:pos="5995" w:val="left" w:leader="none"/>
          <w:tab w:pos="6847" w:val="left" w:leader="none"/>
        </w:tabs>
        <w:spacing w:line="240" w:lineRule="auto" w:before="45"/>
        <w:ind w:left="154" w:right="1122"/>
        <w:jc w:val="left"/>
      </w:pPr>
      <w:r>
        <w:rPr/>
        <w:t>新能电力 </w:t>
      </w:r>
      <w:r>
        <w:rPr>
          <w:spacing w:val="10"/>
        </w:rPr>
        <w:t> </w:t>
      </w:r>
      <w:r>
        <w:rPr>
          <w:spacing w:val="-9"/>
        </w:rPr>
        <w:t>术咨询、技术服务、设</w:t>
        <w:tab/>
      </w:r>
      <w:r>
        <w:rPr>
          <w:rFonts w:ascii="Times New Roman" w:hAnsi="Times New Roman" w:cs="Times New Roman" w:eastAsia="Times New Roman" w:hint="default"/>
        </w:rPr>
        <w:t>0</w:t>
        <w:tab/>
      </w:r>
      <w:r>
        <w:rPr/>
        <w:t>期</w:t>
      </w:r>
      <w:r>
        <w:rPr>
          <w:spacing w:val="13"/>
        </w:rPr>
        <w:t> </w:t>
      </w:r>
      <w:r>
        <w:rPr/>
        <w:t>售电</w:t>
        <w:tab/>
        <w:t>完</w:t>
      </w:r>
    </w:p>
    <w:p>
      <w:pPr>
        <w:spacing w:after="0" w:line="240" w:lineRule="auto"/>
        <w:jc w:val="left"/>
        <w:sectPr>
          <w:pgSz w:w="11910" w:h="16840"/>
          <w:pgMar w:header="747" w:footer="979" w:top="1060" w:bottom="1160" w:left="980" w:right="0"/>
        </w:sectPr>
      </w:pPr>
    </w:p>
    <w:p>
      <w:pPr>
        <w:pStyle w:val="BodyText"/>
        <w:spacing w:line="240" w:lineRule="auto" w:before="63"/>
        <w:ind w:left="154" w:right="-20"/>
        <w:jc w:val="left"/>
      </w:pPr>
      <w:r>
        <w:rPr/>
        <w:t>有限公司</w:t>
      </w:r>
    </w:p>
    <w:p>
      <w:pPr>
        <w:pStyle w:val="BodyText"/>
        <w:spacing w:line="316" w:lineRule="auto" w:before="61"/>
        <w:ind w:left="143" w:right="-19"/>
        <w:jc w:val="left"/>
      </w:pPr>
      <w:r>
        <w:rPr/>
        <w:br w:type="column"/>
      </w:r>
      <w:r>
        <w:rPr/>
        <w:t>节能技术推广服 务；</w:t>
      </w:r>
    </w:p>
    <w:p>
      <w:pPr>
        <w:pStyle w:val="BodyText"/>
        <w:spacing w:line="240" w:lineRule="auto" w:before="20"/>
        <w:ind w:left="143" w:right="-19"/>
        <w:jc w:val="left"/>
      </w:pPr>
      <w:r>
        <w:rPr/>
        <w:pict>
          <v:shape style="position:absolute;margin-left:117.443001pt;margin-top:-28.748302pt;width:71.8pt;height:46.8pt;mso-position-horizontal-relative:page;mso-position-vertical-relative:paragraph;z-index:-1651552"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电力工程设计、</w:t>
                  </w:r>
                </w:p>
              </w:txbxContent>
            </v:textbox>
            <w10:wrap type="none"/>
          </v:shape>
        </w:pict>
      </w:r>
      <w:r>
        <w:rPr/>
        <w:t>施工等。</w:t>
      </w:r>
    </w:p>
    <w:p>
      <w:pPr>
        <w:pStyle w:val="BodyText"/>
        <w:tabs>
          <w:tab w:pos="722" w:val="left" w:leader="none"/>
        </w:tabs>
        <w:spacing w:line="240" w:lineRule="auto" w:before="63"/>
        <w:ind w:right="0"/>
        <w:jc w:val="left"/>
      </w:pPr>
      <w:r>
        <w:rPr/>
        <w:br w:type="column"/>
      </w:r>
      <w:r>
        <w:rPr/>
        <w:t>业务</w:t>
        <w:tab/>
        <w:t>成</w:t>
      </w:r>
    </w:p>
    <w:p>
      <w:pPr>
        <w:spacing w:after="0" w:line="240" w:lineRule="auto"/>
        <w:jc w:val="left"/>
        <w:sectPr>
          <w:type w:val="continuous"/>
          <w:pgSz w:w="11910" w:h="16840"/>
          <w:pgMar w:top="1060" w:bottom="1160" w:left="980" w:right="0"/>
          <w:cols w:num="3" w:equalWidth="0">
            <w:col w:w="875" w:space="40"/>
            <w:col w:w="1405" w:space="3806"/>
            <w:col w:w="4804"/>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新疆爱康 天电能源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10,200,000.0</w:t>
      </w:r>
    </w:p>
    <w:p>
      <w:pPr>
        <w:pStyle w:val="BodyText"/>
        <w:spacing w:line="164"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10" w:lineRule="exact"/>
        <w:ind w:left="115" w:right="-19"/>
        <w:jc w:val="left"/>
      </w:pPr>
      <w:r>
        <w:rPr>
          <w:rFonts w:ascii="Times New Roman" w:hAnsi="Times New Roman" w:cs="Times New Roman" w:eastAsia="Times New Roman" w:hint="default"/>
        </w:rPr>
        <w:t>51.00%</w:t>
      </w:r>
      <w:r>
        <w:rPr>
          <w:rFonts w:ascii="Times New Roman" w:hAnsi="Times New Roman" w:cs="Times New Roman" w:eastAsia="Times New Roman" w:hint="default"/>
          <w:spacing w:val="9"/>
        </w:rPr>
        <w:t> </w:t>
      </w:r>
      <w:r>
        <w:rPr/>
        <w:t>自筹</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196" w:lineRule="exact"/>
        <w:ind w:right="0"/>
        <w:jc w:val="left"/>
      </w:pPr>
      <w:r>
        <w:rPr/>
        <w:t>新疆天电</w:t>
      </w:r>
    </w:p>
    <w:p>
      <w:pPr>
        <w:pStyle w:val="BodyText"/>
        <w:spacing w:line="156" w:lineRule="exact"/>
        <w:ind w:left="0" w:right="0"/>
        <w:jc w:val="right"/>
      </w:pPr>
      <w:r>
        <w:rPr/>
        <w:t>配电</w:t>
      </w:r>
    </w:p>
    <w:p>
      <w:pPr>
        <w:pStyle w:val="BodyText"/>
        <w:spacing w:line="155" w:lineRule="exact"/>
        <w:ind w:right="0"/>
        <w:jc w:val="left"/>
      </w:pPr>
      <w:r>
        <w:rPr/>
        <w:t>电力销售</w:t>
      </w:r>
      <w:r>
        <w:rPr>
          <w:spacing w:val="38"/>
        </w:rPr>
        <w:t> </w:t>
      </w:r>
      <w:r>
        <w:rPr/>
        <w:t>长</w:t>
      </w:r>
    </w:p>
    <w:p>
      <w:pPr>
        <w:pStyle w:val="BodyText"/>
        <w:spacing w:line="171" w:lineRule="exact"/>
        <w:ind w:left="0" w:right="0"/>
        <w:jc w:val="right"/>
      </w:pPr>
      <w:r>
        <w:rPr/>
        <w:t>售电</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21"/>
        <w:ind w:right="0"/>
        <w:jc w:val="left"/>
      </w:pPr>
      <w:r>
        <w:rPr/>
        <w:t>已</w:t>
      </w:r>
    </w:p>
    <w:p>
      <w:pPr>
        <w:pStyle w:val="BodyText"/>
        <w:tabs>
          <w:tab w:pos="1258" w:val="left" w:leader="none"/>
        </w:tabs>
        <w:spacing w:line="210" w:lineRule="exact" w:before="76"/>
        <w:ind w:right="0"/>
        <w:jc w:val="left"/>
      </w:pPr>
      <w:r>
        <w:rPr/>
        <w:t>完</w:t>
      </w:r>
      <w:r>
        <w:rPr>
          <w:spacing w:val="58"/>
        </w:rPr>
        <w:t> </w:t>
      </w:r>
      <w:r>
        <w:rPr>
          <w:rFonts w:ascii="Times New Roman" w:hAnsi="Times New Roman" w:cs="Times New Roman" w:eastAsia="Times New Roman" w:hint="default"/>
        </w:rPr>
        <w:t>0.00</w:t>
        <w:tab/>
        <w:t>-6,072.11</w:t>
      </w:r>
      <w:r>
        <w:rPr>
          <w:rFonts w:ascii="Times New Roman" w:hAnsi="Times New Roman" w:cs="Times New Roman" w:eastAsia="Times New Roman" w:hint="default"/>
          <w:spacing w:val="2"/>
        </w:rPr>
        <w:t> </w:t>
      </w:r>
      <w:r>
        <w:rPr/>
        <w:t>否</w:t>
      </w:r>
    </w:p>
    <w:p>
      <w:pPr>
        <w:spacing w:after="0" w:line="210" w:lineRule="exact"/>
        <w:jc w:val="left"/>
        <w:sectPr>
          <w:type w:val="continuous"/>
          <w:pgSz w:w="11910" w:h="16840"/>
          <w:pgMar w:top="1060" w:bottom="1160" w:left="980" w:right="0"/>
          <w:cols w:num="5" w:equalWidth="0">
            <w:col w:w="875" w:space="40"/>
            <w:col w:w="2901" w:space="40"/>
            <w:col w:w="1086" w:space="52"/>
            <w:col w:w="1646" w:space="54"/>
            <w:col w:w="4236"/>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pStyle w:val="BodyText"/>
        <w:spacing w:line="117" w:lineRule="exact"/>
        <w:ind w:right="0"/>
        <w:jc w:val="left"/>
      </w:pPr>
      <w:r>
        <w:rPr/>
        <w:br w:type="column"/>
      </w:r>
      <w:r>
        <w:rPr/>
        <w:t>有限责任</w:t>
      </w:r>
      <w:r>
        <w:rPr>
          <w:spacing w:val="38"/>
        </w:rPr>
        <w:t> </w:t>
      </w:r>
      <w:r>
        <w:rPr/>
        <w:t>期</w:t>
      </w:r>
    </w:p>
    <w:p>
      <w:pPr>
        <w:pStyle w:val="BodyText"/>
        <w:tabs>
          <w:tab w:pos="1854" w:val="left" w:leader="none"/>
        </w:tabs>
        <w:spacing w:line="156" w:lineRule="exact"/>
        <w:ind w:left="1285" w:right="0"/>
        <w:jc w:val="left"/>
      </w:pPr>
      <w:r>
        <w:rPr/>
        <w:t>业务</w:t>
        <w:tab/>
        <w:t>成</w:t>
      </w:r>
    </w:p>
    <w:p>
      <w:pPr>
        <w:pStyle w:val="BodyText"/>
        <w:spacing w:line="196" w:lineRule="exact"/>
        <w:ind w:right="0"/>
        <w:jc w:val="left"/>
      </w:pPr>
      <w:r>
        <w:rPr/>
        <w:t>公司</w:t>
      </w:r>
    </w:p>
    <w:p>
      <w:pPr>
        <w:spacing w:after="0" w:line="196" w:lineRule="exact"/>
        <w:jc w:val="left"/>
        <w:sectPr>
          <w:type w:val="continuous"/>
          <w:pgSz w:w="11910" w:h="16840"/>
          <w:pgMar w:top="1060" w:bottom="1160" w:left="980" w:right="0"/>
          <w:cols w:num="3" w:equalWidth="0">
            <w:col w:w="875" w:space="40"/>
            <w:col w:w="2901" w:space="1178"/>
            <w:col w:w="5936"/>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陕西爱康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100,000,000.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212" w:lineRule="exact"/>
        <w:ind w:left="107" w:right="0"/>
        <w:jc w:val="left"/>
      </w:pPr>
      <w:r>
        <w:rPr>
          <w:rFonts w:ascii="Times New Roman" w:hAnsi="Times New Roman" w:cs="Times New Roman" w:eastAsia="Times New Roman" w:hint="default"/>
        </w:rPr>
        <w:t>0.00   -1,805,249.74</w:t>
      </w:r>
      <w:r>
        <w:rPr>
          <w:rFonts w:ascii="Times New Roman" w:hAnsi="Times New Roman" w:cs="Times New Roman" w:eastAsia="Times New Roman" w:hint="default"/>
          <w:spacing w:val="12"/>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spacing w:line="240" w:lineRule="auto" w:before="77"/>
        <w:ind w:left="154" w:right="-20"/>
        <w:jc w:val="left"/>
      </w:pPr>
      <w:r>
        <w:rPr/>
        <w:t>有限公司</w:t>
      </w:r>
    </w:p>
    <w:p>
      <w:pPr>
        <w:pStyle w:val="BodyText"/>
        <w:tabs>
          <w:tab w:pos="2720" w:val="left" w:leader="none"/>
        </w:tabs>
        <w:spacing w:line="124" w:lineRule="exact"/>
        <w:ind w:left="1681" w:right="-20"/>
        <w:jc w:val="left"/>
        <w:rPr>
          <w:rFonts w:ascii="Times New Roman" w:hAnsi="Times New Roman" w:cs="Times New Roman" w:eastAsia="Times New Roman" w:hint="default"/>
        </w:rPr>
      </w:pPr>
      <w:r>
        <w:rPr/>
        <w:br w:type="column"/>
      </w:r>
      <w:r>
        <w:rPr/>
        <w:t>设</w:t>
      </w:r>
      <w:r>
        <w:rPr>
          <w:rFonts w:ascii="Times New Roman" w:hAnsi="Times New Roman" w:cs="Times New Roman" w:eastAsia="Times New Roman" w:hint="default"/>
        </w:rPr>
        <w:tab/>
        <w:t>00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广东爱康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697" w:val="left" w:leader="none"/>
        </w:tabs>
        <w:spacing w:line="212" w:lineRule="exact"/>
        <w:ind w:left="107" w:right="0"/>
        <w:jc w:val="left"/>
      </w:pPr>
      <w:r>
        <w:rPr>
          <w:rFonts w:ascii="Times New Roman" w:hAnsi="Times New Roman" w:cs="Times New Roman" w:eastAsia="Times New Roman" w:hint="default"/>
        </w:rPr>
        <w:t>0.00</w:t>
        <w:tab/>
        <w:t>-557,608.58</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tabs>
          <w:tab w:pos="112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w:t>
      </w:r>
    </w:p>
    <w:p>
      <w:pPr>
        <w:pStyle w:val="BodyText"/>
        <w:tabs>
          <w:tab w:pos="903" w:val="left" w:leader="none"/>
        </w:tabs>
        <w:spacing w:line="189" w:lineRule="exact"/>
        <w:ind w:left="0" w:right="1029"/>
        <w:jc w:val="center"/>
      </w:pPr>
      <w:r>
        <w:rPr/>
        <w:t>公司</w:t>
        <w:tab/>
      </w:r>
      <w:r>
        <w:rPr>
          <w:spacing w:val="-6"/>
        </w:rPr>
        <w:t>务；电力工程设计、</w:t>
      </w:r>
    </w:p>
    <w:p>
      <w:pPr>
        <w:pStyle w:val="BodyText"/>
        <w:spacing w:line="240" w:lineRule="auto" w:before="76"/>
        <w:ind w:left="0" w:right="976"/>
        <w:jc w:val="center"/>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湖北爱康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6"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-19,279.68</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spacing w:line="316" w:lineRule="auto"/>
        <w:ind w:left="154" w:right="0"/>
        <w:jc w:val="both"/>
      </w:pPr>
      <w:r>
        <w:rPr/>
        <w:t>苏州慧康 电力开发 有限公司</w:t>
      </w:r>
    </w:p>
    <w:p>
      <w:pPr>
        <w:pStyle w:val="BodyText"/>
        <w:spacing w:line="316" w:lineRule="auto" w:before="44"/>
        <w:ind w:left="143" w:right="0"/>
        <w:jc w:val="both"/>
      </w:pPr>
      <w:r>
        <w:rPr/>
        <w:br w:type="column"/>
      </w:r>
      <w:r>
        <w:rPr/>
        <w:t>光伏电站项目的开 发、建设、运营、 维护及管理服务； 从事太阳能发电领 域内的技术开发、 技术咨询、技术服 务等</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196" w:lineRule="exact" w:before="118"/>
        <w:ind w:left="57" w:right="-20"/>
        <w:jc w:val="left"/>
      </w:pPr>
      <w:r>
        <w:rPr/>
        <w:t>新</w:t>
      </w:r>
    </w:p>
    <w:p>
      <w:pPr>
        <w:pStyle w:val="BodyText"/>
        <w:tabs>
          <w:tab w:pos="2608" w:val="left" w:leader="none"/>
        </w:tabs>
        <w:spacing w:line="163" w:lineRule="exact"/>
        <w:ind w:left="331" w:right="-20"/>
        <w:jc w:val="left"/>
      </w:pPr>
      <w:r>
        <w:rPr>
          <w:rFonts w:ascii="Times New Roman" w:hAnsi="Times New Roman" w:cs="Times New Roman" w:eastAsia="Times New Roman" w:hint="default"/>
        </w:rPr>
        <w:t>1,000,000.00 100.00%</w:t>
      </w:r>
      <w:r>
        <w:rPr>
          <w:rFonts w:ascii="Times New Roman" w:hAnsi="Times New Roman" w:cs="Times New Roman" w:eastAsia="Times New Roman" w:hint="default"/>
          <w:spacing w:val="27"/>
        </w:rPr>
        <w:t> </w:t>
      </w:r>
      <w:r>
        <w:rPr/>
        <w:t>自筹</w:t>
        <w:tab/>
        <w:t>无</w:t>
      </w:r>
    </w:p>
    <w:p>
      <w:pPr>
        <w:pStyle w:val="BodyText"/>
        <w:spacing w:line="189" w:lineRule="exact"/>
        <w:ind w:left="57" w:right="-20"/>
        <w:jc w:val="left"/>
      </w:pPr>
      <w:r>
        <w:rPr/>
        <w:t>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56" w:lineRule="exact"/>
        <w:ind w:left="437" w:right="-19"/>
        <w:jc w:val="left"/>
      </w:pPr>
      <w:r>
        <w:rPr/>
        <w:t>售电</w:t>
        <w:tab/>
        <w:t>完</w:t>
      </w:r>
    </w:p>
    <w:p>
      <w:pPr>
        <w:pStyle w:val="BodyText"/>
        <w:spacing w:line="157" w:lineRule="exact"/>
        <w:ind w:right="-19"/>
        <w:jc w:val="left"/>
      </w:pPr>
      <w:r>
        <w:rPr/>
        <w:t>期</w:t>
      </w:r>
    </w:p>
    <w:p>
      <w:pPr>
        <w:pStyle w:val="BodyText"/>
        <w:tabs>
          <w:tab w:pos="1005" w:val="left" w:leader="none"/>
        </w:tabs>
        <w:spacing w:line="196" w:lineRule="exact"/>
        <w:ind w:left="437" w:right="-19"/>
        <w:jc w:val="left"/>
      </w:pPr>
      <w:r>
        <w:rPr/>
        <w:t>业务</w:t>
        <w:tab/>
        <w:t>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787" w:val="left" w:leader="none"/>
        </w:tabs>
        <w:spacing w:line="240" w:lineRule="auto"/>
        <w:ind w:left="107" w:right="0"/>
        <w:jc w:val="left"/>
      </w:pPr>
      <w:r>
        <w:rPr>
          <w:rFonts w:ascii="Times New Roman" w:hAnsi="Times New Roman" w:cs="Times New Roman" w:eastAsia="Times New Roman" w:hint="default"/>
        </w:rPr>
        <w:t>0.00</w:t>
        <w:tab/>
        <w:t>-13,521.20</w:t>
      </w:r>
      <w:r>
        <w:rPr>
          <w:rFonts w:ascii="Times New Roman" w:hAnsi="Times New Roman" w:cs="Times New Roman" w:eastAsia="Times New Roman" w:hint="default"/>
          <w:spacing w:val="10"/>
        </w:rPr>
        <w:t> </w:t>
      </w:r>
      <w:r>
        <w:rPr/>
        <w:t>否</w:t>
      </w:r>
    </w:p>
    <w:p>
      <w:pPr>
        <w:spacing w:after="0" w:line="240" w:lineRule="auto"/>
        <w:jc w:val="left"/>
        <w:sectPr>
          <w:type w:val="continuous"/>
          <w:pgSz w:w="11910" w:h="16840"/>
          <w:pgMar w:top="1060" w:bottom="1160" w:left="980" w:right="0"/>
          <w:cols w:num="5" w:equalWidth="0">
            <w:col w:w="875" w:space="40"/>
            <w:col w:w="1585" w:space="40"/>
            <w:col w:w="2789" w:space="514"/>
            <w:col w:w="1187" w:space="40"/>
            <w:col w:w="3860"/>
          </w:cols>
        </w:sectPr>
      </w:pPr>
    </w:p>
    <w:p>
      <w:pPr>
        <w:spacing w:line="240" w:lineRule="auto" w:before="6"/>
        <w:rPr>
          <w:rFonts w:ascii="宋体" w:hAnsi="宋体" w:cs="宋体" w:eastAsia="宋体" w:hint="default"/>
          <w:sz w:val="26"/>
          <w:szCs w:val="26"/>
        </w:rPr>
      </w:pPr>
    </w:p>
    <w:p>
      <w:pPr>
        <w:pStyle w:val="BodyText"/>
        <w:spacing w:line="310" w:lineRule="atLeast"/>
        <w:ind w:left="154" w:right="-20"/>
        <w:jc w:val="left"/>
      </w:pPr>
      <w:r>
        <w:rPr/>
        <w:t>湖南爱康 新能电力</w:t>
      </w:r>
    </w:p>
    <w:p>
      <w:pPr>
        <w:pStyle w:val="BodyText"/>
        <w:spacing w:line="310" w:lineRule="atLeast" w:before="34"/>
        <w:ind w:left="143" w:right="1171"/>
        <w:jc w:val="left"/>
      </w:pPr>
      <w:r>
        <w:rPr/>
        <w:br w:type="column"/>
      </w:r>
      <w:r>
        <w:rPr/>
        <w:t>配电售电业务；技 </w:t>
      </w:r>
      <w:r>
        <w:rPr>
          <w:spacing w:val="-6"/>
        </w:rPr>
        <w:t>术咨询、技术服务、</w:t>
      </w:r>
    </w:p>
    <w:p>
      <w:pPr>
        <w:pStyle w:val="BodyText"/>
        <w:spacing w:line="124"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14"/>
          <w:szCs w:val="14"/>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0"/>
          <w:szCs w:val="20"/>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-14,067.41</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浙江爱康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101,000,000.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6" w:lineRule="exact"/>
        <w:ind w:right="-19"/>
        <w:jc w:val="left"/>
      </w:pPr>
      <w:r>
        <w:rPr/>
        <w:t>长</w:t>
      </w:r>
    </w:p>
    <w:p>
      <w:pPr>
        <w:pStyle w:val="BodyText"/>
        <w:tabs>
          <w:tab w:pos="1005" w:val="left" w:leader="none"/>
        </w:tabs>
        <w:spacing w:line="173"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-65,726.41</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tabs>
          <w:tab w:pos="103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00</w:t>
      </w:r>
    </w:p>
    <w:p>
      <w:pPr>
        <w:pStyle w:val="BodyText"/>
        <w:tabs>
          <w:tab w:pos="903" w:val="left" w:leader="none"/>
        </w:tabs>
        <w:spacing w:line="189" w:lineRule="exact"/>
        <w:ind w:left="0" w:right="1029"/>
        <w:jc w:val="center"/>
      </w:pPr>
      <w:r>
        <w:rPr/>
        <w:t>公司</w:t>
        <w:tab/>
      </w:r>
      <w:r>
        <w:rPr>
          <w:spacing w:val="-6"/>
        </w:rPr>
        <w:t>务；电力工程设计、</w:t>
      </w:r>
    </w:p>
    <w:p>
      <w:pPr>
        <w:pStyle w:val="BodyText"/>
        <w:spacing w:line="240" w:lineRule="auto" w:before="76"/>
        <w:ind w:left="0" w:right="976"/>
        <w:jc w:val="center"/>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spacing w:line="240" w:lineRule="auto" w:before="4"/>
        <w:rPr>
          <w:rFonts w:ascii="宋体" w:hAnsi="宋体" w:cs="宋体" w:eastAsia="宋体" w:hint="default"/>
          <w:sz w:val="9"/>
          <w:szCs w:val="9"/>
        </w:rPr>
      </w:pPr>
      <w:r>
        <w:rPr/>
        <w:pict>
          <v:group style="position:absolute;margin-left:55.080002pt;margin-top:71.759979pt;width:485.25pt;height:694.75pt;mso-position-horizontal-relative:page;mso-position-vertical-relative:page;z-index:-1651528" coordorigin="1102,1435" coordsize="9705,13895">
            <v:group style="position:absolute;left:3564;top:1450;width:2;height:353" coordorigin="3564,1450" coordsize="2,353">
              <v:shape style="position:absolute;left:3564;top:1450;width:2;height:353" coordorigin="3564,1450" coordsize="0,353" path="m3564,1450l3564,1802e" filled="false" stroked="true" strokeweight="1.140pt" strokecolor="#ffffff">
                <v:path arrowok="t"/>
              </v:shape>
            </v:group>
            <v:group style="position:absolute;left:3552;top:1802;width:232;height:936" coordorigin="3552,1802" coordsize="232,936">
              <v:shape style="position:absolute;left:3552;top:1802;width:232;height:936" coordorigin="3552,1802" coordsize="232,936" path="m3552,2738l3784,2738,3784,1802,3552,1802,3552,2738xe" filled="true" fillcolor="#ffffff" stroked="false">
                <v:path arrowok="t"/>
                <v:fill type="solid"/>
              </v:shape>
            </v:group>
            <v:group style="position:absolute;left:3575;top:1450;width:186;height:353" coordorigin="3575,1450" coordsize="186,353">
              <v:shape style="position:absolute;left:3575;top:1450;width:186;height:353" coordorigin="3575,1450" coordsize="186,353" path="m3575,1802l3761,1802,3761,1450,3575,1450,3575,1802xe" filled="true" fillcolor="#ffffff" stroked="false">
                <v:path arrowok="t"/>
                <v:fill type="solid"/>
              </v:shape>
            </v:group>
            <v:group style="position:absolute;left:1111;top:1445;width:895;height:2" coordorigin="1111,1445" coordsize="895,2">
              <v:shape style="position:absolute;left:1111;top:1445;width:895;height:2" coordorigin="1111,1445" coordsize="895,0" path="m1111,1445l2006,1445e" filled="false" stroked="true" strokeweight=".48pt" strokecolor="#000000">
                <v:path arrowok="t"/>
              </v:shape>
            </v:group>
            <v:group style="position:absolute;left:2015;top:1445;width:1528;height:2" coordorigin="2015,1445" coordsize="1528,2">
              <v:shape style="position:absolute;left:2015;top:1445;width:1528;height:2" coordorigin="2015,1445" coordsize="1528,0" path="m2015,1445l3543,1445e" filled="false" stroked="true" strokeweight=".48pt" strokecolor="#000000">
                <v:path arrowok="t"/>
              </v:shape>
            </v:group>
            <v:group style="position:absolute;left:3552;top:1445;width:233;height:2" coordorigin="3552,1445" coordsize="233,2">
              <v:shape style="position:absolute;left:3552;top:1445;width:233;height:2" coordorigin="3552,1445" coordsize="233,0" path="m3552,1445l3785,1445e" filled="false" stroked="true" strokeweight=".48pt" strokecolor="#000000">
                <v:path arrowok="t"/>
              </v:shape>
            </v:group>
            <v:group style="position:absolute;left:3795;top:1445;width:1023;height:2" coordorigin="3795,1445" coordsize="1023,2">
              <v:shape style="position:absolute;left:3795;top:1445;width:1023;height:2" coordorigin="3795,1445" coordsize="1023,0" path="m3795,1445l4817,1445e" filled="false" stroked="true" strokeweight=".48pt" strokecolor="#000000">
                <v:path arrowok="t"/>
              </v:shape>
            </v:group>
            <v:group style="position:absolute;left:4827;top:1445;width:702;height:2" coordorigin="4827,1445" coordsize="702,2">
              <v:shape style="position:absolute;left:4827;top:1445;width:702;height:2" coordorigin="4827,1445" coordsize="702,0" path="m4827,1445l5528,1445e" filled="false" stroked="true" strokeweight=".48pt" strokecolor="#000000">
                <v:path arrowok="t"/>
              </v:shape>
            </v:group>
            <v:group style="position:absolute;left:5538;top:1445;width:557;height:2" coordorigin="5538,1445" coordsize="557,2">
              <v:shape style="position:absolute;left:5538;top:1445;width:557;height:2" coordorigin="5538,1445" coordsize="557,0" path="m5538,1445l6094,1445e" filled="false" stroked="true" strokeweight=".48pt" strokecolor="#000000">
                <v:path arrowok="t"/>
              </v:shape>
            </v:group>
            <v:group style="position:absolute;left:6104;top:1445;width:839;height:2" coordorigin="6104,1445" coordsize="839,2">
              <v:shape style="position:absolute;left:6104;top:1445;width:839;height:2" coordorigin="6104,1445" coordsize="839,0" path="m6104,1445l6943,1445e" filled="false" stroked="true" strokeweight=".48pt" strokecolor="#000000">
                <v:path arrowok="t"/>
              </v:shape>
            </v:group>
            <v:group style="position:absolute;left:6952;top:1445;width:274;height:2" coordorigin="6952,1445" coordsize="274,2">
              <v:shape style="position:absolute;left:6952;top:1445;width:274;height:2" coordorigin="6952,1445" coordsize="274,0" path="m6952,1445l7226,1445e" filled="false" stroked="true" strokeweight=".48pt" strokecolor="#000000">
                <v:path arrowok="t"/>
              </v:shape>
            </v:group>
            <v:group style="position:absolute;left:7236;top:1445;width:558;height:2" coordorigin="7236,1445" coordsize="558,2">
              <v:shape style="position:absolute;left:7236;top:1445;width:558;height:2" coordorigin="7236,1445" coordsize="558,0" path="m7236,1445l7794,1445e" filled="false" stroked="true" strokeweight=".48pt" strokecolor="#000000">
                <v:path arrowok="t"/>
              </v:shape>
            </v:group>
            <v:group style="position:absolute;left:7803;top:1445;width:273;height:2" coordorigin="7803,1445" coordsize="273,2">
              <v:shape style="position:absolute;left:7803;top:1445;width:273;height:2" coordorigin="7803,1445" coordsize="273,0" path="m7803,1445l8076,1445e" filled="false" stroked="true" strokeweight=".48pt" strokecolor="#000000">
                <v:path arrowok="t"/>
              </v:shape>
            </v:group>
            <v:group style="position:absolute;left:8085;top:1445;width:408;height:2" coordorigin="8085,1445" coordsize="408,2">
              <v:shape style="position:absolute;left:8085;top:1445;width:408;height:2" coordorigin="8085,1445" coordsize="408,0" path="m8085,1445l8492,1445e" filled="false" stroked="true" strokeweight=".48pt" strokecolor="#000000">
                <v:path arrowok="t"/>
              </v:shape>
            </v:group>
            <v:group style="position:absolute;left:8502;top:1445;width:1137;height:2" coordorigin="8502,1445" coordsize="1137,2">
              <v:shape style="position:absolute;left:8502;top:1445;width:1137;height:2" coordorigin="8502,1445" coordsize="1137,0" path="m8502,1445l9638,1445e" filled="false" stroked="true" strokeweight=".48pt" strokecolor="#000000">
                <v:path arrowok="t"/>
              </v:shape>
            </v:group>
            <v:group style="position:absolute;left:9648;top:1445;width:240;height:2" coordorigin="9648,1445" coordsize="240,2">
              <v:shape style="position:absolute;left:9648;top:1445;width:240;height:2" coordorigin="9648,1445" coordsize="240,0" path="m9648,1445l9888,1445e" filled="false" stroked="true" strokeweight=".48pt" strokecolor="#000000">
                <v:path arrowok="t"/>
              </v:shape>
            </v:group>
            <v:group style="position:absolute;left:9898;top:1445;width:408;height:2" coordorigin="9898,1445" coordsize="408,2">
              <v:shape style="position:absolute;left:9898;top:1445;width:408;height:2" coordorigin="9898,1445" coordsize="408,0" path="m9898,1445l10306,1445e" filled="false" stroked="true" strokeweight=".48pt" strokecolor="#000000">
                <v:path arrowok="t"/>
              </v:shape>
            </v:group>
            <v:group style="position:absolute;left:10315;top:1445;width:482;height:2" coordorigin="10315,1445" coordsize="482,2">
              <v:shape style="position:absolute;left:10315;top:1445;width:482;height:2" coordorigin="10315,1445" coordsize="482,0" path="m10315,1445l10796,1445e" filled="false" stroked="true" strokeweight=".48pt" strokecolor="#000000">
                <v:path arrowok="t"/>
              </v:shape>
            </v:group>
            <v:group style="position:absolute;left:3552;top:2748;width:232;height:469" coordorigin="3552,2748" coordsize="232,469">
              <v:shape style="position:absolute;left:3552;top:2748;width:232;height:469" coordorigin="3552,2748" coordsize="232,469" path="m3552,3216l3784,3216,3784,2748,3552,2748,3552,3216xe" filled="true" fillcolor="#ffffff" stroked="false">
                <v:path arrowok="t"/>
                <v:fill type="solid"/>
              </v:shape>
            </v:group>
            <v:group style="position:absolute;left:3564;top:3216;width:2;height:705" coordorigin="3564,3216" coordsize="2,705">
              <v:shape style="position:absolute;left:3564;top:3216;width:2;height:705" coordorigin="3564,3216" coordsize="0,705" path="m3564,3216l3564,3921e" filled="false" stroked="true" strokeweight="1.140pt" strokecolor="#ffffff">
                <v:path arrowok="t"/>
              </v:shape>
            </v:group>
            <v:group style="position:absolute;left:3552;top:3921;width:232;height:468" coordorigin="3552,3921" coordsize="232,468">
              <v:shape style="position:absolute;left:3552;top:3921;width:232;height:468" coordorigin="3552,3921" coordsize="232,468" path="m3552,4389l3784,4389,3784,3921,3552,3921,3552,4389xe" filled="true" fillcolor="#ffffff" stroked="false">
                <v:path arrowok="t"/>
                <v:fill type="solid"/>
              </v:shape>
            </v:group>
            <v:group style="position:absolute;left:3575;top:3216;width:186;height:352" coordorigin="3575,3216" coordsize="186,352">
              <v:shape style="position:absolute;left:3575;top:3216;width:186;height:352" coordorigin="3575,3216" coordsize="186,352" path="m3575,3568l3761,3568,3761,3216,3575,3216,3575,3568xe" filled="true" fillcolor="#ffffff" stroked="false">
                <v:path arrowok="t"/>
                <v:fill type="solid"/>
              </v:shape>
            </v:group>
            <v:group style="position:absolute;left:3575;top:3568;width:186;height:353" coordorigin="3575,3568" coordsize="186,353">
              <v:shape style="position:absolute;left:3575;top:3568;width:186;height:353" coordorigin="3575,3568" coordsize="186,353" path="m3575,3921l3761,3921,3761,3568,3575,3568,3575,3921xe" filled="true" fillcolor="#ffffff" stroked="false">
                <v:path arrowok="t"/>
                <v:fill type="solid"/>
              </v:shape>
            </v:group>
            <v:group style="position:absolute;left:1111;top:2743;width:895;height:2" coordorigin="1111,2743" coordsize="895,2">
              <v:shape style="position:absolute;left:1111;top:2743;width:895;height:2" coordorigin="1111,2743" coordsize="895,0" path="m1111,2743l2006,2743e" filled="false" stroked="true" strokeweight=".48pt" strokecolor="#000000">
                <v:path arrowok="t"/>
              </v:shape>
            </v:group>
            <v:group style="position:absolute;left:2015;top:2743;width:1528;height:2" coordorigin="2015,2743" coordsize="1528,2">
              <v:shape style="position:absolute;left:2015;top:2743;width:1528;height:2" coordorigin="2015,2743" coordsize="1528,0" path="m2015,2743l3543,2743e" filled="false" stroked="true" strokeweight=".48pt" strokecolor="#000000">
                <v:path arrowok="t"/>
              </v:shape>
            </v:group>
            <v:group style="position:absolute;left:3552;top:2743;width:233;height:2" coordorigin="3552,2743" coordsize="233,2">
              <v:shape style="position:absolute;left:3552;top:2743;width:233;height:2" coordorigin="3552,2743" coordsize="233,0" path="m3552,2743l3785,2743e" filled="false" stroked="true" strokeweight=".48pt" strokecolor="#000000">
                <v:path arrowok="t"/>
              </v:shape>
            </v:group>
            <v:group style="position:absolute;left:3795;top:2743;width:1023;height:2" coordorigin="3795,2743" coordsize="1023,2">
              <v:shape style="position:absolute;left:3795;top:2743;width:1023;height:2" coordorigin="3795,2743" coordsize="1023,0" path="m3795,2743l4817,2743e" filled="false" stroked="true" strokeweight=".48pt" strokecolor="#000000">
                <v:path arrowok="t"/>
              </v:shape>
            </v:group>
            <v:group style="position:absolute;left:4827;top:2743;width:702;height:2" coordorigin="4827,2743" coordsize="702,2">
              <v:shape style="position:absolute;left:4827;top:2743;width:702;height:2" coordorigin="4827,2743" coordsize="702,0" path="m4827,2743l5528,2743e" filled="false" stroked="true" strokeweight=".48pt" strokecolor="#000000">
                <v:path arrowok="t"/>
              </v:shape>
            </v:group>
            <v:group style="position:absolute;left:5538;top:2743;width:557;height:2" coordorigin="5538,2743" coordsize="557,2">
              <v:shape style="position:absolute;left:5538;top:2743;width:557;height:2" coordorigin="5538,2743" coordsize="557,0" path="m5538,2743l6094,2743e" filled="false" stroked="true" strokeweight=".48pt" strokecolor="#000000">
                <v:path arrowok="t"/>
              </v:shape>
            </v:group>
            <v:group style="position:absolute;left:6104;top:2743;width:839;height:2" coordorigin="6104,2743" coordsize="839,2">
              <v:shape style="position:absolute;left:6104;top:2743;width:839;height:2" coordorigin="6104,2743" coordsize="839,0" path="m6104,2743l6943,2743e" filled="false" stroked="true" strokeweight=".48pt" strokecolor="#000000">
                <v:path arrowok="t"/>
              </v:shape>
            </v:group>
            <v:group style="position:absolute;left:6952;top:2743;width:274;height:2" coordorigin="6952,2743" coordsize="274,2">
              <v:shape style="position:absolute;left:6952;top:2743;width:274;height:2" coordorigin="6952,2743" coordsize="274,0" path="m6952,2743l7226,2743e" filled="false" stroked="true" strokeweight=".48pt" strokecolor="#000000">
                <v:path arrowok="t"/>
              </v:shape>
            </v:group>
            <v:group style="position:absolute;left:7236;top:2743;width:558;height:2" coordorigin="7236,2743" coordsize="558,2">
              <v:shape style="position:absolute;left:7236;top:2743;width:558;height:2" coordorigin="7236,2743" coordsize="558,0" path="m7236,2743l7794,2743e" filled="false" stroked="true" strokeweight=".48pt" strokecolor="#000000">
                <v:path arrowok="t"/>
              </v:shape>
            </v:group>
            <v:group style="position:absolute;left:7803;top:2743;width:273;height:2" coordorigin="7803,2743" coordsize="273,2">
              <v:shape style="position:absolute;left:7803;top:2743;width:273;height:2" coordorigin="7803,2743" coordsize="273,0" path="m7803,2743l8076,2743e" filled="false" stroked="true" strokeweight=".48pt" strokecolor="#000000">
                <v:path arrowok="t"/>
              </v:shape>
            </v:group>
            <v:group style="position:absolute;left:8085;top:2743;width:408;height:2" coordorigin="8085,2743" coordsize="408,2">
              <v:shape style="position:absolute;left:8085;top:2743;width:408;height:2" coordorigin="8085,2743" coordsize="408,0" path="m8085,2743l8492,2743e" filled="false" stroked="true" strokeweight=".48pt" strokecolor="#000000">
                <v:path arrowok="t"/>
              </v:shape>
            </v:group>
            <v:group style="position:absolute;left:8502;top:2743;width:1137;height:2" coordorigin="8502,2743" coordsize="1137,2">
              <v:shape style="position:absolute;left:8502;top:2743;width:1137;height:2" coordorigin="8502,2743" coordsize="1137,0" path="m8502,2743l9638,2743e" filled="false" stroked="true" strokeweight=".48pt" strokecolor="#000000">
                <v:path arrowok="t"/>
              </v:shape>
            </v:group>
            <v:group style="position:absolute;left:9648;top:2743;width:240;height:2" coordorigin="9648,2743" coordsize="240,2">
              <v:shape style="position:absolute;left:9648;top:2743;width:240;height:2" coordorigin="9648,2743" coordsize="240,0" path="m9648,2743l9888,2743e" filled="false" stroked="true" strokeweight=".48pt" strokecolor="#000000">
                <v:path arrowok="t"/>
              </v:shape>
            </v:group>
            <v:group style="position:absolute;left:9898;top:2743;width:408;height:2" coordorigin="9898,2743" coordsize="408,2">
              <v:shape style="position:absolute;left:9898;top:2743;width:408;height:2" coordorigin="9898,2743" coordsize="408,0" path="m9898,2743l10306,2743e" filled="false" stroked="true" strokeweight=".48pt" strokecolor="#000000">
                <v:path arrowok="t"/>
              </v:shape>
            </v:group>
            <v:group style="position:absolute;left:10315;top:2743;width:482;height:2" coordorigin="10315,2743" coordsize="482,2">
              <v:shape style="position:absolute;left:10315;top:2743;width:482;height:2" coordorigin="10315,2743" coordsize="482,0" path="m10315,2743l10796,2743e" filled="false" stroked="true" strokeweight=".48pt" strokecolor="#000000">
                <v:path arrowok="t"/>
              </v:shape>
            </v:group>
            <v:group style="position:absolute;left:3552;top:4398;width:232;height:468" coordorigin="3552,4398" coordsize="232,468">
              <v:shape style="position:absolute;left:3552;top:4398;width:232;height:468" coordorigin="3552,4398" coordsize="232,468" path="m3552,4866l3784,4866,3784,4398,3552,4398,3552,4866xe" filled="true" fillcolor="#ffffff" stroked="false">
                <v:path arrowok="t"/>
                <v:fill type="solid"/>
              </v:shape>
            </v:group>
            <v:group style="position:absolute;left:3564;top:4866;width:2;height:705" coordorigin="3564,4866" coordsize="2,705">
              <v:shape style="position:absolute;left:3564;top:4866;width:2;height:705" coordorigin="3564,4866" coordsize="0,705" path="m3564,4866l3564,5571e" filled="false" stroked="true" strokeweight="1.140pt" strokecolor="#ffffff">
                <v:path arrowok="t"/>
              </v:shape>
            </v:group>
            <v:group style="position:absolute;left:3552;top:5571;width:232;height:468" coordorigin="3552,5571" coordsize="232,468">
              <v:shape style="position:absolute;left:3552;top:5571;width:232;height:468" coordorigin="3552,5571" coordsize="232,468" path="m3552,6039l3784,6039,3784,5571,3552,5571,3552,6039xe" filled="true" fillcolor="#ffffff" stroked="false">
                <v:path arrowok="t"/>
                <v:fill type="solid"/>
              </v:shape>
            </v:group>
            <v:group style="position:absolute;left:3575;top:4866;width:186;height:352" coordorigin="3575,4866" coordsize="186,352">
              <v:shape style="position:absolute;left:3575;top:4866;width:186;height:352" coordorigin="3575,4866" coordsize="186,352" path="m3575,5218l3761,5218,3761,4866,3575,4866,3575,5218xe" filled="true" fillcolor="#ffffff" stroked="false">
                <v:path arrowok="t"/>
                <v:fill type="solid"/>
              </v:shape>
            </v:group>
            <v:group style="position:absolute;left:3575;top:5218;width:186;height:353" coordorigin="3575,5218" coordsize="186,353">
              <v:shape style="position:absolute;left:3575;top:5218;width:186;height:353" coordorigin="3575,5218" coordsize="186,353" path="m3575,5571l3761,5571,3761,5218,3575,5218,3575,5571xe" filled="true" fillcolor="#ffffff" stroked="false">
                <v:path arrowok="t"/>
                <v:fill type="solid"/>
              </v:shape>
            </v:group>
            <v:group style="position:absolute;left:1111;top:4394;width:895;height:2" coordorigin="1111,4394" coordsize="895,2">
              <v:shape style="position:absolute;left:1111;top:4394;width:895;height:2" coordorigin="1111,4394" coordsize="895,0" path="m1111,4394l2006,4394e" filled="false" stroked="true" strokeweight=".48pt" strokecolor="#000000">
                <v:path arrowok="t"/>
              </v:shape>
            </v:group>
            <v:group style="position:absolute;left:2015;top:4394;width:1528;height:2" coordorigin="2015,4394" coordsize="1528,2">
              <v:shape style="position:absolute;left:2015;top:4394;width:1528;height:2" coordorigin="2015,4394" coordsize="1528,0" path="m2015,4394l3543,4394e" filled="false" stroked="true" strokeweight=".48pt" strokecolor="#000000">
                <v:path arrowok="t"/>
              </v:shape>
            </v:group>
            <v:group style="position:absolute;left:3552;top:4394;width:233;height:2" coordorigin="3552,4394" coordsize="233,2">
              <v:shape style="position:absolute;left:3552;top:4394;width:233;height:2" coordorigin="3552,4394" coordsize="233,0" path="m3552,4394l3785,4394e" filled="false" stroked="true" strokeweight=".48pt" strokecolor="#000000">
                <v:path arrowok="t"/>
              </v:shape>
            </v:group>
            <v:group style="position:absolute;left:3795;top:4394;width:1023;height:2" coordorigin="3795,4394" coordsize="1023,2">
              <v:shape style="position:absolute;left:3795;top:4394;width:1023;height:2" coordorigin="3795,4394" coordsize="1023,0" path="m3795,4394l4817,4394e" filled="false" stroked="true" strokeweight=".48pt" strokecolor="#000000">
                <v:path arrowok="t"/>
              </v:shape>
            </v:group>
            <v:group style="position:absolute;left:4827;top:4394;width:702;height:2" coordorigin="4827,4394" coordsize="702,2">
              <v:shape style="position:absolute;left:4827;top:4394;width:702;height:2" coordorigin="4827,4394" coordsize="702,0" path="m4827,4394l5528,4394e" filled="false" stroked="true" strokeweight=".48pt" strokecolor="#000000">
                <v:path arrowok="t"/>
              </v:shape>
            </v:group>
            <v:group style="position:absolute;left:5538;top:4394;width:557;height:2" coordorigin="5538,4394" coordsize="557,2">
              <v:shape style="position:absolute;left:5538;top:4394;width:557;height:2" coordorigin="5538,4394" coordsize="557,0" path="m5538,4394l6094,4394e" filled="false" stroked="true" strokeweight=".48pt" strokecolor="#000000">
                <v:path arrowok="t"/>
              </v:shape>
            </v:group>
            <v:group style="position:absolute;left:6104;top:4394;width:839;height:2" coordorigin="6104,4394" coordsize="839,2">
              <v:shape style="position:absolute;left:6104;top:4394;width:839;height:2" coordorigin="6104,4394" coordsize="839,0" path="m6104,4394l6943,4394e" filled="false" stroked="true" strokeweight=".48pt" strokecolor="#000000">
                <v:path arrowok="t"/>
              </v:shape>
            </v:group>
            <v:group style="position:absolute;left:6952;top:4394;width:274;height:2" coordorigin="6952,4394" coordsize="274,2">
              <v:shape style="position:absolute;left:6952;top:4394;width:274;height:2" coordorigin="6952,4394" coordsize="274,0" path="m6952,4394l7226,4394e" filled="false" stroked="true" strokeweight=".48pt" strokecolor="#000000">
                <v:path arrowok="t"/>
              </v:shape>
            </v:group>
            <v:group style="position:absolute;left:7236;top:4394;width:558;height:2" coordorigin="7236,4394" coordsize="558,2">
              <v:shape style="position:absolute;left:7236;top:4394;width:558;height:2" coordorigin="7236,4394" coordsize="558,0" path="m7236,4394l7794,4394e" filled="false" stroked="true" strokeweight=".48pt" strokecolor="#000000">
                <v:path arrowok="t"/>
              </v:shape>
            </v:group>
            <v:group style="position:absolute;left:7803;top:4394;width:273;height:2" coordorigin="7803,4394" coordsize="273,2">
              <v:shape style="position:absolute;left:7803;top:4394;width:273;height:2" coordorigin="7803,4394" coordsize="273,0" path="m7803,4394l8076,4394e" filled="false" stroked="true" strokeweight=".48pt" strokecolor="#000000">
                <v:path arrowok="t"/>
              </v:shape>
            </v:group>
            <v:group style="position:absolute;left:8085;top:4394;width:408;height:2" coordorigin="8085,4394" coordsize="408,2">
              <v:shape style="position:absolute;left:8085;top:4394;width:408;height:2" coordorigin="8085,4394" coordsize="408,0" path="m8085,4394l8492,4394e" filled="false" stroked="true" strokeweight=".48pt" strokecolor="#000000">
                <v:path arrowok="t"/>
              </v:shape>
            </v:group>
            <v:group style="position:absolute;left:8502;top:4394;width:1137;height:2" coordorigin="8502,4394" coordsize="1137,2">
              <v:shape style="position:absolute;left:8502;top:4394;width:1137;height:2" coordorigin="8502,4394" coordsize="1137,0" path="m8502,4394l9638,4394e" filled="false" stroked="true" strokeweight=".48pt" strokecolor="#000000">
                <v:path arrowok="t"/>
              </v:shape>
            </v:group>
            <v:group style="position:absolute;left:9648;top:4394;width:240;height:2" coordorigin="9648,4394" coordsize="240,2">
              <v:shape style="position:absolute;left:9648;top:4394;width:240;height:2" coordorigin="9648,4394" coordsize="240,0" path="m9648,4394l9888,4394e" filled="false" stroked="true" strokeweight=".48pt" strokecolor="#000000">
                <v:path arrowok="t"/>
              </v:shape>
            </v:group>
            <v:group style="position:absolute;left:9898;top:4394;width:408;height:2" coordorigin="9898,4394" coordsize="408,2">
              <v:shape style="position:absolute;left:9898;top:4394;width:408;height:2" coordorigin="9898,4394" coordsize="408,0" path="m9898,4394l10306,4394e" filled="false" stroked="true" strokeweight=".48pt" strokecolor="#000000">
                <v:path arrowok="t"/>
              </v:shape>
            </v:group>
            <v:group style="position:absolute;left:10315;top:4394;width:482;height:2" coordorigin="10315,4394" coordsize="482,2">
              <v:shape style="position:absolute;left:10315;top:4394;width:482;height:2" coordorigin="10315,4394" coordsize="482,0" path="m10315,4394l10796,4394e" filled="false" stroked="true" strokeweight=".48pt" strokecolor="#000000">
                <v:path arrowok="t"/>
              </v:shape>
            </v:group>
            <v:group style="position:absolute;left:3552;top:6048;width:232;height:468" coordorigin="3552,6048" coordsize="232,468">
              <v:shape style="position:absolute;left:3552;top:6048;width:232;height:468" coordorigin="3552,6048" coordsize="232,468" path="m3552,6516l3784,6516,3784,6048,3552,6048,3552,6516xe" filled="true" fillcolor="#ffffff" stroked="false">
                <v:path arrowok="t"/>
                <v:fill type="solid"/>
              </v:shape>
            </v:group>
            <v:group style="position:absolute;left:3564;top:6516;width:2;height:705" coordorigin="3564,6516" coordsize="2,705">
              <v:shape style="position:absolute;left:3564;top:6516;width:2;height:705" coordorigin="3564,6516" coordsize="0,705" path="m3564,6516l3564,7221e" filled="false" stroked="true" strokeweight="1.140pt" strokecolor="#ffffff">
                <v:path arrowok="t"/>
              </v:shape>
            </v:group>
            <v:group style="position:absolute;left:3552;top:7221;width:232;height:468" coordorigin="3552,7221" coordsize="232,468">
              <v:shape style="position:absolute;left:3552;top:7221;width:232;height:468" coordorigin="3552,7221" coordsize="232,468" path="m3552,7689l3784,7689,3784,7221,3552,7221,3552,7689xe" filled="true" fillcolor="#ffffff" stroked="false">
                <v:path arrowok="t"/>
                <v:fill type="solid"/>
              </v:shape>
            </v:group>
            <v:group style="position:absolute;left:3575;top:6516;width:186;height:352" coordorigin="3575,6516" coordsize="186,352">
              <v:shape style="position:absolute;left:3575;top:6516;width:186;height:352" coordorigin="3575,6516" coordsize="186,352" path="m3575,6868l3761,6868,3761,6516,3575,6516,3575,6868xe" filled="true" fillcolor="#ffffff" stroked="false">
                <v:path arrowok="t"/>
                <v:fill type="solid"/>
              </v:shape>
            </v:group>
            <v:group style="position:absolute;left:3575;top:6868;width:186;height:353" coordorigin="3575,6868" coordsize="186,353">
              <v:shape style="position:absolute;left:3575;top:6868;width:186;height:353" coordorigin="3575,6868" coordsize="186,353" path="m3575,7221l3761,7221,3761,6868,3575,6868,3575,7221xe" filled="true" fillcolor="#ffffff" stroked="false">
                <v:path arrowok="t"/>
                <v:fill type="solid"/>
              </v:shape>
            </v:group>
            <v:group style="position:absolute;left:1111;top:6044;width:895;height:2" coordorigin="1111,6044" coordsize="895,2">
              <v:shape style="position:absolute;left:1111;top:6044;width:895;height:2" coordorigin="1111,6044" coordsize="895,0" path="m1111,6044l2006,6044e" filled="false" stroked="true" strokeweight=".48pt" strokecolor="#000000">
                <v:path arrowok="t"/>
              </v:shape>
            </v:group>
            <v:group style="position:absolute;left:2015;top:6044;width:1528;height:2" coordorigin="2015,6044" coordsize="1528,2">
              <v:shape style="position:absolute;left:2015;top:6044;width:1528;height:2" coordorigin="2015,6044" coordsize="1528,0" path="m2015,6044l3543,6044e" filled="false" stroked="true" strokeweight=".48pt" strokecolor="#000000">
                <v:path arrowok="t"/>
              </v:shape>
            </v:group>
            <v:group style="position:absolute;left:3552;top:6044;width:233;height:2" coordorigin="3552,6044" coordsize="233,2">
              <v:shape style="position:absolute;left:3552;top:6044;width:233;height:2" coordorigin="3552,6044" coordsize="233,0" path="m3552,6044l3785,6044e" filled="false" stroked="true" strokeweight=".48pt" strokecolor="#000000">
                <v:path arrowok="t"/>
              </v:shape>
            </v:group>
            <v:group style="position:absolute;left:3795;top:6044;width:1023;height:2" coordorigin="3795,6044" coordsize="1023,2">
              <v:shape style="position:absolute;left:3795;top:6044;width:1023;height:2" coordorigin="3795,6044" coordsize="1023,0" path="m3795,6044l4817,6044e" filled="false" stroked="true" strokeweight=".48pt" strokecolor="#000000">
                <v:path arrowok="t"/>
              </v:shape>
            </v:group>
            <v:group style="position:absolute;left:4827;top:6044;width:702;height:2" coordorigin="4827,6044" coordsize="702,2">
              <v:shape style="position:absolute;left:4827;top:6044;width:702;height:2" coordorigin="4827,6044" coordsize="702,0" path="m4827,6044l5528,6044e" filled="false" stroked="true" strokeweight=".48pt" strokecolor="#000000">
                <v:path arrowok="t"/>
              </v:shape>
            </v:group>
            <v:group style="position:absolute;left:5538;top:6044;width:557;height:2" coordorigin="5538,6044" coordsize="557,2">
              <v:shape style="position:absolute;left:5538;top:6044;width:557;height:2" coordorigin="5538,6044" coordsize="557,0" path="m5538,6044l6094,6044e" filled="false" stroked="true" strokeweight=".48pt" strokecolor="#000000">
                <v:path arrowok="t"/>
              </v:shape>
            </v:group>
            <v:group style="position:absolute;left:6104;top:6044;width:839;height:2" coordorigin="6104,6044" coordsize="839,2">
              <v:shape style="position:absolute;left:6104;top:6044;width:839;height:2" coordorigin="6104,6044" coordsize="839,0" path="m6104,6044l6943,6044e" filled="false" stroked="true" strokeweight=".48pt" strokecolor="#000000">
                <v:path arrowok="t"/>
              </v:shape>
            </v:group>
            <v:group style="position:absolute;left:6952;top:6044;width:274;height:2" coordorigin="6952,6044" coordsize="274,2">
              <v:shape style="position:absolute;left:6952;top:6044;width:274;height:2" coordorigin="6952,6044" coordsize="274,0" path="m6952,6044l7226,6044e" filled="false" stroked="true" strokeweight=".48pt" strokecolor="#000000">
                <v:path arrowok="t"/>
              </v:shape>
            </v:group>
            <v:group style="position:absolute;left:7236;top:6044;width:558;height:2" coordorigin="7236,6044" coordsize="558,2">
              <v:shape style="position:absolute;left:7236;top:6044;width:558;height:2" coordorigin="7236,6044" coordsize="558,0" path="m7236,6044l7794,6044e" filled="false" stroked="true" strokeweight=".48pt" strokecolor="#000000">
                <v:path arrowok="t"/>
              </v:shape>
            </v:group>
            <v:group style="position:absolute;left:7803;top:6044;width:273;height:2" coordorigin="7803,6044" coordsize="273,2">
              <v:shape style="position:absolute;left:7803;top:6044;width:273;height:2" coordorigin="7803,6044" coordsize="273,0" path="m7803,6044l8076,6044e" filled="false" stroked="true" strokeweight=".48pt" strokecolor="#000000">
                <v:path arrowok="t"/>
              </v:shape>
            </v:group>
            <v:group style="position:absolute;left:8085;top:6044;width:408;height:2" coordorigin="8085,6044" coordsize="408,2">
              <v:shape style="position:absolute;left:8085;top:6044;width:408;height:2" coordorigin="8085,6044" coordsize="408,0" path="m8085,6044l8492,6044e" filled="false" stroked="true" strokeweight=".48pt" strokecolor="#000000">
                <v:path arrowok="t"/>
              </v:shape>
            </v:group>
            <v:group style="position:absolute;left:8502;top:6044;width:1137;height:2" coordorigin="8502,6044" coordsize="1137,2">
              <v:shape style="position:absolute;left:8502;top:6044;width:1137;height:2" coordorigin="8502,6044" coordsize="1137,0" path="m8502,6044l9638,6044e" filled="false" stroked="true" strokeweight=".48pt" strokecolor="#000000">
                <v:path arrowok="t"/>
              </v:shape>
            </v:group>
            <v:group style="position:absolute;left:9648;top:6044;width:240;height:2" coordorigin="9648,6044" coordsize="240,2">
              <v:shape style="position:absolute;left:9648;top:6044;width:240;height:2" coordorigin="9648,6044" coordsize="240,0" path="m9648,6044l9888,6044e" filled="false" stroked="true" strokeweight=".48pt" strokecolor="#000000">
                <v:path arrowok="t"/>
              </v:shape>
            </v:group>
            <v:group style="position:absolute;left:9898;top:6044;width:408;height:2" coordorigin="9898,6044" coordsize="408,2">
              <v:shape style="position:absolute;left:9898;top:6044;width:408;height:2" coordorigin="9898,6044" coordsize="408,0" path="m9898,6044l10306,6044e" filled="false" stroked="true" strokeweight=".48pt" strokecolor="#000000">
                <v:path arrowok="t"/>
              </v:shape>
            </v:group>
            <v:group style="position:absolute;left:10315;top:6044;width:482;height:2" coordorigin="10315,6044" coordsize="482,2">
              <v:shape style="position:absolute;left:10315;top:6044;width:482;height:2" coordorigin="10315,6044" coordsize="482,0" path="m10315,6044l10796,6044e" filled="false" stroked="true" strokeweight=".48pt" strokecolor="#000000">
                <v:path arrowok="t"/>
              </v:shape>
            </v:group>
            <v:group style="position:absolute;left:3552;top:7698;width:232;height:468" coordorigin="3552,7698" coordsize="232,468">
              <v:shape style="position:absolute;left:3552;top:7698;width:232;height:468" coordorigin="3552,7698" coordsize="232,468" path="m3552,8166l3784,8166,3784,7698,3552,7698,3552,8166xe" filled="true" fillcolor="#ffffff" stroked="false">
                <v:path arrowok="t"/>
                <v:fill type="solid"/>
              </v:shape>
            </v:group>
            <v:group style="position:absolute;left:3564;top:8166;width:2;height:705" coordorigin="3564,8166" coordsize="2,705">
              <v:shape style="position:absolute;left:3564;top:8166;width:2;height:705" coordorigin="3564,8166" coordsize="0,705" path="m3564,8166l3564,8871e" filled="false" stroked="true" strokeweight="1.140pt" strokecolor="#ffffff">
                <v:path arrowok="t"/>
              </v:shape>
            </v:group>
            <v:group style="position:absolute;left:3552;top:8871;width:232;height:468" coordorigin="3552,8871" coordsize="232,468">
              <v:shape style="position:absolute;left:3552;top:8871;width:232;height:468" coordorigin="3552,8871" coordsize="232,468" path="m3552,9339l3784,9339,3784,8871,3552,8871,3552,9339xe" filled="true" fillcolor="#ffffff" stroked="false">
                <v:path arrowok="t"/>
                <v:fill type="solid"/>
              </v:shape>
            </v:group>
            <v:group style="position:absolute;left:3575;top:8166;width:186;height:352" coordorigin="3575,8166" coordsize="186,352">
              <v:shape style="position:absolute;left:3575;top:8166;width:186;height:352" coordorigin="3575,8166" coordsize="186,352" path="m3575,8518l3761,8518,3761,8166,3575,8166,3575,8518xe" filled="true" fillcolor="#ffffff" stroked="false">
                <v:path arrowok="t"/>
                <v:fill type="solid"/>
              </v:shape>
            </v:group>
            <v:group style="position:absolute;left:3575;top:8518;width:186;height:353" coordorigin="3575,8518" coordsize="186,353">
              <v:shape style="position:absolute;left:3575;top:8518;width:186;height:353" coordorigin="3575,8518" coordsize="186,353" path="m3575,8871l3761,8871,3761,8518,3575,8518,3575,8871xe" filled="true" fillcolor="#ffffff" stroked="false">
                <v:path arrowok="t"/>
                <v:fill type="solid"/>
              </v:shape>
            </v:group>
            <v:group style="position:absolute;left:1111;top:7694;width:895;height:2" coordorigin="1111,7694" coordsize="895,2">
              <v:shape style="position:absolute;left:1111;top:7694;width:895;height:2" coordorigin="1111,7694" coordsize="895,0" path="m1111,7694l2006,7694e" filled="false" stroked="true" strokeweight=".48pt" strokecolor="#000000">
                <v:path arrowok="t"/>
              </v:shape>
            </v:group>
            <v:group style="position:absolute;left:2015;top:7694;width:1528;height:2" coordorigin="2015,7694" coordsize="1528,2">
              <v:shape style="position:absolute;left:2015;top:7694;width:1528;height:2" coordorigin="2015,7694" coordsize="1528,0" path="m2015,7694l3543,7694e" filled="false" stroked="true" strokeweight=".48pt" strokecolor="#000000">
                <v:path arrowok="t"/>
              </v:shape>
            </v:group>
            <v:group style="position:absolute;left:3552;top:7694;width:233;height:2" coordorigin="3552,7694" coordsize="233,2">
              <v:shape style="position:absolute;left:3552;top:7694;width:233;height:2" coordorigin="3552,7694" coordsize="233,0" path="m3552,7694l3785,7694e" filled="false" stroked="true" strokeweight=".48pt" strokecolor="#000000">
                <v:path arrowok="t"/>
              </v:shape>
            </v:group>
            <v:group style="position:absolute;left:3795;top:7694;width:1023;height:2" coordorigin="3795,7694" coordsize="1023,2">
              <v:shape style="position:absolute;left:3795;top:7694;width:1023;height:2" coordorigin="3795,7694" coordsize="1023,0" path="m3795,7694l4817,7694e" filled="false" stroked="true" strokeweight=".48pt" strokecolor="#000000">
                <v:path arrowok="t"/>
              </v:shape>
            </v:group>
            <v:group style="position:absolute;left:4827;top:7694;width:702;height:2" coordorigin="4827,7694" coordsize="702,2">
              <v:shape style="position:absolute;left:4827;top:7694;width:702;height:2" coordorigin="4827,7694" coordsize="702,0" path="m4827,7694l5528,7694e" filled="false" stroked="true" strokeweight=".48pt" strokecolor="#000000">
                <v:path arrowok="t"/>
              </v:shape>
            </v:group>
            <v:group style="position:absolute;left:5538;top:7694;width:557;height:2" coordorigin="5538,7694" coordsize="557,2">
              <v:shape style="position:absolute;left:5538;top:7694;width:557;height:2" coordorigin="5538,7694" coordsize="557,0" path="m5538,7694l6094,7694e" filled="false" stroked="true" strokeweight=".48pt" strokecolor="#000000">
                <v:path arrowok="t"/>
              </v:shape>
            </v:group>
            <v:group style="position:absolute;left:6104;top:7694;width:839;height:2" coordorigin="6104,7694" coordsize="839,2">
              <v:shape style="position:absolute;left:6104;top:7694;width:839;height:2" coordorigin="6104,7694" coordsize="839,0" path="m6104,7694l6943,7694e" filled="false" stroked="true" strokeweight=".48pt" strokecolor="#000000">
                <v:path arrowok="t"/>
              </v:shape>
            </v:group>
            <v:group style="position:absolute;left:6952;top:7694;width:274;height:2" coordorigin="6952,7694" coordsize="274,2">
              <v:shape style="position:absolute;left:6952;top:7694;width:274;height:2" coordorigin="6952,7694" coordsize="274,0" path="m6952,7694l7226,7694e" filled="false" stroked="true" strokeweight=".48pt" strokecolor="#000000">
                <v:path arrowok="t"/>
              </v:shape>
            </v:group>
            <v:group style="position:absolute;left:7236;top:7694;width:558;height:2" coordorigin="7236,7694" coordsize="558,2">
              <v:shape style="position:absolute;left:7236;top:7694;width:558;height:2" coordorigin="7236,7694" coordsize="558,0" path="m7236,7694l7794,7694e" filled="false" stroked="true" strokeweight=".48pt" strokecolor="#000000">
                <v:path arrowok="t"/>
              </v:shape>
            </v:group>
            <v:group style="position:absolute;left:7803;top:7694;width:273;height:2" coordorigin="7803,7694" coordsize="273,2">
              <v:shape style="position:absolute;left:7803;top:7694;width:273;height:2" coordorigin="7803,7694" coordsize="273,0" path="m7803,7694l8076,7694e" filled="false" stroked="true" strokeweight=".48pt" strokecolor="#000000">
                <v:path arrowok="t"/>
              </v:shape>
            </v:group>
            <v:group style="position:absolute;left:8085;top:7694;width:408;height:2" coordorigin="8085,7694" coordsize="408,2">
              <v:shape style="position:absolute;left:8085;top:7694;width:408;height:2" coordorigin="8085,7694" coordsize="408,0" path="m8085,7694l8492,7694e" filled="false" stroked="true" strokeweight=".48pt" strokecolor="#000000">
                <v:path arrowok="t"/>
              </v:shape>
            </v:group>
            <v:group style="position:absolute;left:8502;top:7694;width:1137;height:2" coordorigin="8502,7694" coordsize="1137,2">
              <v:shape style="position:absolute;left:8502;top:7694;width:1137;height:2" coordorigin="8502,7694" coordsize="1137,0" path="m8502,7694l9638,7694e" filled="false" stroked="true" strokeweight=".48pt" strokecolor="#000000">
                <v:path arrowok="t"/>
              </v:shape>
            </v:group>
            <v:group style="position:absolute;left:9648;top:7694;width:240;height:2" coordorigin="9648,7694" coordsize="240,2">
              <v:shape style="position:absolute;left:9648;top:7694;width:240;height:2" coordorigin="9648,7694" coordsize="240,0" path="m9648,7694l9888,7694e" filled="false" stroked="true" strokeweight=".48pt" strokecolor="#000000">
                <v:path arrowok="t"/>
              </v:shape>
            </v:group>
            <v:group style="position:absolute;left:9898;top:7694;width:408;height:2" coordorigin="9898,7694" coordsize="408,2">
              <v:shape style="position:absolute;left:9898;top:7694;width:408;height:2" coordorigin="9898,7694" coordsize="408,0" path="m9898,7694l10306,7694e" filled="false" stroked="true" strokeweight=".48pt" strokecolor="#000000">
                <v:path arrowok="t"/>
              </v:shape>
            </v:group>
            <v:group style="position:absolute;left:10315;top:7694;width:482;height:2" coordorigin="10315,7694" coordsize="482,2">
              <v:shape style="position:absolute;left:10315;top:7694;width:482;height:2" coordorigin="10315,7694" coordsize="482,0" path="m10315,7694l10796,7694e" filled="false" stroked="true" strokeweight=".48pt" strokecolor="#000000">
                <v:path arrowok="t"/>
              </v:shape>
            </v:group>
            <v:group style="position:absolute;left:1111;top:9344;width:895;height:2" coordorigin="1111,9344" coordsize="895,2">
              <v:shape style="position:absolute;left:1111;top:9344;width:895;height:2" coordorigin="1111,9344" coordsize="895,0" path="m1111,9344l2006,9344e" filled="false" stroked="true" strokeweight=".48pt" strokecolor="#000000">
                <v:path arrowok="t"/>
              </v:shape>
            </v:group>
            <v:group style="position:absolute;left:2015;top:9344;width:1528;height:2" coordorigin="2015,9344" coordsize="1528,2">
              <v:shape style="position:absolute;left:2015;top:9344;width:1528;height:2" coordorigin="2015,9344" coordsize="1528,0" path="m2015,9344l3543,9344e" filled="false" stroked="true" strokeweight=".48pt" strokecolor="#000000">
                <v:path arrowok="t"/>
              </v:shape>
            </v:group>
            <v:group style="position:absolute;left:3552;top:9344;width:233;height:2" coordorigin="3552,9344" coordsize="233,2">
              <v:shape style="position:absolute;left:3552;top:9344;width:233;height:2" coordorigin="3552,9344" coordsize="233,0" path="m3552,9344l3785,9344e" filled="false" stroked="true" strokeweight=".48pt" strokecolor="#000000">
                <v:path arrowok="t"/>
              </v:shape>
            </v:group>
            <v:group style="position:absolute;left:3795;top:9344;width:1023;height:2" coordorigin="3795,9344" coordsize="1023,2">
              <v:shape style="position:absolute;left:3795;top:9344;width:1023;height:2" coordorigin="3795,9344" coordsize="1023,0" path="m3795,9344l4817,9344e" filled="false" stroked="true" strokeweight=".48pt" strokecolor="#000000">
                <v:path arrowok="t"/>
              </v:shape>
            </v:group>
            <v:group style="position:absolute;left:4827;top:9344;width:702;height:2" coordorigin="4827,9344" coordsize="702,2">
              <v:shape style="position:absolute;left:4827;top:9344;width:702;height:2" coordorigin="4827,9344" coordsize="702,0" path="m4827,9344l5528,9344e" filled="false" stroked="true" strokeweight=".48pt" strokecolor="#000000">
                <v:path arrowok="t"/>
              </v:shape>
            </v:group>
            <v:group style="position:absolute;left:5538;top:9344;width:557;height:2" coordorigin="5538,9344" coordsize="557,2">
              <v:shape style="position:absolute;left:5538;top:9344;width:557;height:2" coordorigin="5538,9344" coordsize="557,0" path="m5538,9344l6094,9344e" filled="false" stroked="true" strokeweight=".48pt" strokecolor="#000000">
                <v:path arrowok="t"/>
              </v:shape>
            </v:group>
            <v:group style="position:absolute;left:6104;top:9344;width:839;height:2" coordorigin="6104,9344" coordsize="839,2">
              <v:shape style="position:absolute;left:6104;top:9344;width:839;height:2" coordorigin="6104,9344" coordsize="839,0" path="m6104,9344l6943,9344e" filled="false" stroked="true" strokeweight=".48pt" strokecolor="#000000">
                <v:path arrowok="t"/>
              </v:shape>
            </v:group>
            <v:group style="position:absolute;left:6952;top:9344;width:274;height:2" coordorigin="6952,9344" coordsize="274,2">
              <v:shape style="position:absolute;left:6952;top:9344;width:274;height:2" coordorigin="6952,9344" coordsize="274,0" path="m6952,9344l7226,9344e" filled="false" stroked="true" strokeweight=".48pt" strokecolor="#000000">
                <v:path arrowok="t"/>
              </v:shape>
            </v:group>
            <v:group style="position:absolute;left:7236;top:9344;width:558;height:2" coordorigin="7236,9344" coordsize="558,2">
              <v:shape style="position:absolute;left:7236;top:9344;width:558;height:2" coordorigin="7236,9344" coordsize="558,0" path="m7236,9344l7794,9344e" filled="false" stroked="true" strokeweight=".48pt" strokecolor="#000000">
                <v:path arrowok="t"/>
              </v:shape>
            </v:group>
            <v:group style="position:absolute;left:7803;top:9344;width:273;height:2" coordorigin="7803,9344" coordsize="273,2">
              <v:shape style="position:absolute;left:7803;top:9344;width:273;height:2" coordorigin="7803,9344" coordsize="273,0" path="m7803,9344l8076,9344e" filled="false" stroked="true" strokeweight=".48pt" strokecolor="#000000">
                <v:path arrowok="t"/>
              </v:shape>
            </v:group>
            <v:group style="position:absolute;left:8085;top:9344;width:408;height:2" coordorigin="8085,9344" coordsize="408,2">
              <v:shape style="position:absolute;left:8085;top:9344;width:408;height:2" coordorigin="8085,9344" coordsize="408,0" path="m8085,9344l8492,9344e" filled="false" stroked="true" strokeweight=".48pt" strokecolor="#000000">
                <v:path arrowok="t"/>
              </v:shape>
            </v:group>
            <v:group style="position:absolute;left:8502;top:9344;width:1137;height:2" coordorigin="8502,9344" coordsize="1137,2">
              <v:shape style="position:absolute;left:8502;top:9344;width:1137;height:2" coordorigin="8502,9344" coordsize="1137,0" path="m8502,9344l9638,9344e" filled="false" stroked="true" strokeweight=".48pt" strokecolor="#000000">
                <v:path arrowok="t"/>
              </v:shape>
            </v:group>
            <v:group style="position:absolute;left:9648;top:9344;width:240;height:2" coordorigin="9648,9344" coordsize="240,2">
              <v:shape style="position:absolute;left:9648;top:9344;width:240;height:2" coordorigin="9648,9344" coordsize="240,0" path="m9648,9344l9888,9344e" filled="false" stroked="true" strokeweight=".48pt" strokecolor="#000000">
                <v:path arrowok="t"/>
              </v:shape>
            </v:group>
            <v:group style="position:absolute;left:9898;top:9344;width:408;height:2" coordorigin="9898,9344" coordsize="408,2">
              <v:shape style="position:absolute;left:9898;top:9344;width:408;height:2" coordorigin="9898,9344" coordsize="408,0" path="m9898,9344l10306,9344e" filled="false" stroked="true" strokeweight=".48pt" strokecolor="#000000">
                <v:path arrowok="t"/>
              </v:shape>
            </v:group>
            <v:group style="position:absolute;left:10315;top:9344;width:482;height:2" coordorigin="10315,9344" coordsize="482,2">
              <v:shape style="position:absolute;left:10315;top:9344;width:482;height:2" coordorigin="10315,9344" coordsize="482,0" path="m10315,9344l10796,9344e" filled="false" stroked="true" strokeweight=".48pt" strokecolor="#000000">
                <v:path arrowok="t"/>
              </v:shape>
            </v:group>
            <v:group style="position:absolute;left:3552;top:11623;width:232;height:468" coordorigin="3552,11623" coordsize="232,468">
              <v:shape style="position:absolute;left:3552;top:11623;width:232;height:468" coordorigin="3552,11623" coordsize="232,468" path="m3552,12091l3784,12091,3784,11623,3552,11623,3552,12091xe" filled="true" fillcolor="#ffffff" stroked="false">
                <v:path arrowok="t"/>
                <v:fill type="solid"/>
              </v:shape>
            </v:group>
            <v:group style="position:absolute;left:3564;top:12091;width:2;height:705" coordorigin="3564,12091" coordsize="2,705">
              <v:shape style="position:absolute;left:3564;top:12091;width:2;height:705" coordorigin="3564,12091" coordsize="0,705" path="m3564,12091l3564,12795e" filled="false" stroked="true" strokeweight="1.140pt" strokecolor="#ffffff">
                <v:path arrowok="t"/>
              </v:shape>
            </v:group>
            <v:group style="position:absolute;left:3552;top:12795;width:232;height:468" coordorigin="3552,12795" coordsize="232,468">
              <v:shape style="position:absolute;left:3552;top:12795;width:232;height:468" coordorigin="3552,12795" coordsize="232,468" path="m3552,13263l3784,13263,3784,12795,3552,12795,3552,13263xe" filled="true" fillcolor="#ffffff" stroked="false">
                <v:path arrowok="t"/>
                <v:fill type="solid"/>
              </v:shape>
            </v:group>
            <v:group style="position:absolute;left:3575;top:12091;width:186;height:352" coordorigin="3575,12091" coordsize="186,352">
              <v:shape style="position:absolute;left:3575;top:12091;width:186;height:352" coordorigin="3575,12091" coordsize="186,352" path="m3575,12442l3761,12442,3761,12091,3575,12091,3575,12442xe" filled="true" fillcolor="#ffffff" stroked="false">
                <v:path arrowok="t"/>
                <v:fill type="solid"/>
              </v:shape>
            </v:group>
            <v:group style="position:absolute;left:3575;top:12442;width:186;height:353" coordorigin="3575,12442" coordsize="186,353">
              <v:shape style="position:absolute;left:3575;top:12442;width:186;height:353" coordorigin="3575,12442" coordsize="186,353" path="m3575,12795l3761,12795,3761,12442,3575,12442,3575,12795xe" filled="true" fillcolor="#ffffff" stroked="false">
                <v:path arrowok="t"/>
                <v:fill type="solid"/>
              </v:shape>
            </v:group>
            <v:group style="position:absolute;left:1111;top:11618;width:895;height:2" coordorigin="1111,11618" coordsize="895,2">
              <v:shape style="position:absolute;left:1111;top:11618;width:895;height:2" coordorigin="1111,11618" coordsize="895,0" path="m1111,11618l2006,11618e" filled="false" stroked="true" strokeweight=".48pt" strokecolor="#000000">
                <v:path arrowok="t"/>
              </v:shape>
            </v:group>
            <v:group style="position:absolute;left:2015;top:11618;width:1528;height:2" coordorigin="2015,11618" coordsize="1528,2">
              <v:shape style="position:absolute;left:2015;top:11618;width:1528;height:2" coordorigin="2015,11618" coordsize="1528,0" path="m2015,11618l3543,11618e" filled="false" stroked="true" strokeweight=".48pt" strokecolor="#000000">
                <v:path arrowok="t"/>
              </v:shape>
            </v:group>
            <v:group style="position:absolute;left:3552;top:11618;width:233;height:2" coordorigin="3552,11618" coordsize="233,2">
              <v:shape style="position:absolute;left:3552;top:11618;width:233;height:2" coordorigin="3552,11618" coordsize="233,0" path="m3552,11618l3785,11618e" filled="false" stroked="true" strokeweight=".48pt" strokecolor="#000000">
                <v:path arrowok="t"/>
              </v:shape>
            </v:group>
            <v:group style="position:absolute;left:3795;top:11618;width:1023;height:2" coordorigin="3795,11618" coordsize="1023,2">
              <v:shape style="position:absolute;left:3795;top:11618;width:1023;height:2" coordorigin="3795,11618" coordsize="1023,0" path="m3795,11618l4817,11618e" filled="false" stroked="true" strokeweight=".48pt" strokecolor="#000000">
                <v:path arrowok="t"/>
              </v:shape>
            </v:group>
            <v:group style="position:absolute;left:4827;top:11618;width:702;height:2" coordorigin="4827,11618" coordsize="702,2">
              <v:shape style="position:absolute;left:4827;top:11618;width:702;height:2" coordorigin="4827,11618" coordsize="702,0" path="m4827,11618l5528,11618e" filled="false" stroked="true" strokeweight=".48pt" strokecolor="#000000">
                <v:path arrowok="t"/>
              </v:shape>
            </v:group>
            <v:group style="position:absolute;left:5538;top:11618;width:557;height:2" coordorigin="5538,11618" coordsize="557,2">
              <v:shape style="position:absolute;left:5538;top:11618;width:557;height:2" coordorigin="5538,11618" coordsize="557,0" path="m5538,11618l6094,11618e" filled="false" stroked="true" strokeweight=".48pt" strokecolor="#000000">
                <v:path arrowok="t"/>
              </v:shape>
            </v:group>
            <v:group style="position:absolute;left:6104;top:11618;width:839;height:2" coordorigin="6104,11618" coordsize="839,2">
              <v:shape style="position:absolute;left:6104;top:11618;width:839;height:2" coordorigin="6104,11618" coordsize="839,0" path="m6104,11618l6943,11618e" filled="false" stroked="true" strokeweight=".48pt" strokecolor="#000000">
                <v:path arrowok="t"/>
              </v:shape>
            </v:group>
            <v:group style="position:absolute;left:6952;top:11618;width:274;height:2" coordorigin="6952,11618" coordsize="274,2">
              <v:shape style="position:absolute;left:6952;top:11618;width:274;height:2" coordorigin="6952,11618" coordsize="274,0" path="m6952,11618l7226,11618e" filled="false" stroked="true" strokeweight=".48pt" strokecolor="#000000">
                <v:path arrowok="t"/>
              </v:shape>
            </v:group>
            <v:group style="position:absolute;left:7236;top:11618;width:558;height:2" coordorigin="7236,11618" coordsize="558,2">
              <v:shape style="position:absolute;left:7236;top:11618;width:558;height:2" coordorigin="7236,11618" coordsize="558,0" path="m7236,11618l7794,11618e" filled="false" stroked="true" strokeweight=".48pt" strokecolor="#000000">
                <v:path arrowok="t"/>
              </v:shape>
            </v:group>
            <v:group style="position:absolute;left:7803;top:11618;width:273;height:2" coordorigin="7803,11618" coordsize="273,2">
              <v:shape style="position:absolute;left:7803;top:11618;width:273;height:2" coordorigin="7803,11618" coordsize="273,0" path="m7803,11618l8076,11618e" filled="false" stroked="true" strokeweight=".48pt" strokecolor="#000000">
                <v:path arrowok="t"/>
              </v:shape>
            </v:group>
            <v:group style="position:absolute;left:8085;top:11618;width:408;height:2" coordorigin="8085,11618" coordsize="408,2">
              <v:shape style="position:absolute;left:8085;top:11618;width:408;height:2" coordorigin="8085,11618" coordsize="408,0" path="m8085,11618l8492,11618e" filled="false" stroked="true" strokeweight=".48pt" strokecolor="#000000">
                <v:path arrowok="t"/>
              </v:shape>
            </v:group>
            <v:group style="position:absolute;left:8502;top:11618;width:1137;height:2" coordorigin="8502,11618" coordsize="1137,2">
              <v:shape style="position:absolute;left:8502;top:11618;width:1137;height:2" coordorigin="8502,11618" coordsize="1137,0" path="m8502,11618l9638,11618e" filled="false" stroked="true" strokeweight=".48pt" strokecolor="#000000">
                <v:path arrowok="t"/>
              </v:shape>
            </v:group>
            <v:group style="position:absolute;left:9648;top:11618;width:240;height:2" coordorigin="9648,11618" coordsize="240,2">
              <v:shape style="position:absolute;left:9648;top:11618;width:240;height:2" coordorigin="9648,11618" coordsize="240,0" path="m9648,11618l9888,11618e" filled="false" stroked="true" strokeweight=".48pt" strokecolor="#000000">
                <v:path arrowok="t"/>
              </v:shape>
            </v:group>
            <v:group style="position:absolute;left:9898;top:11618;width:408;height:2" coordorigin="9898,11618" coordsize="408,2">
              <v:shape style="position:absolute;left:9898;top:11618;width:408;height:2" coordorigin="9898,11618" coordsize="408,0" path="m9898,11618l10306,11618e" filled="false" stroked="true" strokeweight=".48pt" strokecolor="#000000">
                <v:path arrowok="t"/>
              </v:shape>
            </v:group>
            <v:group style="position:absolute;left:10315;top:11618;width:482;height:2" coordorigin="10315,11618" coordsize="482,2">
              <v:shape style="position:absolute;left:10315;top:11618;width:482;height:2" coordorigin="10315,11618" coordsize="482,0" path="m10315,11618l10796,11618e" filled="false" stroked="true" strokeweight=".48pt" strokecolor="#000000">
                <v:path arrowok="t"/>
              </v:shape>
            </v:group>
            <v:group style="position:absolute;left:3552;top:13273;width:232;height:468" coordorigin="3552,13273" coordsize="232,468">
              <v:shape style="position:absolute;left:3552;top:13273;width:232;height:468" coordorigin="3552,13273" coordsize="232,468" path="m3552,13741l3784,13741,3784,13273,3552,13273,3552,13741xe" filled="true" fillcolor="#ffffff" stroked="false">
                <v:path arrowok="t"/>
                <v:fill type="solid"/>
              </v:shape>
            </v:group>
            <v:group style="position:absolute;left:3564;top:13741;width:2;height:705" coordorigin="3564,13741" coordsize="2,705">
              <v:shape style="position:absolute;left:3564;top:13741;width:2;height:705" coordorigin="3564,13741" coordsize="0,705" path="m3564,13741l3564,14446e" filled="false" stroked="true" strokeweight="1.140pt" strokecolor="#ffffff">
                <v:path arrowok="t"/>
              </v:shape>
            </v:group>
            <v:group style="position:absolute;left:3552;top:14446;width:232;height:468" coordorigin="3552,14446" coordsize="232,468">
              <v:shape style="position:absolute;left:3552;top:14446;width:232;height:468" coordorigin="3552,14446" coordsize="232,468" path="m3552,14914l3784,14914,3784,14446,3552,14446,3552,14914xe" filled="true" fillcolor="#ffffff" stroked="false">
                <v:path arrowok="t"/>
                <v:fill type="solid"/>
              </v:shape>
            </v:group>
            <v:group style="position:absolute;left:3575;top:13741;width:186;height:352" coordorigin="3575,13741" coordsize="186,352">
              <v:shape style="position:absolute;left:3575;top:13741;width:186;height:352" coordorigin="3575,13741" coordsize="186,352" path="m3575,14093l3761,14093,3761,13741,3575,13741,3575,14093xe" filled="true" fillcolor="#ffffff" stroked="false">
                <v:path arrowok="t"/>
                <v:fill type="solid"/>
              </v:shape>
            </v:group>
            <v:group style="position:absolute;left:3575;top:14093;width:186;height:353" coordorigin="3575,14093" coordsize="186,353">
              <v:shape style="position:absolute;left:3575;top:14093;width:186;height:353" coordorigin="3575,14093" coordsize="186,353" path="m3575,14446l3761,14446,3761,14093,3575,14093,3575,14446xe" filled="true" fillcolor="#ffffff" stroked="false">
                <v:path arrowok="t"/>
                <v:fill type="solid"/>
              </v:shape>
            </v:group>
            <v:group style="position:absolute;left:1111;top:13268;width:895;height:2" coordorigin="1111,13268" coordsize="895,2">
              <v:shape style="position:absolute;left:1111;top:13268;width:895;height:2" coordorigin="1111,13268" coordsize="895,0" path="m1111,13268l2006,13268e" filled="false" stroked="true" strokeweight=".48pt" strokecolor="#000000">
                <v:path arrowok="t"/>
              </v:shape>
            </v:group>
            <v:group style="position:absolute;left:2015;top:13268;width:1528;height:2" coordorigin="2015,13268" coordsize="1528,2">
              <v:shape style="position:absolute;left:2015;top:13268;width:1528;height:2" coordorigin="2015,13268" coordsize="1528,0" path="m2015,13268l3543,13268e" filled="false" stroked="true" strokeweight=".48pt" strokecolor="#000000">
                <v:path arrowok="t"/>
              </v:shape>
            </v:group>
            <v:group style="position:absolute;left:3552;top:13268;width:233;height:2" coordorigin="3552,13268" coordsize="233,2">
              <v:shape style="position:absolute;left:3552;top:13268;width:233;height:2" coordorigin="3552,13268" coordsize="233,0" path="m3552,13268l3785,13268e" filled="false" stroked="true" strokeweight=".48pt" strokecolor="#000000">
                <v:path arrowok="t"/>
              </v:shape>
            </v:group>
            <v:group style="position:absolute;left:3795;top:13268;width:1023;height:2" coordorigin="3795,13268" coordsize="1023,2">
              <v:shape style="position:absolute;left:3795;top:13268;width:1023;height:2" coordorigin="3795,13268" coordsize="1023,0" path="m3795,13268l4817,13268e" filled="false" stroked="true" strokeweight=".48pt" strokecolor="#000000">
                <v:path arrowok="t"/>
              </v:shape>
            </v:group>
            <v:group style="position:absolute;left:4827;top:13268;width:702;height:2" coordorigin="4827,13268" coordsize="702,2">
              <v:shape style="position:absolute;left:4827;top:13268;width:702;height:2" coordorigin="4827,13268" coordsize="702,0" path="m4827,13268l5528,13268e" filled="false" stroked="true" strokeweight=".48pt" strokecolor="#000000">
                <v:path arrowok="t"/>
              </v:shape>
            </v:group>
            <v:group style="position:absolute;left:5538;top:13268;width:557;height:2" coordorigin="5538,13268" coordsize="557,2">
              <v:shape style="position:absolute;left:5538;top:13268;width:557;height:2" coordorigin="5538,13268" coordsize="557,0" path="m5538,13268l6094,13268e" filled="false" stroked="true" strokeweight=".48pt" strokecolor="#000000">
                <v:path arrowok="t"/>
              </v:shape>
            </v:group>
            <v:group style="position:absolute;left:6104;top:13268;width:839;height:2" coordorigin="6104,13268" coordsize="839,2">
              <v:shape style="position:absolute;left:6104;top:13268;width:839;height:2" coordorigin="6104,13268" coordsize="839,0" path="m6104,13268l6943,13268e" filled="false" stroked="true" strokeweight=".48pt" strokecolor="#000000">
                <v:path arrowok="t"/>
              </v:shape>
            </v:group>
            <v:group style="position:absolute;left:6952;top:13268;width:274;height:2" coordorigin="6952,13268" coordsize="274,2">
              <v:shape style="position:absolute;left:6952;top:13268;width:274;height:2" coordorigin="6952,13268" coordsize="274,0" path="m6952,13268l7226,13268e" filled="false" stroked="true" strokeweight=".48pt" strokecolor="#000000">
                <v:path arrowok="t"/>
              </v:shape>
            </v:group>
            <v:group style="position:absolute;left:7236;top:13268;width:558;height:2" coordorigin="7236,13268" coordsize="558,2">
              <v:shape style="position:absolute;left:7236;top:13268;width:558;height:2" coordorigin="7236,13268" coordsize="558,0" path="m7236,13268l7794,13268e" filled="false" stroked="true" strokeweight=".48pt" strokecolor="#000000">
                <v:path arrowok="t"/>
              </v:shape>
            </v:group>
            <v:group style="position:absolute;left:7803;top:13268;width:273;height:2" coordorigin="7803,13268" coordsize="273,2">
              <v:shape style="position:absolute;left:7803;top:13268;width:273;height:2" coordorigin="7803,13268" coordsize="273,0" path="m7803,13268l8076,13268e" filled="false" stroked="true" strokeweight=".48pt" strokecolor="#000000">
                <v:path arrowok="t"/>
              </v:shape>
            </v:group>
            <v:group style="position:absolute;left:8085;top:13268;width:408;height:2" coordorigin="8085,13268" coordsize="408,2">
              <v:shape style="position:absolute;left:8085;top:13268;width:408;height:2" coordorigin="8085,13268" coordsize="408,0" path="m8085,13268l8492,13268e" filled="false" stroked="true" strokeweight=".48pt" strokecolor="#000000">
                <v:path arrowok="t"/>
              </v:shape>
            </v:group>
            <v:group style="position:absolute;left:8502;top:13268;width:1137;height:2" coordorigin="8502,13268" coordsize="1137,2">
              <v:shape style="position:absolute;left:8502;top:13268;width:1137;height:2" coordorigin="8502,13268" coordsize="1137,0" path="m8502,13268l9638,13268e" filled="false" stroked="true" strokeweight=".48pt" strokecolor="#000000">
                <v:path arrowok="t"/>
              </v:shape>
            </v:group>
            <v:group style="position:absolute;left:9648;top:13268;width:240;height:2" coordorigin="9648,13268" coordsize="240,2">
              <v:shape style="position:absolute;left:9648;top:13268;width:240;height:2" coordorigin="9648,13268" coordsize="240,0" path="m9648,13268l9888,13268e" filled="false" stroked="true" strokeweight=".48pt" strokecolor="#000000">
                <v:path arrowok="t"/>
              </v:shape>
            </v:group>
            <v:group style="position:absolute;left:9898;top:13268;width:408;height:2" coordorigin="9898,13268" coordsize="408,2">
              <v:shape style="position:absolute;left:9898;top:13268;width:408;height:2" coordorigin="9898,13268" coordsize="408,0" path="m9898,13268l10306,13268e" filled="false" stroked="true" strokeweight=".48pt" strokecolor="#000000">
                <v:path arrowok="t"/>
              </v:shape>
            </v:group>
            <v:group style="position:absolute;left:10315;top:13268;width:482;height:2" coordorigin="10315,13268" coordsize="482,2">
              <v:shape style="position:absolute;left:10315;top:13268;width:482;height:2" coordorigin="10315,13268" coordsize="482,0" path="m10315,13268l10796,13268e" filled="false" stroked="true" strokeweight=".48pt" strokecolor="#000000">
                <v:path arrowok="t"/>
              </v:shape>
            </v:group>
            <v:group style="position:absolute;left:1111;top:14918;width:895;height:2" coordorigin="1111,14918" coordsize="895,2">
              <v:shape style="position:absolute;left:1111;top:14918;width:895;height:2" coordorigin="1111,14918" coordsize="895,0" path="m1111,14918l2006,14918e" filled="false" stroked="true" strokeweight=".48pt" strokecolor="#000000">
                <v:path arrowok="t"/>
              </v:shape>
            </v:group>
            <v:group style="position:absolute;left:2015;top:14918;width:1528;height:2" coordorigin="2015,14918" coordsize="1528,2">
              <v:shape style="position:absolute;left:2015;top:14918;width:1528;height:2" coordorigin="2015,14918" coordsize="1528,0" path="m2015,14918l3543,14918e" filled="false" stroked="true" strokeweight=".48pt" strokecolor="#000000">
                <v:path arrowok="t"/>
              </v:shape>
            </v:group>
            <v:group style="position:absolute;left:3552;top:14918;width:233;height:2" coordorigin="3552,14918" coordsize="233,2">
              <v:shape style="position:absolute;left:3552;top:14918;width:233;height:2" coordorigin="3552,14918" coordsize="233,0" path="m3552,14918l3785,14918e" filled="false" stroked="true" strokeweight=".48pt" strokecolor="#000000">
                <v:path arrowok="t"/>
              </v:shape>
            </v:group>
            <v:group style="position:absolute;left:3795;top:14918;width:1023;height:2" coordorigin="3795,14918" coordsize="1023,2">
              <v:shape style="position:absolute;left:3795;top:14918;width:1023;height:2" coordorigin="3795,14918" coordsize="1023,0" path="m3795,14918l4817,14918e" filled="false" stroked="true" strokeweight=".48pt" strokecolor="#000000">
                <v:path arrowok="t"/>
              </v:shape>
            </v:group>
            <v:group style="position:absolute;left:4827;top:14918;width:702;height:2" coordorigin="4827,14918" coordsize="702,2">
              <v:shape style="position:absolute;left:4827;top:14918;width:702;height:2" coordorigin="4827,14918" coordsize="702,0" path="m4827,14918l5528,14918e" filled="false" stroked="true" strokeweight=".48pt" strokecolor="#000000">
                <v:path arrowok="t"/>
              </v:shape>
            </v:group>
            <v:group style="position:absolute;left:5538;top:14918;width:557;height:2" coordorigin="5538,14918" coordsize="557,2">
              <v:shape style="position:absolute;left:5538;top:14918;width:557;height:2" coordorigin="5538,14918" coordsize="557,0" path="m5538,14918l6094,14918e" filled="false" stroked="true" strokeweight=".48pt" strokecolor="#000000">
                <v:path arrowok="t"/>
              </v:shape>
            </v:group>
            <v:group style="position:absolute;left:6104;top:14918;width:839;height:2" coordorigin="6104,14918" coordsize="839,2">
              <v:shape style="position:absolute;left:6104;top:14918;width:839;height:2" coordorigin="6104,14918" coordsize="839,0" path="m6104,14918l6943,14918e" filled="false" stroked="true" strokeweight=".48pt" strokecolor="#000000">
                <v:path arrowok="t"/>
              </v:shape>
            </v:group>
            <v:group style="position:absolute;left:6952;top:14918;width:274;height:2" coordorigin="6952,14918" coordsize="274,2">
              <v:shape style="position:absolute;left:6952;top:14918;width:274;height:2" coordorigin="6952,14918" coordsize="274,0" path="m6952,14918l7226,14918e" filled="false" stroked="true" strokeweight=".48pt" strokecolor="#000000">
                <v:path arrowok="t"/>
              </v:shape>
            </v:group>
            <v:group style="position:absolute;left:7236;top:14918;width:558;height:2" coordorigin="7236,14918" coordsize="558,2">
              <v:shape style="position:absolute;left:7236;top:14918;width:558;height:2" coordorigin="7236,14918" coordsize="558,0" path="m7236,14918l7794,14918e" filled="false" stroked="true" strokeweight=".48pt" strokecolor="#000000">
                <v:path arrowok="t"/>
              </v:shape>
            </v:group>
            <v:group style="position:absolute;left:7803;top:14918;width:273;height:2" coordorigin="7803,14918" coordsize="273,2">
              <v:shape style="position:absolute;left:7803;top:14918;width:273;height:2" coordorigin="7803,14918" coordsize="273,0" path="m7803,14918l8076,14918e" filled="false" stroked="true" strokeweight=".48pt" strokecolor="#000000">
                <v:path arrowok="t"/>
              </v:shape>
            </v:group>
            <v:group style="position:absolute;left:8085;top:14918;width:408;height:2" coordorigin="8085,14918" coordsize="408,2">
              <v:shape style="position:absolute;left:8085;top:14918;width:408;height:2" coordorigin="8085,14918" coordsize="408,0" path="m8085,14918l8492,14918e" filled="false" stroked="true" strokeweight=".48pt" strokecolor="#000000">
                <v:path arrowok="t"/>
              </v:shape>
            </v:group>
            <v:group style="position:absolute;left:8502;top:14918;width:1137;height:2" coordorigin="8502,14918" coordsize="1137,2">
              <v:shape style="position:absolute;left:8502;top:14918;width:1137;height:2" coordorigin="8502,14918" coordsize="1137,0" path="m8502,14918l9638,14918e" filled="false" stroked="true" strokeweight=".48pt" strokecolor="#000000">
                <v:path arrowok="t"/>
              </v:shape>
            </v:group>
            <v:group style="position:absolute;left:9648;top:14918;width:240;height:2" coordorigin="9648,14918" coordsize="240,2">
              <v:shape style="position:absolute;left:9648;top:14918;width:240;height:2" coordorigin="9648,14918" coordsize="240,0" path="m9648,14918l9888,14918e" filled="false" stroked="true" strokeweight=".48pt" strokecolor="#000000">
                <v:path arrowok="t"/>
              </v:shape>
            </v:group>
            <v:group style="position:absolute;left:9898;top:14918;width:408;height:2" coordorigin="9898,14918" coordsize="408,2">
              <v:shape style="position:absolute;left:9898;top:14918;width:408;height:2" coordorigin="9898,14918" coordsize="408,0" path="m9898,14918l10306,14918e" filled="false" stroked="true" strokeweight=".48pt" strokecolor="#000000">
                <v:path arrowok="t"/>
              </v:shape>
            </v:group>
            <v:group style="position:absolute;left:10315;top:14918;width:482;height:2" coordorigin="10315,14918" coordsize="482,2">
              <v:shape style="position:absolute;left:10315;top:14918;width:482;height:2" coordorigin="10315,14918" coordsize="482,0" path="m10315,14918l10796,14918e" filled="false" stroked="true" strokeweight=".48pt" strokecolor="#000000">
                <v:path arrowok="t"/>
              </v:shape>
            </v:group>
            <v:group style="position:absolute;left:1106;top:1440;width:2;height:13886" coordorigin="1106,1440" coordsize="2,13886">
              <v:shape style="position:absolute;left:1106;top:1440;width:2;height:13886" coordorigin="1106,1440" coordsize="0,13886" path="m1106,1440l1106,15325e" filled="false" stroked="true" strokeweight=".48pt" strokecolor="#000000">
                <v:path arrowok="t"/>
              </v:shape>
            </v:group>
            <v:group style="position:absolute;left:1111;top:15320;width:895;height:2" coordorigin="1111,15320" coordsize="895,2">
              <v:shape style="position:absolute;left:1111;top:15320;width:895;height:2" coordorigin="1111,15320" coordsize="895,0" path="m1111,15320l2006,15320e" filled="false" stroked="true" strokeweight=".48pt" strokecolor="#000000">
                <v:path arrowok="t"/>
              </v:shape>
            </v:group>
            <v:group style="position:absolute;left:2010;top:1440;width:2;height:13886" coordorigin="2010,1440" coordsize="2,13886">
              <v:shape style="position:absolute;left:2010;top:1440;width:2;height:13886" coordorigin="2010,1440" coordsize="0,13886" path="m2010,1440l2010,15325e" filled="false" stroked="true" strokeweight=".48pt" strokecolor="#000000">
                <v:path arrowok="t"/>
              </v:shape>
            </v:group>
            <v:group style="position:absolute;left:2015;top:15320;width:1528;height:2" coordorigin="2015,15320" coordsize="1528,2">
              <v:shape style="position:absolute;left:2015;top:15320;width:1528;height:2" coordorigin="2015,15320" coordsize="1528,0" path="m2015,15320l3543,15320e" filled="false" stroked="true" strokeweight=".48pt" strokecolor="#000000">
                <v:path arrowok="t"/>
              </v:shape>
            </v:group>
            <v:group style="position:absolute;left:3548;top:1440;width:2;height:13886" coordorigin="3548,1440" coordsize="2,13886">
              <v:shape style="position:absolute;left:3548;top:1440;width:2;height:13886" coordorigin="3548,1440" coordsize="0,13886" path="m3548,1440l3548,15325e" filled="false" stroked="true" strokeweight=".48pt" strokecolor="#000000">
                <v:path arrowok="t"/>
              </v:shape>
            </v:group>
            <v:group style="position:absolute;left:3552;top:15320;width:233;height:2" coordorigin="3552,15320" coordsize="233,2">
              <v:shape style="position:absolute;left:3552;top:15320;width:233;height:2" coordorigin="3552,15320" coordsize="233,0" path="m3552,15320l3785,15320e" filled="false" stroked="true" strokeweight=".48pt" strokecolor="#000000">
                <v:path arrowok="t"/>
              </v:shape>
            </v:group>
            <v:group style="position:absolute;left:3790;top:1440;width:2;height:13886" coordorigin="3790,1440" coordsize="2,13886">
              <v:shape style="position:absolute;left:3790;top:1440;width:2;height:13886" coordorigin="3790,1440" coordsize="0,13886" path="m3790,1440l3790,15325e" filled="false" stroked="true" strokeweight=".48pt" strokecolor="#000000">
                <v:path arrowok="t"/>
              </v:shape>
            </v:group>
            <v:group style="position:absolute;left:3795;top:15320;width:1023;height:2" coordorigin="3795,15320" coordsize="1023,2">
              <v:shape style="position:absolute;left:3795;top:15320;width:1023;height:2" coordorigin="3795,15320" coordsize="1023,0" path="m3795,15320l4817,15320e" filled="false" stroked="true" strokeweight=".48pt" strokecolor="#000000">
                <v:path arrowok="t"/>
              </v:shape>
            </v:group>
            <v:group style="position:absolute;left:4822;top:1440;width:2;height:13886" coordorigin="4822,1440" coordsize="2,13886">
              <v:shape style="position:absolute;left:4822;top:1440;width:2;height:13886" coordorigin="4822,1440" coordsize="0,13886" path="m4822,1440l4822,15325e" filled="false" stroked="true" strokeweight=".48pt" strokecolor="#000000">
                <v:path arrowok="t"/>
              </v:shape>
            </v:group>
            <v:group style="position:absolute;left:4827;top:15320;width:702;height:2" coordorigin="4827,15320" coordsize="702,2">
              <v:shape style="position:absolute;left:4827;top:15320;width:702;height:2" coordorigin="4827,15320" coordsize="702,0" path="m4827,15320l5528,15320e" filled="false" stroked="true" strokeweight=".48pt" strokecolor="#000000">
                <v:path arrowok="t"/>
              </v:shape>
            </v:group>
            <v:group style="position:absolute;left:5533;top:1440;width:2;height:13886" coordorigin="5533,1440" coordsize="2,13886">
              <v:shape style="position:absolute;left:5533;top:1440;width:2;height:13886" coordorigin="5533,1440" coordsize="0,13886" path="m5533,1440l5533,15325e" filled="false" stroked="true" strokeweight=".48pt" strokecolor="#000000">
                <v:path arrowok="t"/>
              </v:shape>
            </v:group>
            <v:group style="position:absolute;left:5538;top:15320;width:557;height:2" coordorigin="5538,15320" coordsize="557,2">
              <v:shape style="position:absolute;left:5538;top:15320;width:557;height:2" coordorigin="5538,15320" coordsize="557,0" path="m5538,15320l6094,15320e" filled="false" stroked="true" strokeweight=".48pt" strokecolor="#000000">
                <v:path arrowok="t"/>
              </v:shape>
            </v:group>
            <v:group style="position:absolute;left:6099;top:1440;width:2;height:13886" coordorigin="6099,1440" coordsize="2,13886">
              <v:shape style="position:absolute;left:6099;top:1440;width:2;height:13886" coordorigin="6099,1440" coordsize="0,13886" path="m6099,1440l6099,15325e" filled="false" stroked="true" strokeweight=".48pt" strokecolor="#000000">
                <v:path arrowok="t"/>
              </v:shape>
            </v:group>
            <v:group style="position:absolute;left:6104;top:15320;width:839;height:2" coordorigin="6104,15320" coordsize="839,2">
              <v:shape style="position:absolute;left:6104;top:15320;width:839;height:2" coordorigin="6104,15320" coordsize="839,0" path="m6104,15320l6943,15320e" filled="false" stroked="true" strokeweight=".48pt" strokecolor="#000000">
                <v:path arrowok="t"/>
              </v:shape>
            </v:group>
            <v:group style="position:absolute;left:6948;top:1440;width:2;height:13886" coordorigin="6948,1440" coordsize="2,13886">
              <v:shape style="position:absolute;left:6948;top:1440;width:2;height:13886" coordorigin="6948,1440" coordsize="0,13886" path="m6948,1440l6948,15325e" filled="false" stroked="true" strokeweight=".48pt" strokecolor="#000000">
                <v:path arrowok="t"/>
              </v:shape>
            </v:group>
            <v:group style="position:absolute;left:6952;top:15320;width:274;height:2" coordorigin="6952,15320" coordsize="274,2">
              <v:shape style="position:absolute;left:6952;top:15320;width:274;height:2" coordorigin="6952,15320" coordsize="274,0" path="m6952,15320l7226,15320e" filled="false" stroked="true" strokeweight=".48pt" strokecolor="#000000">
                <v:path arrowok="t"/>
              </v:shape>
            </v:group>
            <v:group style="position:absolute;left:7231;top:1440;width:2;height:13886" coordorigin="7231,1440" coordsize="2,13886">
              <v:shape style="position:absolute;left:7231;top:1440;width:2;height:13886" coordorigin="7231,1440" coordsize="0,13886" path="m7231,1440l7231,15325e" filled="false" stroked="true" strokeweight=".48pt" strokecolor="#000000">
                <v:path arrowok="t"/>
              </v:shape>
            </v:group>
            <v:group style="position:absolute;left:7236;top:15320;width:558;height:2" coordorigin="7236,15320" coordsize="558,2">
              <v:shape style="position:absolute;left:7236;top:15320;width:558;height:2" coordorigin="7236,15320" coordsize="558,0" path="m7236,15320l7794,15320e" filled="false" stroked="true" strokeweight=".48pt" strokecolor="#000000">
                <v:path arrowok="t"/>
              </v:shape>
            </v:group>
            <v:group style="position:absolute;left:7798;top:1440;width:2;height:13886" coordorigin="7798,1440" coordsize="2,13886">
              <v:shape style="position:absolute;left:7798;top:1440;width:2;height:13886" coordorigin="7798,1440" coordsize="0,13886" path="m7798,1440l7798,15325e" filled="false" stroked="true" strokeweight=".48pt" strokecolor="#000000">
                <v:path arrowok="t"/>
              </v:shape>
            </v:group>
            <v:group style="position:absolute;left:7803;top:15320;width:273;height:2" coordorigin="7803,15320" coordsize="273,2">
              <v:shape style="position:absolute;left:7803;top:15320;width:273;height:2" coordorigin="7803,15320" coordsize="273,0" path="m7803,15320l8076,15320e" filled="false" stroked="true" strokeweight=".48pt" strokecolor="#000000">
                <v:path arrowok="t"/>
              </v:shape>
            </v:group>
            <v:group style="position:absolute;left:8080;top:1440;width:2;height:13886" coordorigin="8080,1440" coordsize="2,13886">
              <v:shape style="position:absolute;left:8080;top:1440;width:2;height:13886" coordorigin="8080,1440" coordsize="0,13886" path="m8080,1440l8080,15325e" filled="false" stroked="true" strokeweight=".48pt" strokecolor="#000000">
                <v:path arrowok="t"/>
              </v:shape>
            </v:group>
            <v:group style="position:absolute;left:8085;top:15320;width:408;height:2" coordorigin="8085,15320" coordsize="408,2">
              <v:shape style="position:absolute;left:8085;top:15320;width:408;height:2" coordorigin="8085,15320" coordsize="408,0" path="m8085,15320l8492,15320e" filled="false" stroked="true" strokeweight=".48pt" strokecolor="#000000">
                <v:path arrowok="t"/>
              </v:shape>
            </v:group>
            <v:group style="position:absolute;left:8497;top:1440;width:2;height:13886" coordorigin="8497,1440" coordsize="2,13886">
              <v:shape style="position:absolute;left:8497;top:1440;width:2;height:13886" coordorigin="8497,1440" coordsize="0,13886" path="m8497,1440l8497,15325e" filled="false" stroked="true" strokeweight=".48pt" strokecolor="#000000">
                <v:path arrowok="t"/>
              </v:shape>
            </v:group>
            <v:group style="position:absolute;left:8502;top:15320;width:1137;height:2" coordorigin="8502,15320" coordsize="1137,2">
              <v:shape style="position:absolute;left:8502;top:15320;width:1137;height:2" coordorigin="8502,15320" coordsize="1137,0" path="m8502,15320l9638,15320e" filled="false" stroked="true" strokeweight=".48pt" strokecolor="#000000">
                <v:path arrowok="t"/>
              </v:shape>
            </v:group>
            <v:group style="position:absolute;left:9643;top:1440;width:2;height:13886" coordorigin="9643,1440" coordsize="2,13886">
              <v:shape style="position:absolute;left:9643;top:1440;width:2;height:13886" coordorigin="9643,1440" coordsize="0,13886" path="m9643,1440l9643,15325e" filled="false" stroked="true" strokeweight=".48pt" strokecolor="#000000">
                <v:path arrowok="t"/>
              </v:shape>
            </v:group>
            <v:group style="position:absolute;left:9648;top:15320;width:240;height:2" coordorigin="9648,15320" coordsize="240,2">
              <v:shape style="position:absolute;left:9648;top:15320;width:240;height:2" coordorigin="9648,15320" coordsize="240,0" path="m9648,15320l9888,15320e" filled="false" stroked="true" strokeweight=".48pt" strokecolor="#000000">
                <v:path arrowok="t"/>
              </v:shape>
            </v:group>
            <v:group style="position:absolute;left:9893;top:1440;width:2;height:13886" coordorigin="9893,1440" coordsize="2,13886">
              <v:shape style="position:absolute;left:9893;top:1440;width:2;height:13886" coordorigin="9893,1440" coordsize="0,13886" path="m9893,1440l9893,15325e" filled="false" stroked="true" strokeweight=".48pt" strokecolor="#000000">
                <v:path arrowok="t"/>
              </v:shape>
            </v:group>
            <v:group style="position:absolute;left:9898;top:15320;width:408;height:2" coordorigin="9898,15320" coordsize="408,2">
              <v:shape style="position:absolute;left:9898;top:15320;width:408;height:2" coordorigin="9898,15320" coordsize="408,0" path="m9898,15320l10306,15320e" filled="false" stroked="true" strokeweight=".48pt" strokecolor="#000000">
                <v:path arrowok="t"/>
              </v:shape>
            </v:group>
            <v:group style="position:absolute;left:10310;top:1440;width:2;height:13886" coordorigin="10310,1440" coordsize="2,13886">
              <v:shape style="position:absolute;left:10310;top:1440;width:2;height:13886" coordorigin="10310,1440" coordsize="0,13886" path="m10310,1440l10310,15325e" filled="false" stroked="true" strokeweight=".48pt" strokecolor="#000000">
                <v:path arrowok="t"/>
              </v:shape>
            </v:group>
            <v:group style="position:absolute;left:10315;top:15320;width:482;height:2" coordorigin="10315,15320" coordsize="482,2">
              <v:shape style="position:absolute;left:10315;top:15320;width:482;height:2" coordorigin="10315,15320" coordsize="482,0" path="m10315,15320l10796,15320e" filled="false" stroked="true" strokeweight=".48pt" strokecolor="#000000">
                <v:path arrowok="t"/>
              </v:shape>
            </v:group>
            <v:group style="position:absolute;left:10801;top:1440;width:2;height:13886" coordorigin="10801,1440" coordsize="2,13886">
              <v:shape style="position:absolute;left:10801;top:1440;width:2;height:13886" coordorigin="10801,1440" coordsize="0,13886" path="m10801,1440l10801,15325e" filled="false" stroked="true" strokeweight=".48pt" strokecolor="#000000">
                <v:path arrowok="t"/>
              </v:shape>
            </v:group>
            <w10:wrap type="none"/>
          </v:group>
        </w:pict>
      </w:r>
    </w:p>
    <w:p>
      <w:pPr>
        <w:pStyle w:val="BodyText"/>
        <w:tabs>
          <w:tab w:pos="5146" w:val="left" w:leader="none"/>
          <w:tab w:pos="5995" w:val="left" w:leader="none"/>
          <w:tab w:pos="6847" w:val="left" w:leader="none"/>
          <w:tab w:pos="7854" w:val="left" w:leader="none"/>
        </w:tabs>
        <w:spacing w:line="240" w:lineRule="auto" w:before="45"/>
        <w:ind w:left="154" w:right="1122"/>
        <w:jc w:val="left"/>
      </w:pPr>
      <w:r>
        <w:rPr/>
        <w:t>四川爱康  配电售电业务；技 新 </w:t>
      </w:r>
      <w:r>
        <w:rPr>
          <w:rFonts w:ascii="Times New Roman" w:hAnsi="Times New Roman" w:cs="Times New Roman" w:eastAsia="Times New Roman" w:hint="default"/>
        </w:rPr>
        <w:t>20,000,000.0 </w:t>
      </w:r>
      <w:r>
        <w:rPr>
          <w:rFonts w:ascii="Times New Roman" w:hAnsi="Times New Roman" w:cs="Times New Roman" w:eastAsia="Times New Roman" w:hint="default"/>
          <w:position w:val="2"/>
        </w:rPr>
        <w:t>100.00%</w:t>
      </w:r>
      <w:r>
        <w:rPr>
          <w:rFonts w:ascii="Times New Roman" w:hAnsi="Times New Roman" w:cs="Times New Roman" w:eastAsia="Times New Roman" w:hint="default"/>
          <w:spacing w:val="41"/>
          <w:position w:val="2"/>
        </w:rPr>
        <w:t> </w:t>
      </w:r>
      <w:r>
        <w:rPr>
          <w:position w:val="2"/>
        </w:rPr>
        <w:t>自筹</w:t>
        <w:tab/>
        <w:t>无</w:t>
        <w:tab/>
      </w:r>
      <w:r>
        <w:rPr/>
        <w:t>长</w:t>
      </w:r>
      <w:r>
        <w:rPr>
          <w:spacing w:val="13"/>
        </w:rPr>
        <w:t> </w:t>
      </w:r>
      <w:r>
        <w:rPr/>
        <w:t>配电</w:t>
        <w:tab/>
        <w:t>已</w:t>
      </w:r>
      <w:r>
        <w:rPr>
          <w:spacing w:val="58"/>
        </w:rPr>
        <w:t> </w:t>
      </w:r>
      <w:r>
        <w:rPr>
          <w:rFonts w:ascii="Times New Roman" w:hAnsi="Times New Roman" w:cs="Times New Roman" w:eastAsia="Times New Roman" w:hint="default"/>
          <w:position w:val="2"/>
        </w:rPr>
        <w:t>0.00</w:t>
        <w:tab/>
        <w:t>-35,416.12</w:t>
      </w:r>
      <w:r>
        <w:rPr>
          <w:rFonts w:ascii="Times New Roman" w:hAnsi="Times New Roman" w:cs="Times New Roman" w:eastAsia="Times New Roman" w:hint="default"/>
          <w:spacing w:val="10"/>
          <w:position w:val="2"/>
        </w:rPr>
        <w:t> </w:t>
      </w:r>
      <w:r>
        <w:rPr>
          <w:position w:val="2"/>
        </w:rPr>
        <w:t>否</w:t>
      </w:r>
      <w:r>
        <w:rPr/>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6"/>
          <w:szCs w:val="26"/>
        </w:rPr>
      </w:pPr>
    </w:p>
    <w:p>
      <w:pPr>
        <w:pStyle w:val="BodyText"/>
        <w:tabs>
          <w:tab w:pos="3724" w:val="left" w:leader="none"/>
          <w:tab w:pos="5995" w:val="left" w:leader="none"/>
          <w:tab w:pos="6847" w:val="left" w:leader="none"/>
        </w:tabs>
        <w:spacing w:line="240" w:lineRule="auto" w:before="45"/>
        <w:ind w:left="154" w:right="1122"/>
        <w:jc w:val="left"/>
      </w:pPr>
      <w:r>
        <w:rPr/>
        <w:t>新能电力 </w:t>
      </w:r>
      <w:r>
        <w:rPr>
          <w:spacing w:val="10"/>
        </w:rPr>
        <w:t> </w:t>
      </w:r>
      <w:r>
        <w:rPr>
          <w:spacing w:val="-9"/>
        </w:rPr>
        <w:t>术咨询、技术服务、设</w:t>
        <w:tab/>
      </w:r>
      <w:r>
        <w:rPr>
          <w:rFonts w:ascii="Times New Roman" w:hAnsi="Times New Roman" w:cs="Times New Roman" w:eastAsia="Times New Roman" w:hint="default"/>
        </w:rPr>
        <w:t>0</w:t>
        <w:tab/>
      </w:r>
      <w:r>
        <w:rPr/>
        <w:t>期</w:t>
      </w:r>
      <w:r>
        <w:rPr>
          <w:spacing w:val="13"/>
        </w:rPr>
        <w:t> </w:t>
      </w:r>
      <w:r>
        <w:rPr/>
        <w:t>售电</w:t>
        <w:tab/>
        <w:t>完</w:t>
      </w:r>
    </w:p>
    <w:p>
      <w:pPr>
        <w:spacing w:after="0" w:line="240" w:lineRule="auto"/>
        <w:jc w:val="left"/>
        <w:sectPr>
          <w:pgSz w:w="11910" w:h="16840"/>
          <w:pgMar w:header="747" w:footer="979" w:top="1060" w:bottom="1160" w:left="980" w:right="0"/>
        </w:sectPr>
      </w:pPr>
    </w:p>
    <w:p>
      <w:pPr>
        <w:pStyle w:val="BodyText"/>
        <w:spacing w:line="240" w:lineRule="auto" w:before="63"/>
        <w:ind w:left="154" w:right="-20"/>
        <w:jc w:val="left"/>
      </w:pPr>
      <w:r>
        <w:rPr/>
        <w:t>有限公司</w:t>
      </w:r>
    </w:p>
    <w:p>
      <w:pPr>
        <w:pStyle w:val="BodyText"/>
        <w:spacing w:line="316" w:lineRule="auto" w:before="61"/>
        <w:ind w:left="143" w:right="-19"/>
        <w:jc w:val="left"/>
      </w:pPr>
      <w:r>
        <w:rPr/>
        <w:br w:type="column"/>
      </w:r>
      <w:r>
        <w:rPr/>
        <w:t>节能技术推广服 务；</w:t>
      </w:r>
    </w:p>
    <w:p>
      <w:pPr>
        <w:pStyle w:val="BodyText"/>
        <w:spacing w:line="240" w:lineRule="auto" w:before="20"/>
        <w:ind w:left="143" w:right="-19"/>
        <w:jc w:val="left"/>
      </w:pPr>
      <w:r>
        <w:rPr/>
        <w:pict>
          <v:shape style="position:absolute;margin-left:117.443001pt;margin-top:-28.748302pt;width:71.8pt;height:46.8pt;mso-position-horizontal-relative:page;mso-position-vertical-relative:paragraph;z-index:-1651504"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电力工程设计、</w:t>
                  </w:r>
                </w:p>
              </w:txbxContent>
            </v:textbox>
            <w10:wrap type="none"/>
          </v:shape>
        </w:pict>
      </w:r>
      <w:r>
        <w:rPr/>
        <w:t>施工等。</w:t>
      </w:r>
    </w:p>
    <w:p>
      <w:pPr>
        <w:pStyle w:val="BodyText"/>
        <w:tabs>
          <w:tab w:pos="722" w:val="left" w:leader="none"/>
        </w:tabs>
        <w:spacing w:line="240" w:lineRule="auto" w:before="63"/>
        <w:ind w:right="0"/>
        <w:jc w:val="left"/>
      </w:pPr>
      <w:r>
        <w:rPr/>
        <w:br w:type="column"/>
      </w:r>
      <w:r>
        <w:rPr/>
        <w:t>业务</w:t>
        <w:tab/>
        <w:t>成</w:t>
      </w:r>
    </w:p>
    <w:p>
      <w:pPr>
        <w:spacing w:after="0" w:line="240" w:lineRule="auto"/>
        <w:jc w:val="left"/>
        <w:sectPr>
          <w:type w:val="continuous"/>
          <w:pgSz w:w="11910" w:h="16840"/>
          <w:pgMar w:top="1060" w:bottom="1160" w:left="980" w:right="0"/>
          <w:cols w:num="3" w:equalWidth="0">
            <w:col w:w="875" w:space="40"/>
            <w:col w:w="1405" w:space="3806"/>
            <w:col w:w="4804"/>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河南爱康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-14,986.93</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江苏爱康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200,100,000.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697" w:val="left" w:leader="none"/>
        </w:tabs>
        <w:spacing w:line="212" w:lineRule="exact"/>
        <w:ind w:left="107" w:right="0"/>
        <w:jc w:val="left"/>
      </w:pPr>
      <w:r>
        <w:rPr>
          <w:rFonts w:ascii="Times New Roman" w:hAnsi="Times New Roman" w:cs="Times New Roman" w:eastAsia="Times New Roman" w:hint="default"/>
        </w:rPr>
        <w:t>0.00</w:t>
        <w:tab/>
        <w:t>-187,368.74</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tabs>
          <w:tab w:pos="103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00</w:t>
      </w:r>
    </w:p>
    <w:p>
      <w:pPr>
        <w:pStyle w:val="BodyText"/>
        <w:tabs>
          <w:tab w:pos="903" w:val="left" w:leader="none"/>
        </w:tabs>
        <w:spacing w:line="189" w:lineRule="exact"/>
        <w:ind w:left="0" w:right="1029"/>
        <w:jc w:val="center"/>
      </w:pPr>
      <w:r>
        <w:rPr/>
        <w:t>公司</w:t>
        <w:tab/>
      </w:r>
      <w:r>
        <w:rPr>
          <w:spacing w:val="-6"/>
        </w:rPr>
        <w:t>务；电力工程设计、</w:t>
      </w:r>
    </w:p>
    <w:p>
      <w:pPr>
        <w:pStyle w:val="BodyText"/>
        <w:spacing w:line="240" w:lineRule="auto" w:before="76"/>
        <w:ind w:left="0" w:right="976"/>
        <w:jc w:val="center"/>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4"/>
        <w:rPr>
          <w:rFonts w:ascii="宋体" w:hAnsi="宋体" w:cs="宋体" w:eastAsia="宋体" w:hint="default"/>
          <w:sz w:val="15"/>
          <w:szCs w:val="15"/>
        </w:rPr>
      </w:pPr>
    </w:p>
    <w:p>
      <w:pPr>
        <w:pStyle w:val="BodyText"/>
        <w:spacing w:line="316" w:lineRule="auto"/>
        <w:ind w:left="154" w:right="-20"/>
        <w:jc w:val="left"/>
      </w:pPr>
      <w:r>
        <w:rPr/>
        <w:t>云南新康 能源电力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4"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0"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1"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0" w:lineRule="exact"/>
        <w:ind w:left="107" w:right="0"/>
        <w:jc w:val="left"/>
      </w:pPr>
      <w:r>
        <w:rPr>
          <w:rFonts w:ascii="Times New Roman" w:hAnsi="Times New Roman" w:cs="Times New Roman" w:eastAsia="Times New Roman" w:hint="default"/>
        </w:rPr>
        <w:t>0.00</w:t>
        <w:tab/>
        <w:t>-13,762.92</w:t>
      </w:r>
      <w:r>
        <w:rPr>
          <w:rFonts w:ascii="Times New Roman" w:hAnsi="Times New Roman" w:cs="Times New Roman" w:eastAsia="Times New Roman" w:hint="default"/>
          <w:spacing w:val="10"/>
        </w:rPr>
        <w:t> </w:t>
      </w:r>
      <w:r>
        <w:rPr/>
        <w:t>否</w:t>
      </w:r>
    </w:p>
    <w:p>
      <w:pPr>
        <w:spacing w:after="0" w:line="210"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180" w:lineRule="exact"/>
        <w:ind w:left="154" w:right="-20"/>
        <w:jc w:val="left"/>
      </w:pPr>
      <w:r>
        <w:rPr/>
        <w:t>有限责任</w:t>
      </w:r>
    </w:p>
    <w:p>
      <w:pPr>
        <w:pStyle w:val="BodyText"/>
        <w:spacing w:line="240" w:lineRule="auto" w:before="77"/>
        <w:ind w:left="154" w:right="-20"/>
        <w:jc w:val="left"/>
      </w:pPr>
      <w:r>
        <w:rPr/>
        <w:t>公司</w:t>
      </w:r>
    </w:p>
    <w:p>
      <w:pPr>
        <w:tabs>
          <w:tab w:pos="2810" w:val="left" w:leader="none"/>
        </w:tabs>
        <w:spacing w:line="148"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41"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贵州爱康 新能电力</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6"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-18,600.81</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spacing w:line="240" w:lineRule="auto" w:before="77"/>
        <w:ind w:left="154" w:right="-20"/>
        <w:jc w:val="left"/>
      </w:pPr>
      <w:r>
        <w:rPr/>
        <w:t>有限公司</w:t>
      </w:r>
    </w:p>
    <w:p>
      <w:pPr>
        <w:tabs>
          <w:tab w:pos="2810" w:val="left" w:leader="none"/>
        </w:tabs>
        <w:spacing w:line="124" w:lineRule="exact" w:before="0"/>
        <w:ind w:left="1681" w:right="-2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设</w:t>
      </w:r>
      <w:r>
        <w:rPr>
          <w:rFonts w:ascii="Times New Roman" w:hAnsi="Times New Roman" w:cs="Times New Roman" w:eastAsia="Times New Roman" w:hint="default"/>
          <w:sz w:val="18"/>
          <w:szCs w:val="18"/>
        </w:rPr>
        <w:tab/>
        <w:t>0</w:t>
      </w:r>
    </w:p>
    <w:p>
      <w:pPr>
        <w:pStyle w:val="BodyText"/>
        <w:spacing w:line="188" w:lineRule="exact"/>
        <w:ind w:left="143" w:right="-20"/>
        <w:jc w:val="left"/>
      </w:pPr>
      <w:r>
        <w:rPr>
          <w:spacing w:val="-6"/>
        </w:rPr>
        <w:t>务；电力工程设计、</w:t>
      </w:r>
    </w:p>
    <w:p>
      <w:pPr>
        <w:pStyle w:val="BodyText"/>
        <w:spacing w:line="240" w:lineRule="auto" w:before="77"/>
        <w:ind w:left="143" w:right="-20"/>
        <w:jc w:val="left"/>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3" w:equalWidth="0">
            <w:col w:w="875" w:space="40"/>
            <w:col w:w="2901" w:space="2026"/>
            <w:col w:w="508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广西新康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-13,012.84</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tabs>
          <w:tab w:pos="112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w:t>
      </w:r>
    </w:p>
    <w:p>
      <w:pPr>
        <w:pStyle w:val="BodyText"/>
        <w:tabs>
          <w:tab w:pos="903" w:val="left" w:leader="none"/>
        </w:tabs>
        <w:spacing w:line="189" w:lineRule="exact"/>
        <w:ind w:left="0" w:right="1029"/>
        <w:jc w:val="center"/>
      </w:pPr>
      <w:r>
        <w:rPr/>
        <w:t>公司</w:t>
        <w:tab/>
      </w:r>
      <w:r>
        <w:rPr>
          <w:spacing w:val="-6"/>
        </w:rPr>
        <w:t>务；电力工程设计、</w:t>
      </w:r>
    </w:p>
    <w:p>
      <w:pPr>
        <w:pStyle w:val="BodyText"/>
        <w:spacing w:line="240" w:lineRule="auto" w:before="76"/>
        <w:ind w:left="0" w:right="976"/>
        <w:jc w:val="center"/>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辽宁爱康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100,000,000.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2"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-78,632.26</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3" w:space="514"/>
            <w:col w:w="1187" w:space="40"/>
            <w:col w:w="3860"/>
          </w:cols>
        </w:sectPr>
      </w:pPr>
    </w:p>
    <w:p>
      <w:pPr>
        <w:pStyle w:val="BodyText"/>
        <w:tabs>
          <w:tab w:pos="103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00</w:t>
      </w:r>
    </w:p>
    <w:p>
      <w:pPr>
        <w:pStyle w:val="BodyText"/>
        <w:tabs>
          <w:tab w:pos="903" w:val="left" w:leader="none"/>
        </w:tabs>
        <w:spacing w:line="189" w:lineRule="exact"/>
        <w:ind w:left="0" w:right="1029"/>
        <w:jc w:val="center"/>
      </w:pPr>
      <w:r>
        <w:rPr/>
        <w:t>公司</w:t>
        <w:tab/>
      </w:r>
      <w:r>
        <w:rPr>
          <w:spacing w:val="-6"/>
        </w:rPr>
        <w:t>务；电力工程设计、</w:t>
      </w:r>
    </w:p>
    <w:p>
      <w:pPr>
        <w:pStyle w:val="BodyText"/>
        <w:spacing w:line="240" w:lineRule="auto" w:before="76"/>
        <w:ind w:left="0" w:right="976"/>
        <w:jc w:val="center"/>
      </w:pPr>
      <w:r>
        <w:rPr/>
        <w:t>施工等。</w:t>
      </w:r>
    </w:p>
    <w:p>
      <w:pPr>
        <w:spacing w:line="117"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10" w:lineRule="atLeast" w:before="123"/>
        <w:ind w:left="154" w:right="-20"/>
        <w:jc w:val="left"/>
      </w:pPr>
      <w:r>
        <w:rPr/>
        <w:t>福建爱康 电力有限</w:t>
      </w:r>
    </w:p>
    <w:p>
      <w:pPr>
        <w:pStyle w:val="BodyText"/>
        <w:spacing w:line="316" w:lineRule="auto" w:before="44"/>
        <w:ind w:left="143" w:right="0"/>
        <w:jc w:val="both"/>
      </w:pPr>
      <w:r>
        <w:rPr/>
        <w:br w:type="column"/>
      </w:r>
      <w:r>
        <w:rPr/>
        <w:t>电力销售；技术咨 询、技术服务、节 能技术推广服务；</w:t>
      </w:r>
    </w:p>
    <w:p>
      <w:pPr>
        <w:pStyle w:val="BodyText"/>
        <w:spacing w:line="213" w:lineRule="exact" w:before="19"/>
        <w:ind w:left="143" w:right="0"/>
        <w:jc w:val="both"/>
      </w:pPr>
      <w:r>
        <w:rPr/>
        <w:t>电力工程设计、施</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18"/>
        <w:ind w:left="57"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100,000,000.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tabs>
          <w:tab w:pos="1292" w:val="left" w:leader="none"/>
        </w:tabs>
        <w:spacing w:line="212" w:lineRule="exact" w:before="152"/>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005" w:val="left" w:leader="none"/>
        </w:tabs>
        <w:spacing w:line="196" w:lineRule="exact"/>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-60,679.40</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6" w:equalWidth="0">
            <w:col w:w="875" w:space="40"/>
            <w:col w:w="1585" w:space="40"/>
            <w:col w:w="1277" w:space="40"/>
            <w:col w:w="1473" w:space="514"/>
            <w:col w:w="1187" w:space="40"/>
            <w:col w:w="3859"/>
          </w:cols>
        </w:sectPr>
      </w:pPr>
    </w:p>
    <w:p>
      <w:pPr>
        <w:pStyle w:val="BodyText"/>
        <w:tabs>
          <w:tab w:pos="1039" w:val="left" w:leader="none"/>
        </w:tabs>
        <w:spacing w:line="124" w:lineRule="exact"/>
        <w:ind w:left="0" w:right="0"/>
        <w:jc w:val="right"/>
        <w:rPr>
          <w:rFonts w:ascii="Times New Roman" w:hAnsi="Times New Roman" w:cs="Times New Roman" w:eastAsia="Times New Roman" w:hint="default"/>
        </w:rPr>
      </w:pPr>
      <w:r>
        <w:rPr/>
        <w:t>设</w:t>
      </w:r>
      <w:r>
        <w:rPr>
          <w:rFonts w:ascii="Times New Roman" w:hAnsi="Times New Roman" w:cs="Times New Roman" w:eastAsia="Times New Roman" w:hint="default"/>
        </w:rPr>
        <w:tab/>
        <w:t>00</w:t>
      </w:r>
    </w:p>
    <w:p>
      <w:pPr>
        <w:pStyle w:val="BodyText"/>
        <w:tabs>
          <w:tab w:pos="1057" w:val="left" w:leader="none"/>
        </w:tabs>
        <w:spacing w:line="189" w:lineRule="exact"/>
        <w:ind w:left="154" w:right="0"/>
        <w:jc w:val="left"/>
      </w:pPr>
      <w:r>
        <w:rPr/>
        <w:t>公司</w:t>
        <w:tab/>
      </w:r>
      <w:r>
        <w:rPr>
          <w:spacing w:val="-6"/>
        </w:rPr>
        <w:t>工；电力设施承装、</w:t>
      </w:r>
    </w:p>
    <w:p>
      <w:pPr>
        <w:pStyle w:val="BodyText"/>
        <w:spacing w:line="319" w:lineRule="auto" w:before="75"/>
        <w:ind w:left="1058" w:right="1296"/>
        <w:jc w:val="left"/>
      </w:pPr>
      <w:r>
        <w:rPr/>
        <w:t>承修、承试；配电 售电业务等。</w:t>
      </w:r>
    </w:p>
    <w:p>
      <w:pPr>
        <w:spacing w:line="118" w:lineRule="exact" w:before="0"/>
        <w:ind w:left="15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w:t>
      </w:r>
    </w:p>
    <w:p>
      <w:pPr>
        <w:pStyle w:val="BodyText"/>
        <w:tabs>
          <w:tab w:pos="1005" w:val="left" w:leader="none"/>
        </w:tabs>
        <w:spacing w:line="196" w:lineRule="exact"/>
        <w:ind w:left="437" w:right="0"/>
        <w:jc w:val="left"/>
      </w:pPr>
      <w:r>
        <w:rPr/>
        <w:t>业务</w:t>
        <w:tab/>
        <w:t>成</w:t>
      </w:r>
    </w:p>
    <w:p>
      <w:pPr>
        <w:spacing w:after="0" w:line="196" w:lineRule="exact"/>
        <w:jc w:val="left"/>
        <w:sectPr>
          <w:type w:val="continuous"/>
          <w:pgSz w:w="11910" w:h="16840"/>
          <w:pgMar w:top="1060" w:bottom="1160" w:left="980" w:right="0"/>
          <w:cols w:num="2" w:equalWidth="0">
            <w:col w:w="3815" w:space="2026"/>
            <w:col w:w="5089"/>
          </w:cols>
        </w:sectPr>
      </w:pPr>
    </w:p>
    <w:p>
      <w:pPr>
        <w:pStyle w:val="BodyText"/>
        <w:tabs>
          <w:tab w:pos="5146" w:val="left" w:leader="none"/>
          <w:tab w:pos="6847" w:val="left" w:leader="none"/>
          <w:tab w:pos="8079" w:val="left" w:leader="none"/>
        </w:tabs>
        <w:spacing w:line="240" w:lineRule="auto" w:before="107"/>
        <w:ind w:left="154" w:right="1122"/>
        <w:jc w:val="left"/>
      </w:pPr>
      <w:r>
        <w:rPr/>
        <w:pict>
          <v:group style="position:absolute;margin-left:55.080002pt;margin-top:71.759979pt;width:485.25pt;height:694.75pt;mso-position-horizontal-relative:page;mso-position-vertical-relative:page;z-index:-1651480" coordorigin="1102,1435" coordsize="9705,13895">
            <v:group style="position:absolute;left:3564;top:1450;width:2;height:353" coordorigin="3564,1450" coordsize="2,353">
              <v:shape style="position:absolute;left:3564;top:1450;width:2;height:353" coordorigin="3564,1450" coordsize="0,353" path="m3564,1450l3564,1802e" filled="false" stroked="true" strokeweight="1.140pt" strokecolor="#ffffff">
                <v:path arrowok="t"/>
              </v:shape>
            </v:group>
            <v:group style="position:absolute;left:3552;top:1802;width:232;height:936" coordorigin="3552,1802" coordsize="232,936">
              <v:shape style="position:absolute;left:3552;top:1802;width:232;height:936" coordorigin="3552,1802" coordsize="232,936" path="m3552,2738l3784,2738,3784,1802,3552,1802,3552,2738xe" filled="true" fillcolor="#ffffff" stroked="false">
                <v:path arrowok="t"/>
                <v:fill type="solid"/>
              </v:shape>
            </v:group>
            <v:group style="position:absolute;left:3575;top:1450;width:186;height:353" coordorigin="3575,1450" coordsize="186,353">
              <v:shape style="position:absolute;left:3575;top:1450;width:186;height:353" coordorigin="3575,1450" coordsize="186,353" path="m3575,1802l3761,1802,3761,1450,3575,1450,3575,1802xe" filled="true" fillcolor="#ffffff" stroked="false">
                <v:path arrowok="t"/>
                <v:fill type="solid"/>
              </v:shape>
            </v:group>
            <v:group style="position:absolute;left:1111;top:1445;width:895;height:2" coordorigin="1111,1445" coordsize="895,2">
              <v:shape style="position:absolute;left:1111;top:1445;width:895;height:2" coordorigin="1111,1445" coordsize="895,0" path="m1111,1445l2006,1445e" filled="false" stroked="true" strokeweight=".48pt" strokecolor="#000000">
                <v:path arrowok="t"/>
              </v:shape>
            </v:group>
            <v:group style="position:absolute;left:2015;top:1445;width:1528;height:2" coordorigin="2015,1445" coordsize="1528,2">
              <v:shape style="position:absolute;left:2015;top:1445;width:1528;height:2" coordorigin="2015,1445" coordsize="1528,0" path="m2015,1445l3543,1445e" filled="false" stroked="true" strokeweight=".48pt" strokecolor="#000000">
                <v:path arrowok="t"/>
              </v:shape>
            </v:group>
            <v:group style="position:absolute;left:3552;top:1445;width:233;height:2" coordorigin="3552,1445" coordsize="233,2">
              <v:shape style="position:absolute;left:3552;top:1445;width:233;height:2" coordorigin="3552,1445" coordsize="233,0" path="m3552,1445l3785,1445e" filled="false" stroked="true" strokeweight=".48pt" strokecolor="#000000">
                <v:path arrowok="t"/>
              </v:shape>
            </v:group>
            <v:group style="position:absolute;left:3795;top:1445;width:1023;height:2" coordorigin="3795,1445" coordsize="1023,2">
              <v:shape style="position:absolute;left:3795;top:1445;width:1023;height:2" coordorigin="3795,1445" coordsize="1023,0" path="m3795,1445l4817,1445e" filled="false" stroked="true" strokeweight=".48pt" strokecolor="#000000">
                <v:path arrowok="t"/>
              </v:shape>
            </v:group>
            <v:group style="position:absolute;left:4827;top:1445;width:702;height:2" coordorigin="4827,1445" coordsize="702,2">
              <v:shape style="position:absolute;left:4827;top:1445;width:702;height:2" coordorigin="4827,1445" coordsize="702,0" path="m4827,1445l5528,1445e" filled="false" stroked="true" strokeweight=".48pt" strokecolor="#000000">
                <v:path arrowok="t"/>
              </v:shape>
            </v:group>
            <v:group style="position:absolute;left:5538;top:1445;width:557;height:2" coordorigin="5538,1445" coordsize="557,2">
              <v:shape style="position:absolute;left:5538;top:1445;width:557;height:2" coordorigin="5538,1445" coordsize="557,0" path="m5538,1445l6094,1445e" filled="false" stroked="true" strokeweight=".48pt" strokecolor="#000000">
                <v:path arrowok="t"/>
              </v:shape>
            </v:group>
            <v:group style="position:absolute;left:6104;top:1445;width:839;height:2" coordorigin="6104,1445" coordsize="839,2">
              <v:shape style="position:absolute;left:6104;top:1445;width:839;height:2" coordorigin="6104,1445" coordsize="839,0" path="m6104,1445l6943,1445e" filled="false" stroked="true" strokeweight=".48pt" strokecolor="#000000">
                <v:path arrowok="t"/>
              </v:shape>
            </v:group>
            <v:group style="position:absolute;left:6952;top:1445;width:274;height:2" coordorigin="6952,1445" coordsize="274,2">
              <v:shape style="position:absolute;left:6952;top:1445;width:274;height:2" coordorigin="6952,1445" coordsize="274,0" path="m6952,1445l7226,1445e" filled="false" stroked="true" strokeweight=".48pt" strokecolor="#000000">
                <v:path arrowok="t"/>
              </v:shape>
            </v:group>
            <v:group style="position:absolute;left:7236;top:1445;width:558;height:2" coordorigin="7236,1445" coordsize="558,2">
              <v:shape style="position:absolute;left:7236;top:1445;width:558;height:2" coordorigin="7236,1445" coordsize="558,0" path="m7236,1445l7794,1445e" filled="false" stroked="true" strokeweight=".48pt" strokecolor="#000000">
                <v:path arrowok="t"/>
              </v:shape>
            </v:group>
            <v:group style="position:absolute;left:7803;top:1445;width:273;height:2" coordorigin="7803,1445" coordsize="273,2">
              <v:shape style="position:absolute;left:7803;top:1445;width:273;height:2" coordorigin="7803,1445" coordsize="273,0" path="m7803,1445l8076,1445e" filled="false" stroked="true" strokeweight=".48pt" strokecolor="#000000">
                <v:path arrowok="t"/>
              </v:shape>
            </v:group>
            <v:group style="position:absolute;left:8085;top:1445;width:408;height:2" coordorigin="8085,1445" coordsize="408,2">
              <v:shape style="position:absolute;left:8085;top:1445;width:408;height:2" coordorigin="8085,1445" coordsize="408,0" path="m8085,1445l8492,1445e" filled="false" stroked="true" strokeweight=".48pt" strokecolor="#000000">
                <v:path arrowok="t"/>
              </v:shape>
            </v:group>
            <v:group style="position:absolute;left:8502;top:1445;width:1137;height:2" coordorigin="8502,1445" coordsize="1137,2">
              <v:shape style="position:absolute;left:8502;top:1445;width:1137;height:2" coordorigin="8502,1445" coordsize="1137,0" path="m8502,1445l9638,1445e" filled="false" stroked="true" strokeweight=".48pt" strokecolor="#000000">
                <v:path arrowok="t"/>
              </v:shape>
            </v:group>
            <v:group style="position:absolute;left:9648;top:1445;width:240;height:2" coordorigin="9648,1445" coordsize="240,2">
              <v:shape style="position:absolute;left:9648;top:1445;width:240;height:2" coordorigin="9648,1445" coordsize="240,0" path="m9648,1445l9888,1445e" filled="false" stroked="true" strokeweight=".48pt" strokecolor="#000000">
                <v:path arrowok="t"/>
              </v:shape>
            </v:group>
            <v:group style="position:absolute;left:9898;top:1445;width:408;height:2" coordorigin="9898,1445" coordsize="408,2">
              <v:shape style="position:absolute;left:9898;top:1445;width:408;height:2" coordorigin="9898,1445" coordsize="408,0" path="m9898,1445l10306,1445e" filled="false" stroked="true" strokeweight=".48pt" strokecolor="#000000">
                <v:path arrowok="t"/>
              </v:shape>
            </v:group>
            <v:group style="position:absolute;left:10315;top:1445;width:482;height:2" coordorigin="10315,1445" coordsize="482,2">
              <v:shape style="position:absolute;left:10315;top:1445;width:482;height:2" coordorigin="10315,1445" coordsize="482,0" path="m10315,1445l10796,1445e" filled="false" stroked="true" strokeweight=".48pt" strokecolor="#000000">
                <v:path arrowok="t"/>
              </v:shape>
            </v:group>
            <v:group style="position:absolute;left:3552;top:2748;width:232;height:469" coordorigin="3552,2748" coordsize="232,469">
              <v:shape style="position:absolute;left:3552;top:2748;width:232;height:469" coordorigin="3552,2748" coordsize="232,469" path="m3552,3216l3784,3216,3784,2748,3552,2748,3552,3216xe" filled="true" fillcolor="#ffffff" stroked="false">
                <v:path arrowok="t"/>
                <v:fill type="solid"/>
              </v:shape>
            </v:group>
            <v:group style="position:absolute;left:3564;top:3216;width:2;height:705" coordorigin="3564,3216" coordsize="2,705">
              <v:shape style="position:absolute;left:3564;top:3216;width:2;height:705" coordorigin="3564,3216" coordsize="0,705" path="m3564,3216l3564,3921e" filled="false" stroked="true" strokeweight="1.140pt" strokecolor="#ffffff">
                <v:path arrowok="t"/>
              </v:shape>
            </v:group>
            <v:group style="position:absolute;left:3552;top:3921;width:232;height:468" coordorigin="3552,3921" coordsize="232,468">
              <v:shape style="position:absolute;left:3552;top:3921;width:232;height:468" coordorigin="3552,3921" coordsize="232,468" path="m3552,4389l3784,4389,3784,3921,3552,3921,3552,4389xe" filled="true" fillcolor="#ffffff" stroked="false">
                <v:path arrowok="t"/>
                <v:fill type="solid"/>
              </v:shape>
            </v:group>
            <v:group style="position:absolute;left:3575;top:3216;width:186;height:352" coordorigin="3575,3216" coordsize="186,352">
              <v:shape style="position:absolute;left:3575;top:3216;width:186;height:352" coordorigin="3575,3216" coordsize="186,352" path="m3575,3568l3761,3568,3761,3216,3575,3216,3575,3568xe" filled="true" fillcolor="#ffffff" stroked="false">
                <v:path arrowok="t"/>
                <v:fill type="solid"/>
              </v:shape>
            </v:group>
            <v:group style="position:absolute;left:3575;top:3568;width:186;height:353" coordorigin="3575,3568" coordsize="186,353">
              <v:shape style="position:absolute;left:3575;top:3568;width:186;height:353" coordorigin="3575,3568" coordsize="186,353" path="m3575,3921l3761,3921,3761,3568,3575,3568,3575,3921xe" filled="true" fillcolor="#ffffff" stroked="false">
                <v:path arrowok="t"/>
                <v:fill type="solid"/>
              </v:shape>
            </v:group>
            <v:group style="position:absolute;left:1111;top:2743;width:895;height:2" coordorigin="1111,2743" coordsize="895,2">
              <v:shape style="position:absolute;left:1111;top:2743;width:895;height:2" coordorigin="1111,2743" coordsize="895,0" path="m1111,2743l2006,2743e" filled="false" stroked="true" strokeweight=".48pt" strokecolor="#000000">
                <v:path arrowok="t"/>
              </v:shape>
            </v:group>
            <v:group style="position:absolute;left:2015;top:2743;width:1528;height:2" coordorigin="2015,2743" coordsize="1528,2">
              <v:shape style="position:absolute;left:2015;top:2743;width:1528;height:2" coordorigin="2015,2743" coordsize="1528,0" path="m2015,2743l3543,2743e" filled="false" stroked="true" strokeweight=".48pt" strokecolor="#000000">
                <v:path arrowok="t"/>
              </v:shape>
            </v:group>
            <v:group style="position:absolute;left:3552;top:2743;width:233;height:2" coordorigin="3552,2743" coordsize="233,2">
              <v:shape style="position:absolute;left:3552;top:2743;width:233;height:2" coordorigin="3552,2743" coordsize="233,0" path="m3552,2743l3785,2743e" filled="false" stroked="true" strokeweight=".48pt" strokecolor="#000000">
                <v:path arrowok="t"/>
              </v:shape>
            </v:group>
            <v:group style="position:absolute;left:3795;top:2743;width:1023;height:2" coordorigin="3795,2743" coordsize="1023,2">
              <v:shape style="position:absolute;left:3795;top:2743;width:1023;height:2" coordorigin="3795,2743" coordsize="1023,0" path="m3795,2743l4817,2743e" filled="false" stroked="true" strokeweight=".48pt" strokecolor="#000000">
                <v:path arrowok="t"/>
              </v:shape>
            </v:group>
            <v:group style="position:absolute;left:4827;top:2743;width:702;height:2" coordorigin="4827,2743" coordsize="702,2">
              <v:shape style="position:absolute;left:4827;top:2743;width:702;height:2" coordorigin="4827,2743" coordsize="702,0" path="m4827,2743l5528,2743e" filled="false" stroked="true" strokeweight=".48pt" strokecolor="#000000">
                <v:path arrowok="t"/>
              </v:shape>
            </v:group>
            <v:group style="position:absolute;left:5538;top:2743;width:557;height:2" coordorigin="5538,2743" coordsize="557,2">
              <v:shape style="position:absolute;left:5538;top:2743;width:557;height:2" coordorigin="5538,2743" coordsize="557,0" path="m5538,2743l6094,2743e" filled="false" stroked="true" strokeweight=".48pt" strokecolor="#000000">
                <v:path arrowok="t"/>
              </v:shape>
            </v:group>
            <v:group style="position:absolute;left:6104;top:2743;width:839;height:2" coordorigin="6104,2743" coordsize="839,2">
              <v:shape style="position:absolute;left:6104;top:2743;width:839;height:2" coordorigin="6104,2743" coordsize="839,0" path="m6104,2743l6943,2743e" filled="false" stroked="true" strokeweight=".48pt" strokecolor="#000000">
                <v:path arrowok="t"/>
              </v:shape>
            </v:group>
            <v:group style="position:absolute;left:6952;top:2743;width:274;height:2" coordorigin="6952,2743" coordsize="274,2">
              <v:shape style="position:absolute;left:6952;top:2743;width:274;height:2" coordorigin="6952,2743" coordsize="274,0" path="m6952,2743l7226,2743e" filled="false" stroked="true" strokeweight=".48pt" strokecolor="#000000">
                <v:path arrowok="t"/>
              </v:shape>
            </v:group>
            <v:group style="position:absolute;left:7236;top:2743;width:558;height:2" coordorigin="7236,2743" coordsize="558,2">
              <v:shape style="position:absolute;left:7236;top:2743;width:558;height:2" coordorigin="7236,2743" coordsize="558,0" path="m7236,2743l7794,2743e" filled="false" stroked="true" strokeweight=".48pt" strokecolor="#000000">
                <v:path arrowok="t"/>
              </v:shape>
            </v:group>
            <v:group style="position:absolute;left:7803;top:2743;width:273;height:2" coordorigin="7803,2743" coordsize="273,2">
              <v:shape style="position:absolute;left:7803;top:2743;width:273;height:2" coordorigin="7803,2743" coordsize="273,0" path="m7803,2743l8076,2743e" filled="false" stroked="true" strokeweight=".48pt" strokecolor="#000000">
                <v:path arrowok="t"/>
              </v:shape>
            </v:group>
            <v:group style="position:absolute;left:8085;top:2743;width:408;height:2" coordorigin="8085,2743" coordsize="408,2">
              <v:shape style="position:absolute;left:8085;top:2743;width:408;height:2" coordorigin="8085,2743" coordsize="408,0" path="m8085,2743l8492,2743e" filled="false" stroked="true" strokeweight=".48pt" strokecolor="#000000">
                <v:path arrowok="t"/>
              </v:shape>
            </v:group>
            <v:group style="position:absolute;left:8502;top:2743;width:1137;height:2" coordorigin="8502,2743" coordsize="1137,2">
              <v:shape style="position:absolute;left:8502;top:2743;width:1137;height:2" coordorigin="8502,2743" coordsize="1137,0" path="m8502,2743l9638,2743e" filled="false" stroked="true" strokeweight=".48pt" strokecolor="#000000">
                <v:path arrowok="t"/>
              </v:shape>
            </v:group>
            <v:group style="position:absolute;left:9648;top:2743;width:240;height:2" coordorigin="9648,2743" coordsize="240,2">
              <v:shape style="position:absolute;left:9648;top:2743;width:240;height:2" coordorigin="9648,2743" coordsize="240,0" path="m9648,2743l9888,2743e" filled="false" stroked="true" strokeweight=".48pt" strokecolor="#000000">
                <v:path arrowok="t"/>
              </v:shape>
            </v:group>
            <v:group style="position:absolute;left:9898;top:2743;width:408;height:2" coordorigin="9898,2743" coordsize="408,2">
              <v:shape style="position:absolute;left:9898;top:2743;width:408;height:2" coordorigin="9898,2743" coordsize="408,0" path="m9898,2743l10306,2743e" filled="false" stroked="true" strokeweight=".48pt" strokecolor="#000000">
                <v:path arrowok="t"/>
              </v:shape>
            </v:group>
            <v:group style="position:absolute;left:10315;top:2743;width:482;height:2" coordorigin="10315,2743" coordsize="482,2">
              <v:shape style="position:absolute;left:10315;top:2743;width:482;height:2" coordorigin="10315,2743" coordsize="482,0" path="m10315,2743l10796,2743e" filled="false" stroked="true" strokeweight=".48pt" strokecolor="#000000">
                <v:path arrowok="t"/>
              </v:shape>
            </v:group>
            <v:group style="position:absolute;left:3552;top:4398;width:232;height:468" coordorigin="3552,4398" coordsize="232,468">
              <v:shape style="position:absolute;left:3552;top:4398;width:232;height:468" coordorigin="3552,4398" coordsize="232,468" path="m3552,4866l3784,4866,3784,4398,3552,4398,3552,4866xe" filled="true" fillcolor="#ffffff" stroked="false">
                <v:path arrowok="t"/>
                <v:fill type="solid"/>
              </v:shape>
            </v:group>
            <v:group style="position:absolute;left:3564;top:4866;width:2;height:705" coordorigin="3564,4866" coordsize="2,705">
              <v:shape style="position:absolute;left:3564;top:4866;width:2;height:705" coordorigin="3564,4866" coordsize="0,705" path="m3564,4866l3564,5571e" filled="false" stroked="true" strokeweight="1.140pt" strokecolor="#ffffff">
                <v:path arrowok="t"/>
              </v:shape>
            </v:group>
            <v:group style="position:absolute;left:3552;top:5571;width:232;height:468" coordorigin="3552,5571" coordsize="232,468">
              <v:shape style="position:absolute;left:3552;top:5571;width:232;height:468" coordorigin="3552,5571" coordsize="232,468" path="m3552,6039l3784,6039,3784,5571,3552,5571,3552,6039xe" filled="true" fillcolor="#ffffff" stroked="false">
                <v:path arrowok="t"/>
                <v:fill type="solid"/>
              </v:shape>
            </v:group>
            <v:group style="position:absolute;left:3575;top:4866;width:186;height:352" coordorigin="3575,4866" coordsize="186,352">
              <v:shape style="position:absolute;left:3575;top:4866;width:186;height:352" coordorigin="3575,4866" coordsize="186,352" path="m3575,5218l3761,5218,3761,4866,3575,4866,3575,5218xe" filled="true" fillcolor="#ffffff" stroked="false">
                <v:path arrowok="t"/>
                <v:fill type="solid"/>
              </v:shape>
            </v:group>
            <v:group style="position:absolute;left:3575;top:5218;width:186;height:353" coordorigin="3575,5218" coordsize="186,353">
              <v:shape style="position:absolute;left:3575;top:5218;width:186;height:353" coordorigin="3575,5218" coordsize="186,353" path="m3575,5571l3761,5571,3761,5218,3575,5218,3575,5571xe" filled="true" fillcolor="#ffffff" stroked="false">
                <v:path arrowok="t"/>
                <v:fill type="solid"/>
              </v:shape>
            </v:group>
            <v:group style="position:absolute;left:1111;top:4394;width:895;height:2" coordorigin="1111,4394" coordsize="895,2">
              <v:shape style="position:absolute;left:1111;top:4394;width:895;height:2" coordorigin="1111,4394" coordsize="895,0" path="m1111,4394l2006,4394e" filled="false" stroked="true" strokeweight=".48pt" strokecolor="#000000">
                <v:path arrowok="t"/>
              </v:shape>
            </v:group>
            <v:group style="position:absolute;left:2015;top:4394;width:1528;height:2" coordorigin="2015,4394" coordsize="1528,2">
              <v:shape style="position:absolute;left:2015;top:4394;width:1528;height:2" coordorigin="2015,4394" coordsize="1528,0" path="m2015,4394l3543,4394e" filled="false" stroked="true" strokeweight=".48pt" strokecolor="#000000">
                <v:path arrowok="t"/>
              </v:shape>
            </v:group>
            <v:group style="position:absolute;left:3552;top:4394;width:233;height:2" coordorigin="3552,4394" coordsize="233,2">
              <v:shape style="position:absolute;left:3552;top:4394;width:233;height:2" coordorigin="3552,4394" coordsize="233,0" path="m3552,4394l3785,4394e" filled="false" stroked="true" strokeweight=".48pt" strokecolor="#000000">
                <v:path arrowok="t"/>
              </v:shape>
            </v:group>
            <v:group style="position:absolute;left:3795;top:4394;width:1023;height:2" coordorigin="3795,4394" coordsize="1023,2">
              <v:shape style="position:absolute;left:3795;top:4394;width:1023;height:2" coordorigin="3795,4394" coordsize="1023,0" path="m3795,4394l4817,4394e" filled="false" stroked="true" strokeweight=".48pt" strokecolor="#000000">
                <v:path arrowok="t"/>
              </v:shape>
            </v:group>
            <v:group style="position:absolute;left:4827;top:4394;width:702;height:2" coordorigin="4827,4394" coordsize="702,2">
              <v:shape style="position:absolute;left:4827;top:4394;width:702;height:2" coordorigin="4827,4394" coordsize="702,0" path="m4827,4394l5528,4394e" filled="false" stroked="true" strokeweight=".48pt" strokecolor="#000000">
                <v:path arrowok="t"/>
              </v:shape>
            </v:group>
            <v:group style="position:absolute;left:5538;top:4394;width:557;height:2" coordorigin="5538,4394" coordsize="557,2">
              <v:shape style="position:absolute;left:5538;top:4394;width:557;height:2" coordorigin="5538,4394" coordsize="557,0" path="m5538,4394l6094,4394e" filled="false" stroked="true" strokeweight=".48pt" strokecolor="#000000">
                <v:path arrowok="t"/>
              </v:shape>
            </v:group>
            <v:group style="position:absolute;left:6104;top:4394;width:839;height:2" coordorigin="6104,4394" coordsize="839,2">
              <v:shape style="position:absolute;left:6104;top:4394;width:839;height:2" coordorigin="6104,4394" coordsize="839,0" path="m6104,4394l6943,4394e" filled="false" stroked="true" strokeweight=".48pt" strokecolor="#000000">
                <v:path arrowok="t"/>
              </v:shape>
            </v:group>
            <v:group style="position:absolute;left:6952;top:4394;width:274;height:2" coordorigin="6952,4394" coordsize="274,2">
              <v:shape style="position:absolute;left:6952;top:4394;width:274;height:2" coordorigin="6952,4394" coordsize="274,0" path="m6952,4394l7226,4394e" filled="false" stroked="true" strokeweight=".48pt" strokecolor="#000000">
                <v:path arrowok="t"/>
              </v:shape>
            </v:group>
            <v:group style="position:absolute;left:7236;top:4394;width:558;height:2" coordorigin="7236,4394" coordsize="558,2">
              <v:shape style="position:absolute;left:7236;top:4394;width:558;height:2" coordorigin="7236,4394" coordsize="558,0" path="m7236,4394l7794,4394e" filled="false" stroked="true" strokeweight=".48pt" strokecolor="#000000">
                <v:path arrowok="t"/>
              </v:shape>
            </v:group>
            <v:group style="position:absolute;left:7803;top:4394;width:273;height:2" coordorigin="7803,4394" coordsize="273,2">
              <v:shape style="position:absolute;left:7803;top:4394;width:273;height:2" coordorigin="7803,4394" coordsize="273,0" path="m7803,4394l8076,4394e" filled="false" stroked="true" strokeweight=".48pt" strokecolor="#000000">
                <v:path arrowok="t"/>
              </v:shape>
            </v:group>
            <v:group style="position:absolute;left:8085;top:4394;width:408;height:2" coordorigin="8085,4394" coordsize="408,2">
              <v:shape style="position:absolute;left:8085;top:4394;width:408;height:2" coordorigin="8085,4394" coordsize="408,0" path="m8085,4394l8492,4394e" filled="false" stroked="true" strokeweight=".48pt" strokecolor="#000000">
                <v:path arrowok="t"/>
              </v:shape>
            </v:group>
            <v:group style="position:absolute;left:8502;top:4394;width:1137;height:2" coordorigin="8502,4394" coordsize="1137,2">
              <v:shape style="position:absolute;left:8502;top:4394;width:1137;height:2" coordorigin="8502,4394" coordsize="1137,0" path="m8502,4394l9638,4394e" filled="false" stroked="true" strokeweight=".48pt" strokecolor="#000000">
                <v:path arrowok="t"/>
              </v:shape>
            </v:group>
            <v:group style="position:absolute;left:9648;top:4394;width:240;height:2" coordorigin="9648,4394" coordsize="240,2">
              <v:shape style="position:absolute;left:9648;top:4394;width:240;height:2" coordorigin="9648,4394" coordsize="240,0" path="m9648,4394l9888,4394e" filled="false" stroked="true" strokeweight=".48pt" strokecolor="#000000">
                <v:path arrowok="t"/>
              </v:shape>
            </v:group>
            <v:group style="position:absolute;left:9898;top:4394;width:408;height:2" coordorigin="9898,4394" coordsize="408,2">
              <v:shape style="position:absolute;left:9898;top:4394;width:408;height:2" coordorigin="9898,4394" coordsize="408,0" path="m9898,4394l10306,4394e" filled="false" stroked="true" strokeweight=".48pt" strokecolor="#000000">
                <v:path arrowok="t"/>
              </v:shape>
            </v:group>
            <v:group style="position:absolute;left:10315;top:4394;width:482;height:2" coordorigin="10315,4394" coordsize="482,2">
              <v:shape style="position:absolute;left:10315;top:4394;width:482;height:2" coordorigin="10315,4394" coordsize="482,0" path="m10315,4394l10796,4394e" filled="false" stroked="true" strokeweight=".48pt" strokecolor="#000000">
                <v:path arrowok="t"/>
              </v:shape>
            </v:group>
            <v:group style="position:absolute;left:3552;top:6048;width:232;height:468" coordorigin="3552,6048" coordsize="232,468">
              <v:shape style="position:absolute;left:3552;top:6048;width:232;height:468" coordorigin="3552,6048" coordsize="232,468" path="m3552,6516l3784,6516,3784,6048,3552,6048,3552,6516xe" filled="true" fillcolor="#ffffff" stroked="false">
                <v:path arrowok="t"/>
                <v:fill type="solid"/>
              </v:shape>
            </v:group>
            <v:group style="position:absolute;left:3564;top:6516;width:2;height:705" coordorigin="3564,6516" coordsize="2,705">
              <v:shape style="position:absolute;left:3564;top:6516;width:2;height:705" coordorigin="3564,6516" coordsize="0,705" path="m3564,6516l3564,7221e" filled="false" stroked="true" strokeweight="1.140pt" strokecolor="#ffffff">
                <v:path arrowok="t"/>
              </v:shape>
            </v:group>
            <v:group style="position:absolute;left:3552;top:7221;width:232;height:468" coordorigin="3552,7221" coordsize="232,468">
              <v:shape style="position:absolute;left:3552;top:7221;width:232;height:468" coordorigin="3552,7221" coordsize="232,468" path="m3552,7689l3784,7689,3784,7221,3552,7221,3552,7689xe" filled="true" fillcolor="#ffffff" stroked="false">
                <v:path arrowok="t"/>
                <v:fill type="solid"/>
              </v:shape>
            </v:group>
            <v:group style="position:absolute;left:3575;top:6516;width:186;height:352" coordorigin="3575,6516" coordsize="186,352">
              <v:shape style="position:absolute;left:3575;top:6516;width:186;height:352" coordorigin="3575,6516" coordsize="186,352" path="m3575,6868l3761,6868,3761,6516,3575,6516,3575,6868xe" filled="true" fillcolor="#ffffff" stroked="false">
                <v:path arrowok="t"/>
                <v:fill type="solid"/>
              </v:shape>
            </v:group>
            <v:group style="position:absolute;left:3575;top:6868;width:186;height:353" coordorigin="3575,6868" coordsize="186,353">
              <v:shape style="position:absolute;left:3575;top:6868;width:186;height:353" coordorigin="3575,6868" coordsize="186,353" path="m3575,7221l3761,7221,3761,6868,3575,6868,3575,7221xe" filled="true" fillcolor="#ffffff" stroked="false">
                <v:path arrowok="t"/>
                <v:fill type="solid"/>
              </v:shape>
            </v:group>
            <v:group style="position:absolute;left:1111;top:6044;width:895;height:2" coordorigin="1111,6044" coordsize="895,2">
              <v:shape style="position:absolute;left:1111;top:6044;width:895;height:2" coordorigin="1111,6044" coordsize="895,0" path="m1111,6044l2006,6044e" filled="false" stroked="true" strokeweight=".48pt" strokecolor="#000000">
                <v:path arrowok="t"/>
              </v:shape>
            </v:group>
            <v:group style="position:absolute;left:2015;top:6044;width:1528;height:2" coordorigin="2015,6044" coordsize="1528,2">
              <v:shape style="position:absolute;left:2015;top:6044;width:1528;height:2" coordorigin="2015,6044" coordsize="1528,0" path="m2015,6044l3543,6044e" filled="false" stroked="true" strokeweight=".48pt" strokecolor="#000000">
                <v:path arrowok="t"/>
              </v:shape>
            </v:group>
            <v:group style="position:absolute;left:3552;top:6044;width:233;height:2" coordorigin="3552,6044" coordsize="233,2">
              <v:shape style="position:absolute;left:3552;top:6044;width:233;height:2" coordorigin="3552,6044" coordsize="233,0" path="m3552,6044l3785,6044e" filled="false" stroked="true" strokeweight=".48pt" strokecolor="#000000">
                <v:path arrowok="t"/>
              </v:shape>
            </v:group>
            <v:group style="position:absolute;left:3795;top:6044;width:1023;height:2" coordorigin="3795,6044" coordsize="1023,2">
              <v:shape style="position:absolute;left:3795;top:6044;width:1023;height:2" coordorigin="3795,6044" coordsize="1023,0" path="m3795,6044l4817,6044e" filled="false" stroked="true" strokeweight=".48pt" strokecolor="#000000">
                <v:path arrowok="t"/>
              </v:shape>
            </v:group>
            <v:group style="position:absolute;left:4827;top:6044;width:702;height:2" coordorigin="4827,6044" coordsize="702,2">
              <v:shape style="position:absolute;left:4827;top:6044;width:702;height:2" coordorigin="4827,6044" coordsize="702,0" path="m4827,6044l5528,6044e" filled="false" stroked="true" strokeweight=".48pt" strokecolor="#000000">
                <v:path arrowok="t"/>
              </v:shape>
            </v:group>
            <v:group style="position:absolute;left:5538;top:6044;width:557;height:2" coordorigin="5538,6044" coordsize="557,2">
              <v:shape style="position:absolute;left:5538;top:6044;width:557;height:2" coordorigin="5538,6044" coordsize="557,0" path="m5538,6044l6094,6044e" filled="false" stroked="true" strokeweight=".48pt" strokecolor="#000000">
                <v:path arrowok="t"/>
              </v:shape>
            </v:group>
            <v:group style="position:absolute;left:6104;top:6044;width:839;height:2" coordorigin="6104,6044" coordsize="839,2">
              <v:shape style="position:absolute;left:6104;top:6044;width:839;height:2" coordorigin="6104,6044" coordsize="839,0" path="m6104,6044l6943,6044e" filled="false" stroked="true" strokeweight=".48pt" strokecolor="#000000">
                <v:path arrowok="t"/>
              </v:shape>
            </v:group>
            <v:group style="position:absolute;left:6952;top:6044;width:274;height:2" coordorigin="6952,6044" coordsize="274,2">
              <v:shape style="position:absolute;left:6952;top:6044;width:274;height:2" coordorigin="6952,6044" coordsize="274,0" path="m6952,6044l7226,6044e" filled="false" stroked="true" strokeweight=".48pt" strokecolor="#000000">
                <v:path arrowok="t"/>
              </v:shape>
            </v:group>
            <v:group style="position:absolute;left:7236;top:6044;width:558;height:2" coordorigin="7236,6044" coordsize="558,2">
              <v:shape style="position:absolute;left:7236;top:6044;width:558;height:2" coordorigin="7236,6044" coordsize="558,0" path="m7236,6044l7794,6044e" filled="false" stroked="true" strokeweight=".48pt" strokecolor="#000000">
                <v:path arrowok="t"/>
              </v:shape>
            </v:group>
            <v:group style="position:absolute;left:7803;top:6044;width:273;height:2" coordorigin="7803,6044" coordsize="273,2">
              <v:shape style="position:absolute;left:7803;top:6044;width:273;height:2" coordorigin="7803,6044" coordsize="273,0" path="m7803,6044l8076,6044e" filled="false" stroked="true" strokeweight=".48pt" strokecolor="#000000">
                <v:path arrowok="t"/>
              </v:shape>
            </v:group>
            <v:group style="position:absolute;left:8085;top:6044;width:408;height:2" coordorigin="8085,6044" coordsize="408,2">
              <v:shape style="position:absolute;left:8085;top:6044;width:408;height:2" coordorigin="8085,6044" coordsize="408,0" path="m8085,6044l8492,6044e" filled="false" stroked="true" strokeweight=".48pt" strokecolor="#000000">
                <v:path arrowok="t"/>
              </v:shape>
            </v:group>
            <v:group style="position:absolute;left:8502;top:6044;width:1137;height:2" coordorigin="8502,6044" coordsize="1137,2">
              <v:shape style="position:absolute;left:8502;top:6044;width:1137;height:2" coordorigin="8502,6044" coordsize="1137,0" path="m8502,6044l9638,6044e" filled="false" stroked="true" strokeweight=".48pt" strokecolor="#000000">
                <v:path arrowok="t"/>
              </v:shape>
            </v:group>
            <v:group style="position:absolute;left:9648;top:6044;width:240;height:2" coordorigin="9648,6044" coordsize="240,2">
              <v:shape style="position:absolute;left:9648;top:6044;width:240;height:2" coordorigin="9648,6044" coordsize="240,0" path="m9648,6044l9888,6044e" filled="false" stroked="true" strokeweight=".48pt" strokecolor="#000000">
                <v:path arrowok="t"/>
              </v:shape>
            </v:group>
            <v:group style="position:absolute;left:9898;top:6044;width:408;height:2" coordorigin="9898,6044" coordsize="408,2">
              <v:shape style="position:absolute;left:9898;top:6044;width:408;height:2" coordorigin="9898,6044" coordsize="408,0" path="m9898,6044l10306,6044e" filled="false" stroked="true" strokeweight=".48pt" strokecolor="#000000">
                <v:path arrowok="t"/>
              </v:shape>
            </v:group>
            <v:group style="position:absolute;left:10315;top:6044;width:482;height:2" coordorigin="10315,6044" coordsize="482,2">
              <v:shape style="position:absolute;left:10315;top:6044;width:482;height:2" coordorigin="10315,6044" coordsize="482,0" path="m10315,6044l10796,6044e" filled="false" stroked="true" strokeweight=".48pt" strokecolor="#000000">
                <v:path arrowok="t"/>
              </v:shape>
            </v:group>
            <v:group style="position:absolute;left:3552;top:7698;width:232;height:468" coordorigin="3552,7698" coordsize="232,468">
              <v:shape style="position:absolute;left:3552;top:7698;width:232;height:468" coordorigin="3552,7698" coordsize="232,468" path="m3552,8166l3784,8166,3784,7698,3552,7698,3552,8166xe" filled="true" fillcolor="#ffffff" stroked="false">
                <v:path arrowok="t"/>
                <v:fill type="solid"/>
              </v:shape>
            </v:group>
            <v:group style="position:absolute;left:3564;top:8166;width:2;height:705" coordorigin="3564,8166" coordsize="2,705">
              <v:shape style="position:absolute;left:3564;top:8166;width:2;height:705" coordorigin="3564,8166" coordsize="0,705" path="m3564,8166l3564,8871e" filled="false" stroked="true" strokeweight="1.140pt" strokecolor="#ffffff">
                <v:path arrowok="t"/>
              </v:shape>
            </v:group>
            <v:group style="position:absolute;left:3552;top:8871;width:232;height:468" coordorigin="3552,8871" coordsize="232,468">
              <v:shape style="position:absolute;left:3552;top:8871;width:232;height:468" coordorigin="3552,8871" coordsize="232,468" path="m3552,9339l3784,9339,3784,8871,3552,8871,3552,9339xe" filled="true" fillcolor="#ffffff" stroked="false">
                <v:path arrowok="t"/>
                <v:fill type="solid"/>
              </v:shape>
            </v:group>
            <v:group style="position:absolute;left:3575;top:8166;width:186;height:352" coordorigin="3575,8166" coordsize="186,352">
              <v:shape style="position:absolute;left:3575;top:8166;width:186;height:352" coordorigin="3575,8166" coordsize="186,352" path="m3575,8518l3761,8518,3761,8166,3575,8166,3575,8518xe" filled="true" fillcolor="#ffffff" stroked="false">
                <v:path arrowok="t"/>
                <v:fill type="solid"/>
              </v:shape>
            </v:group>
            <v:group style="position:absolute;left:3575;top:8518;width:186;height:353" coordorigin="3575,8518" coordsize="186,353">
              <v:shape style="position:absolute;left:3575;top:8518;width:186;height:353" coordorigin="3575,8518" coordsize="186,353" path="m3575,8871l3761,8871,3761,8518,3575,8518,3575,8871xe" filled="true" fillcolor="#ffffff" stroked="false">
                <v:path arrowok="t"/>
                <v:fill type="solid"/>
              </v:shape>
            </v:group>
            <v:group style="position:absolute;left:1111;top:7694;width:895;height:2" coordorigin="1111,7694" coordsize="895,2">
              <v:shape style="position:absolute;left:1111;top:7694;width:895;height:2" coordorigin="1111,7694" coordsize="895,0" path="m1111,7694l2006,7694e" filled="false" stroked="true" strokeweight=".48pt" strokecolor="#000000">
                <v:path arrowok="t"/>
              </v:shape>
            </v:group>
            <v:group style="position:absolute;left:2015;top:7694;width:1528;height:2" coordorigin="2015,7694" coordsize="1528,2">
              <v:shape style="position:absolute;left:2015;top:7694;width:1528;height:2" coordorigin="2015,7694" coordsize="1528,0" path="m2015,7694l3543,7694e" filled="false" stroked="true" strokeweight=".48pt" strokecolor="#000000">
                <v:path arrowok="t"/>
              </v:shape>
            </v:group>
            <v:group style="position:absolute;left:3552;top:7694;width:233;height:2" coordorigin="3552,7694" coordsize="233,2">
              <v:shape style="position:absolute;left:3552;top:7694;width:233;height:2" coordorigin="3552,7694" coordsize="233,0" path="m3552,7694l3785,7694e" filled="false" stroked="true" strokeweight=".48pt" strokecolor="#000000">
                <v:path arrowok="t"/>
              </v:shape>
            </v:group>
            <v:group style="position:absolute;left:3795;top:7694;width:1023;height:2" coordorigin="3795,7694" coordsize="1023,2">
              <v:shape style="position:absolute;left:3795;top:7694;width:1023;height:2" coordorigin="3795,7694" coordsize="1023,0" path="m3795,7694l4817,7694e" filled="false" stroked="true" strokeweight=".48pt" strokecolor="#000000">
                <v:path arrowok="t"/>
              </v:shape>
            </v:group>
            <v:group style="position:absolute;left:4827;top:7694;width:702;height:2" coordorigin="4827,7694" coordsize="702,2">
              <v:shape style="position:absolute;left:4827;top:7694;width:702;height:2" coordorigin="4827,7694" coordsize="702,0" path="m4827,7694l5528,7694e" filled="false" stroked="true" strokeweight=".48pt" strokecolor="#000000">
                <v:path arrowok="t"/>
              </v:shape>
            </v:group>
            <v:group style="position:absolute;left:5538;top:7694;width:557;height:2" coordorigin="5538,7694" coordsize="557,2">
              <v:shape style="position:absolute;left:5538;top:7694;width:557;height:2" coordorigin="5538,7694" coordsize="557,0" path="m5538,7694l6094,7694e" filled="false" stroked="true" strokeweight=".48pt" strokecolor="#000000">
                <v:path arrowok="t"/>
              </v:shape>
            </v:group>
            <v:group style="position:absolute;left:6104;top:7694;width:839;height:2" coordorigin="6104,7694" coordsize="839,2">
              <v:shape style="position:absolute;left:6104;top:7694;width:839;height:2" coordorigin="6104,7694" coordsize="839,0" path="m6104,7694l6943,7694e" filled="false" stroked="true" strokeweight=".48pt" strokecolor="#000000">
                <v:path arrowok="t"/>
              </v:shape>
            </v:group>
            <v:group style="position:absolute;left:6952;top:7694;width:274;height:2" coordorigin="6952,7694" coordsize="274,2">
              <v:shape style="position:absolute;left:6952;top:7694;width:274;height:2" coordorigin="6952,7694" coordsize="274,0" path="m6952,7694l7226,7694e" filled="false" stroked="true" strokeweight=".48pt" strokecolor="#000000">
                <v:path arrowok="t"/>
              </v:shape>
            </v:group>
            <v:group style="position:absolute;left:7236;top:7694;width:558;height:2" coordorigin="7236,7694" coordsize="558,2">
              <v:shape style="position:absolute;left:7236;top:7694;width:558;height:2" coordorigin="7236,7694" coordsize="558,0" path="m7236,7694l7794,7694e" filled="false" stroked="true" strokeweight=".48pt" strokecolor="#000000">
                <v:path arrowok="t"/>
              </v:shape>
            </v:group>
            <v:group style="position:absolute;left:7803;top:7694;width:273;height:2" coordorigin="7803,7694" coordsize="273,2">
              <v:shape style="position:absolute;left:7803;top:7694;width:273;height:2" coordorigin="7803,7694" coordsize="273,0" path="m7803,7694l8076,7694e" filled="false" stroked="true" strokeweight=".48pt" strokecolor="#000000">
                <v:path arrowok="t"/>
              </v:shape>
            </v:group>
            <v:group style="position:absolute;left:8085;top:7694;width:408;height:2" coordorigin="8085,7694" coordsize="408,2">
              <v:shape style="position:absolute;left:8085;top:7694;width:408;height:2" coordorigin="8085,7694" coordsize="408,0" path="m8085,7694l8492,7694e" filled="false" stroked="true" strokeweight=".48pt" strokecolor="#000000">
                <v:path arrowok="t"/>
              </v:shape>
            </v:group>
            <v:group style="position:absolute;left:8502;top:7694;width:1137;height:2" coordorigin="8502,7694" coordsize="1137,2">
              <v:shape style="position:absolute;left:8502;top:7694;width:1137;height:2" coordorigin="8502,7694" coordsize="1137,0" path="m8502,7694l9638,7694e" filled="false" stroked="true" strokeweight=".48pt" strokecolor="#000000">
                <v:path arrowok="t"/>
              </v:shape>
            </v:group>
            <v:group style="position:absolute;left:9648;top:7694;width:240;height:2" coordorigin="9648,7694" coordsize="240,2">
              <v:shape style="position:absolute;left:9648;top:7694;width:240;height:2" coordorigin="9648,7694" coordsize="240,0" path="m9648,7694l9888,7694e" filled="false" stroked="true" strokeweight=".48pt" strokecolor="#000000">
                <v:path arrowok="t"/>
              </v:shape>
            </v:group>
            <v:group style="position:absolute;left:9898;top:7694;width:408;height:2" coordorigin="9898,7694" coordsize="408,2">
              <v:shape style="position:absolute;left:9898;top:7694;width:408;height:2" coordorigin="9898,7694" coordsize="408,0" path="m9898,7694l10306,7694e" filled="false" stroked="true" strokeweight=".48pt" strokecolor="#000000">
                <v:path arrowok="t"/>
              </v:shape>
            </v:group>
            <v:group style="position:absolute;left:10315;top:7694;width:482;height:2" coordorigin="10315,7694" coordsize="482,2">
              <v:shape style="position:absolute;left:10315;top:7694;width:482;height:2" coordorigin="10315,7694" coordsize="482,0" path="m10315,7694l10796,7694e" filled="false" stroked="true" strokeweight=".48pt" strokecolor="#000000">
                <v:path arrowok="t"/>
              </v:shape>
            </v:group>
            <v:group style="position:absolute;left:3552;top:9349;width:232;height:468" coordorigin="3552,9349" coordsize="232,468">
              <v:shape style="position:absolute;left:3552;top:9349;width:232;height:468" coordorigin="3552,9349" coordsize="232,468" path="m3552,9817l3784,9817,3784,9349,3552,9349,3552,9817xe" filled="true" fillcolor="#ffffff" stroked="false">
                <v:path arrowok="t"/>
                <v:fill type="solid"/>
              </v:shape>
            </v:group>
            <v:group style="position:absolute;left:3564;top:9817;width:2;height:705" coordorigin="3564,9817" coordsize="2,705">
              <v:shape style="position:absolute;left:3564;top:9817;width:2;height:705" coordorigin="3564,9817" coordsize="0,705" path="m3564,9817l3564,10521e" filled="false" stroked="true" strokeweight="1.140pt" strokecolor="#ffffff">
                <v:path arrowok="t"/>
              </v:shape>
            </v:group>
            <v:group style="position:absolute;left:3552;top:10521;width:232;height:468" coordorigin="3552,10521" coordsize="232,468">
              <v:shape style="position:absolute;left:3552;top:10521;width:232;height:468" coordorigin="3552,10521" coordsize="232,468" path="m3552,10989l3784,10989,3784,10521,3552,10521,3552,10989xe" filled="true" fillcolor="#ffffff" stroked="false">
                <v:path arrowok="t"/>
                <v:fill type="solid"/>
              </v:shape>
            </v:group>
            <v:group style="position:absolute;left:3575;top:9817;width:186;height:352" coordorigin="3575,9817" coordsize="186,352">
              <v:shape style="position:absolute;left:3575;top:9817;width:186;height:352" coordorigin="3575,9817" coordsize="186,352" path="m3575,10168l3761,10168,3761,9817,3575,9817,3575,10168xe" filled="true" fillcolor="#ffffff" stroked="false">
                <v:path arrowok="t"/>
                <v:fill type="solid"/>
              </v:shape>
            </v:group>
            <v:group style="position:absolute;left:3575;top:10168;width:186;height:353" coordorigin="3575,10168" coordsize="186,353">
              <v:shape style="position:absolute;left:3575;top:10168;width:186;height:353" coordorigin="3575,10168" coordsize="186,353" path="m3575,10521l3761,10521,3761,10168,3575,10168,3575,10521xe" filled="true" fillcolor="#ffffff" stroked="false">
                <v:path arrowok="t"/>
                <v:fill type="solid"/>
              </v:shape>
            </v:group>
            <v:group style="position:absolute;left:1111;top:9344;width:895;height:2" coordorigin="1111,9344" coordsize="895,2">
              <v:shape style="position:absolute;left:1111;top:9344;width:895;height:2" coordorigin="1111,9344" coordsize="895,0" path="m1111,9344l2006,9344e" filled="false" stroked="true" strokeweight=".48pt" strokecolor="#000000">
                <v:path arrowok="t"/>
              </v:shape>
            </v:group>
            <v:group style="position:absolute;left:2015;top:9344;width:1528;height:2" coordorigin="2015,9344" coordsize="1528,2">
              <v:shape style="position:absolute;left:2015;top:9344;width:1528;height:2" coordorigin="2015,9344" coordsize="1528,0" path="m2015,9344l3543,9344e" filled="false" stroked="true" strokeweight=".48pt" strokecolor="#000000">
                <v:path arrowok="t"/>
              </v:shape>
            </v:group>
            <v:group style="position:absolute;left:3552;top:9344;width:233;height:2" coordorigin="3552,9344" coordsize="233,2">
              <v:shape style="position:absolute;left:3552;top:9344;width:233;height:2" coordorigin="3552,9344" coordsize="233,0" path="m3552,9344l3785,9344e" filled="false" stroked="true" strokeweight=".48pt" strokecolor="#000000">
                <v:path arrowok="t"/>
              </v:shape>
            </v:group>
            <v:group style="position:absolute;left:3795;top:9344;width:1023;height:2" coordorigin="3795,9344" coordsize="1023,2">
              <v:shape style="position:absolute;left:3795;top:9344;width:1023;height:2" coordorigin="3795,9344" coordsize="1023,0" path="m3795,9344l4817,9344e" filled="false" stroked="true" strokeweight=".48pt" strokecolor="#000000">
                <v:path arrowok="t"/>
              </v:shape>
            </v:group>
            <v:group style="position:absolute;left:4827;top:9344;width:702;height:2" coordorigin="4827,9344" coordsize="702,2">
              <v:shape style="position:absolute;left:4827;top:9344;width:702;height:2" coordorigin="4827,9344" coordsize="702,0" path="m4827,9344l5528,9344e" filled="false" stroked="true" strokeweight=".48pt" strokecolor="#000000">
                <v:path arrowok="t"/>
              </v:shape>
            </v:group>
            <v:group style="position:absolute;left:5538;top:9344;width:557;height:2" coordorigin="5538,9344" coordsize="557,2">
              <v:shape style="position:absolute;left:5538;top:9344;width:557;height:2" coordorigin="5538,9344" coordsize="557,0" path="m5538,9344l6094,9344e" filled="false" stroked="true" strokeweight=".48pt" strokecolor="#000000">
                <v:path arrowok="t"/>
              </v:shape>
            </v:group>
            <v:group style="position:absolute;left:6104;top:9344;width:839;height:2" coordorigin="6104,9344" coordsize="839,2">
              <v:shape style="position:absolute;left:6104;top:9344;width:839;height:2" coordorigin="6104,9344" coordsize="839,0" path="m6104,9344l6943,9344e" filled="false" stroked="true" strokeweight=".48pt" strokecolor="#000000">
                <v:path arrowok="t"/>
              </v:shape>
            </v:group>
            <v:group style="position:absolute;left:6952;top:9344;width:274;height:2" coordorigin="6952,9344" coordsize="274,2">
              <v:shape style="position:absolute;left:6952;top:9344;width:274;height:2" coordorigin="6952,9344" coordsize="274,0" path="m6952,9344l7226,9344e" filled="false" stroked="true" strokeweight=".48pt" strokecolor="#000000">
                <v:path arrowok="t"/>
              </v:shape>
            </v:group>
            <v:group style="position:absolute;left:7236;top:9344;width:558;height:2" coordorigin="7236,9344" coordsize="558,2">
              <v:shape style="position:absolute;left:7236;top:9344;width:558;height:2" coordorigin="7236,9344" coordsize="558,0" path="m7236,9344l7794,9344e" filled="false" stroked="true" strokeweight=".48pt" strokecolor="#000000">
                <v:path arrowok="t"/>
              </v:shape>
            </v:group>
            <v:group style="position:absolute;left:7803;top:9344;width:273;height:2" coordorigin="7803,9344" coordsize="273,2">
              <v:shape style="position:absolute;left:7803;top:9344;width:273;height:2" coordorigin="7803,9344" coordsize="273,0" path="m7803,9344l8076,9344e" filled="false" stroked="true" strokeweight=".48pt" strokecolor="#000000">
                <v:path arrowok="t"/>
              </v:shape>
            </v:group>
            <v:group style="position:absolute;left:8085;top:9344;width:408;height:2" coordorigin="8085,9344" coordsize="408,2">
              <v:shape style="position:absolute;left:8085;top:9344;width:408;height:2" coordorigin="8085,9344" coordsize="408,0" path="m8085,9344l8492,9344e" filled="false" stroked="true" strokeweight=".48pt" strokecolor="#000000">
                <v:path arrowok="t"/>
              </v:shape>
            </v:group>
            <v:group style="position:absolute;left:8502;top:9344;width:1137;height:2" coordorigin="8502,9344" coordsize="1137,2">
              <v:shape style="position:absolute;left:8502;top:9344;width:1137;height:2" coordorigin="8502,9344" coordsize="1137,0" path="m8502,9344l9638,9344e" filled="false" stroked="true" strokeweight=".48pt" strokecolor="#000000">
                <v:path arrowok="t"/>
              </v:shape>
            </v:group>
            <v:group style="position:absolute;left:9648;top:9344;width:240;height:2" coordorigin="9648,9344" coordsize="240,2">
              <v:shape style="position:absolute;left:9648;top:9344;width:240;height:2" coordorigin="9648,9344" coordsize="240,0" path="m9648,9344l9888,9344e" filled="false" stroked="true" strokeweight=".48pt" strokecolor="#000000">
                <v:path arrowok="t"/>
              </v:shape>
            </v:group>
            <v:group style="position:absolute;left:9898;top:9344;width:408;height:2" coordorigin="9898,9344" coordsize="408,2">
              <v:shape style="position:absolute;left:9898;top:9344;width:408;height:2" coordorigin="9898,9344" coordsize="408,0" path="m9898,9344l10306,9344e" filled="false" stroked="true" strokeweight=".48pt" strokecolor="#000000">
                <v:path arrowok="t"/>
              </v:shape>
            </v:group>
            <v:group style="position:absolute;left:10315;top:9344;width:482;height:2" coordorigin="10315,9344" coordsize="482,2">
              <v:shape style="position:absolute;left:10315;top:9344;width:482;height:2" coordorigin="10315,9344" coordsize="482,0" path="m10315,9344l10796,9344e" filled="false" stroked="true" strokeweight=".48pt" strokecolor="#000000">
                <v:path arrowok="t"/>
              </v:shape>
            </v:group>
            <v:group style="position:absolute;left:3552;top:10999;width:232;height:468" coordorigin="3552,10999" coordsize="232,468">
              <v:shape style="position:absolute;left:3552;top:10999;width:232;height:468" coordorigin="3552,10999" coordsize="232,468" path="m3552,11467l3784,11467,3784,10999,3552,10999,3552,11467xe" filled="true" fillcolor="#ffffff" stroked="false">
                <v:path arrowok="t"/>
                <v:fill type="solid"/>
              </v:shape>
            </v:group>
            <v:group style="position:absolute;left:3564;top:11467;width:2;height:705" coordorigin="3564,11467" coordsize="2,705">
              <v:shape style="position:absolute;left:3564;top:11467;width:2;height:705" coordorigin="3564,11467" coordsize="0,705" path="m3564,11467l3564,12171e" filled="false" stroked="true" strokeweight="1.140pt" strokecolor="#ffffff">
                <v:path arrowok="t"/>
              </v:shape>
            </v:group>
            <v:group style="position:absolute;left:3552;top:12171;width:232;height:468" coordorigin="3552,12171" coordsize="232,468">
              <v:shape style="position:absolute;left:3552;top:12171;width:232;height:468" coordorigin="3552,12171" coordsize="232,468" path="m3552,12639l3784,12639,3784,12171,3552,12171,3552,12639xe" filled="true" fillcolor="#ffffff" stroked="false">
                <v:path arrowok="t"/>
                <v:fill type="solid"/>
              </v:shape>
            </v:group>
            <v:group style="position:absolute;left:3575;top:11467;width:186;height:352" coordorigin="3575,11467" coordsize="186,352">
              <v:shape style="position:absolute;left:3575;top:11467;width:186;height:352" coordorigin="3575,11467" coordsize="186,352" path="m3575,11818l3761,11818,3761,11467,3575,11467,3575,11818xe" filled="true" fillcolor="#ffffff" stroked="false">
                <v:path arrowok="t"/>
                <v:fill type="solid"/>
              </v:shape>
            </v:group>
            <v:group style="position:absolute;left:3575;top:11818;width:186;height:353" coordorigin="3575,11818" coordsize="186,353">
              <v:shape style="position:absolute;left:3575;top:11818;width:186;height:353" coordorigin="3575,11818" coordsize="186,353" path="m3575,12171l3761,12171,3761,11818,3575,11818,3575,12171xe" filled="true" fillcolor="#ffffff" stroked="false">
                <v:path arrowok="t"/>
                <v:fill type="solid"/>
              </v:shape>
            </v:group>
            <v:group style="position:absolute;left:1111;top:10994;width:895;height:2" coordorigin="1111,10994" coordsize="895,2">
              <v:shape style="position:absolute;left:1111;top:10994;width:895;height:2" coordorigin="1111,10994" coordsize="895,0" path="m1111,10994l2006,10994e" filled="false" stroked="true" strokeweight=".48pt" strokecolor="#000000">
                <v:path arrowok="t"/>
              </v:shape>
            </v:group>
            <v:group style="position:absolute;left:2015;top:10994;width:1528;height:2" coordorigin="2015,10994" coordsize="1528,2">
              <v:shape style="position:absolute;left:2015;top:10994;width:1528;height:2" coordorigin="2015,10994" coordsize="1528,0" path="m2015,10994l3543,10994e" filled="false" stroked="true" strokeweight=".48pt" strokecolor="#000000">
                <v:path arrowok="t"/>
              </v:shape>
            </v:group>
            <v:group style="position:absolute;left:3552;top:10994;width:233;height:2" coordorigin="3552,10994" coordsize="233,2">
              <v:shape style="position:absolute;left:3552;top:10994;width:233;height:2" coordorigin="3552,10994" coordsize="233,0" path="m3552,10994l3785,10994e" filled="false" stroked="true" strokeweight=".48pt" strokecolor="#000000">
                <v:path arrowok="t"/>
              </v:shape>
            </v:group>
            <v:group style="position:absolute;left:3795;top:10994;width:1023;height:2" coordorigin="3795,10994" coordsize="1023,2">
              <v:shape style="position:absolute;left:3795;top:10994;width:1023;height:2" coordorigin="3795,10994" coordsize="1023,0" path="m3795,10994l4817,10994e" filled="false" stroked="true" strokeweight=".48pt" strokecolor="#000000">
                <v:path arrowok="t"/>
              </v:shape>
            </v:group>
            <v:group style="position:absolute;left:4827;top:10994;width:702;height:2" coordorigin="4827,10994" coordsize="702,2">
              <v:shape style="position:absolute;left:4827;top:10994;width:702;height:2" coordorigin="4827,10994" coordsize="702,0" path="m4827,10994l5528,10994e" filled="false" stroked="true" strokeweight=".48pt" strokecolor="#000000">
                <v:path arrowok="t"/>
              </v:shape>
            </v:group>
            <v:group style="position:absolute;left:5538;top:10994;width:557;height:2" coordorigin="5538,10994" coordsize="557,2">
              <v:shape style="position:absolute;left:5538;top:10994;width:557;height:2" coordorigin="5538,10994" coordsize="557,0" path="m5538,10994l6094,10994e" filled="false" stroked="true" strokeweight=".48pt" strokecolor="#000000">
                <v:path arrowok="t"/>
              </v:shape>
            </v:group>
            <v:group style="position:absolute;left:6104;top:10994;width:839;height:2" coordorigin="6104,10994" coordsize="839,2">
              <v:shape style="position:absolute;left:6104;top:10994;width:839;height:2" coordorigin="6104,10994" coordsize="839,0" path="m6104,10994l6943,10994e" filled="false" stroked="true" strokeweight=".48pt" strokecolor="#000000">
                <v:path arrowok="t"/>
              </v:shape>
            </v:group>
            <v:group style="position:absolute;left:6952;top:10994;width:274;height:2" coordorigin="6952,10994" coordsize="274,2">
              <v:shape style="position:absolute;left:6952;top:10994;width:274;height:2" coordorigin="6952,10994" coordsize="274,0" path="m6952,10994l7226,10994e" filled="false" stroked="true" strokeweight=".48pt" strokecolor="#000000">
                <v:path arrowok="t"/>
              </v:shape>
            </v:group>
            <v:group style="position:absolute;left:7236;top:10994;width:558;height:2" coordorigin="7236,10994" coordsize="558,2">
              <v:shape style="position:absolute;left:7236;top:10994;width:558;height:2" coordorigin="7236,10994" coordsize="558,0" path="m7236,10994l7794,10994e" filled="false" stroked="true" strokeweight=".48pt" strokecolor="#000000">
                <v:path arrowok="t"/>
              </v:shape>
            </v:group>
            <v:group style="position:absolute;left:7803;top:10994;width:273;height:2" coordorigin="7803,10994" coordsize="273,2">
              <v:shape style="position:absolute;left:7803;top:10994;width:273;height:2" coordorigin="7803,10994" coordsize="273,0" path="m7803,10994l8076,10994e" filled="false" stroked="true" strokeweight=".48pt" strokecolor="#000000">
                <v:path arrowok="t"/>
              </v:shape>
            </v:group>
            <v:group style="position:absolute;left:8085;top:10994;width:408;height:2" coordorigin="8085,10994" coordsize="408,2">
              <v:shape style="position:absolute;left:8085;top:10994;width:408;height:2" coordorigin="8085,10994" coordsize="408,0" path="m8085,10994l8492,10994e" filled="false" stroked="true" strokeweight=".48pt" strokecolor="#000000">
                <v:path arrowok="t"/>
              </v:shape>
            </v:group>
            <v:group style="position:absolute;left:8502;top:10994;width:1137;height:2" coordorigin="8502,10994" coordsize="1137,2">
              <v:shape style="position:absolute;left:8502;top:10994;width:1137;height:2" coordorigin="8502,10994" coordsize="1137,0" path="m8502,10994l9638,10994e" filled="false" stroked="true" strokeweight=".48pt" strokecolor="#000000">
                <v:path arrowok="t"/>
              </v:shape>
            </v:group>
            <v:group style="position:absolute;left:9648;top:10994;width:240;height:2" coordorigin="9648,10994" coordsize="240,2">
              <v:shape style="position:absolute;left:9648;top:10994;width:240;height:2" coordorigin="9648,10994" coordsize="240,0" path="m9648,10994l9888,10994e" filled="false" stroked="true" strokeweight=".48pt" strokecolor="#000000">
                <v:path arrowok="t"/>
              </v:shape>
            </v:group>
            <v:group style="position:absolute;left:9898;top:10994;width:408;height:2" coordorigin="9898,10994" coordsize="408,2">
              <v:shape style="position:absolute;left:9898;top:10994;width:408;height:2" coordorigin="9898,10994" coordsize="408,0" path="m9898,10994l10306,10994e" filled="false" stroked="true" strokeweight=".48pt" strokecolor="#000000">
                <v:path arrowok="t"/>
              </v:shape>
            </v:group>
            <v:group style="position:absolute;left:10315;top:10994;width:482;height:2" coordorigin="10315,10994" coordsize="482,2">
              <v:shape style="position:absolute;left:10315;top:10994;width:482;height:2" coordorigin="10315,10994" coordsize="482,0" path="m10315,10994l10796,10994e" filled="false" stroked="true" strokeweight=".48pt" strokecolor="#000000">
                <v:path arrowok="t"/>
              </v:shape>
            </v:group>
            <v:group style="position:absolute;left:1111;top:12644;width:895;height:2" coordorigin="1111,12644" coordsize="895,2">
              <v:shape style="position:absolute;left:1111;top:12644;width:895;height:2" coordorigin="1111,12644" coordsize="895,0" path="m1111,12644l2006,12644e" filled="false" stroked="true" strokeweight=".48pt" strokecolor="#000000">
                <v:path arrowok="t"/>
              </v:shape>
            </v:group>
            <v:group style="position:absolute;left:2015;top:12644;width:1528;height:2" coordorigin="2015,12644" coordsize="1528,2">
              <v:shape style="position:absolute;left:2015;top:12644;width:1528;height:2" coordorigin="2015,12644" coordsize="1528,0" path="m2015,12644l3543,12644e" filled="false" stroked="true" strokeweight=".48pt" strokecolor="#000000">
                <v:path arrowok="t"/>
              </v:shape>
            </v:group>
            <v:group style="position:absolute;left:3552;top:12644;width:233;height:2" coordorigin="3552,12644" coordsize="233,2">
              <v:shape style="position:absolute;left:3552;top:12644;width:233;height:2" coordorigin="3552,12644" coordsize="233,0" path="m3552,12644l3785,12644e" filled="false" stroked="true" strokeweight=".48pt" strokecolor="#000000">
                <v:path arrowok="t"/>
              </v:shape>
            </v:group>
            <v:group style="position:absolute;left:3795;top:12644;width:1023;height:2" coordorigin="3795,12644" coordsize="1023,2">
              <v:shape style="position:absolute;left:3795;top:12644;width:1023;height:2" coordorigin="3795,12644" coordsize="1023,0" path="m3795,12644l4817,12644e" filled="false" stroked="true" strokeweight=".48pt" strokecolor="#000000">
                <v:path arrowok="t"/>
              </v:shape>
            </v:group>
            <v:group style="position:absolute;left:4827;top:12644;width:702;height:2" coordorigin="4827,12644" coordsize="702,2">
              <v:shape style="position:absolute;left:4827;top:12644;width:702;height:2" coordorigin="4827,12644" coordsize="702,0" path="m4827,12644l5528,12644e" filled="false" stroked="true" strokeweight=".48pt" strokecolor="#000000">
                <v:path arrowok="t"/>
              </v:shape>
            </v:group>
            <v:group style="position:absolute;left:5538;top:12644;width:557;height:2" coordorigin="5538,12644" coordsize="557,2">
              <v:shape style="position:absolute;left:5538;top:12644;width:557;height:2" coordorigin="5538,12644" coordsize="557,0" path="m5538,12644l6094,12644e" filled="false" stroked="true" strokeweight=".48pt" strokecolor="#000000">
                <v:path arrowok="t"/>
              </v:shape>
            </v:group>
            <v:group style="position:absolute;left:6104;top:12644;width:839;height:2" coordorigin="6104,12644" coordsize="839,2">
              <v:shape style="position:absolute;left:6104;top:12644;width:839;height:2" coordorigin="6104,12644" coordsize="839,0" path="m6104,12644l6943,12644e" filled="false" stroked="true" strokeweight=".48pt" strokecolor="#000000">
                <v:path arrowok="t"/>
              </v:shape>
            </v:group>
            <v:group style="position:absolute;left:6952;top:12644;width:274;height:2" coordorigin="6952,12644" coordsize="274,2">
              <v:shape style="position:absolute;left:6952;top:12644;width:274;height:2" coordorigin="6952,12644" coordsize="274,0" path="m6952,12644l7226,12644e" filled="false" stroked="true" strokeweight=".48pt" strokecolor="#000000">
                <v:path arrowok="t"/>
              </v:shape>
            </v:group>
            <v:group style="position:absolute;left:7236;top:12644;width:558;height:2" coordorigin="7236,12644" coordsize="558,2">
              <v:shape style="position:absolute;left:7236;top:12644;width:558;height:2" coordorigin="7236,12644" coordsize="558,0" path="m7236,12644l7794,12644e" filled="false" stroked="true" strokeweight=".48pt" strokecolor="#000000">
                <v:path arrowok="t"/>
              </v:shape>
            </v:group>
            <v:group style="position:absolute;left:7803;top:12644;width:273;height:2" coordorigin="7803,12644" coordsize="273,2">
              <v:shape style="position:absolute;left:7803;top:12644;width:273;height:2" coordorigin="7803,12644" coordsize="273,0" path="m7803,12644l8076,12644e" filled="false" stroked="true" strokeweight=".48pt" strokecolor="#000000">
                <v:path arrowok="t"/>
              </v:shape>
            </v:group>
            <v:group style="position:absolute;left:8085;top:12644;width:408;height:2" coordorigin="8085,12644" coordsize="408,2">
              <v:shape style="position:absolute;left:8085;top:12644;width:408;height:2" coordorigin="8085,12644" coordsize="408,0" path="m8085,12644l8492,12644e" filled="false" stroked="true" strokeweight=".48pt" strokecolor="#000000">
                <v:path arrowok="t"/>
              </v:shape>
            </v:group>
            <v:group style="position:absolute;left:8502;top:12644;width:1137;height:2" coordorigin="8502,12644" coordsize="1137,2">
              <v:shape style="position:absolute;left:8502;top:12644;width:1137;height:2" coordorigin="8502,12644" coordsize="1137,0" path="m8502,12644l9638,12644e" filled="false" stroked="true" strokeweight=".48pt" strokecolor="#000000">
                <v:path arrowok="t"/>
              </v:shape>
            </v:group>
            <v:group style="position:absolute;left:9648;top:12644;width:240;height:2" coordorigin="9648,12644" coordsize="240,2">
              <v:shape style="position:absolute;left:9648;top:12644;width:240;height:2" coordorigin="9648,12644" coordsize="240,0" path="m9648,12644l9888,12644e" filled="false" stroked="true" strokeweight=".48pt" strokecolor="#000000">
                <v:path arrowok="t"/>
              </v:shape>
            </v:group>
            <v:group style="position:absolute;left:9898;top:12644;width:408;height:2" coordorigin="9898,12644" coordsize="408,2">
              <v:shape style="position:absolute;left:9898;top:12644;width:408;height:2" coordorigin="9898,12644" coordsize="408,0" path="m9898,12644l10306,12644e" filled="false" stroked="true" strokeweight=".48pt" strokecolor="#000000">
                <v:path arrowok="t"/>
              </v:shape>
            </v:group>
            <v:group style="position:absolute;left:10315;top:12644;width:482;height:2" coordorigin="10315,12644" coordsize="482,2">
              <v:shape style="position:absolute;left:10315;top:12644;width:482;height:2" coordorigin="10315,12644" coordsize="482,0" path="m10315,12644l10796,12644e" filled="false" stroked="true" strokeweight=".48pt" strokecolor="#000000">
                <v:path arrowok="t"/>
              </v:shape>
            </v:group>
            <v:group style="position:absolute;left:3564;top:13429;width:2;height:705" coordorigin="3564,13429" coordsize="2,705">
              <v:shape style="position:absolute;left:3564;top:13429;width:2;height:705" coordorigin="3564,13429" coordsize="0,705" path="m3564,13429l3564,14134e" filled="false" stroked="true" strokeweight="1.140pt" strokecolor="#ffffff">
                <v:path arrowok="t"/>
              </v:shape>
            </v:group>
            <v:group style="position:absolute;left:3552;top:14134;width:232;height:780" coordorigin="3552,14134" coordsize="232,780">
              <v:shape style="position:absolute;left:3552;top:14134;width:232;height:780" coordorigin="3552,14134" coordsize="232,780" path="m3552,14914l3784,14914,3784,14134,3552,14134,3552,14914xe" filled="true" fillcolor="#ffffff" stroked="false">
                <v:path arrowok="t"/>
                <v:fill type="solid"/>
              </v:shape>
            </v:group>
            <v:group style="position:absolute;left:3575;top:13780;width:186;height:354" coordorigin="3575,13780" coordsize="186,354">
              <v:shape style="position:absolute;left:3575;top:13780;width:186;height:354" coordorigin="3575,13780" coordsize="186,354" path="m3575,14134l3761,14134,3761,13780,3575,13780,3575,14134xe" filled="true" fillcolor="#ffffff" stroked="false">
                <v:path arrowok="t"/>
                <v:fill type="solid"/>
              </v:shape>
            </v:group>
            <v:group style="position:absolute;left:1111;top:14918;width:895;height:2" coordorigin="1111,14918" coordsize="895,2">
              <v:shape style="position:absolute;left:1111;top:14918;width:895;height:2" coordorigin="1111,14918" coordsize="895,0" path="m1111,14918l2006,14918e" filled="false" stroked="true" strokeweight=".48pt" strokecolor="#000000">
                <v:path arrowok="t"/>
              </v:shape>
            </v:group>
            <v:group style="position:absolute;left:2015;top:14918;width:1528;height:2" coordorigin="2015,14918" coordsize="1528,2">
              <v:shape style="position:absolute;left:2015;top:14918;width:1528;height:2" coordorigin="2015,14918" coordsize="1528,0" path="m2015,14918l3543,14918e" filled="false" stroked="true" strokeweight=".48pt" strokecolor="#000000">
                <v:path arrowok="t"/>
              </v:shape>
            </v:group>
            <v:group style="position:absolute;left:3552;top:14918;width:233;height:2" coordorigin="3552,14918" coordsize="233,2">
              <v:shape style="position:absolute;left:3552;top:14918;width:233;height:2" coordorigin="3552,14918" coordsize="233,0" path="m3552,14918l3785,14918e" filled="false" stroked="true" strokeweight=".48pt" strokecolor="#000000">
                <v:path arrowok="t"/>
              </v:shape>
            </v:group>
            <v:group style="position:absolute;left:3795;top:14918;width:1023;height:2" coordorigin="3795,14918" coordsize="1023,2">
              <v:shape style="position:absolute;left:3795;top:14918;width:1023;height:2" coordorigin="3795,14918" coordsize="1023,0" path="m3795,14918l4817,14918e" filled="false" stroked="true" strokeweight=".48pt" strokecolor="#000000">
                <v:path arrowok="t"/>
              </v:shape>
            </v:group>
            <v:group style="position:absolute;left:4827;top:14918;width:702;height:2" coordorigin="4827,14918" coordsize="702,2">
              <v:shape style="position:absolute;left:4827;top:14918;width:702;height:2" coordorigin="4827,14918" coordsize="702,0" path="m4827,14918l5528,14918e" filled="false" stroked="true" strokeweight=".48pt" strokecolor="#000000">
                <v:path arrowok="t"/>
              </v:shape>
            </v:group>
            <v:group style="position:absolute;left:5538;top:14918;width:557;height:2" coordorigin="5538,14918" coordsize="557,2">
              <v:shape style="position:absolute;left:5538;top:14918;width:557;height:2" coordorigin="5538,14918" coordsize="557,0" path="m5538,14918l6094,14918e" filled="false" stroked="true" strokeweight=".48pt" strokecolor="#000000">
                <v:path arrowok="t"/>
              </v:shape>
            </v:group>
            <v:group style="position:absolute;left:6104;top:14918;width:839;height:2" coordorigin="6104,14918" coordsize="839,2">
              <v:shape style="position:absolute;left:6104;top:14918;width:839;height:2" coordorigin="6104,14918" coordsize="839,0" path="m6104,14918l6943,14918e" filled="false" stroked="true" strokeweight=".48pt" strokecolor="#000000">
                <v:path arrowok="t"/>
              </v:shape>
            </v:group>
            <v:group style="position:absolute;left:6952;top:14918;width:274;height:2" coordorigin="6952,14918" coordsize="274,2">
              <v:shape style="position:absolute;left:6952;top:14918;width:274;height:2" coordorigin="6952,14918" coordsize="274,0" path="m6952,14918l7226,14918e" filled="false" stroked="true" strokeweight=".48pt" strokecolor="#000000">
                <v:path arrowok="t"/>
              </v:shape>
            </v:group>
            <v:group style="position:absolute;left:7236;top:14918;width:558;height:2" coordorigin="7236,14918" coordsize="558,2">
              <v:shape style="position:absolute;left:7236;top:14918;width:558;height:2" coordorigin="7236,14918" coordsize="558,0" path="m7236,14918l7794,14918e" filled="false" stroked="true" strokeweight=".48pt" strokecolor="#000000">
                <v:path arrowok="t"/>
              </v:shape>
            </v:group>
            <v:group style="position:absolute;left:7803;top:14918;width:273;height:2" coordorigin="7803,14918" coordsize="273,2">
              <v:shape style="position:absolute;left:7803;top:14918;width:273;height:2" coordorigin="7803,14918" coordsize="273,0" path="m7803,14918l8076,14918e" filled="false" stroked="true" strokeweight=".48pt" strokecolor="#000000">
                <v:path arrowok="t"/>
              </v:shape>
            </v:group>
            <v:group style="position:absolute;left:8085;top:14918;width:408;height:2" coordorigin="8085,14918" coordsize="408,2">
              <v:shape style="position:absolute;left:8085;top:14918;width:408;height:2" coordorigin="8085,14918" coordsize="408,0" path="m8085,14918l8492,14918e" filled="false" stroked="true" strokeweight=".48pt" strokecolor="#000000">
                <v:path arrowok="t"/>
              </v:shape>
            </v:group>
            <v:group style="position:absolute;left:8502;top:14918;width:1137;height:2" coordorigin="8502,14918" coordsize="1137,2">
              <v:shape style="position:absolute;left:8502;top:14918;width:1137;height:2" coordorigin="8502,14918" coordsize="1137,0" path="m8502,14918l9638,14918e" filled="false" stroked="true" strokeweight=".48pt" strokecolor="#000000">
                <v:path arrowok="t"/>
              </v:shape>
            </v:group>
            <v:group style="position:absolute;left:9648;top:14918;width:240;height:2" coordorigin="9648,14918" coordsize="240,2">
              <v:shape style="position:absolute;left:9648;top:14918;width:240;height:2" coordorigin="9648,14918" coordsize="240,0" path="m9648,14918l9888,14918e" filled="false" stroked="true" strokeweight=".48pt" strokecolor="#000000">
                <v:path arrowok="t"/>
              </v:shape>
            </v:group>
            <v:group style="position:absolute;left:9898;top:14918;width:408;height:2" coordorigin="9898,14918" coordsize="408,2">
              <v:shape style="position:absolute;left:9898;top:14918;width:408;height:2" coordorigin="9898,14918" coordsize="408,0" path="m9898,14918l10306,14918e" filled="false" stroked="true" strokeweight=".48pt" strokecolor="#000000">
                <v:path arrowok="t"/>
              </v:shape>
            </v:group>
            <v:group style="position:absolute;left:10315;top:14918;width:482;height:2" coordorigin="10315,14918" coordsize="482,2">
              <v:shape style="position:absolute;left:10315;top:14918;width:482;height:2" coordorigin="10315,14918" coordsize="482,0" path="m10315,14918l10796,14918e" filled="false" stroked="true" strokeweight=".48pt" strokecolor="#000000">
                <v:path arrowok="t"/>
              </v:shape>
            </v:group>
            <v:group style="position:absolute;left:1106;top:1440;width:2;height:13886" coordorigin="1106,1440" coordsize="2,13886">
              <v:shape style="position:absolute;left:1106;top:1440;width:2;height:13886" coordorigin="1106,1440" coordsize="0,13886" path="m1106,1440l1106,15325e" filled="false" stroked="true" strokeweight=".48pt" strokecolor="#000000">
                <v:path arrowok="t"/>
              </v:shape>
            </v:group>
            <v:group style="position:absolute;left:1111;top:15320;width:895;height:2" coordorigin="1111,15320" coordsize="895,2">
              <v:shape style="position:absolute;left:1111;top:15320;width:895;height:2" coordorigin="1111,15320" coordsize="895,0" path="m1111,15320l2006,15320e" filled="false" stroked="true" strokeweight=".48pt" strokecolor="#000000">
                <v:path arrowok="t"/>
              </v:shape>
            </v:group>
            <v:group style="position:absolute;left:2010;top:1440;width:2;height:13886" coordorigin="2010,1440" coordsize="2,13886">
              <v:shape style="position:absolute;left:2010;top:1440;width:2;height:13886" coordorigin="2010,1440" coordsize="0,13886" path="m2010,1440l2010,15325e" filled="false" stroked="true" strokeweight=".48pt" strokecolor="#000000">
                <v:path arrowok="t"/>
              </v:shape>
            </v:group>
            <v:group style="position:absolute;left:2015;top:15320;width:1528;height:2" coordorigin="2015,15320" coordsize="1528,2">
              <v:shape style="position:absolute;left:2015;top:15320;width:1528;height:2" coordorigin="2015,15320" coordsize="1528,0" path="m2015,15320l3543,15320e" filled="false" stroked="true" strokeweight=".48pt" strokecolor="#000000">
                <v:path arrowok="t"/>
              </v:shape>
            </v:group>
            <v:group style="position:absolute;left:3548;top:1440;width:2;height:13886" coordorigin="3548,1440" coordsize="2,13886">
              <v:shape style="position:absolute;left:3548;top:1440;width:2;height:13886" coordorigin="3548,1440" coordsize="0,13886" path="m3548,1440l3548,15325e" filled="false" stroked="true" strokeweight=".48pt" strokecolor="#000000">
                <v:path arrowok="t"/>
              </v:shape>
            </v:group>
            <v:group style="position:absolute;left:3552;top:15320;width:233;height:2" coordorigin="3552,15320" coordsize="233,2">
              <v:shape style="position:absolute;left:3552;top:15320;width:233;height:2" coordorigin="3552,15320" coordsize="233,0" path="m3552,15320l3785,15320e" filled="false" stroked="true" strokeweight=".48pt" strokecolor="#000000">
                <v:path arrowok="t"/>
              </v:shape>
            </v:group>
            <v:group style="position:absolute;left:3790;top:1440;width:2;height:13886" coordorigin="3790,1440" coordsize="2,13886">
              <v:shape style="position:absolute;left:3790;top:1440;width:2;height:13886" coordorigin="3790,1440" coordsize="0,13886" path="m3790,1440l3790,15325e" filled="false" stroked="true" strokeweight=".48pt" strokecolor="#000000">
                <v:path arrowok="t"/>
              </v:shape>
            </v:group>
            <v:group style="position:absolute;left:3795;top:15320;width:1023;height:2" coordorigin="3795,15320" coordsize="1023,2">
              <v:shape style="position:absolute;left:3795;top:15320;width:1023;height:2" coordorigin="3795,15320" coordsize="1023,0" path="m3795,15320l4817,15320e" filled="false" stroked="true" strokeweight=".48pt" strokecolor="#000000">
                <v:path arrowok="t"/>
              </v:shape>
            </v:group>
            <v:group style="position:absolute;left:4822;top:1440;width:2;height:13886" coordorigin="4822,1440" coordsize="2,13886">
              <v:shape style="position:absolute;left:4822;top:1440;width:2;height:13886" coordorigin="4822,1440" coordsize="0,13886" path="m4822,1440l4822,15325e" filled="false" stroked="true" strokeweight=".48pt" strokecolor="#000000">
                <v:path arrowok="t"/>
              </v:shape>
            </v:group>
            <v:group style="position:absolute;left:4827;top:15320;width:702;height:2" coordorigin="4827,15320" coordsize="702,2">
              <v:shape style="position:absolute;left:4827;top:15320;width:702;height:2" coordorigin="4827,15320" coordsize="702,0" path="m4827,15320l5528,15320e" filled="false" stroked="true" strokeweight=".48pt" strokecolor="#000000">
                <v:path arrowok="t"/>
              </v:shape>
            </v:group>
            <v:group style="position:absolute;left:5533;top:1440;width:2;height:13886" coordorigin="5533,1440" coordsize="2,13886">
              <v:shape style="position:absolute;left:5533;top:1440;width:2;height:13886" coordorigin="5533,1440" coordsize="0,13886" path="m5533,1440l5533,15325e" filled="false" stroked="true" strokeweight=".48pt" strokecolor="#000000">
                <v:path arrowok="t"/>
              </v:shape>
            </v:group>
            <v:group style="position:absolute;left:5538;top:15320;width:557;height:2" coordorigin="5538,15320" coordsize="557,2">
              <v:shape style="position:absolute;left:5538;top:15320;width:557;height:2" coordorigin="5538,15320" coordsize="557,0" path="m5538,15320l6094,15320e" filled="false" stroked="true" strokeweight=".48pt" strokecolor="#000000">
                <v:path arrowok="t"/>
              </v:shape>
            </v:group>
            <v:group style="position:absolute;left:6099;top:1440;width:2;height:13886" coordorigin="6099,1440" coordsize="2,13886">
              <v:shape style="position:absolute;left:6099;top:1440;width:2;height:13886" coordorigin="6099,1440" coordsize="0,13886" path="m6099,1440l6099,15325e" filled="false" stroked="true" strokeweight=".48pt" strokecolor="#000000">
                <v:path arrowok="t"/>
              </v:shape>
            </v:group>
            <v:group style="position:absolute;left:6104;top:15320;width:839;height:2" coordorigin="6104,15320" coordsize="839,2">
              <v:shape style="position:absolute;left:6104;top:15320;width:839;height:2" coordorigin="6104,15320" coordsize="839,0" path="m6104,15320l6943,15320e" filled="false" stroked="true" strokeweight=".48pt" strokecolor="#000000">
                <v:path arrowok="t"/>
              </v:shape>
            </v:group>
            <v:group style="position:absolute;left:6948;top:1440;width:2;height:13886" coordorigin="6948,1440" coordsize="2,13886">
              <v:shape style="position:absolute;left:6948;top:1440;width:2;height:13886" coordorigin="6948,1440" coordsize="0,13886" path="m6948,1440l6948,15325e" filled="false" stroked="true" strokeweight=".48pt" strokecolor="#000000">
                <v:path arrowok="t"/>
              </v:shape>
            </v:group>
            <v:group style="position:absolute;left:6952;top:15320;width:274;height:2" coordorigin="6952,15320" coordsize="274,2">
              <v:shape style="position:absolute;left:6952;top:15320;width:274;height:2" coordorigin="6952,15320" coordsize="274,0" path="m6952,15320l7226,15320e" filled="false" stroked="true" strokeweight=".48pt" strokecolor="#000000">
                <v:path arrowok="t"/>
              </v:shape>
            </v:group>
            <v:group style="position:absolute;left:7231;top:1440;width:2;height:13886" coordorigin="7231,1440" coordsize="2,13886">
              <v:shape style="position:absolute;left:7231;top:1440;width:2;height:13886" coordorigin="7231,1440" coordsize="0,13886" path="m7231,1440l7231,15325e" filled="false" stroked="true" strokeweight=".48pt" strokecolor="#000000">
                <v:path arrowok="t"/>
              </v:shape>
            </v:group>
            <v:group style="position:absolute;left:7236;top:15320;width:558;height:2" coordorigin="7236,15320" coordsize="558,2">
              <v:shape style="position:absolute;left:7236;top:15320;width:558;height:2" coordorigin="7236,15320" coordsize="558,0" path="m7236,15320l7794,15320e" filled="false" stroked="true" strokeweight=".48pt" strokecolor="#000000">
                <v:path arrowok="t"/>
              </v:shape>
            </v:group>
            <v:group style="position:absolute;left:7798;top:1440;width:2;height:13886" coordorigin="7798,1440" coordsize="2,13886">
              <v:shape style="position:absolute;left:7798;top:1440;width:2;height:13886" coordorigin="7798,1440" coordsize="0,13886" path="m7798,1440l7798,15325e" filled="false" stroked="true" strokeweight=".48pt" strokecolor="#000000">
                <v:path arrowok="t"/>
              </v:shape>
            </v:group>
            <v:group style="position:absolute;left:7803;top:15320;width:273;height:2" coordorigin="7803,15320" coordsize="273,2">
              <v:shape style="position:absolute;left:7803;top:15320;width:273;height:2" coordorigin="7803,15320" coordsize="273,0" path="m7803,15320l8076,15320e" filled="false" stroked="true" strokeweight=".48pt" strokecolor="#000000">
                <v:path arrowok="t"/>
              </v:shape>
            </v:group>
            <v:group style="position:absolute;left:8080;top:1440;width:2;height:13886" coordorigin="8080,1440" coordsize="2,13886">
              <v:shape style="position:absolute;left:8080;top:1440;width:2;height:13886" coordorigin="8080,1440" coordsize="0,13886" path="m8080,1440l8080,15325e" filled="false" stroked="true" strokeweight=".48pt" strokecolor="#000000">
                <v:path arrowok="t"/>
              </v:shape>
            </v:group>
            <v:group style="position:absolute;left:8085;top:15320;width:408;height:2" coordorigin="8085,15320" coordsize="408,2">
              <v:shape style="position:absolute;left:8085;top:15320;width:408;height:2" coordorigin="8085,15320" coordsize="408,0" path="m8085,15320l8492,15320e" filled="false" stroked="true" strokeweight=".48pt" strokecolor="#000000">
                <v:path arrowok="t"/>
              </v:shape>
            </v:group>
            <v:group style="position:absolute;left:8497;top:1440;width:2;height:13886" coordorigin="8497,1440" coordsize="2,13886">
              <v:shape style="position:absolute;left:8497;top:1440;width:2;height:13886" coordorigin="8497,1440" coordsize="0,13886" path="m8497,1440l8497,15325e" filled="false" stroked="true" strokeweight=".48pt" strokecolor="#000000">
                <v:path arrowok="t"/>
              </v:shape>
            </v:group>
            <v:group style="position:absolute;left:8502;top:15320;width:1137;height:2" coordorigin="8502,15320" coordsize="1137,2">
              <v:shape style="position:absolute;left:8502;top:15320;width:1137;height:2" coordorigin="8502,15320" coordsize="1137,0" path="m8502,15320l9638,15320e" filled="false" stroked="true" strokeweight=".48pt" strokecolor="#000000">
                <v:path arrowok="t"/>
              </v:shape>
            </v:group>
            <v:group style="position:absolute;left:9643;top:1440;width:2;height:13886" coordorigin="9643,1440" coordsize="2,13886">
              <v:shape style="position:absolute;left:9643;top:1440;width:2;height:13886" coordorigin="9643,1440" coordsize="0,13886" path="m9643,1440l9643,15325e" filled="false" stroked="true" strokeweight=".48pt" strokecolor="#000000">
                <v:path arrowok="t"/>
              </v:shape>
            </v:group>
            <v:group style="position:absolute;left:9648;top:15320;width:240;height:2" coordorigin="9648,15320" coordsize="240,2">
              <v:shape style="position:absolute;left:9648;top:15320;width:240;height:2" coordorigin="9648,15320" coordsize="240,0" path="m9648,15320l9888,15320e" filled="false" stroked="true" strokeweight=".48pt" strokecolor="#000000">
                <v:path arrowok="t"/>
              </v:shape>
            </v:group>
            <v:group style="position:absolute;left:9893;top:1440;width:2;height:13886" coordorigin="9893,1440" coordsize="2,13886">
              <v:shape style="position:absolute;left:9893;top:1440;width:2;height:13886" coordorigin="9893,1440" coordsize="0,13886" path="m9893,1440l9893,15325e" filled="false" stroked="true" strokeweight=".48pt" strokecolor="#000000">
                <v:path arrowok="t"/>
              </v:shape>
            </v:group>
            <v:group style="position:absolute;left:9898;top:15320;width:408;height:2" coordorigin="9898,15320" coordsize="408,2">
              <v:shape style="position:absolute;left:9898;top:15320;width:408;height:2" coordorigin="9898,15320" coordsize="408,0" path="m9898,15320l10306,15320e" filled="false" stroked="true" strokeweight=".48pt" strokecolor="#000000">
                <v:path arrowok="t"/>
              </v:shape>
            </v:group>
            <v:group style="position:absolute;left:10310;top:1440;width:2;height:13886" coordorigin="10310,1440" coordsize="2,13886">
              <v:shape style="position:absolute;left:10310;top:1440;width:2;height:13886" coordorigin="10310,1440" coordsize="0,13886" path="m10310,1440l10310,15325e" filled="false" stroked="true" strokeweight=".48pt" strokecolor="#000000">
                <v:path arrowok="t"/>
              </v:shape>
            </v:group>
            <v:group style="position:absolute;left:10315;top:15320;width:482;height:2" coordorigin="10315,15320" coordsize="482,2">
              <v:shape style="position:absolute;left:10315;top:15320;width:482;height:2" coordorigin="10315,15320" coordsize="482,0" path="m10315,15320l10796,15320e" filled="false" stroked="true" strokeweight=".48pt" strokecolor="#000000">
                <v:path arrowok="t"/>
              </v:shape>
            </v:group>
            <v:group style="position:absolute;left:10801;top:1440;width:2;height:13886" coordorigin="10801,1440" coordsize="2,13886">
              <v:shape style="position:absolute;left:10801;top:1440;width:2;height:13886" coordorigin="10801,1440" coordsize="0,13886" path="m10801,1440l10801,15325e" filled="false" stroked="true" strokeweight=".48pt" strokecolor="#000000">
                <v:path arrowok="t"/>
              </v:shape>
            </v:group>
            <w10:wrap type="none"/>
          </v:group>
        </w:pict>
      </w:r>
      <w:r>
        <w:rPr>
          <w:position w:val="-1"/>
        </w:rPr>
        <w:t>西安爱康  配电售电业务；技 新 </w:t>
      </w:r>
      <w:r>
        <w:rPr>
          <w:rFonts w:ascii="Times New Roman" w:hAnsi="Times New Roman" w:cs="Times New Roman" w:eastAsia="Times New Roman" w:hint="default"/>
        </w:rPr>
        <w:t>2,167,500.00   85.00%</w:t>
      </w:r>
      <w:r>
        <w:rPr>
          <w:rFonts w:ascii="Times New Roman" w:hAnsi="Times New Roman" w:cs="Times New Roman" w:eastAsia="Times New Roman" w:hint="default"/>
          <w:spacing w:val="41"/>
        </w:rPr>
        <w:t> </w:t>
      </w:r>
      <w:r>
        <w:rPr/>
        <w:t>自筹</w:t>
        <w:tab/>
      </w:r>
      <w:r>
        <w:rPr>
          <w:position w:val="-1"/>
        </w:rPr>
        <w:t>西安渭北 长</w:t>
      </w:r>
      <w:r>
        <w:rPr>
          <w:spacing w:val="50"/>
          <w:position w:val="-1"/>
        </w:rPr>
        <w:t> </w:t>
      </w:r>
      <w:r>
        <w:rPr>
          <w:position w:val="-1"/>
        </w:rPr>
        <w:t>配电</w:t>
        <w:tab/>
        <w:t>已</w:t>
      </w:r>
      <w:r>
        <w:rPr>
          <w:spacing w:val="58"/>
          <w:position w:val="-1"/>
        </w:rPr>
        <w:t> </w:t>
      </w:r>
      <w:r>
        <w:rPr>
          <w:rFonts w:ascii="Times New Roman" w:hAnsi="Times New Roman" w:cs="Times New Roman" w:eastAsia="Times New Roman" w:hint="default"/>
        </w:rPr>
        <w:t>0.00</w:t>
        <w:tab/>
        <w:t>-773.65</w:t>
      </w:r>
      <w:r>
        <w:rPr>
          <w:rFonts w:ascii="Times New Roman" w:hAnsi="Times New Roman" w:cs="Times New Roman" w:eastAsia="Times New Roman" w:hint="default"/>
          <w:spacing w:val="10"/>
        </w:rPr>
        <w:t> </w:t>
      </w:r>
      <w:r>
        <w:rPr/>
        <w:t>否</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6"/>
          <w:szCs w:val="26"/>
        </w:rPr>
      </w:pPr>
    </w:p>
    <w:p>
      <w:pPr>
        <w:pStyle w:val="BodyText"/>
        <w:tabs>
          <w:tab w:pos="5146" w:val="left" w:leader="none"/>
        </w:tabs>
        <w:spacing w:line="240" w:lineRule="auto" w:before="45"/>
        <w:ind w:left="154" w:right="1122"/>
        <w:jc w:val="left"/>
      </w:pPr>
      <w:r>
        <w:rPr/>
        <w:pict>
          <v:shape style="position:absolute;margin-left:361.540009pt;margin-top:1.421746pt;width:133.1pt;height:512.6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68"/>
                    <w:gridCol w:w="282"/>
                    <w:gridCol w:w="417"/>
                    <w:gridCol w:w="1396"/>
                  </w:tblGrid>
                  <w:tr>
                    <w:trPr>
                      <w:trHeight w:val="2547"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7" w:right="179"/>
                          <w:jc w:val="left"/>
                          <w:rPr>
                            <w:rFonts w:ascii="宋体" w:hAnsi="宋体" w:cs="宋体" w:eastAsia="宋体" w:hint="default"/>
                            <w:sz w:val="18"/>
                            <w:szCs w:val="18"/>
                          </w:rPr>
                        </w:pPr>
                        <w:r>
                          <w:rPr>
                            <w:rFonts w:ascii="宋体" w:hAnsi="宋体" w:cs="宋体" w:eastAsia="宋体" w:hint="default"/>
                            <w:sz w:val="18"/>
                            <w:szCs w:val="18"/>
                          </w:rPr>
                          <w:t>售电 业务</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5"/>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1812" w:type="dxa"/>
                        <w:gridSpan w:val="2"/>
                        <w:vMerge w:val="restart"/>
                        <w:tcBorders>
                          <w:top w:val="nil" w:sz="6" w:space="0" w:color="auto"/>
                          <w:left w:val="nil" w:sz="6" w:space="0" w:color="auto"/>
                          <w:right w:val="nil" w:sz="6" w:space="0" w:color="auto"/>
                        </w:tcBorders>
                      </w:tcPr>
                      <w:p>
                        <w:pP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配电</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1812" w:type="dxa"/>
                        <w:gridSpan w:val="2"/>
                        <w:vMerge/>
                        <w:tcBorders>
                          <w:left w:val="nil" w:sz="6" w:space="0" w:color="auto"/>
                          <w:bottom w:val="nil" w:sz="6" w:space="0" w:color="auto"/>
                          <w:right w:val="nil" w:sz="6" w:space="0" w:color="auto"/>
                        </w:tcBorders>
                      </w:tcPr>
                      <w:p>
                        <w:pPr/>
                      </w:p>
                    </w:tc>
                  </w:tr>
                  <w:tr>
                    <w:trPr>
                      <w:trHeight w:val="981"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售电 业务</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-1,254.20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否</w:t>
                        </w:r>
                      </w:p>
                    </w:tc>
                  </w:tr>
                  <w:tr>
                    <w:trPr>
                      <w:trHeight w:val="357"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太阳</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能组 件</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47,532,348.54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否</w:t>
                        </w:r>
                      </w:p>
                    </w:tc>
                  </w:tr>
                  <w:tr>
                    <w:trPr>
                      <w:trHeight w:val="357"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电力</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生产 销售</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526,539.06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否</w:t>
                        </w: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配电</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981"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售电 业务</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-10,797.64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否</w:t>
                        </w:r>
                      </w:p>
                    </w:tc>
                  </w:tr>
                  <w:tr>
                    <w:trPr>
                      <w:trHeight w:val="357"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 w:right="0"/>
                          <w:jc w:val="left"/>
                          <w:rPr>
                            <w:rFonts w:ascii="宋体" w:hAnsi="宋体" w:cs="宋体" w:eastAsia="宋体" w:hint="default"/>
                            <w:sz w:val="18"/>
                            <w:szCs w:val="18"/>
                          </w:rPr>
                        </w:pPr>
                        <w:r>
                          <w:rPr>
                            <w:rFonts w:ascii="宋体" w:hAnsi="宋体" w:cs="宋体" w:eastAsia="宋体" w:hint="default"/>
                            <w:sz w:val="18"/>
                            <w:szCs w:val="18"/>
                          </w:rPr>
                          <w:t>配电</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售电 业务</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-3,805,770.21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否</w:t>
                        </w:r>
                      </w:p>
                    </w:tc>
                  </w:tr>
                  <w:tr>
                    <w:trPr>
                      <w:trHeight w:val="66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7" w:right="0"/>
                          <w:jc w:val="left"/>
                          <w:rPr>
                            <w:rFonts w:ascii="宋体" w:hAnsi="宋体" w:cs="宋体" w:eastAsia="宋体" w:hint="default"/>
                            <w:sz w:val="18"/>
                            <w:szCs w:val="18"/>
                          </w:rPr>
                        </w:pPr>
                        <w:r>
                          <w:rPr>
                            <w:rFonts w:ascii="宋体" w:hAnsi="宋体" w:cs="宋体" w:eastAsia="宋体" w:hint="default"/>
                            <w:sz w:val="18"/>
                            <w:szCs w:val="18"/>
                          </w:rPr>
                          <w:t>配电</w:t>
                        </w:r>
                      </w:p>
                    </w:tc>
                    <w:tc>
                      <w:tcPr>
                        <w:tcW w:w="28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42"/>
                          <w:jc w:val="center"/>
                          <w:rPr>
                            <w:rFonts w:ascii="宋体" w:hAnsi="宋体" w:cs="宋体" w:eastAsia="宋体" w:hint="default"/>
                            <w:sz w:val="18"/>
                            <w:szCs w:val="18"/>
                          </w:rPr>
                        </w:pPr>
                        <w:r>
                          <w:rPr>
                            <w:rFonts w:ascii="宋体" w:hAnsi="宋体" w:cs="宋体" w:eastAsia="宋体" w:hint="default"/>
                            <w:sz w:val="18"/>
                            <w:szCs w:val="18"/>
                          </w:rPr>
                          <w:t>已</w:t>
                        </w:r>
                      </w:p>
                    </w:tc>
                    <w:tc>
                      <w:tcPr>
                        <w:tcW w:w="417"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659" w:hRule="exact"/>
                    </w:trPr>
                    <w:tc>
                      <w:tcPr>
                        <w:tcW w:w="568"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7" w:right="179"/>
                          <w:jc w:val="left"/>
                          <w:rPr>
                            <w:rFonts w:ascii="宋体" w:hAnsi="宋体" w:cs="宋体" w:eastAsia="宋体" w:hint="default"/>
                            <w:sz w:val="18"/>
                            <w:szCs w:val="18"/>
                          </w:rPr>
                        </w:pPr>
                        <w:r>
                          <w:rPr>
                            <w:rFonts w:ascii="宋体" w:hAnsi="宋体" w:cs="宋体" w:eastAsia="宋体" w:hint="default"/>
                            <w:sz w:val="18"/>
                            <w:szCs w:val="18"/>
                          </w:rPr>
                          <w:t>售电 业务</w:t>
                        </w:r>
                      </w:p>
                    </w:tc>
                    <w:tc>
                      <w:tcPr>
                        <w:tcW w:w="282" w:type="dxa"/>
                        <w:tcBorders>
                          <w:top w:val="nil" w:sz="6" w:space="0" w:color="auto"/>
                          <w:left w:val="nil" w:sz="6" w:space="0" w:color="auto"/>
                          <w:bottom w:val="nil" w:sz="6" w:space="0" w:color="auto"/>
                          <w:right w:val="nil" w:sz="6" w:space="0" w:color="auto"/>
                        </w:tcBorders>
                      </w:tcPr>
                      <w:p>
                        <w:pPr>
                          <w:pStyle w:val="TableParagraph"/>
                          <w:spacing w:line="319" w:lineRule="auto" w:before="10"/>
                          <w:ind w:left="28" w:right="71"/>
                          <w:jc w:val="left"/>
                          <w:rPr>
                            <w:rFonts w:ascii="宋体" w:hAnsi="宋体" w:cs="宋体" w:eastAsia="宋体" w:hint="default"/>
                            <w:sz w:val="18"/>
                            <w:szCs w:val="18"/>
                          </w:rPr>
                        </w:pPr>
                        <w:r>
                          <w:rPr>
                            <w:rFonts w:ascii="宋体" w:hAnsi="宋体" w:cs="宋体" w:eastAsia="宋体" w:hint="default"/>
                            <w:sz w:val="18"/>
                            <w:szCs w:val="18"/>
                          </w:rPr>
                          <w:t>完 成</w:t>
                        </w:r>
                      </w:p>
                    </w:tc>
                    <w:tc>
                      <w:tcPr>
                        <w:tcW w:w="41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4"/>
                          <w:jc w:val="right"/>
                          <w:rPr>
                            <w:rFonts w:ascii="Times New Roman" w:hAnsi="Times New Roman" w:cs="Times New Roman" w:eastAsia="Times New Roman" w:hint="default"/>
                            <w:sz w:val="18"/>
                            <w:szCs w:val="18"/>
                          </w:rPr>
                        </w:pPr>
                        <w:r>
                          <w:rPr>
                            <w:rFonts w:ascii="Times New Roman"/>
                            <w:sz w:val="18"/>
                          </w:rPr>
                          <w:t>0.00</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41"/>
                          <w:jc w:val="right"/>
                          <w:rPr>
                            <w:rFonts w:ascii="宋体" w:hAnsi="宋体" w:cs="宋体" w:eastAsia="宋体" w:hint="default"/>
                            <w:sz w:val="18"/>
                            <w:szCs w:val="18"/>
                          </w:rPr>
                        </w:pPr>
                        <w:r>
                          <w:rPr>
                            <w:rFonts w:ascii="Times New Roman" w:hAnsi="Times New Roman" w:cs="Times New Roman" w:eastAsia="Times New Roman" w:hint="default"/>
                            <w:sz w:val="18"/>
                            <w:szCs w:val="18"/>
                          </w:rPr>
                          <w:t>-50,257.78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否</w:t>
                        </w:r>
                      </w:p>
                    </w:tc>
                  </w:tr>
                </w:tbl>
                <w:p>
                  <w:pPr/>
                </w:p>
              </w:txbxContent>
            </v:textbox>
            <w10:wrap type="none"/>
          </v:shape>
        </w:pict>
      </w:r>
      <w:r>
        <w:rPr/>
        <w:t>智慧能源 </w:t>
      </w:r>
      <w:r>
        <w:rPr>
          <w:spacing w:val="10"/>
        </w:rPr>
        <w:t> </w:t>
      </w:r>
      <w:r>
        <w:rPr>
          <w:spacing w:val="-9"/>
        </w:rPr>
        <w:t>术咨询、技术服务、设</w:t>
        <w:tab/>
      </w:r>
      <w:r>
        <w:rPr/>
        <w:t>投资开发</w:t>
      </w:r>
      <w:r>
        <w:rPr>
          <w:spacing w:val="38"/>
        </w:rPr>
        <w:t> </w:t>
      </w:r>
      <w:r>
        <w:rPr/>
        <w:t>期</w:t>
      </w:r>
    </w:p>
    <w:p>
      <w:pPr>
        <w:spacing w:after="0" w:line="240" w:lineRule="auto"/>
        <w:jc w:val="left"/>
        <w:sectPr>
          <w:pgSz w:w="11910" w:h="16840"/>
          <w:pgMar w:header="747" w:footer="979" w:top="1060" w:bottom="1160" w:left="980" w:right="0"/>
        </w:sectPr>
      </w:pPr>
    </w:p>
    <w:p>
      <w:pPr>
        <w:pStyle w:val="BodyText"/>
        <w:spacing w:line="319" w:lineRule="auto" w:before="75"/>
        <w:ind w:left="154" w:right="-20"/>
        <w:jc w:val="left"/>
      </w:pPr>
      <w:r>
        <w:rPr/>
        <w:t>管理有限 公司</w:t>
      </w:r>
    </w:p>
    <w:p>
      <w:pPr>
        <w:pStyle w:val="BodyText"/>
        <w:spacing w:line="316" w:lineRule="auto" w:before="75"/>
        <w:ind w:left="143" w:right="-19"/>
        <w:jc w:val="left"/>
      </w:pPr>
      <w:r>
        <w:rPr/>
        <w:br w:type="column"/>
      </w:r>
      <w:r>
        <w:rPr/>
        <w:t>节能技术推广服 务；</w:t>
      </w:r>
    </w:p>
    <w:p>
      <w:pPr>
        <w:pStyle w:val="BodyText"/>
        <w:spacing w:line="240" w:lineRule="auto" w:before="20"/>
        <w:ind w:left="143" w:right="-19"/>
        <w:jc w:val="left"/>
      </w:pPr>
      <w:r>
        <w:rPr/>
        <w:pict>
          <v:shape style="position:absolute;margin-left:117.443001pt;margin-top:-28.748302pt;width:71.8pt;height:109.25pt;mso-position-horizontal-relative:page;mso-position-vertical-relative:paragraph;z-index:-1651456" type="#_x0000_t202" filled="false" stroked="false">
            <v:textbox inset="0,0,0,0">
              <w:txbxContent>
                <w:p>
                  <w:pPr>
                    <w:spacing w:line="240" w:lineRule="auto" w:before="7"/>
                    <w:rPr>
                      <w:rFonts w:ascii="宋体" w:hAnsi="宋体" w:cs="宋体" w:eastAsia="宋体" w:hint="default"/>
                      <w:sz w:val="21"/>
                      <w:szCs w:val="21"/>
                    </w:rPr>
                  </w:pPr>
                </w:p>
                <w:p>
                  <w:pPr>
                    <w:pStyle w:val="BodyText"/>
                    <w:spacing w:line="240" w:lineRule="auto"/>
                    <w:ind w:left="0" w:right="0"/>
                    <w:jc w:val="left"/>
                  </w:pPr>
                  <w:r>
                    <w:rPr/>
                    <w:t>电力工程设计、</w:t>
                  </w:r>
                </w:p>
              </w:txbxContent>
            </v:textbox>
            <w10:wrap type="none"/>
          </v:shape>
        </w:pict>
      </w:r>
      <w:r>
        <w:rPr/>
        <w:t>施工等。</w:t>
      </w:r>
    </w:p>
    <w:p>
      <w:pPr>
        <w:pStyle w:val="BodyText"/>
        <w:spacing w:line="319" w:lineRule="auto" w:before="75"/>
        <w:ind w:right="5040"/>
        <w:jc w:val="left"/>
      </w:pPr>
      <w:r>
        <w:rPr/>
        <w:br w:type="column"/>
      </w:r>
      <w:r>
        <w:rPr/>
        <w:t>建设集团 有限公 司，西安 交大通达 阳光新能 源有限公 司</w:t>
      </w:r>
    </w:p>
    <w:p>
      <w:pPr>
        <w:spacing w:after="0" w:line="319" w:lineRule="auto"/>
        <w:jc w:val="left"/>
        <w:sectPr>
          <w:type w:val="continuous"/>
          <w:pgSz w:w="11910" w:h="16840"/>
          <w:pgMar w:top="1060" w:bottom="1160" w:left="980" w:right="0"/>
          <w:cols w:num="3" w:equalWidth="0">
            <w:col w:w="875" w:space="40"/>
            <w:col w:w="1405" w:space="2674"/>
            <w:col w:w="5936"/>
          </w:cols>
        </w:sectPr>
      </w:pPr>
    </w:p>
    <w:p>
      <w:pPr>
        <w:spacing w:line="240" w:lineRule="auto" w:before="1"/>
        <w:rPr>
          <w:rFonts w:ascii="宋体" w:hAnsi="宋体" w:cs="宋体" w:eastAsia="宋体" w:hint="default"/>
          <w:sz w:val="20"/>
          <w:szCs w:val="20"/>
        </w:rPr>
      </w:pPr>
    </w:p>
    <w:p>
      <w:pPr>
        <w:pStyle w:val="BodyText"/>
        <w:spacing w:line="316" w:lineRule="auto"/>
        <w:ind w:left="154" w:right="-20"/>
        <w:jc w:val="left"/>
      </w:pPr>
      <w:r>
        <w:rPr/>
        <w:t>阳泉爱康 智慧电力</w:t>
      </w:r>
    </w:p>
    <w:p>
      <w:pPr>
        <w:pStyle w:val="BodyText"/>
        <w:spacing w:line="310" w:lineRule="atLeast" w:before="32"/>
        <w:ind w:left="143" w:right="1171"/>
        <w:jc w:val="left"/>
      </w:pPr>
      <w:r>
        <w:rPr/>
        <w:br w:type="column"/>
      </w:r>
      <w:r>
        <w:rPr/>
        <w:t>配电售电业务；技 </w:t>
      </w:r>
      <w:r>
        <w:rPr>
          <w:spacing w:val="-6"/>
        </w:rPr>
        <w:t>术咨询、技术服务、</w:t>
      </w:r>
    </w:p>
    <w:p>
      <w:pPr>
        <w:pStyle w:val="BodyText"/>
        <w:spacing w:line="124" w:lineRule="exact"/>
        <w:ind w:left="1681" w:right="-18"/>
        <w:jc w:val="left"/>
        <w:rPr>
          <w:rFonts w:ascii="Times New Roman" w:hAnsi="Times New Roman" w:cs="Times New Roman" w:eastAsia="Times New Roman" w:hint="default"/>
        </w:rPr>
      </w:pPr>
      <w:r>
        <w:rPr/>
        <w:t>新</w:t>
      </w:r>
      <w:r>
        <w:rPr>
          <w:spacing w:val="2"/>
        </w:rPr>
        <w:t> </w:t>
      </w:r>
      <w:r>
        <w:rPr>
          <w:rFonts w:ascii="Times New Roman" w:hAnsi="Times New Roman" w:cs="Times New Roman" w:eastAsia="Times New Roman" w:hint="default"/>
        </w:rPr>
        <w:t>210,000,000.</w:t>
      </w:r>
    </w:p>
    <w:p>
      <w:pPr>
        <w:pStyle w:val="BodyText"/>
        <w:spacing w:line="164"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25"/>
          <w:szCs w:val="25"/>
        </w:rPr>
      </w:pPr>
    </w:p>
    <w:p>
      <w:pPr>
        <w:pStyle w:val="BodyText"/>
        <w:spacing w:line="196" w:lineRule="exact"/>
        <w:ind w:left="2140" w:right="0"/>
        <w:jc w:val="left"/>
      </w:pPr>
      <w:r>
        <w:rPr/>
        <w:t>长</w:t>
      </w:r>
    </w:p>
    <w:p>
      <w:pPr>
        <w:pStyle w:val="BodyText"/>
        <w:tabs>
          <w:tab w:pos="1292" w:val="left" w:leader="none"/>
        </w:tabs>
        <w:spacing w:line="171" w:lineRule="exact"/>
        <w:ind w:left="25"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after="0" w:line="171" w:lineRule="exact"/>
        <w:jc w:val="left"/>
        <w:sectPr>
          <w:type w:val="continuous"/>
          <w:pgSz w:w="11910" w:h="16840"/>
          <w:pgMar w:top="1060" w:bottom="1160" w:left="980" w:right="0"/>
          <w:cols w:num="3" w:equalWidth="0">
            <w:col w:w="875" w:space="40"/>
            <w:col w:w="2901" w:space="40"/>
            <w:col w:w="7074"/>
          </w:cols>
        </w:sectPr>
      </w:pPr>
    </w:p>
    <w:p>
      <w:pPr>
        <w:pStyle w:val="BodyText"/>
        <w:spacing w:line="180" w:lineRule="exact"/>
        <w:ind w:left="154" w:right="-20"/>
        <w:jc w:val="left"/>
      </w:pPr>
      <w:r>
        <w:rPr/>
        <w:t>科技有限</w:t>
      </w:r>
    </w:p>
    <w:p>
      <w:pPr>
        <w:pStyle w:val="BodyText"/>
        <w:spacing w:line="240" w:lineRule="auto" w:before="77"/>
        <w:ind w:left="154" w:right="-20"/>
        <w:jc w:val="left"/>
      </w:pPr>
      <w:r>
        <w:rPr/>
        <w:t>公司</w:t>
      </w:r>
    </w:p>
    <w:p>
      <w:pPr>
        <w:pStyle w:val="BodyText"/>
        <w:tabs>
          <w:tab w:pos="2720" w:val="left" w:leader="none"/>
          <w:tab w:pos="5081" w:val="left" w:leader="none"/>
        </w:tabs>
        <w:spacing w:line="148" w:lineRule="exact"/>
        <w:ind w:left="1681" w:right="0"/>
        <w:jc w:val="left"/>
      </w:pPr>
      <w:r>
        <w:rPr/>
        <w:br w:type="column"/>
      </w:r>
      <w:r>
        <w:rPr/>
        <w:t>设</w:t>
        <w:tab/>
      </w:r>
      <w:r>
        <w:rPr>
          <w:rFonts w:ascii="Times New Roman" w:hAnsi="Times New Roman" w:cs="Times New Roman" w:eastAsia="Times New Roman" w:hint="default"/>
        </w:rPr>
        <w:t>00</w:t>
        <w:tab/>
      </w:r>
      <w:r>
        <w:rPr/>
        <w:t>期</w:t>
      </w:r>
    </w:p>
    <w:p>
      <w:pPr>
        <w:pStyle w:val="BodyText"/>
        <w:spacing w:line="188" w:lineRule="exact"/>
        <w:ind w:left="143" w:right="0"/>
        <w:jc w:val="left"/>
      </w:pPr>
      <w:r>
        <w:rPr>
          <w:spacing w:val="-6"/>
        </w:rPr>
        <w:t>务；电力工程设计、</w:t>
      </w:r>
    </w:p>
    <w:p>
      <w:pPr>
        <w:pStyle w:val="BodyText"/>
        <w:spacing w:line="240" w:lineRule="auto" w:before="77"/>
        <w:ind w:left="143" w:right="0"/>
        <w:jc w:val="left"/>
      </w:pPr>
      <w:r>
        <w:rPr/>
        <w:t>施工等。</w:t>
      </w:r>
    </w:p>
    <w:p>
      <w:pPr>
        <w:spacing w:after="0" w:line="240" w:lineRule="auto"/>
        <w:jc w:val="left"/>
        <w:sectPr>
          <w:type w:val="continuous"/>
          <w:pgSz w:w="11910" w:h="16840"/>
          <w:pgMar w:top="1060" w:bottom="1160" w:left="980" w:right="0"/>
          <w:cols w:num="2" w:equalWidth="0">
            <w:col w:w="875" w:space="40"/>
            <w:col w:w="1001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0" w:lineRule="exact" w:before="6"/>
        <w:ind w:left="154" w:right="-20"/>
        <w:jc w:val="left"/>
      </w:pPr>
      <w:r>
        <w:rPr/>
        <w:t>赣州爱康 光电科技</w:t>
      </w:r>
    </w:p>
    <w:p>
      <w:pPr>
        <w:pStyle w:val="BodyText"/>
        <w:spacing w:line="310" w:lineRule="exact" w:before="6"/>
        <w:ind w:left="143" w:right="-19"/>
        <w:jc w:val="left"/>
      </w:pPr>
      <w:r>
        <w:rPr/>
        <w:br w:type="column"/>
      </w:r>
      <w:r>
        <w:rPr/>
        <w:t>研究、开发、生产 及销售太阳能组件</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57" w:right="-18"/>
        <w:jc w:val="left"/>
        <w:rPr>
          <w:rFonts w:ascii="Times New Roman" w:hAnsi="Times New Roman" w:cs="Times New Roman" w:eastAsia="Times New Roman" w:hint="default"/>
        </w:rPr>
      </w:pPr>
      <w:r>
        <w:rPr/>
        <w:t>增</w:t>
      </w:r>
      <w:r>
        <w:rPr>
          <w:spacing w:val="2"/>
        </w:rPr>
        <w:t> </w:t>
      </w:r>
      <w:r>
        <w:rPr>
          <w:rFonts w:ascii="Times New Roman" w:hAnsi="Times New Roman" w:cs="Times New Roman" w:eastAsia="Times New Roman" w:hint="default"/>
        </w:rPr>
        <w:t>70,000,000.0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pStyle w:val="BodyText"/>
        <w:spacing w:line="196" w:lineRule="exact"/>
        <w:ind w:left="2140" w:right="0"/>
        <w:jc w:val="left"/>
      </w:pPr>
      <w:r>
        <w:rPr/>
        <w:t>长</w:t>
      </w:r>
    </w:p>
    <w:p>
      <w:pPr>
        <w:pStyle w:val="BodyText"/>
        <w:tabs>
          <w:tab w:pos="1291" w:val="left" w:leader="none"/>
        </w:tabs>
        <w:spacing w:line="172" w:lineRule="exact"/>
        <w:ind w:left="25"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after="0" w:line="172" w:lineRule="exact"/>
        <w:jc w:val="left"/>
        <w:sectPr>
          <w:type w:val="continuous"/>
          <w:pgSz w:w="11910" w:h="16840"/>
          <w:pgMar w:top="1060" w:bottom="1160" w:left="980" w:right="0"/>
          <w:cols w:num="4" w:equalWidth="0">
            <w:col w:w="875" w:space="40"/>
            <w:col w:w="1585" w:space="40"/>
            <w:col w:w="1277" w:space="40"/>
            <w:col w:w="7073"/>
          </w:cols>
        </w:sectPr>
      </w:pPr>
    </w:p>
    <w:p>
      <w:pPr>
        <w:pStyle w:val="BodyText"/>
        <w:spacing w:line="240" w:lineRule="auto" w:before="41"/>
        <w:ind w:left="154" w:right="-20"/>
        <w:jc w:val="left"/>
      </w:pPr>
      <w:r>
        <w:rPr/>
        <w:t>有限公司</w:t>
      </w:r>
    </w:p>
    <w:p>
      <w:pPr>
        <w:pStyle w:val="BodyText"/>
        <w:tabs>
          <w:tab w:pos="2810" w:val="left" w:leader="none"/>
          <w:tab w:pos="5081" w:val="left" w:leader="none"/>
        </w:tabs>
        <w:spacing w:line="88" w:lineRule="exact"/>
        <w:ind w:left="1681" w:right="0"/>
        <w:jc w:val="left"/>
      </w:pPr>
      <w:r>
        <w:rPr/>
        <w:br w:type="column"/>
      </w:r>
      <w:r>
        <w:rPr/>
        <w:t>资</w:t>
        <w:tab/>
      </w:r>
      <w:r>
        <w:rPr>
          <w:rFonts w:ascii="Times New Roman" w:hAnsi="Times New Roman" w:cs="Times New Roman" w:eastAsia="Times New Roman" w:hint="default"/>
        </w:rPr>
        <w:t>0</w:t>
        <w:tab/>
      </w:r>
      <w:r>
        <w:rPr/>
        <w:t>期</w:t>
      </w:r>
    </w:p>
    <w:p>
      <w:pPr>
        <w:pStyle w:val="BodyText"/>
        <w:spacing w:line="189" w:lineRule="exact"/>
        <w:ind w:left="143" w:right="0"/>
        <w:jc w:val="left"/>
      </w:pPr>
      <w:r>
        <w:rPr/>
        <w:t>产品等</w:t>
      </w:r>
    </w:p>
    <w:p>
      <w:pPr>
        <w:spacing w:after="0" w:line="189" w:lineRule="exact"/>
        <w:jc w:val="left"/>
        <w:sectPr>
          <w:type w:val="continuous"/>
          <w:pgSz w:w="11910" w:h="16840"/>
          <w:pgMar w:top="1060" w:bottom="1160" w:left="980" w:right="0"/>
          <w:cols w:num="2" w:equalWidth="0">
            <w:col w:w="875" w:space="40"/>
            <w:col w:w="1001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0" w:lineRule="exact" w:before="6"/>
        <w:ind w:left="154" w:right="-20"/>
        <w:jc w:val="left"/>
      </w:pPr>
      <w:r>
        <w:rPr/>
        <w:t>锦州中康 电力开发</w:t>
      </w:r>
    </w:p>
    <w:p>
      <w:pPr>
        <w:pStyle w:val="BodyText"/>
        <w:spacing w:line="310" w:lineRule="exact" w:before="6"/>
        <w:ind w:left="143" w:right="-19"/>
        <w:jc w:val="left"/>
      </w:pPr>
      <w:r>
        <w:rPr/>
        <w:br w:type="column"/>
      </w:r>
      <w:r>
        <w:rPr/>
        <w:t>光伏光热电站的技 术开发、项目咨询</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57" w:right="-18"/>
        <w:jc w:val="left"/>
        <w:rPr>
          <w:rFonts w:ascii="Times New Roman" w:hAnsi="Times New Roman" w:cs="Times New Roman" w:eastAsia="Times New Roman" w:hint="default"/>
        </w:rPr>
      </w:pPr>
      <w:r>
        <w:rPr/>
        <w:t>增</w:t>
      </w:r>
      <w:r>
        <w:rPr>
          <w:spacing w:val="2"/>
        </w:rPr>
        <w:t> </w:t>
      </w:r>
      <w:r>
        <w:rPr>
          <w:rFonts w:ascii="Times New Roman" w:hAnsi="Times New Roman" w:cs="Times New Roman" w:eastAsia="Times New Roman" w:hint="default"/>
        </w:rPr>
        <w:t>22,800,000.0</w:t>
      </w:r>
    </w:p>
    <w:p>
      <w:pPr>
        <w:spacing w:line="240" w:lineRule="auto" w:before="5"/>
        <w:rPr>
          <w:rFonts w:ascii="Times New Roman" w:hAnsi="Times New Roman" w:cs="Times New Roman" w:eastAsia="Times New Roman" w:hint="default"/>
          <w:sz w:val="17"/>
          <w:szCs w:val="17"/>
        </w:rPr>
      </w:pPr>
      <w:r>
        <w:rPr/>
        <w:br w:type="column"/>
      </w:r>
      <w:r>
        <w:rPr>
          <w:rFonts w:ascii="Times New Roman"/>
          <w:sz w:val="17"/>
        </w:rPr>
      </w:r>
    </w:p>
    <w:p>
      <w:pPr>
        <w:pStyle w:val="BodyText"/>
        <w:spacing w:line="196" w:lineRule="exact"/>
        <w:ind w:left="2140" w:right="0"/>
        <w:jc w:val="left"/>
      </w:pPr>
      <w:r>
        <w:rPr/>
        <w:t>长</w:t>
      </w:r>
    </w:p>
    <w:p>
      <w:pPr>
        <w:pStyle w:val="BodyText"/>
        <w:tabs>
          <w:tab w:pos="1291" w:val="left" w:leader="none"/>
        </w:tabs>
        <w:spacing w:line="172" w:lineRule="exact"/>
        <w:ind w:left="25"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after="0" w:line="172" w:lineRule="exact"/>
        <w:jc w:val="left"/>
        <w:sectPr>
          <w:type w:val="continuous"/>
          <w:pgSz w:w="11910" w:h="16840"/>
          <w:pgMar w:top="1060" w:bottom="1160" w:left="980" w:right="0"/>
          <w:cols w:num="4" w:equalWidth="0">
            <w:col w:w="875" w:space="40"/>
            <w:col w:w="1585" w:space="40"/>
            <w:col w:w="1277" w:space="40"/>
            <w:col w:w="7073"/>
          </w:cols>
        </w:sectPr>
      </w:pPr>
    </w:p>
    <w:p>
      <w:pPr>
        <w:pStyle w:val="BodyText"/>
        <w:spacing w:line="240" w:lineRule="auto" w:before="41"/>
        <w:ind w:left="154" w:right="-20"/>
        <w:jc w:val="left"/>
      </w:pPr>
      <w:r>
        <w:rPr/>
        <w:t>有限公司</w:t>
      </w:r>
    </w:p>
    <w:p>
      <w:pPr>
        <w:pStyle w:val="BodyText"/>
        <w:tabs>
          <w:tab w:pos="2810" w:val="left" w:leader="none"/>
          <w:tab w:pos="5081" w:val="left" w:leader="none"/>
        </w:tabs>
        <w:spacing w:line="88" w:lineRule="exact"/>
        <w:ind w:left="1681" w:right="0"/>
        <w:jc w:val="left"/>
      </w:pPr>
      <w:r>
        <w:rPr/>
        <w:br w:type="column"/>
      </w:r>
      <w:r>
        <w:rPr/>
        <w:t>资</w:t>
        <w:tab/>
      </w:r>
      <w:r>
        <w:rPr>
          <w:rFonts w:ascii="Times New Roman" w:hAnsi="Times New Roman" w:cs="Times New Roman" w:eastAsia="Times New Roman" w:hint="default"/>
        </w:rPr>
        <w:t>0</w:t>
        <w:tab/>
      </w:r>
      <w:r>
        <w:rPr/>
        <w:t>期</w:t>
      </w:r>
    </w:p>
    <w:p>
      <w:pPr>
        <w:pStyle w:val="BodyText"/>
        <w:spacing w:line="189" w:lineRule="exact"/>
        <w:ind w:left="143" w:right="0"/>
        <w:jc w:val="left"/>
      </w:pPr>
      <w:r>
        <w:rPr/>
        <w:t>和技术服务等</w:t>
      </w:r>
    </w:p>
    <w:p>
      <w:pPr>
        <w:spacing w:after="0" w:line="189" w:lineRule="exact"/>
        <w:jc w:val="left"/>
        <w:sectPr>
          <w:type w:val="continuous"/>
          <w:pgSz w:w="11910" w:h="16840"/>
          <w:pgMar w:top="1060" w:bottom="1160" w:left="980" w:right="0"/>
          <w:cols w:num="2" w:equalWidth="0">
            <w:col w:w="875" w:space="40"/>
            <w:col w:w="10015"/>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青海爱康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增</w:t>
      </w:r>
      <w:r>
        <w:rPr>
          <w:spacing w:val="2"/>
        </w:rPr>
        <w:t> </w:t>
      </w:r>
      <w:r>
        <w:rPr>
          <w:rFonts w:ascii="Times New Roman" w:hAnsi="Times New Roman" w:cs="Times New Roman" w:eastAsia="Times New Roman" w:hint="default"/>
        </w:rPr>
        <w:t>20,060,000.0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1"/>
          <w:szCs w:val="21"/>
        </w:rPr>
      </w:pPr>
    </w:p>
    <w:p>
      <w:pPr>
        <w:pStyle w:val="BodyText"/>
        <w:spacing w:line="196" w:lineRule="exact"/>
        <w:ind w:left="2140" w:right="0"/>
        <w:jc w:val="left"/>
      </w:pPr>
      <w:r>
        <w:rPr/>
        <w:t>长</w:t>
      </w:r>
    </w:p>
    <w:p>
      <w:pPr>
        <w:pStyle w:val="BodyText"/>
        <w:tabs>
          <w:tab w:pos="1291" w:val="left" w:leader="none"/>
        </w:tabs>
        <w:spacing w:line="172" w:lineRule="exact"/>
        <w:ind w:left="25"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after="0" w:line="172" w:lineRule="exact"/>
        <w:jc w:val="left"/>
        <w:sectPr>
          <w:type w:val="continuous"/>
          <w:pgSz w:w="11910" w:h="16840"/>
          <w:pgMar w:top="1060" w:bottom="1160" w:left="980" w:right="0"/>
          <w:cols w:num="3" w:equalWidth="0">
            <w:col w:w="875" w:space="40"/>
            <w:col w:w="2901" w:space="40"/>
            <w:col w:w="7074"/>
          </w:cols>
        </w:sectPr>
      </w:pPr>
    </w:p>
    <w:p>
      <w:pPr>
        <w:pStyle w:val="BodyText"/>
        <w:tabs>
          <w:tab w:pos="3724" w:val="left" w:leader="none"/>
          <w:tab w:pos="5995" w:val="left" w:leader="none"/>
        </w:tabs>
        <w:spacing w:line="124" w:lineRule="exact"/>
        <w:ind w:left="2595" w:right="1122"/>
        <w:jc w:val="left"/>
      </w:pPr>
      <w:r>
        <w:rPr/>
        <w:t>资</w:t>
        <w:tab/>
      </w:r>
      <w:r>
        <w:rPr>
          <w:rFonts w:ascii="Times New Roman" w:hAnsi="Times New Roman" w:cs="Times New Roman" w:eastAsia="Times New Roman" w:hint="default"/>
        </w:rPr>
        <w:t>0</w:t>
        <w:tab/>
      </w:r>
      <w:r>
        <w:rPr/>
        <w:t>期</w:t>
      </w:r>
    </w:p>
    <w:p>
      <w:pPr>
        <w:pStyle w:val="BodyText"/>
        <w:tabs>
          <w:tab w:pos="903" w:val="left" w:leader="none"/>
        </w:tabs>
        <w:spacing w:line="189" w:lineRule="exact"/>
        <w:ind w:left="0" w:right="8141"/>
        <w:jc w:val="center"/>
      </w:pPr>
      <w:r>
        <w:rPr/>
        <w:t>公司</w:t>
        <w:tab/>
      </w:r>
      <w:r>
        <w:rPr>
          <w:spacing w:val="-6"/>
        </w:rPr>
        <w:t>务；电力工程设计、</w:t>
      </w:r>
    </w:p>
    <w:p>
      <w:pPr>
        <w:pStyle w:val="BodyText"/>
        <w:spacing w:line="240" w:lineRule="auto" w:before="76"/>
        <w:ind w:left="0" w:right="8088"/>
        <w:jc w:val="center"/>
      </w:pPr>
      <w:r>
        <w:rPr/>
        <w:t>施工等。</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pStyle w:val="BodyText"/>
        <w:spacing w:line="310" w:lineRule="exact" w:before="6"/>
        <w:ind w:left="154" w:right="-20"/>
        <w:jc w:val="left"/>
      </w:pPr>
      <w:r>
        <w:rPr/>
        <w:t>北京碳诺 科技有限</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43" w:right="-19"/>
        <w:jc w:val="left"/>
      </w:pPr>
      <w:r>
        <w:rPr/>
        <w:t>碳资产开发、咨询</w:t>
      </w:r>
      <w:r>
        <w:rPr>
          <w:spacing w:val="7"/>
        </w:rPr>
        <w:t> </w:t>
      </w:r>
      <w:r>
        <w:rPr/>
        <w:t>增</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196" w:lineRule="exact"/>
        <w:ind w:left="3161" w:right="4730"/>
        <w:jc w:val="center"/>
      </w:pPr>
      <w:r>
        <w:rPr/>
        <w:t>长</w:t>
      </w:r>
    </w:p>
    <w:p>
      <w:pPr>
        <w:pStyle w:val="BodyText"/>
        <w:tabs>
          <w:tab w:pos="2331" w:val="left" w:leader="none"/>
        </w:tabs>
        <w:spacing w:line="172" w:lineRule="exact"/>
        <w:ind w:left="54" w:right="0"/>
        <w:jc w:val="left"/>
      </w:pPr>
      <w:r>
        <w:rPr>
          <w:rFonts w:ascii="Times New Roman" w:hAnsi="Times New Roman" w:cs="Times New Roman" w:eastAsia="Times New Roman" w:hint="default"/>
        </w:rPr>
        <w:t>9,800,000.00 100.00%</w:t>
      </w:r>
      <w:r>
        <w:rPr>
          <w:rFonts w:ascii="Times New Roman" w:hAnsi="Times New Roman" w:cs="Times New Roman" w:eastAsia="Times New Roman" w:hint="default"/>
          <w:spacing w:val="27"/>
        </w:rPr>
        <w:t> </w:t>
      </w:r>
      <w:r>
        <w:rPr/>
        <w:t>自筹</w:t>
        <w:tab/>
        <w:t>无</w:t>
      </w:r>
    </w:p>
    <w:p>
      <w:pPr>
        <w:spacing w:after="0" w:line="172" w:lineRule="exact"/>
        <w:jc w:val="left"/>
        <w:sectPr>
          <w:type w:val="continuous"/>
          <w:pgSz w:w="11910" w:h="16840"/>
          <w:pgMar w:top="1060" w:bottom="1160" w:left="980" w:right="0"/>
          <w:cols w:num="3" w:equalWidth="0">
            <w:col w:w="875" w:space="40"/>
            <w:col w:w="1862" w:space="40"/>
            <w:col w:w="8113"/>
          </w:cols>
        </w:sectPr>
      </w:pPr>
    </w:p>
    <w:p>
      <w:pPr>
        <w:pStyle w:val="BodyText"/>
        <w:tabs>
          <w:tab w:pos="2595" w:val="left" w:leader="none"/>
          <w:tab w:pos="5995" w:val="left" w:leader="none"/>
        </w:tabs>
        <w:spacing w:line="81" w:lineRule="exact"/>
        <w:ind w:left="1058" w:right="1122"/>
        <w:jc w:val="left"/>
      </w:pPr>
      <w:r>
        <w:rPr/>
        <w:t>等</w:t>
        <w:tab/>
        <w:t>资</w:t>
        <w:tab/>
        <w:t>期</w:t>
      </w:r>
    </w:p>
    <w:p>
      <w:pPr>
        <w:pStyle w:val="BodyText"/>
        <w:spacing w:line="196" w:lineRule="exact"/>
        <w:ind w:left="154" w:right="1122"/>
        <w:jc w:val="left"/>
      </w:pPr>
      <w:r>
        <w:rPr/>
        <w:t>公司</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内蒙古爱 康电力有</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增</w:t>
      </w:r>
      <w:r>
        <w:rPr>
          <w:spacing w:val="2"/>
        </w:rPr>
        <w:t> </w:t>
      </w:r>
      <w:r>
        <w:rPr>
          <w:rFonts w:ascii="Times New Roman" w:hAnsi="Times New Roman" w:cs="Times New Roman" w:eastAsia="Times New Roman" w:hint="default"/>
        </w:rPr>
        <w:t>100,000,000.</w:t>
      </w:r>
    </w:p>
    <w:p>
      <w:pPr>
        <w:pStyle w:val="BodyText"/>
        <w:spacing w:line="166" w:lineRule="exact"/>
        <w:ind w:left="143" w:right="-17"/>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2140" w:right="0"/>
        <w:jc w:val="left"/>
      </w:pPr>
      <w:r>
        <w:rPr/>
        <w:t>长</w:t>
      </w:r>
    </w:p>
    <w:p>
      <w:pPr>
        <w:pStyle w:val="BodyText"/>
        <w:tabs>
          <w:tab w:pos="1292" w:val="left" w:leader="none"/>
        </w:tabs>
        <w:spacing w:line="172" w:lineRule="exact"/>
        <w:ind w:left="25" w:right="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after="0" w:line="172" w:lineRule="exact"/>
        <w:jc w:val="left"/>
        <w:sectPr>
          <w:type w:val="continuous"/>
          <w:pgSz w:w="11910" w:h="16840"/>
          <w:pgMar w:top="1060" w:bottom="1160" w:left="980" w:right="0"/>
          <w:cols w:num="3" w:equalWidth="0">
            <w:col w:w="875" w:space="40"/>
            <w:col w:w="2901" w:space="40"/>
            <w:col w:w="7074"/>
          </w:cols>
        </w:sectPr>
      </w:pPr>
    </w:p>
    <w:p>
      <w:pPr>
        <w:pStyle w:val="BodyText"/>
        <w:spacing w:line="240" w:lineRule="auto" w:before="77"/>
        <w:ind w:left="154" w:right="-20"/>
        <w:jc w:val="left"/>
      </w:pPr>
      <w:r>
        <w:rPr/>
        <w:t>限公司</w:t>
      </w:r>
    </w:p>
    <w:p>
      <w:pPr>
        <w:pStyle w:val="BodyText"/>
        <w:tabs>
          <w:tab w:pos="2730" w:val="left" w:leader="none"/>
          <w:tab w:pos="5091" w:val="left" w:leader="none"/>
        </w:tabs>
        <w:spacing w:line="124" w:lineRule="exact"/>
        <w:ind w:left="1691" w:right="0"/>
        <w:jc w:val="left"/>
      </w:pPr>
      <w:r>
        <w:rPr/>
        <w:br w:type="column"/>
      </w:r>
      <w:r>
        <w:rPr/>
        <w:t>资</w:t>
        <w:tab/>
      </w:r>
      <w:r>
        <w:rPr>
          <w:rFonts w:ascii="Times New Roman" w:hAnsi="Times New Roman" w:cs="Times New Roman" w:eastAsia="Times New Roman" w:hint="default"/>
        </w:rPr>
        <w:t>00</w:t>
        <w:tab/>
      </w:r>
      <w:r>
        <w:rPr/>
        <w:t>期</w:t>
      </w:r>
    </w:p>
    <w:p>
      <w:pPr>
        <w:pStyle w:val="BodyText"/>
        <w:spacing w:line="188" w:lineRule="exact"/>
        <w:ind w:left="154" w:right="0"/>
        <w:jc w:val="left"/>
      </w:pPr>
      <w:r>
        <w:rPr>
          <w:spacing w:val="-6"/>
        </w:rPr>
        <w:t>务；电力工程设计、</w:t>
      </w:r>
    </w:p>
    <w:p>
      <w:pPr>
        <w:pStyle w:val="BodyText"/>
        <w:spacing w:line="240" w:lineRule="auto" w:before="77"/>
        <w:ind w:left="154" w:right="0"/>
        <w:jc w:val="left"/>
      </w:pPr>
      <w:r>
        <w:rPr/>
        <w:t>施工等。</w:t>
      </w:r>
    </w:p>
    <w:p>
      <w:pPr>
        <w:spacing w:after="0" w:line="240" w:lineRule="auto"/>
        <w:jc w:val="left"/>
        <w:sectPr>
          <w:type w:val="continuous"/>
          <w:pgSz w:w="11910" w:h="16840"/>
          <w:pgMar w:top="1060" w:bottom="1160" w:left="980" w:right="0"/>
          <w:cols w:num="2" w:equalWidth="0">
            <w:col w:w="695" w:space="209"/>
            <w:col w:w="10026"/>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7"/>
        <w:rPr>
          <w:rFonts w:ascii="宋体" w:hAnsi="宋体" w:cs="宋体" w:eastAsia="宋体" w:hint="default"/>
          <w:sz w:val="21"/>
          <w:szCs w:val="21"/>
        </w:rPr>
      </w:pPr>
    </w:p>
    <w:p>
      <w:pPr>
        <w:pStyle w:val="BodyText"/>
        <w:spacing w:line="310" w:lineRule="atLeast"/>
        <w:ind w:left="154" w:right="-20"/>
        <w:jc w:val="left"/>
      </w:pPr>
      <w:r>
        <w:rPr/>
        <w:t>甘肃爱康 电力有限</w:t>
      </w:r>
    </w:p>
    <w:p>
      <w:pPr>
        <w:pStyle w:val="BodyText"/>
        <w:spacing w:line="310" w:lineRule="exact" w:before="6"/>
        <w:ind w:left="143" w:right="1171"/>
        <w:jc w:val="left"/>
      </w:pPr>
      <w:r>
        <w:rPr/>
        <w:br w:type="column"/>
      </w:r>
      <w:r>
        <w:rPr/>
        <w:t>配电售电业务；技 </w:t>
      </w:r>
      <w:r>
        <w:rPr>
          <w:spacing w:val="-6"/>
        </w:rPr>
        <w:t>术咨询、技术服务、</w:t>
      </w:r>
    </w:p>
    <w:p>
      <w:pPr>
        <w:pStyle w:val="BodyText"/>
        <w:spacing w:line="87" w:lineRule="exact"/>
        <w:ind w:left="1681" w:right="-18"/>
        <w:jc w:val="left"/>
        <w:rPr>
          <w:rFonts w:ascii="Times New Roman" w:hAnsi="Times New Roman" w:cs="Times New Roman" w:eastAsia="Times New Roman" w:hint="default"/>
        </w:rPr>
      </w:pPr>
      <w:r>
        <w:rPr/>
        <w:t>增</w:t>
      </w:r>
      <w:r>
        <w:rPr>
          <w:spacing w:val="2"/>
        </w:rPr>
        <w:t> </w:t>
      </w:r>
      <w:r>
        <w:rPr>
          <w:rFonts w:ascii="Times New Roman" w:hAnsi="Times New Roman" w:cs="Times New Roman" w:eastAsia="Times New Roman" w:hint="default"/>
        </w:rPr>
        <w:t>20,000,000.0</w:t>
      </w:r>
    </w:p>
    <w:p>
      <w:pPr>
        <w:pStyle w:val="BodyText"/>
        <w:spacing w:line="166" w:lineRule="exact"/>
        <w:ind w:left="143" w:right="1171"/>
        <w:jc w:val="left"/>
      </w:pPr>
      <w:r>
        <w:rPr/>
        <w:t>节能技术推广服</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1291" w:val="left" w:leader="none"/>
        </w:tabs>
        <w:spacing w:line="212" w:lineRule="exact"/>
        <w:ind w:left="25" w:right="-20"/>
        <w:jc w:val="left"/>
      </w:pPr>
      <w:r>
        <w:rPr>
          <w:rFonts w:ascii="Times New Roman" w:hAnsi="Times New Roman" w:cs="Times New Roman" w:eastAsia="Times New Roman" w:hint="default"/>
        </w:rPr>
        <w:t>100.00%</w:t>
      </w:r>
      <w:r>
        <w:rPr>
          <w:rFonts w:ascii="Times New Roman" w:hAnsi="Times New Roman" w:cs="Times New Roman" w:eastAsia="Times New Roman" w:hint="default"/>
          <w:spacing w:val="9"/>
        </w:rPr>
        <w:t> </w:t>
      </w:r>
      <w:r>
        <w:rPr/>
        <w:t>自筹</w:t>
        <w:tab/>
        <w:t>无</w:t>
      </w:r>
    </w:p>
    <w:p>
      <w:pPr>
        <w:spacing w:line="240" w:lineRule="auto" w:before="0"/>
        <w:rPr>
          <w:rFonts w:ascii="宋体" w:hAnsi="宋体" w:cs="宋体" w:eastAsia="宋体" w:hint="default"/>
          <w:sz w:val="18"/>
          <w:szCs w:val="18"/>
        </w:rPr>
      </w:pPr>
      <w:r>
        <w:rPr/>
        <w:br w:type="column"/>
      </w:r>
      <w:r>
        <w:rPr>
          <w:rFonts w:ascii="宋体"/>
          <w:sz w:val="18"/>
        </w:rPr>
      </w:r>
    </w:p>
    <w:p>
      <w:pPr>
        <w:pStyle w:val="BodyText"/>
        <w:tabs>
          <w:tab w:pos="1005" w:val="left" w:leader="none"/>
        </w:tabs>
        <w:spacing w:line="196" w:lineRule="exact" w:before="121"/>
        <w:ind w:left="437" w:right="-19"/>
        <w:jc w:val="left"/>
      </w:pPr>
      <w:r>
        <w:rPr/>
        <w:t>配电</w:t>
        <w:tab/>
        <w:t>已</w:t>
      </w:r>
    </w:p>
    <w:p>
      <w:pPr>
        <w:pStyle w:val="BodyText"/>
        <w:spacing w:line="155" w:lineRule="exact"/>
        <w:ind w:right="-19"/>
        <w:jc w:val="left"/>
      </w:pPr>
      <w:r>
        <w:rPr/>
        <w:t>长</w:t>
      </w:r>
    </w:p>
    <w:p>
      <w:pPr>
        <w:pStyle w:val="BodyText"/>
        <w:tabs>
          <w:tab w:pos="1005" w:val="left" w:leader="none"/>
        </w:tabs>
        <w:spacing w:line="172" w:lineRule="exact"/>
        <w:ind w:left="437" w:right="-19"/>
        <w:jc w:val="left"/>
      </w:pPr>
      <w:r>
        <w:rPr/>
        <w:t>售电</w:t>
        <w:tab/>
        <w:t>完</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pStyle w:val="BodyText"/>
        <w:tabs>
          <w:tab w:pos="787" w:val="left" w:leader="none"/>
        </w:tabs>
        <w:spacing w:line="212" w:lineRule="exact"/>
        <w:ind w:left="107" w:right="0"/>
        <w:jc w:val="left"/>
      </w:pPr>
      <w:r>
        <w:rPr>
          <w:rFonts w:ascii="Times New Roman" w:hAnsi="Times New Roman" w:cs="Times New Roman" w:eastAsia="Times New Roman" w:hint="default"/>
        </w:rPr>
        <w:t>0.00</w:t>
        <w:tab/>
        <w:t>-10,531.91</w:t>
      </w:r>
      <w:r>
        <w:rPr>
          <w:rFonts w:ascii="Times New Roman" w:hAnsi="Times New Roman" w:cs="Times New Roman" w:eastAsia="Times New Roman" w:hint="default"/>
          <w:spacing w:val="10"/>
        </w:rPr>
        <w:t> </w:t>
      </w:r>
      <w:r>
        <w:rPr/>
        <w:t>否</w:t>
      </w:r>
    </w:p>
    <w:p>
      <w:pPr>
        <w:spacing w:after="0" w:line="212" w:lineRule="exact"/>
        <w:jc w:val="left"/>
        <w:sectPr>
          <w:type w:val="continuous"/>
          <w:pgSz w:w="11910" w:h="16840"/>
          <w:pgMar w:top="1060" w:bottom="1160" w:left="980" w:right="0"/>
          <w:cols w:num="5" w:equalWidth="0">
            <w:col w:w="875" w:space="40"/>
            <w:col w:w="2901" w:space="40"/>
            <w:col w:w="1472" w:space="514"/>
            <w:col w:w="1187" w:space="40"/>
            <w:col w:w="3861"/>
          </w:cols>
        </w:sectPr>
      </w:pPr>
    </w:p>
    <w:p>
      <w:pPr>
        <w:pStyle w:val="BodyText"/>
        <w:tabs>
          <w:tab w:pos="3724" w:val="left" w:leader="none"/>
          <w:tab w:pos="5995" w:val="left" w:leader="none"/>
        </w:tabs>
        <w:spacing w:line="124" w:lineRule="exact"/>
        <w:ind w:left="2595" w:right="1122"/>
        <w:jc w:val="left"/>
      </w:pPr>
      <w:r>
        <w:rPr/>
        <w:t>资</w:t>
        <w:tab/>
      </w:r>
      <w:r>
        <w:rPr>
          <w:rFonts w:ascii="Times New Roman" w:hAnsi="Times New Roman" w:cs="Times New Roman" w:eastAsia="Times New Roman" w:hint="default"/>
        </w:rPr>
        <w:t>0</w:t>
        <w:tab/>
      </w:r>
      <w:r>
        <w:rPr/>
        <w:t>期</w:t>
      </w:r>
    </w:p>
    <w:p>
      <w:pPr>
        <w:pStyle w:val="BodyText"/>
        <w:spacing w:line="189" w:lineRule="exact"/>
        <w:ind w:left="154" w:right="1122"/>
        <w:jc w:val="left"/>
      </w:pPr>
      <w:r>
        <w:rPr/>
        <w:pict>
          <v:shape style="position:absolute;margin-left:100.150002pt;margin-top:.3881pt;width:302pt;height:112.2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87"/>
                    <w:gridCol w:w="1032"/>
                    <w:gridCol w:w="711"/>
                    <w:gridCol w:w="566"/>
                    <w:gridCol w:w="848"/>
                    <w:gridCol w:w="775"/>
                    <w:gridCol w:w="319"/>
                  </w:tblGrid>
                  <w:tr>
                    <w:trPr>
                      <w:trHeight w:val="603"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务；电力工程设计、</w:t>
                        </w:r>
                      </w:p>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施工等。</w:t>
                        </w:r>
                      </w:p>
                    </w:tc>
                    <w:tc>
                      <w:tcPr>
                        <w:tcW w:w="103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Style w:val="TableParagraph"/>
                          <w:spacing w:line="181" w:lineRule="exact"/>
                          <w:ind w:right="102"/>
                          <w:jc w:val="right"/>
                          <w:rPr>
                            <w:rFonts w:ascii="宋体" w:hAnsi="宋体" w:cs="宋体" w:eastAsia="宋体" w:hint="default"/>
                            <w:sz w:val="18"/>
                            <w:szCs w:val="18"/>
                          </w:rPr>
                        </w:pPr>
                        <w:r>
                          <w:rPr>
                            <w:rFonts w:ascii="宋体" w:hAnsi="宋体" w:cs="宋体" w:eastAsia="宋体" w:hint="default"/>
                            <w:sz w:val="18"/>
                            <w:szCs w:val="18"/>
                          </w:rPr>
                          <w:t>业务</w:t>
                        </w:r>
                      </w:p>
                    </w:tc>
                    <w:tc>
                      <w:tcPr>
                        <w:tcW w:w="319"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center"/>
                          <w:rPr>
                            <w:rFonts w:ascii="宋体" w:hAnsi="宋体" w:cs="宋体" w:eastAsia="宋体" w:hint="default"/>
                            <w:sz w:val="18"/>
                            <w:szCs w:val="18"/>
                          </w:rPr>
                        </w:pPr>
                        <w:r>
                          <w:rPr>
                            <w:rFonts w:ascii="宋体" w:hAnsi="宋体" w:cs="宋体" w:eastAsia="宋体" w:hint="default"/>
                            <w:sz w:val="18"/>
                            <w:szCs w:val="18"/>
                          </w:rPr>
                          <w:t>成</w:t>
                        </w:r>
                      </w:p>
                    </w:tc>
                  </w:tr>
                  <w:tr>
                    <w:trPr>
                      <w:trHeight w:val="357"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35" w:right="0"/>
                          <w:jc w:val="left"/>
                          <w:rPr>
                            <w:rFonts w:ascii="宋体" w:hAnsi="宋体" w:cs="宋体" w:eastAsia="宋体" w:hint="default"/>
                            <w:sz w:val="18"/>
                            <w:szCs w:val="18"/>
                          </w:rPr>
                        </w:pPr>
                        <w:r>
                          <w:rPr>
                            <w:rFonts w:ascii="宋体" w:hAnsi="宋体" w:cs="宋体" w:eastAsia="宋体" w:hint="default"/>
                            <w:sz w:val="18"/>
                            <w:szCs w:val="18"/>
                          </w:rPr>
                          <w:t>配电售电业务；技</w:t>
                        </w:r>
                      </w:p>
                    </w:tc>
                    <w:tc>
                      <w:tcPr>
                        <w:tcW w:w="103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r>
                  <w:tr>
                    <w:trPr>
                      <w:trHeight w:val="247"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pacing w:val="-6"/>
                            <w:sz w:val="18"/>
                            <w:szCs w:val="18"/>
                          </w:rPr>
                          <w:t>术咨询、技术服务、</w:t>
                        </w:r>
                      </w:p>
                    </w:tc>
                    <w:tc>
                      <w:tcPr>
                        <w:tcW w:w="1032" w:type="dxa"/>
                        <w:tcBorders>
                          <w:top w:val="nil" w:sz="6" w:space="0" w:color="auto"/>
                          <w:left w:val="nil" w:sz="6" w:space="0" w:color="auto"/>
                          <w:bottom w:val="nil" w:sz="6" w:space="0" w:color="auto"/>
                          <w:right w:val="nil" w:sz="6" w:space="0" w:color="auto"/>
                        </w:tcBorders>
                      </w:tcPr>
                      <w:p>
                        <w:pPr/>
                      </w:p>
                    </w:tc>
                    <w:tc>
                      <w:tcPr>
                        <w:tcW w:w="711" w:type="dxa"/>
                        <w:tcBorders>
                          <w:top w:val="nil" w:sz="6" w:space="0" w:color="auto"/>
                          <w:left w:val="nil" w:sz="6" w:space="0" w:color="auto"/>
                          <w:bottom w:val="nil" w:sz="6" w:space="0" w:color="auto"/>
                          <w:right w:val="nil" w:sz="6" w:space="0" w:color="auto"/>
                        </w:tcBorders>
                      </w:tcPr>
                      <w:p>
                        <w:pPr/>
                      </w:p>
                    </w:tc>
                    <w:tc>
                      <w:tcPr>
                        <w:tcW w:w="566" w:type="dxa"/>
                        <w:tcBorders>
                          <w:top w:val="nil" w:sz="6" w:space="0" w:color="auto"/>
                          <w:left w:val="nil" w:sz="6" w:space="0" w:color="auto"/>
                          <w:bottom w:val="nil" w:sz="6" w:space="0" w:color="auto"/>
                          <w:right w:val="nil" w:sz="6" w:space="0" w:color="auto"/>
                        </w:tcBorders>
                      </w:tcPr>
                      <w:p>
                        <w:pPr/>
                      </w:p>
                    </w:tc>
                    <w:tc>
                      <w:tcPr>
                        <w:tcW w:w="848" w:type="dxa"/>
                        <w:tcBorders>
                          <w:top w:val="nil" w:sz="6" w:space="0" w:color="auto"/>
                          <w:left w:val="nil" w:sz="6" w:space="0" w:color="auto"/>
                          <w:bottom w:val="nil" w:sz="6" w:space="0" w:color="auto"/>
                          <w:right w:val="nil" w:sz="6" w:space="0" w:color="auto"/>
                        </w:tcBorders>
                      </w:tcPr>
                      <w:p>
                        <w:pPr/>
                      </w:p>
                    </w:tc>
                    <w:tc>
                      <w:tcPr>
                        <w:tcW w:w="7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02"/>
                          <w:jc w:val="right"/>
                          <w:rPr>
                            <w:rFonts w:ascii="宋体" w:hAnsi="宋体" w:cs="宋体" w:eastAsia="宋体" w:hint="default"/>
                            <w:sz w:val="18"/>
                            <w:szCs w:val="18"/>
                          </w:rPr>
                        </w:pPr>
                        <w:r>
                          <w:rPr>
                            <w:rFonts w:ascii="宋体" w:hAnsi="宋体" w:cs="宋体" w:eastAsia="宋体" w:hint="default"/>
                            <w:sz w:val="18"/>
                            <w:szCs w:val="18"/>
                          </w:rPr>
                          <w:t>配电</w:t>
                        </w:r>
                      </w:p>
                    </w:tc>
                    <w:tc>
                      <w:tcPr>
                        <w:tcW w:w="319" w:type="dxa"/>
                        <w:tcBorders>
                          <w:top w:val="nil" w:sz="6" w:space="0" w:color="auto"/>
                          <w:left w:val="nil" w:sz="6" w:space="0" w:color="auto"/>
                          <w:bottom w:val="nil" w:sz="6" w:space="0" w:color="auto"/>
                          <w:right w:val="nil" w:sz="6" w:space="0" w:color="auto"/>
                        </w:tcBorders>
                      </w:tcPr>
                      <w:p>
                        <w:pPr>
                          <w:pStyle w:val="TableParagraph"/>
                          <w:spacing w:line="240" w:lineRule="auto" w:before="11"/>
                          <w:ind w:left="69" w:right="0"/>
                          <w:jc w:val="center"/>
                          <w:rPr>
                            <w:rFonts w:ascii="宋体" w:hAnsi="宋体" w:cs="宋体" w:eastAsia="宋体" w:hint="default"/>
                            <w:sz w:val="18"/>
                            <w:szCs w:val="18"/>
                          </w:rPr>
                        </w:pPr>
                        <w:r>
                          <w:rPr>
                            <w:rFonts w:ascii="宋体" w:hAnsi="宋体" w:cs="宋体" w:eastAsia="宋体" w:hint="default"/>
                            <w:sz w:val="18"/>
                            <w:szCs w:val="18"/>
                          </w:rPr>
                          <w:t>已</w:t>
                        </w:r>
                      </w:p>
                    </w:tc>
                  </w:tr>
                  <w:tr>
                    <w:trPr>
                      <w:trHeight w:val="459" w:hRule="exact"/>
                    </w:trPr>
                    <w:tc>
                      <w:tcPr>
                        <w:tcW w:w="6039" w:type="dxa"/>
                        <w:gridSpan w:val="7"/>
                        <w:tcBorders>
                          <w:top w:val="nil" w:sz="6" w:space="0" w:color="auto"/>
                          <w:left w:val="nil" w:sz="6" w:space="0" w:color="auto"/>
                          <w:bottom w:val="nil" w:sz="6" w:space="0" w:color="auto"/>
                          <w:right w:val="nil" w:sz="6" w:space="0" w:color="auto"/>
                        </w:tcBorders>
                      </w:tcPr>
                      <w:p>
                        <w:pPr>
                          <w:pStyle w:val="TableParagraph"/>
                          <w:tabs>
                            <w:tab w:pos="4972" w:val="left" w:leader="none"/>
                          </w:tabs>
                          <w:spacing w:line="123" w:lineRule="exact"/>
                          <w:ind w:left="1572" w:right="0"/>
                          <w:jc w:val="left"/>
                          <w:rPr>
                            <w:rFonts w:ascii="宋体" w:hAnsi="宋体" w:cs="宋体" w:eastAsia="宋体" w:hint="default"/>
                            <w:sz w:val="18"/>
                            <w:szCs w:val="18"/>
                          </w:rPr>
                        </w:pPr>
                        <w:r>
                          <w:rPr>
                            <w:rFonts w:ascii="宋体" w:hAnsi="宋体" w:cs="宋体" w:eastAsia="宋体" w:hint="default"/>
                            <w:sz w:val="18"/>
                            <w:szCs w:val="18"/>
                          </w:rPr>
                          <w:t>增</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20,000,000.0</w:t>
                          <w:tab/>
                        </w:r>
                        <w:r>
                          <w:rPr>
                            <w:rFonts w:ascii="宋体" w:hAnsi="宋体" w:cs="宋体" w:eastAsia="宋体" w:hint="default"/>
                            <w:sz w:val="18"/>
                            <w:szCs w:val="18"/>
                          </w:rPr>
                          <w:t>长</w:t>
                        </w:r>
                      </w:p>
                      <w:p>
                        <w:pPr>
                          <w:pStyle w:val="TableParagraph"/>
                          <w:tabs>
                            <w:tab w:pos="2701" w:val="left" w:leader="none"/>
                            <w:tab w:pos="2857" w:val="left" w:leader="none"/>
                            <w:tab w:pos="4123" w:val="left" w:leader="none"/>
                            <w:tab w:pos="4972" w:val="left" w:leader="none"/>
                            <w:tab w:pos="5255" w:val="left" w:leader="none"/>
                            <w:tab w:pos="5824" w:val="left" w:leader="none"/>
                          </w:tabs>
                          <w:spacing w:line="151" w:lineRule="auto" w:before="31"/>
                          <w:ind w:left="1572" w:right="33" w:hanging="1538"/>
                          <w:jc w:val="left"/>
                          <w:rPr>
                            <w:rFonts w:ascii="宋体" w:hAnsi="宋体" w:cs="宋体" w:eastAsia="宋体" w:hint="default"/>
                            <w:sz w:val="18"/>
                            <w:szCs w:val="18"/>
                          </w:rPr>
                        </w:pPr>
                        <w:r>
                          <w:rPr>
                            <w:rFonts w:ascii="宋体" w:hAnsi="宋体" w:cs="宋体" w:eastAsia="宋体" w:hint="default"/>
                            <w:sz w:val="18"/>
                            <w:szCs w:val="18"/>
                          </w:rPr>
                          <w:t>节能技术推广服</w:t>
                          <w:tab/>
                          <w:tab/>
                          <w:tab/>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自筹</w:t>
                          <w:tab/>
                          <w:t>无</w:t>
                          <w:tab/>
                          <w:tab/>
                          <w:t> 售电</w:t>
                          <w:tab/>
                          <w:t>完 资</w:t>
                          <w:tab/>
                        </w:r>
                        <w:r>
                          <w:rPr>
                            <w:rFonts w:ascii="Times New Roman" w:hAnsi="Times New Roman" w:cs="Times New Roman" w:eastAsia="Times New Roman" w:hint="default"/>
                            <w:sz w:val="18"/>
                            <w:szCs w:val="18"/>
                          </w:rPr>
                          <w:t>0</w:t>
                          <w:tab/>
                          <w:tab/>
                          <w:tab/>
                        </w:r>
                        <w:r>
                          <w:rPr>
                            <w:rFonts w:ascii="宋体" w:hAnsi="宋体" w:cs="宋体" w:eastAsia="宋体" w:hint="default"/>
                            <w:sz w:val="18"/>
                            <w:szCs w:val="18"/>
                          </w:rPr>
                          <w:t>期</w:t>
                        </w:r>
                      </w:p>
                    </w:tc>
                  </w:tr>
                  <w:tr>
                    <w:trPr>
                      <w:trHeight w:val="231"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pacing w:val="-6"/>
                            <w:sz w:val="18"/>
                            <w:szCs w:val="18"/>
                          </w:rPr>
                          <w:t>务；电力工程设计、</w:t>
                        </w:r>
                      </w:p>
                    </w:tc>
                    <w:tc>
                      <w:tcPr>
                        <w:tcW w:w="3933" w:type="dxa"/>
                        <w:gridSpan w:val="5"/>
                        <w:tcBorders>
                          <w:top w:val="nil" w:sz="6" w:space="0" w:color="auto"/>
                          <w:left w:val="nil" w:sz="6" w:space="0" w:color="auto"/>
                          <w:bottom w:val="nil" w:sz="6" w:space="0" w:color="auto"/>
                          <w:right w:val="nil" w:sz="6" w:space="0" w:color="auto"/>
                        </w:tcBorders>
                      </w:tcPr>
                      <w:p>
                        <w:pPr>
                          <w:pStyle w:val="TableParagraph"/>
                          <w:spacing w:line="181" w:lineRule="exact"/>
                          <w:ind w:right="102"/>
                          <w:jc w:val="right"/>
                          <w:rPr>
                            <w:rFonts w:ascii="宋体" w:hAnsi="宋体" w:cs="宋体" w:eastAsia="宋体" w:hint="default"/>
                            <w:sz w:val="18"/>
                            <w:szCs w:val="18"/>
                          </w:rPr>
                        </w:pPr>
                        <w:r>
                          <w:rPr>
                            <w:rFonts w:ascii="宋体" w:hAnsi="宋体" w:cs="宋体" w:eastAsia="宋体" w:hint="default"/>
                            <w:sz w:val="18"/>
                            <w:szCs w:val="18"/>
                          </w:rPr>
                          <w:t>业务</w:t>
                        </w:r>
                      </w:p>
                    </w:tc>
                    <w:tc>
                      <w:tcPr>
                        <w:tcW w:w="319" w:type="dxa"/>
                        <w:tcBorders>
                          <w:top w:val="nil" w:sz="6" w:space="0" w:color="auto"/>
                          <w:left w:val="nil" w:sz="6" w:space="0" w:color="auto"/>
                          <w:bottom w:val="nil" w:sz="6" w:space="0" w:color="auto"/>
                          <w:right w:val="nil" w:sz="6" w:space="0" w:color="auto"/>
                        </w:tcBorders>
                      </w:tcPr>
                      <w:p>
                        <w:pPr>
                          <w:pStyle w:val="TableParagraph"/>
                          <w:spacing w:line="181" w:lineRule="exact"/>
                          <w:ind w:left="69" w:right="0"/>
                          <w:jc w:val="center"/>
                          <w:rPr>
                            <w:rFonts w:ascii="宋体" w:hAnsi="宋体" w:cs="宋体" w:eastAsia="宋体" w:hint="default"/>
                            <w:sz w:val="18"/>
                            <w:szCs w:val="18"/>
                          </w:rPr>
                        </w:pPr>
                        <w:r>
                          <w:rPr>
                            <w:rFonts w:ascii="宋体" w:hAnsi="宋体" w:cs="宋体" w:eastAsia="宋体" w:hint="default"/>
                            <w:sz w:val="18"/>
                            <w:szCs w:val="18"/>
                          </w:rPr>
                          <w:t>成</w:t>
                        </w:r>
                      </w:p>
                    </w:tc>
                  </w:tr>
                  <w:tr>
                    <w:trPr>
                      <w:trHeight w:val="346" w:hRule="exact"/>
                    </w:trPr>
                    <w:tc>
                      <w:tcPr>
                        <w:tcW w:w="1787"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施工等。</w:t>
                        </w:r>
                      </w:p>
                    </w:tc>
                    <w:tc>
                      <w:tcPr>
                        <w:tcW w:w="3933" w:type="dxa"/>
                        <w:gridSpan w:val="5"/>
                        <w:tcBorders>
                          <w:top w:val="nil" w:sz="6" w:space="0" w:color="auto"/>
                          <w:left w:val="nil" w:sz="6" w:space="0" w:color="auto"/>
                          <w:bottom w:val="nil" w:sz="6" w:space="0" w:color="auto"/>
                          <w:right w:val="nil" w:sz="6" w:space="0" w:color="auto"/>
                        </w:tcBorders>
                      </w:tcPr>
                      <w:p>
                        <w:pPr/>
                      </w:p>
                    </w:tc>
                    <w:tc>
                      <w:tcPr>
                        <w:tcW w:w="319"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t>公司</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160" w:left="980" w:right="0"/>
        </w:sectPr>
      </w:pPr>
    </w:p>
    <w:p>
      <w:pPr>
        <w:pStyle w:val="BodyText"/>
        <w:spacing w:line="316" w:lineRule="auto" w:before="44"/>
        <w:ind w:left="154" w:right="0"/>
        <w:jc w:val="both"/>
      </w:pPr>
      <w:r>
        <w:rPr/>
        <w:pict>
          <v:group style="position:absolute;margin-left:55.080002pt;margin-top:71.759979pt;width:485.25pt;height:694.75pt;mso-position-horizontal-relative:page;mso-position-vertical-relative:page;z-index:-1651432" coordorigin="1102,1435" coordsize="9705,13895">
            <v:group style="position:absolute;left:3564;top:1450;width:2;height:353" coordorigin="3564,1450" coordsize="2,353">
              <v:shape style="position:absolute;left:3564;top:1450;width:2;height:353" coordorigin="3564,1450" coordsize="0,353" path="m3564,1450l3564,1802e" filled="false" stroked="true" strokeweight="1.140pt" strokecolor="#ffffff">
                <v:path arrowok="t"/>
              </v:shape>
            </v:group>
            <v:group style="position:absolute;left:3552;top:1802;width:232;height:2185" coordorigin="3552,1802" coordsize="232,2185">
              <v:shape style="position:absolute;left:3552;top:1802;width:232;height:2185" coordorigin="3552,1802" coordsize="232,2185" path="m3552,3987l3784,3987,3784,1802,3552,1802,3552,3987xe" filled="true" fillcolor="#ffffff" stroked="false">
                <v:path arrowok="t"/>
                <v:fill type="solid"/>
              </v:shape>
            </v:group>
            <v:group style="position:absolute;left:3575;top:1450;width:186;height:353" coordorigin="3575,1450" coordsize="186,353">
              <v:shape style="position:absolute;left:3575;top:1450;width:186;height:353" coordorigin="3575,1450" coordsize="186,353" path="m3575,1802l3761,1802,3761,1450,3575,1450,3575,1802xe" filled="true" fillcolor="#ffffff" stroked="false">
                <v:path arrowok="t"/>
                <v:fill type="solid"/>
              </v:shape>
            </v:group>
            <v:group style="position:absolute;left:1111;top:1445;width:895;height:2" coordorigin="1111,1445" coordsize="895,2">
              <v:shape style="position:absolute;left:1111;top:1445;width:895;height:2" coordorigin="1111,1445" coordsize="895,0" path="m1111,1445l2006,1445e" filled="false" stroked="true" strokeweight=".48pt" strokecolor="#000000">
                <v:path arrowok="t"/>
              </v:shape>
            </v:group>
            <v:group style="position:absolute;left:2015;top:1445;width:1528;height:2" coordorigin="2015,1445" coordsize="1528,2">
              <v:shape style="position:absolute;left:2015;top:1445;width:1528;height:2" coordorigin="2015,1445" coordsize="1528,0" path="m2015,1445l3543,1445e" filled="false" stroked="true" strokeweight=".48pt" strokecolor="#000000">
                <v:path arrowok="t"/>
              </v:shape>
            </v:group>
            <v:group style="position:absolute;left:3552;top:1445;width:233;height:2" coordorigin="3552,1445" coordsize="233,2">
              <v:shape style="position:absolute;left:3552;top:1445;width:233;height:2" coordorigin="3552,1445" coordsize="233,0" path="m3552,1445l3785,1445e" filled="false" stroked="true" strokeweight=".48pt" strokecolor="#000000">
                <v:path arrowok="t"/>
              </v:shape>
            </v:group>
            <v:group style="position:absolute;left:3795;top:1445;width:1023;height:2" coordorigin="3795,1445" coordsize="1023,2">
              <v:shape style="position:absolute;left:3795;top:1445;width:1023;height:2" coordorigin="3795,1445" coordsize="1023,0" path="m3795,1445l4817,1445e" filled="false" stroked="true" strokeweight=".48pt" strokecolor="#000000">
                <v:path arrowok="t"/>
              </v:shape>
            </v:group>
            <v:group style="position:absolute;left:4827;top:1445;width:702;height:2" coordorigin="4827,1445" coordsize="702,2">
              <v:shape style="position:absolute;left:4827;top:1445;width:702;height:2" coordorigin="4827,1445" coordsize="702,0" path="m4827,1445l5528,1445e" filled="false" stroked="true" strokeweight=".48pt" strokecolor="#000000">
                <v:path arrowok="t"/>
              </v:shape>
            </v:group>
            <v:group style="position:absolute;left:5538;top:1445;width:557;height:2" coordorigin="5538,1445" coordsize="557,2">
              <v:shape style="position:absolute;left:5538;top:1445;width:557;height:2" coordorigin="5538,1445" coordsize="557,0" path="m5538,1445l6094,1445e" filled="false" stroked="true" strokeweight=".48pt" strokecolor="#000000">
                <v:path arrowok="t"/>
              </v:shape>
            </v:group>
            <v:group style="position:absolute;left:6104;top:1445;width:839;height:2" coordorigin="6104,1445" coordsize="839,2">
              <v:shape style="position:absolute;left:6104;top:1445;width:839;height:2" coordorigin="6104,1445" coordsize="839,0" path="m6104,1445l6943,1445e" filled="false" stroked="true" strokeweight=".48pt" strokecolor="#000000">
                <v:path arrowok="t"/>
              </v:shape>
            </v:group>
            <v:group style="position:absolute;left:6952;top:1445;width:274;height:2" coordorigin="6952,1445" coordsize="274,2">
              <v:shape style="position:absolute;left:6952;top:1445;width:274;height:2" coordorigin="6952,1445" coordsize="274,0" path="m6952,1445l7226,1445e" filled="false" stroked="true" strokeweight=".48pt" strokecolor="#000000">
                <v:path arrowok="t"/>
              </v:shape>
            </v:group>
            <v:group style="position:absolute;left:7236;top:1445;width:558;height:2" coordorigin="7236,1445" coordsize="558,2">
              <v:shape style="position:absolute;left:7236;top:1445;width:558;height:2" coordorigin="7236,1445" coordsize="558,0" path="m7236,1445l7794,1445e" filled="false" stroked="true" strokeweight=".48pt" strokecolor="#000000">
                <v:path arrowok="t"/>
              </v:shape>
            </v:group>
            <v:group style="position:absolute;left:7803;top:1445;width:273;height:2" coordorigin="7803,1445" coordsize="273,2">
              <v:shape style="position:absolute;left:7803;top:1445;width:273;height:2" coordorigin="7803,1445" coordsize="273,0" path="m7803,1445l8076,1445e" filled="false" stroked="true" strokeweight=".48pt" strokecolor="#000000">
                <v:path arrowok="t"/>
              </v:shape>
            </v:group>
            <v:group style="position:absolute;left:8085;top:1445;width:408;height:2" coordorigin="8085,1445" coordsize="408,2">
              <v:shape style="position:absolute;left:8085;top:1445;width:408;height:2" coordorigin="8085,1445" coordsize="408,0" path="m8085,1445l8492,1445e" filled="false" stroked="true" strokeweight=".48pt" strokecolor="#000000">
                <v:path arrowok="t"/>
              </v:shape>
            </v:group>
            <v:group style="position:absolute;left:8502;top:1445;width:1137;height:2" coordorigin="8502,1445" coordsize="1137,2">
              <v:shape style="position:absolute;left:8502;top:1445;width:1137;height:2" coordorigin="8502,1445" coordsize="1137,0" path="m8502,1445l9638,1445e" filled="false" stroked="true" strokeweight=".48pt" strokecolor="#000000">
                <v:path arrowok="t"/>
              </v:shape>
            </v:group>
            <v:group style="position:absolute;left:9648;top:1445;width:240;height:2" coordorigin="9648,1445" coordsize="240,2">
              <v:shape style="position:absolute;left:9648;top:1445;width:240;height:2" coordorigin="9648,1445" coordsize="240,0" path="m9648,1445l9888,1445e" filled="false" stroked="true" strokeweight=".48pt" strokecolor="#000000">
                <v:path arrowok="t"/>
              </v:shape>
            </v:group>
            <v:group style="position:absolute;left:9898;top:1445;width:408;height:2" coordorigin="9898,1445" coordsize="408,2">
              <v:shape style="position:absolute;left:9898;top:1445;width:408;height:2" coordorigin="9898,1445" coordsize="408,0" path="m9898,1445l10306,1445e" filled="false" stroked="true" strokeweight=".48pt" strokecolor="#000000">
                <v:path arrowok="t"/>
              </v:shape>
            </v:group>
            <v:group style="position:absolute;left:10315;top:1445;width:482;height:2" coordorigin="10315,1445" coordsize="482,2">
              <v:shape style="position:absolute;left:10315;top:1445;width:482;height:2" coordorigin="10315,1445" coordsize="482,0" path="m10315,1445l10796,1445e" filled="false" stroked="true" strokeweight=".48pt" strokecolor="#000000">
                <v:path arrowok="t"/>
              </v:shape>
            </v:group>
            <v:group style="position:absolute;left:3552;top:3996;width:232;height:468" coordorigin="3552,3996" coordsize="232,468">
              <v:shape style="position:absolute;left:3552;top:3996;width:232;height:468" coordorigin="3552,3996" coordsize="232,468" path="m3552,4464l3784,4464,3784,3996,3552,3996,3552,4464xe" filled="true" fillcolor="#ffffff" stroked="false">
                <v:path arrowok="t"/>
                <v:fill type="solid"/>
              </v:shape>
            </v:group>
            <v:group style="position:absolute;left:3564;top:4464;width:2;height:705" coordorigin="3564,4464" coordsize="2,705">
              <v:shape style="position:absolute;left:3564;top:4464;width:2;height:705" coordorigin="3564,4464" coordsize="0,705" path="m3564,4464l3564,5169e" filled="false" stroked="true" strokeweight="1.140pt" strokecolor="#ffffff">
                <v:path arrowok="t"/>
              </v:shape>
            </v:group>
            <v:group style="position:absolute;left:3552;top:5169;width:232;height:468" coordorigin="3552,5169" coordsize="232,468">
              <v:shape style="position:absolute;left:3552;top:5169;width:232;height:468" coordorigin="3552,5169" coordsize="232,468" path="m3552,5637l3784,5637,3784,5169,3552,5169,3552,5637xe" filled="true" fillcolor="#ffffff" stroked="false">
                <v:path arrowok="t"/>
                <v:fill type="solid"/>
              </v:shape>
            </v:group>
            <v:group style="position:absolute;left:3575;top:4464;width:186;height:352" coordorigin="3575,4464" coordsize="186,352">
              <v:shape style="position:absolute;left:3575;top:4464;width:186;height:352" coordorigin="3575,4464" coordsize="186,352" path="m3575,4816l3761,4816,3761,4464,3575,4464,3575,4816xe" filled="true" fillcolor="#ffffff" stroked="false">
                <v:path arrowok="t"/>
                <v:fill type="solid"/>
              </v:shape>
            </v:group>
            <v:group style="position:absolute;left:3575;top:4816;width:186;height:353" coordorigin="3575,4816" coordsize="186,353">
              <v:shape style="position:absolute;left:3575;top:4816;width:186;height:353" coordorigin="3575,4816" coordsize="186,353" path="m3575,5169l3761,5169,3761,4816,3575,4816,3575,5169xe" filled="true" fillcolor="#ffffff" stroked="false">
                <v:path arrowok="t"/>
                <v:fill type="solid"/>
              </v:shape>
            </v:group>
            <v:group style="position:absolute;left:1111;top:3992;width:895;height:2" coordorigin="1111,3992" coordsize="895,2">
              <v:shape style="position:absolute;left:1111;top:3992;width:895;height:2" coordorigin="1111,3992" coordsize="895,0" path="m1111,3992l2006,3992e" filled="false" stroked="true" strokeweight=".48pt" strokecolor="#000000">
                <v:path arrowok="t"/>
              </v:shape>
            </v:group>
            <v:group style="position:absolute;left:2015;top:3992;width:1528;height:2" coordorigin="2015,3992" coordsize="1528,2">
              <v:shape style="position:absolute;left:2015;top:3992;width:1528;height:2" coordorigin="2015,3992" coordsize="1528,0" path="m2015,3992l3543,3992e" filled="false" stroked="true" strokeweight=".48pt" strokecolor="#000000">
                <v:path arrowok="t"/>
              </v:shape>
            </v:group>
            <v:group style="position:absolute;left:3552;top:3992;width:233;height:2" coordorigin="3552,3992" coordsize="233,2">
              <v:shape style="position:absolute;left:3552;top:3992;width:233;height:2" coordorigin="3552,3992" coordsize="233,0" path="m3552,3992l3785,3992e" filled="false" stroked="true" strokeweight=".48pt" strokecolor="#000000">
                <v:path arrowok="t"/>
              </v:shape>
            </v:group>
            <v:group style="position:absolute;left:3795;top:3992;width:1023;height:2" coordorigin="3795,3992" coordsize="1023,2">
              <v:shape style="position:absolute;left:3795;top:3992;width:1023;height:2" coordorigin="3795,3992" coordsize="1023,0" path="m3795,3992l4817,3992e" filled="false" stroked="true" strokeweight=".48pt" strokecolor="#000000">
                <v:path arrowok="t"/>
              </v:shape>
            </v:group>
            <v:group style="position:absolute;left:4827;top:3992;width:702;height:2" coordorigin="4827,3992" coordsize="702,2">
              <v:shape style="position:absolute;left:4827;top:3992;width:702;height:2" coordorigin="4827,3992" coordsize="702,0" path="m4827,3992l5528,3992e" filled="false" stroked="true" strokeweight=".48pt" strokecolor="#000000">
                <v:path arrowok="t"/>
              </v:shape>
            </v:group>
            <v:group style="position:absolute;left:5538;top:3992;width:557;height:2" coordorigin="5538,3992" coordsize="557,2">
              <v:shape style="position:absolute;left:5538;top:3992;width:557;height:2" coordorigin="5538,3992" coordsize="557,0" path="m5538,3992l6094,3992e" filled="false" stroked="true" strokeweight=".48pt" strokecolor="#000000">
                <v:path arrowok="t"/>
              </v:shape>
            </v:group>
            <v:group style="position:absolute;left:6104;top:3992;width:839;height:2" coordorigin="6104,3992" coordsize="839,2">
              <v:shape style="position:absolute;left:6104;top:3992;width:839;height:2" coordorigin="6104,3992" coordsize="839,0" path="m6104,3992l6943,3992e" filled="false" stroked="true" strokeweight=".48pt" strokecolor="#000000">
                <v:path arrowok="t"/>
              </v:shape>
            </v:group>
            <v:group style="position:absolute;left:6952;top:3992;width:274;height:2" coordorigin="6952,3992" coordsize="274,2">
              <v:shape style="position:absolute;left:6952;top:3992;width:274;height:2" coordorigin="6952,3992" coordsize="274,0" path="m6952,3992l7226,3992e" filled="false" stroked="true" strokeweight=".48pt" strokecolor="#000000">
                <v:path arrowok="t"/>
              </v:shape>
            </v:group>
            <v:group style="position:absolute;left:7236;top:3992;width:558;height:2" coordorigin="7236,3992" coordsize="558,2">
              <v:shape style="position:absolute;left:7236;top:3992;width:558;height:2" coordorigin="7236,3992" coordsize="558,0" path="m7236,3992l7794,3992e" filled="false" stroked="true" strokeweight=".48pt" strokecolor="#000000">
                <v:path arrowok="t"/>
              </v:shape>
            </v:group>
            <v:group style="position:absolute;left:7803;top:3992;width:273;height:2" coordorigin="7803,3992" coordsize="273,2">
              <v:shape style="position:absolute;left:7803;top:3992;width:273;height:2" coordorigin="7803,3992" coordsize="273,0" path="m7803,3992l8076,3992e" filled="false" stroked="true" strokeweight=".48pt" strokecolor="#000000">
                <v:path arrowok="t"/>
              </v:shape>
            </v:group>
            <v:group style="position:absolute;left:8085;top:3992;width:408;height:2" coordorigin="8085,3992" coordsize="408,2">
              <v:shape style="position:absolute;left:8085;top:3992;width:408;height:2" coordorigin="8085,3992" coordsize="408,0" path="m8085,3992l8492,3992e" filled="false" stroked="true" strokeweight=".48pt" strokecolor="#000000">
                <v:path arrowok="t"/>
              </v:shape>
            </v:group>
            <v:group style="position:absolute;left:8502;top:3992;width:1137;height:2" coordorigin="8502,3992" coordsize="1137,2">
              <v:shape style="position:absolute;left:8502;top:3992;width:1137;height:2" coordorigin="8502,3992" coordsize="1137,0" path="m8502,3992l9638,3992e" filled="false" stroked="true" strokeweight=".48pt" strokecolor="#000000">
                <v:path arrowok="t"/>
              </v:shape>
            </v:group>
            <v:group style="position:absolute;left:9648;top:3992;width:240;height:2" coordorigin="9648,3992" coordsize="240,2">
              <v:shape style="position:absolute;left:9648;top:3992;width:240;height:2" coordorigin="9648,3992" coordsize="240,0" path="m9648,3992l9888,3992e" filled="false" stroked="true" strokeweight=".48pt" strokecolor="#000000">
                <v:path arrowok="t"/>
              </v:shape>
            </v:group>
            <v:group style="position:absolute;left:9898;top:3992;width:408;height:2" coordorigin="9898,3992" coordsize="408,2">
              <v:shape style="position:absolute;left:9898;top:3992;width:408;height:2" coordorigin="9898,3992" coordsize="408,0" path="m9898,3992l10306,3992e" filled="false" stroked="true" strokeweight=".48pt" strokecolor="#000000">
                <v:path arrowok="t"/>
              </v:shape>
            </v:group>
            <v:group style="position:absolute;left:10315;top:3992;width:482;height:2" coordorigin="10315,3992" coordsize="482,2">
              <v:shape style="position:absolute;left:10315;top:3992;width:482;height:2" coordorigin="10315,3992" coordsize="482,0" path="m10315,3992l10796,3992e" filled="false" stroked="true" strokeweight=".48pt" strokecolor="#000000">
                <v:path arrowok="t"/>
              </v:shape>
            </v:group>
            <v:group style="position:absolute;left:1111;top:5642;width:895;height:2" coordorigin="1111,5642" coordsize="895,2">
              <v:shape style="position:absolute;left:1111;top:5642;width:895;height:2" coordorigin="1111,5642" coordsize="895,0" path="m1111,5642l2006,5642e" filled="false" stroked="true" strokeweight=".48pt" strokecolor="#000000">
                <v:path arrowok="t"/>
              </v:shape>
            </v:group>
            <v:group style="position:absolute;left:2015;top:5642;width:1528;height:2" coordorigin="2015,5642" coordsize="1528,2">
              <v:shape style="position:absolute;left:2015;top:5642;width:1528;height:2" coordorigin="2015,5642" coordsize="1528,0" path="m2015,5642l3543,5642e" filled="false" stroked="true" strokeweight=".48pt" strokecolor="#000000">
                <v:path arrowok="t"/>
              </v:shape>
            </v:group>
            <v:group style="position:absolute;left:3552;top:5642;width:233;height:2" coordorigin="3552,5642" coordsize="233,2">
              <v:shape style="position:absolute;left:3552;top:5642;width:233;height:2" coordorigin="3552,5642" coordsize="233,0" path="m3552,5642l3785,5642e" filled="false" stroked="true" strokeweight=".48pt" strokecolor="#000000">
                <v:path arrowok="t"/>
              </v:shape>
            </v:group>
            <v:group style="position:absolute;left:3795;top:5642;width:1023;height:2" coordorigin="3795,5642" coordsize="1023,2">
              <v:shape style="position:absolute;left:3795;top:5642;width:1023;height:2" coordorigin="3795,5642" coordsize="1023,0" path="m3795,5642l4817,5642e" filled="false" stroked="true" strokeweight=".48pt" strokecolor="#000000">
                <v:path arrowok="t"/>
              </v:shape>
            </v:group>
            <v:group style="position:absolute;left:4827;top:5642;width:702;height:2" coordorigin="4827,5642" coordsize="702,2">
              <v:shape style="position:absolute;left:4827;top:5642;width:702;height:2" coordorigin="4827,5642" coordsize="702,0" path="m4827,5642l5528,5642e" filled="false" stroked="true" strokeweight=".48pt" strokecolor="#000000">
                <v:path arrowok="t"/>
              </v:shape>
            </v:group>
            <v:group style="position:absolute;left:5538;top:5642;width:557;height:2" coordorigin="5538,5642" coordsize="557,2">
              <v:shape style="position:absolute;left:5538;top:5642;width:557;height:2" coordorigin="5538,5642" coordsize="557,0" path="m5538,5642l6094,5642e" filled="false" stroked="true" strokeweight=".48pt" strokecolor="#000000">
                <v:path arrowok="t"/>
              </v:shape>
            </v:group>
            <v:group style="position:absolute;left:6104;top:5642;width:839;height:2" coordorigin="6104,5642" coordsize="839,2">
              <v:shape style="position:absolute;left:6104;top:5642;width:839;height:2" coordorigin="6104,5642" coordsize="839,0" path="m6104,5642l6943,5642e" filled="false" stroked="true" strokeweight=".48pt" strokecolor="#000000">
                <v:path arrowok="t"/>
              </v:shape>
            </v:group>
            <v:group style="position:absolute;left:6952;top:5642;width:274;height:2" coordorigin="6952,5642" coordsize="274,2">
              <v:shape style="position:absolute;left:6952;top:5642;width:274;height:2" coordorigin="6952,5642" coordsize="274,0" path="m6952,5642l7226,5642e" filled="false" stroked="true" strokeweight=".48pt" strokecolor="#000000">
                <v:path arrowok="t"/>
              </v:shape>
            </v:group>
            <v:group style="position:absolute;left:7236;top:5642;width:558;height:2" coordorigin="7236,5642" coordsize="558,2">
              <v:shape style="position:absolute;left:7236;top:5642;width:558;height:2" coordorigin="7236,5642" coordsize="558,0" path="m7236,5642l7794,5642e" filled="false" stroked="true" strokeweight=".48pt" strokecolor="#000000">
                <v:path arrowok="t"/>
              </v:shape>
            </v:group>
            <v:group style="position:absolute;left:7803;top:5642;width:273;height:2" coordorigin="7803,5642" coordsize="273,2">
              <v:shape style="position:absolute;left:7803;top:5642;width:273;height:2" coordorigin="7803,5642" coordsize="273,0" path="m7803,5642l8076,5642e" filled="false" stroked="true" strokeweight=".48pt" strokecolor="#000000">
                <v:path arrowok="t"/>
              </v:shape>
            </v:group>
            <v:group style="position:absolute;left:8085;top:5642;width:408;height:2" coordorigin="8085,5642" coordsize="408,2">
              <v:shape style="position:absolute;left:8085;top:5642;width:408;height:2" coordorigin="8085,5642" coordsize="408,0" path="m8085,5642l8492,5642e" filled="false" stroked="true" strokeweight=".48pt" strokecolor="#000000">
                <v:path arrowok="t"/>
              </v:shape>
            </v:group>
            <v:group style="position:absolute;left:8502;top:5642;width:1137;height:2" coordorigin="8502,5642" coordsize="1137,2">
              <v:shape style="position:absolute;left:8502;top:5642;width:1137;height:2" coordorigin="8502,5642" coordsize="1137,0" path="m8502,5642l9638,5642e" filled="false" stroked="true" strokeweight=".48pt" strokecolor="#000000">
                <v:path arrowok="t"/>
              </v:shape>
            </v:group>
            <v:group style="position:absolute;left:9648;top:5642;width:240;height:2" coordorigin="9648,5642" coordsize="240,2">
              <v:shape style="position:absolute;left:9648;top:5642;width:240;height:2" coordorigin="9648,5642" coordsize="240,0" path="m9648,5642l9888,5642e" filled="false" stroked="true" strokeweight=".48pt" strokecolor="#000000">
                <v:path arrowok="t"/>
              </v:shape>
            </v:group>
            <v:group style="position:absolute;left:9898;top:5642;width:408;height:2" coordorigin="9898,5642" coordsize="408,2">
              <v:shape style="position:absolute;left:9898;top:5642;width:408;height:2" coordorigin="9898,5642" coordsize="408,0" path="m9898,5642l10306,5642e" filled="false" stroked="true" strokeweight=".48pt" strokecolor="#000000">
                <v:path arrowok="t"/>
              </v:shape>
            </v:group>
            <v:group style="position:absolute;left:10315;top:5642;width:482;height:2" coordorigin="10315,5642" coordsize="482,2">
              <v:shape style="position:absolute;left:10315;top:5642;width:482;height:2" coordorigin="10315,5642" coordsize="482,0" path="m10315,5642l10796,5642e" filled="false" stroked="true" strokeweight=".48pt" strokecolor="#000000">
                <v:path arrowok="t"/>
              </v:shape>
            </v:group>
            <v:group style="position:absolute;left:1111;top:6668;width:895;height:2" coordorigin="1111,6668" coordsize="895,2">
              <v:shape style="position:absolute;left:1111;top:6668;width:895;height:2" coordorigin="1111,6668" coordsize="895,0" path="m1111,6668l2006,6668e" filled="false" stroked="true" strokeweight=".48pt" strokecolor="#000000">
                <v:path arrowok="t"/>
              </v:shape>
            </v:group>
            <v:group style="position:absolute;left:2015;top:6668;width:1528;height:2" coordorigin="2015,6668" coordsize="1528,2">
              <v:shape style="position:absolute;left:2015;top:6668;width:1528;height:2" coordorigin="2015,6668" coordsize="1528,0" path="m2015,6668l3543,6668e" filled="false" stroked="true" strokeweight=".48pt" strokecolor="#000000">
                <v:path arrowok="t"/>
              </v:shape>
            </v:group>
            <v:group style="position:absolute;left:3552;top:6668;width:233;height:2" coordorigin="3552,6668" coordsize="233,2">
              <v:shape style="position:absolute;left:3552;top:6668;width:233;height:2" coordorigin="3552,6668" coordsize="233,0" path="m3552,6668l3785,6668e" filled="false" stroked="true" strokeweight=".48pt" strokecolor="#000000">
                <v:path arrowok="t"/>
              </v:shape>
            </v:group>
            <v:group style="position:absolute;left:3795;top:6668;width:1023;height:2" coordorigin="3795,6668" coordsize="1023,2">
              <v:shape style="position:absolute;left:3795;top:6668;width:1023;height:2" coordorigin="3795,6668" coordsize="1023,0" path="m3795,6668l4817,6668e" filled="false" stroked="true" strokeweight=".48pt" strokecolor="#000000">
                <v:path arrowok="t"/>
              </v:shape>
            </v:group>
            <v:group style="position:absolute;left:4827;top:6668;width:702;height:2" coordorigin="4827,6668" coordsize="702,2">
              <v:shape style="position:absolute;left:4827;top:6668;width:702;height:2" coordorigin="4827,6668" coordsize="702,0" path="m4827,6668l5528,6668e" filled="false" stroked="true" strokeweight=".48pt" strokecolor="#000000">
                <v:path arrowok="t"/>
              </v:shape>
            </v:group>
            <v:group style="position:absolute;left:5538;top:6668;width:557;height:2" coordorigin="5538,6668" coordsize="557,2">
              <v:shape style="position:absolute;left:5538;top:6668;width:557;height:2" coordorigin="5538,6668" coordsize="557,0" path="m5538,6668l6094,6668e" filled="false" stroked="true" strokeweight=".48pt" strokecolor="#000000">
                <v:path arrowok="t"/>
              </v:shape>
            </v:group>
            <v:group style="position:absolute;left:6104;top:6668;width:839;height:2" coordorigin="6104,6668" coordsize="839,2">
              <v:shape style="position:absolute;left:6104;top:6668;width:839;height:2" coordorigin="6104,6668" coordsize="839,0" path="m6104,6668l6943,6668e" filled="false" stroked="true" strokeweight=".48pt" strokecolor="#000000">
                <v:path arrowok="t"/>
              </v:shape>
            </v:group>
            <v:group style="position:absolute;left:6952;top:6668;width:274;height:2" coordorigin="6952,6668" coordsize="274,2">
              <v:shape style="position:absolute;left:6952;top:6668;width:274;height:2" coordorigin="6952,6668" coordsize="274,0" path="m6952,6668l7226,6668e" filled="false" stroked="true" strokeweight=".48pt" strokecolor="#000000">
                <v:path arrowok="t"/>
              </v:shape>
            </v:group>
            <v:group style="position:absolute;left:7236;top:6668;width:558;height:2" coordorigin="7236,6668" coordsize="558,2">
              <v:shape style="position:absolute;left:7236;top:6668;width:558;height:2" coordorigin="7236,6668" coordsize="558,0" path="m7236,6668l7794,6668e" filled="false" stroked="true" strokeweight=".48pt" strokecolor="#000000">
                <v:path arrowok="t"/>
              </v:shape>
            </v:group>
            <v:group style="position:absolute;left:7803;top:6668;width:273;height:2" coordorigin="7803,6668" coordsize="273,2">
              <v:shape style="position:absolute;left:7803;top:6668;width:273;height:2" coordorigin="7803,6668" coordsize="273,0" path="m7803,6668l8076,6668e" filled="false" stroked="true" strokeweight=".48pt" strokecolor="#000000">
                <v:path arrowok="t"/>
              </v:shape>
            </v:group>
            <v:group style="position:absolute;left:8085;top:6668;width:408;height:2" coordorigin="8085,6668" coordsize="408,2">
              <v:shape style="position:absolute;left:8085;top:6668;width:408;height:2" coordorigin="8085,6668" coordsize="408,0" path="m8085,6668l8492,6668e" filled="false" stroked="true" strokeweight=".48pt" strokecolor="#000000">
                <v:path arrowok="t"/>
              </v:shape>
            </v:group>
            <v:group style="position:absolute;left:8502;top:6668;width:1137;height:2" coordorigin="8502,6668" coordsize="1137,2">
              <v:shape style="position:absolute;left:8502;top:6668;width:1137;height:2" coordorigin="8502,6668" coordsize="1137,0" path="m8502,6668l9638,6668e" filled="false" stroked="true" strokeweight=".48pt" strokecolor="#000000">
                <v:path arrowok="t"/>
              </v:shape>
            </v:group>
            <v:group style="position:absolute;left:9648;top:6668;width:240;height:2" coordorigin="9648,6668" coordsize="240,2">
              <v:shape style="position:absolute;left:9648;top:6668;width:240;height:2" coordorigin="9648,6668" coordsize="240,0" path="m9648,6668l9888,6668e" filled="false" stroked="true" strokeweight=".48pt" strokecolor="#000000">
                <v:path arrowok="t"/>
              </v:shape>
            </v:group>
            <v:group style="position:absolute;left:9898;top:6668;width:408;height:2" coordorigin="9898,6668" coordsize="408,2">
              <v:shape style="position:absolute;left:9898;top:6668;width:408;height:2" coordorigin="9898,6668" coordsize="408,0" path="m9898,6668l10306,6668e" filled="false" stroked="true" strokeweight=".48pt" strokecolor="#000000">
                <v:path arrowok="t"/>
              </v:shape>
            </v:group>
            <v:group style="position:absolute;left:10315;top:6668;width:482;height:2" coordorigin="10315,6668" coordsize="482,2">
              <v:shape style="position:absolute;left:10315;top:6668;width:482;height:2" coordorigin="10315,6668" coordsize="482,0" path="m10315,6668l10796,6668e" filled="false" stroked="true" strokeweight=".48pt" strokecolor="#000000">
                <v:path arrowok="t"/>
              </v:shape>
            </v:group>
            <v:group style="position:absolute;left:3552;top:7698;width:232;height:468" coordorigin="3552,7698" coordsize="232,468">
              <v:shape style="position:absolute;left:3552;top:7698;width:232;height:468" coordorigin="3552,7698" coordsize="232,468" path="m3552,8166l3784,8166,3784,7698,3552,7698,3552,8166xe" filled="true" fillcolor="#ffffff" stroked="false">
                <v:path arrowok="t"/>
                <v:fill type="solid"/>
              </v:shape>
            </v:group>
            <v:group style="position:absolute;left:3564;top:8166;width:2;height:705" coordorigin="3564,8166" coordsize="2,705">
              <v:shape style="position:absolute;left:3564;top:8166;width:2;height:705" coordorigin="3564,8166" coordsize="0,705" path="m3564,8166l3564,8871e" filled="false" stroked="true" strokeweight="1.140pt" strokecolor="#ffffff">
                <v:path arrowok="t"/>
              </v:shape>
            </v:group>
            <v:group style="position:absolute;left:3552;top:8871;width:232;height:468" coordorigin="3552,8871" coordsize="232,468">
              <v:shape style="position:absolute;left:3552;top:8871;width:232;height:468" coordorigin="3552,8871" coordsize="232,468" path="m3552,9339l3784,9339,3784,8871,3552,8871,3552,9339xe" filled="true" fillcolor="#ffffff" stroked="false">
                <v:path arrowok="t"/>
                <v:fill type="solid"/>
              </v:shape>
            </v:group>
            <v:group style="position:absolute;left:3575;top:8166;width:186;height:352" coordorigin="3575,8166" coordsize="186,352">
              <v:shape style="position:absolute;left:3575;top:8166;width:186;height:352" coordorigin="3575,8166" coordsize="186,352" path="m3575,8518l3761,8518,3761,8166,3575,8166,3575,8518xe" filled="true" fillcolor="#ffffff" stroked="false">
                <v:path arrowok="t"/>
                <v:fill type="solid"/>
              </v:shape>
            </v:group>
            <v:group style="position:absolute;left:3575;top:8518;width:186;height:353" coordorigin="3575,8518" coordsize="186,353">
              <v:shape style="position:absolute;left:3575;top:8518;width:186;height:353" coordorigin="3575,8518" coordsize="186,353" path="m3575,8871l3761,8871,3761,8518,3575,8518,3575,8871xe" filled="true" fillcolor="#ffffff" stroked="false">
                <v:path arrowok="t"/>
                <v:fill type="solid"/>
              </v:shape>
            </v:group>
            <v:group style="position:absolute;left:1111;top:7694;width:895;height:2" coordorigin="1111,7694" coordsize="895,2">
              <v:shape style="position:absolute;left:1111;top:7694;width:895;height:2" coordorigin="1111,7694" coordsize="895,0" path="m1111,7694l2006,7694e" filled="false" stroked="true" strokeweight=".48pt" strokecolor="#000000">
                <v:path arrowok="t"/>
              </v:shape>
            </v:group>
            <v:group style="position:absolute;left:2015;top:7694;width:1528;height:2" coordorigin="2015,7694" coordsize="1528,2">
              <v:shape style="position:absolute;left:2015;top:7694;width:1528;height:2" coordorigin="2015,7694" coordsize="1528,0" path="m2015,7694l3543,7694e" filled="false" stroked="true" strokeweight=".48pt" strokecolor="#000000">
                <v:path arrowok="t"/>
              </v:shape>
            </v:group>
            <v:group style="position:absolute;left:3552;top:7694;width:233;height:2" coordorigin="3552,7694" coordsize="233,2">
              <v:shape style="position:absolute;left:3552;top:7694;width:233;height:2" coordorigin="3552,7694" coordsize="233,0" path="m3552,7694l3785,7694e" filled="false" stroked="true" strokeweight=".48pt" strokecolor="#000000">
                <v:path arrowok="t"/>
              </v:shape>
            </v:group>
            <v:group style="position:absolute;left:3795;top:7694;width:1023;height:2" coordorigin="3795,7694" coordsize="1023,2">
              <v:shape style="position:absolute;left:3795;top:7694;width:1023;height:2" coordorigin="3795,7694" coordsize="1023,0" path="m3795,7694l4817,7694e" filled="false" stroked="true" strokeweight=".48pt" strokecolor="#000000">
                <v:path arrowok="t"/>
              </v:shape>
            </v:group>
            <v:group style="position:absolute;left:4827;top:7694;width:702;height:2" coordorigin="4827,7694" coordsize="702,2">
              <v:shape style="position:absolute;left:4827;top:7694;width:702;height:2" coordorigin="4827,7694" coordsize="702,0" path="m4827,7694l5528,7694e" filled="false" stroked="true" strokeweight=".48pt" strokecolor="#000000">
                <v:path arrowok="t"/>
              </v:shape>
            </v:group>
            <v:group style="position:absolute;left:5538;top:7694;width:557;height:2" coordorigin="5538,7694" coordsize="557,2">
              <v:shape style="position:absolute;left:5538;top:7694;width:557;height:2" coordorigin="5538,7694" coordsize="557,0" path="m5538,7694l6094,7694e" filled="false" stroked="true" strokeweight=".48pt" strokecolor="#000000">
                <v:path arrowok="t"/>
              </v:shape>
            </v:group>
            <v:group style="position:absolute;left:6104;top:7694;width:839;height:2" coordorigin="6104,7694" coordsize="839,2">
              <v:shape style="position:absolute;left:6104;top:7694;width:839;height:2" coordorigin="6104,7694" coordsize="839,0" path="m6104,7694l6943,7694e" filled="false" stroked="true" strokeweight=".48pt" strokecolor="#000000">
                <v:path arrowok="t"/>
              </v:shape>
            </v:group>
            <v:group style="position:absolute;left:6952;top:7694;width:274;height:2" coordorigin="6952,7694" coordsize="274,2">
              <v:shape style="position:absolute;left:6952;top:7694;width:274;height:2" coordorigin="6952,7694" coordsize="274,0" path="m6952,7694l7226,7694e" filled="false" stroked="true" strokeweight=".48pt" strokecolor="#000000">
                <v:path arrowok="t"/>
              </v:shape>
            </v:group>
            <v:group style="position:absolute;left:7236;top:7694;width:558;height:2" coordorigin="7236,7694" coordsize="558,2">
              <v:shape style="position:absolute;left:7236;top:7694;width:558;height:2" coordorigin="7236,7694" coordsize="558,0" path="m7236,7694l7794,7694e" filled="false" stroked="true" strokeweight=".48pt" strokecolor="#000000">
                <v:path arrowok="t"/>
              </v:shape>
            </v:group>
            <v:group style="position:absolute;left:7803;top:7694;width:273;height:2" coordorigin="7803,7694" coordsize="273,2">
              <v:shape style="position:absolute;left:7803;top:7694;width:273;height:2" coordorigin="7803,7694" coordsize="273,0" path="m7803,7694l8076,7694e" filled="false" stroked="true" strokeweight=".48pt" strokecolor="#000000">
                <v:path arrowok="t"/>
              </v:shape>
            </v:group>
            <v:group style="position:absolute;left:8085;top:7694;width:408;height:2" coordorigin="8085,7694" coordsize="408,2">
              <v:shape style="position:absolute;left:8085;top:7694;width:408;height:2" coordorigin="8085,7694" coordsize="408,0" path="m8085,7694l8492,7694e" filled="false" stroked="true" strokeweight=".48pt" strokecolor="#000000">
                <v:path arrowok="t"/>
              </v:shape>
            </v:group>
            <v:group style="position:absolute;left:8502;top:7694;width:1137;height:2" coordorigin="8502,7694" coordsize="1137,2">
              <v:shape style="position:absolute;left:8502;top:7694;width:1137;height:2" coordorigin="8502,7694" coordsize="1137,0" path="m8502,7694l9638,7694e" filled="false" stroked="true" strokeweight=".48pt" strokecolor="#000000">
                <v:path arrowok="t"/>
              </v:shape>
            </v:group>
            <v:group style="position:absolute;left:9648;top:7694;width:240;height:2" coordorigin="9648,7694" coordsize="240,2">
              <v:shape style="position:absolute;left:9648;top:7694;width:240;height:2" coordorigin="9648,7694" coordsize="240,0" path="m9648,7694l9888,7694e" filled="false" stroked="true" strokeweight=".48pt" strokecolor="#000000">
                <v:path arrowok="t"/>
              </v:shape>
            </v:group>
            <v:group style="position:absolute;left:9898;top:7694;width:408;height:2" coordorigin="9898,7694" coordsize="408,2">
              <v:shape style="position:absolute;left:9898;top:7694;width:408;height:2" coordorigin="9898,7694" coordsize="408,0" path="m9898,7694l10306,7694e" filled="false" stroked="true" strokeweight=".48pt" strokecolor="#000000">
                <v:path arrowok="t"/>
              </v:shape>
            </v:group>
            <v:group style="position:absolute;left:10315;top:7694;width:482;height:2" coordorigin="10315,7694" coordsize="482,2">
              <v:shape style="position:absolute;left:10315;top:7694;width:482;height:2" coordorigin="10315,7694" coordsize="482,0" path="m10315,7694l10796,7694e" filled="false" stroked="true" strokeweight=".48pt" strokecolor="#000000">
                <v:path arrowok="t"/>
              </v:shape>
            </v:group>
            <v:group style="position:absolute;left:1111;top:9344;width:895;height:2" coordorigin="1111,9344" coordsize="895,2">
              <v:shape style="position:absolute;left:1111;top:9344;width:895;height:2" coordorigin="1111,9344" coordsize="895,0" path="m1111,9344l2006,9344e" filled="false" stroked="true" strokeweight=".48pt" strokecolor="#000000">
                <v:path arrowok="t"/>
              </v:shape>
            </v:group>
            <v:group style="position:absolute;left:2015;top:9344;width:1528;height:2" coordorigin="2015,9344" coordsize="1528,2">
              <v:shape style="position:absolute;left:2015;top:9344;width:1528;height:2" coordorigin="2015,9344" coordsize="1528,0" path="m2015,9344l3543,9344e" filled="false" stroked="true" strokeweight=".48pt" strokecolor="#000000">
                <v:path arrowok="t"/>
              </v:shape>
            </v:group>
            <v:group style="position:absolute;left:3552;top:9344;width:233;height:2" coordorigin="3552,9344" coordsize="233,2">
              <v:shape style="position:absolute;left:3552;top:9344;width:233;height:2" coordorigin="3552,9344" coordsize="233,0" path="m3552,9344l3785,9344e" filled="false" stroked="true" strokeweight=".48pt" strokecolor="#000000">
                <v:path arrowok="t"/>
              </v:shape>
            </v:group>
            <v:group style="position:absolute;left:3795;top:9344;width:1023;height:2" coordorigin="3795,9344" coordsize="1023,2">
              <v:shape style="position:absolute;left:3795;top:9344;width:1023;height:2" coordorigin="3795,9344" coordsize="1023,0" path="m3795,9344l4817,9344e" filled="false" stroked="true" strokeweight=".48pt" strokecolor="#000000">
                <v:path arrowok="t"/>
              </v:shape>
            </v:group>
            <v:group style="position:absolute;left:4827;top:9344;width:702;height:2" coordorigin="4827,9344" coordsize="702,2">
              <v:shape style="position:absolute;left:4827;top:9344;width:702;height:2" coordorigin="4827,9344" coordsize="702,0" path="m4827,9344l5528,9344e" filled="false" stroked="true" strokeweight=".48pt" strokecolor="#000000">
                <v:path arrowok="t"/>
              </v:shape>
            </v:group>
            <v:group style="position:absolute;left:5538;top:9344;width:557;height:2" coordorigin="5538,9344" coordsize="557,2">
              <v:shape style="position:absolute;left:5538;top:9344;width:557;height:2" coordorigin="5538,9344" coordsize="557,0" path="m5538,9344l6094,9344e" filled="false" stroked="true" strokeweight=".48pt" strokecolor="#000000">
                <v:path arrowok="t"/>
              </v:shape>
            </v:group>
            <v:group style="position:absolute;left:6104;top:9344;width:839;height:2" coordorigin="6104,9344" coordsize="839,2">
              <v:shape style="position:absolute;left:6104;top:9344;width:839;height:2" coordorigin="6104,9344" coordsize="839,0" path="m6104,9344l6943,9344e" filled="false" stroked="true" strokeweight=".48pt" strokecolor="#000000">
                <v:path arrowok="t"/>
              </v:shape>
            </v:group>
            <v:group style="position:absolute;left:6952;top:9344;width:274;height:2" coordorigin="6952,9344" coordsize="274,2">
              <v:shape style="position:absolute;left:6952;top:9344;width:274;height:2" coordorigin="6952,9344" coordsize="274,0" path="m6952,9344l7226,9344e" filled="false" stroked="true" strokeweight=".48pt" strokecolor="#000000">
                <v:path arrowok="t"/>
              </v:shape>
            </v:group>
            <v:group style="position:absolute;left:7236;top:9344;width:558;height:2" coordorigin="7236,9344" coordsize="558,2">
              <v:shape style="position:absolute;left:7236;top:9344;width:558;height:2" coordorigin="7236,9344" coordsize="558,0" path="m7236,9344l7794,9344e" filled="false" stroked="true" strokeweight=".48pt" strokecolor="#000000">
                <v:path arrowok="t"/>
              </v:shape>
            </v:group>
            <v:group style="position:absolute;left:7803;top:9344;width:273;height:2" coordorigin="7803,9344" coordsize="273,2">
              <v:shape style="position:absolute;left:7803;top:9344;width:273;height:2" coordorigin="7803,9344" coordsize="273,0" path="m7803,9344l8076,9344e" filled="false" stroked="true" strokeweight=".48pt" strokecolor="#000000">
                <v:path arrowok="t"/>
              </v:shape>
            </v:group>
            <v:group style="position:absolute;left:8085;top:9344;width:408;height:2" coordorigin="8085,9344" coordsize="408,2">
              <v:shape style="position:absolute;left:8085;top:9344;width:408;height:2" coordorigin="8085,9344" coordsize="408,0" path="m8085,9344l8492,9344e" filled="false" stroked="true" strokeweight=".48pt" strokecolor="#000000">
                <v:path arrowok="t"/>
              </v:shape>
            </v:group>
            <v:group style="position:absolute;left:8502;top:9344;width:1137;height:2" coordorigin="8502,9344" coordsize="1137,2">
              <v:shape style="position:absolute;left:8502;top:9344;width:1137;height:2" coordorigin="8502,9344" coordsize="1137,0" path="m8502,9344l9638,9344e" filled="false" stroked="true" strokeweight=".48pt" strokecolor="#000000">
                <v:path arrowok="t"/>
              </v:shape>
            </v:group>
            <v:group style="position:absolute;left:9648;top:9344;width:240;height:2" coordorigin="9648,9344" coordsize="240,2">
              <v:shape style="position:absolute;left:9648;top:9344;width:240;height:2" coordorigin="9648,9344" coordsize="240,0" path="m9648,9344l9888,9344e" filled="false" stroked="true" strokeweight=".48pt" strokecolor="#000000">
                <v:path arrowok="t"/>
              </v:shape>
            </v:group>
            <v:group style="position:absolute;left:9898;top:9344;width:408;height:2" coordorigin="9898,9344" coordsize="408,2">
              <v:shape style="position:absolute;left:9898;top:9344;width:408;height:2" coordorigin="9898,9344" coordsize="408,0" path="m9898,9344l10306,9344e" filled="false" stroked="true" strokeweight=".48pt" strokecolor="#000000">
                <v:path arrowok="t"/>
              </v:shape>
            </v:group>
            <v:group style="position:absolute;left:10315;top:9344;width:482;height:2" coordorigin="10315,9344" coordsize="482,2">
              <v:shape style="position:absolute;left:10315;top:9344;width:482;height:2" coordorigin="10315,9344" coordsize="482,0" path="m10315,9344l10796,9344e" filled="false" stroked="true" strokeweight=".48pt" strokecolor="#000000">
                <v:path arrowok="t"/>
              </v:shape>
            </v:group>
            <v:group style="position:absolute;left:3552;top:10375;width:232;height:468" coordorigin="3552,10375" coordsize="232,468">
              <v:shape style="position:absolute;left:3552;top:10375;width:232;height:468" coordorigin="3552,10375" coordsize="232,468" path="m3552,10843l3784,10843,3784,10375,3552,10375,3552,10843xe" filled="true" fillcolor="#ffffff" stroked="false">
                <v:path arrowok="t"/>
                <v:fill type="solid"/>
              </v:shape>
            </v:group>
            <v:group style="position:absolute;left:3564;top:10843;width:2;height:705" coordorigin="3564,10843" coordsize="2,705">
              <v:shape style="position:absolute;left:3564;top:10843;width:2;height:705" coordorigin="3564,10843" coordsize="0,705" path="m3564,10843l3564,11547e" filled="false" stroked="true" strokeweight="1.140pt" strokecolor="#ffffff">
                <v:path arrowok="t"/>
              </v:shape>
            </v:group>
            <v:group style="position:absolute;left:3552;top:11547;width:232;height:468" coordorigin="3552,11547" coordsize="232,468">
              <v:shape style="position:absolute;left:3552;top:11547;width:232;height:468" coordorigin="3552,11547" coordsize="232,468" path="m3552,12015l3784,12015,3784,11547,3552,11547,3552,12015xe" filled="true" fillcolor="#ffffff" stroked="false">
                <v:path arrowok="t"/>
                <v:fill type="solid"/>
              </v:shape>
            </v:group>
            <v:group style="position:absolute;left:3575;top:10843;width:186;height:352" coordorigin="3575,10843" coordsize="186,352">
              <v:shape style="position:absolute;left:3575;top:10843;width:186;height:352" coordorigin="3575,10843" coordsize="186,352" path="m3575,11194l3761,11194,3761,10843,3575,10843,3575,11194xe" filled="true" fillcolor="#ffffff" stroked="false">
                <v:path arrowok="t"/>
                <v:fill type="solid"/>
              </v:shape>
            </v:group>
            <v:group style="position:absolute;left:3575;top:11194;width:186;height:353" coordorigin="3575,11194" coordsize="186,353">
              <v:shape style="position:absolute;left:3575;top:11194;width:186;height:353" coordorigin="3575,11194" coordsize="186,353" path="m3575,11547l3761,11547,3761,11194,3575,11194,3575,11547xe" filled="true" fillcolor="#ffffff" stroked="false">
                <v:path arrowok="t"/>
                <v:fill type="solid"/>
              </v:shape>
            </v:group>
            <v:group style="position:absolute;left:1111;top:10370;width:895;height:2" coordorigin="1111,10370" coordsize="895,2">
              <v:shape style="position:absolute;left:1111;top:10370;width:895;height:2" coordorigin="1111,10370" coordsize="895,0" path="m1111,10370l2006,10370e" filled="false" stroked="true" strokeweight=".48pt" strokecolor="#000000">
                <v:path arrowok="t"/>
              </v:shape>
            </v:group>
            <v:group style="position:absolute;left:2015;top:10370;width:1528;height:2" coordorigin="2015,10370" coordsize="1528,2">
              <v:shape style="position:absolute;left:2015;top:10370;width:1528;height:2" coordorigin="2015,10370" coordsize="1528,0" path="m2015,10370l3543,10370e" filled="false" stroked="true" strokeweight=".48pt" strokecolor="#000000">
                <v:path arrowok="t"/>
              </v:shape>
            </v:group>
            <v:group style="position:absolute;left:3552;top:10370;width:233;height:2" coordorigin="3552,10370" coordsize="233,2">
              <v:shape style="position:absolute;left:3552;top:10370;width:233;height:2" coordorigin="3552,10370" coordsize="233,0" path="m3552,10370l3785,10370e" filled="false" stroked="true" strokeweight=".48pt" strokecolor="#000000">
                <v:path arrowok="t"/>
              </v:shape>
            </v:group>
            <v:group style="position:absolute;left:3795;top:10370;width:1023;height:2" coordorigin="3795,10370" coordsize="1023,2">
              <v:shape style="position:absolute;left:3795;top:10370;width:1023;height:2" coordorigin="3795,10370" coordsize="1023,0" path="m3795,10370l4817,10370e" filled="false" stroked="true" strokeweight=".48pt" strokecolor="#000000">
                <v:path arrowok="t"/>
              </v:shape>
            </v:group>
            <v:group style="position:absolute;left:4827;top:10370;width:702;height:2" coordorigin="4827,10370" coordsize="702,2">
              <v:shape style="position:absolute;left:4827;top:10370;width:702;height:2" coordorigin="4827,10370" coordsize="702,0" path="m4827,10370l5528,10370e" filled="false" stroked="true" strokeweight=".48pt" strokecolor="#000000">
                <v:path arrowok="t"/>
              </v:shape>
            </v:group>
            <v:group style="position:absolute;left:5538;top:10370;width:557;height:2" coordorigin="5538,10370" coordsize="557,2">
              <v:shape style="position:absolute;left:5538;top:10370;width:557;height:2" coordorigin="5538,10370" coordsize="557,0" path="m5538,10370l6094,10370e" filled="false" stroked="true" strokeweight=".48pt" strokecolor="#000000">
                <v:path arrowok="t"/>
              </v:shape>
            </v:group>
            <v:group style="position:absolute;left:6104;top:10370;width:839;height:2" coordorigin="6104,10370" coordsize="839,2">
              <v:shape style="position:absolute;left:6104;top:10370;width:839;height:2" coordorigin="6104,10370" coordsize="839,0" path="m6104,10370l6943,10370e" filled="false" stroked="true" strokeweight=".48pt" strokecolor="#000000">
                <v:path arrowok="t"/>
              </v:shape>
            </v:group>
            <v:group style="position:absolute;left:6952;top:10370;width:274;height:2" coordorigin="6952,10370" coordsize="274,2">
              <v:shape style="position:absolute;left:6952;top:10370;width:274;height:2" coordorigin="6952,10370" coordsize="274,0" path="m6952,10370l7226,10370e" filled="false" stroked="true" strokeweight=".48pt" strokecolor="#000000">
                <v:path arrowok="t"/>
              </v:shape>
            </v:group>
            <v:group style="position:absolute;left:7236;top:10370;width:558;height:2" coordorigin="7236,10370" coordsize="558,2">
              <v:shape style="position:absolute;left:7236;top:10370;width:558;height:2" coordorigin="7236,10370" coordsize="558,0" path="m7236,10370l7794,10370e" filled="false" stroked="true" strokeweight=".48pt" strokecolor="#000000">
                <v:path arrowok="t"/>
              </v:shape>
            </v:group>
            <v:group style="position:absolute;left:7803;top:10370;width:273;height:2" coordorigin="7803,10370" coordsize="273,2">
              <v:shape style="position:absolute;left:7803;top:10370;width:273;height:2" coordorigin="7803,10370" coordsize="273,0" path="m7803,10370l8076,10370e" filled="false" stroked="true" strokeweight=".48pt" strokecolor="#000000">
                <v:path arrowok="t"/>
              </v:shape>
            </v:group>
            <v:group style="position:absolute;left:8085;top:10370;width:408;height:2" coordorigin="8085,10370" coordsize="408,2">
              <v:shape style="position:absolute;left:8085;top:10370;width:408;height:2" coordorigin="8085,10370" coordsize="408,0" path="m8085,10370l8492,10370e" filled="false" stroked="true" strokeweight=".48pt" strokecolor="#000000">
                <v:path arrowok="t"/>
              </v:shape>
            </v:group>
            <v:group style="position:absolute;left:8502;top:10370;width:1137;height:2" coordorigin="8502,10370" coordsize="1137,2">
              <v:shape style="position:absolute;left:8502;top:10370;width:1137;height:2" coordorigin="8502,10370" coordsize="1137,0" path="m8502,10370l9638,10370e" filled="false" stroked="true" strokeweight=".48pt" strokecolor="#000000">
                <v:path arrowok="t"/>
              </v:shape>
            </v:group>
            <v:group style="position:absolute;left:9648;top:10370;width:240;height:2" coordorigin="9648,10370" coordsize="240,2">
              <v:shape style="position:absolute;left:9648;top:10370;width:240;height:2" coordorigin="9648,10370" coordsize="240,0" path="m9648,10370l9888,10370e" filled="false" stroked="true" strokeweight=".48pt" strokecolor="#000000">
                <v:path arrowok="t"/>
              </v:shape>
            </v:group>
            <v:group style="position:absolute;left:9898;top:10370;width:408;height:2" coordorigin="9898,10370" coordsize="408,2">
              <v:shape style="position:absolute;left:9898;top:10370;width:408;height:2" coordorigin="9898,10370" coordsize="408,0" path="m9898,10370l10306,10370e" filled="false" stroked="true" strokeweight=".48pt" strokecolor="#000000">
                <v:path arrowok="t"/>
              </v:shape>
            </v:group>
            <v:group style="position:absolute;left:10315;top:10370;width:482;height:2" coordorigin="10315,10370" coordsize="482,2">
              <v:shape style="position:absolute;left:10315;top:10370;width:482;height:2" coordorigin="10315,10370" coordsize="482,0" path="m10315,10370l10796,10370e" filled="false" stroked="true" strokeweight=".48pt" strokecolor="#000000">
                <v:path arrowok="t"/>
              </v:shape>
            </v:group>
            <v:group style="position:absolute;left:3552;top:12025;width:232;height:468" coordorigin="3552,12025" coordsize="232,468">
              <v:shape style="position:absolute;left:3552;top:12025;width:232;height:468" coordorigin="3552,12025" coordsize="232,468" path="m3552,12493l3784,12493,3784,12025,3552,12025,3552,12493xe" filled="true" fillcolor="#ffffff" stroked="false">
                <v:path arrowok="t"/>
                <v:fill type="solid"/>
              </v:shape>
            </v:group>
            <v:group style="position:absolute;left:3564;top:12493;width:2;height:705" coordorigin="3564,12493" coordsize="2,705">
              <v:shape style="position:absolute;left:3564;top:12493;width:2;height:705" coordorigin="3564,12493" coordsize="0,705" path="m3564,12493l3564,13197e" filled="false" stroked="true" strokeweight="1.140pt" strokecolor="#ffffff">
                <v:path arrowok="t"/>
              </v:shape>
            </v:group>
            <v:group style="position:absolute;left:3552;top:13197;width:232;height:468" coordorigin="3552,13197" coordsize="232,468">
              <v:shape style="position:absolute;left:3552;top:13197;width:232;height:468" coordorigin="3552,13197" coordsize="232,468" path="m3552,13665l3784,13665,3784,13197,3552,13197,3552,13665xe" filled="true" fillcolor="#ffffff" stroked="false">
                <v:path arrowok="t"/>
                <v:fill type="solid"/>
              </v:shape>
            </v:group>
            <v:group style="position:absolute;left:3575;top:12493;width:186;height:352" coordorigin="3575,12493" coordsize="186,352">
              <v:shape style="position:absolute;left:3575;top:12493;width:186;height:352" coordorigin="3575,12493" coordsize="186,352" path="m3575,12844l3761,12844,3761,12493,3575,12493,3575,12844xe" filled="true" fillcolor="#ffffff" stroked="false">
                <v:path arrowok="t"/>
                <v:fill type="solid"/>
              </v:shape>
            </v:group>
            <v:group style="position:absolute;left:3575;top:12844;width:186;height:353" coordorigin="3575,12844" coordsize="186,353">
              <v:shape style="position:absolute;left:3575;top:12844;width:186;height:353" coordorigin="3575,12844" coordsize="186,353" path="m3575,13197l3761,13197,3761,12844,3575,12844,3575,13197xe" filled="true" fillcolor="#ffffff" stroked="false">
                <v:path arrowok="t"/>
                <v:fill type="solid"/>
              </v:shape>
            </v:group>
            <v:group style="position:absolute;left:1111;top:12020;width:895;height:2" coordorigin="1111,12020" coordsize="895,2">
              <v:shape style="position:absolute;left:1111;top:12020;width:895;height:2" coordorigin="1111,12020" coordsize="895,0" path="m1111,12020l2006,12020e" filled="false" stroked="true" strokeweight=".48pt" strokecolor="#000000">
                <v:path arrowok="t"/>
              </v:shape>
            </v:group>
            <v:group style="position:absolute;left:2015;top:12020;width:1528;height:2" coordorigin="2015,12020" coordsize="1528,2">
              <v:shape style="position:absolute;left:2015;top:12020;width:1528;height:2" coordorigin="2015,12020" coordsize="1528,0" path="m2015,12020l3543,12020e" filled="false" stroked="true" strokeweight=".48pt" strokecolor="#000000">
                <v:path arrowok="t"/>
              </v:shape>
            </v:group>
            <v:group style="position:absolute;left:3552;top:12020;width:233;height:2" coordorigin="3552,12020" coordsize="233,2">
              <v:shape style="position:absolute;left:3552;top:12020;width:233;height:2" coordorigin="3552,12020" coordsize="233,0" path="m3552,12020l3785,12020e" filled="false" stroked="true" strokeweight=".48pt" strokecolor="#000000">
                <v:path arrowok="t"/>
              </v:shape>
            </v:group>
            <v:group style="position:absolute;left:3795;top:12020;width:1023;height:2" coordorigin="3795,12020" coordsize="1023,2">
              <v:shape style="position:absolute;left:3795;top:12020;width:1023;height:2" coordorigin="3795,12020" coordsize="1023,0" path="m3795,12020l4817,12020e" filled="false" stroked="true" strokeweight=".48pt" strokecolor="#000000">
                <v:path arrowok="t"/>
              </v:shape>
            </v:group>
            <v:group style="position:absolute;left:4827;top:12020;width:702;height:2" coordorigin="4827,12020" coordsize="702,2">
              <v:shape style="position:absolute;left:4827;top:12020;width:702;height:2" coordorigin="4827,12020" coordsize="702,0" path="m4827,12020l5528,12020e" filled="false" stroked="true" strokeweight=".48pt" strokecolor="#000000">
                <v:path arrowok="t"/>
              </v:shape>
            </v:group>
            <v:group style="position:absolute;left:5538;top:12020;width:557;height:2" coordorigin="5538,12020" coordsize="557,2">
              <v:shape style="position:absolute;left:5538;top:12020;width:557;height:2" coordorigin="5538,12020" coordsize="557,0" path="m5538,12020l6094,12020e" filled="false" stroked="true" strokeweight=".48pt" strokecolor="#000000">
                <v:path arrowok="t"/>
              </v:shape>
            </v:group>
            <v:group style="position:absolute;left:6104;top:12020;width:839;height:2" coordorigin="6104,12020" coordsize="839,2">
              <v:shape style="position:absolute;left:6104;top:12020;width:839;height:2" coordorigin="6104,12020" coordsize="839,0" path="m6104,12020l6943,12020e" filled="false" stroked="true" strokeweight=".48pt" strokecolor="#000000">
                <v:path arrowok="t"/>
              </v:shape>
            </v:group>
            <v:group style="position:absolute;left:6952;top:12020;width:274;height:2" coordorigin="6952,12020" coordsize="274,2">
              <v:shape style="position:absolute;left:6952;top:12020;width:274;height:2" coordorigin="6952,12020" coordsize="274,0" path="m6952,12020l7226,12020e" filled="false" stroked="true" strokeweight=".48pt" strokecolor="#000000">
                <v:path arrowok="t"/>
              </v:shape>
            </v:group>
            <v:group style="position:absolute;left:7236;top:12020;width:558;height:2" coordorigin="7236,12020" coordsize="558,2">
              <v:shape style="position:absolute;left:7236;top:12020;width:558;height:2" coordorigin="7236,12020" coordsize="558,0" path="m7236,12020l7794,12020e" filled="false" stroked="true" strokeweight=".48pt" strokecolor="#000000">
                <v:path arrowok="t"/>
              </v:shape>
            </v:group>
            <v:group style="position:absolute;left:7803;top:12020;width:273;height:2" coordorigin="7803,12020" coordsize="273,2">
              <v:shape style="position:absolute;left:7803;top:12020;width:273;height:2" coordorigin="7803,12020" coordsize="273,0" path="m7803,12020l8076,12020e" filled="false" stroked="true" strokeweight=".48pt" strokecolor="#000000">
                <v:path arrowok="t"/>
              </v:shape>
            </v:group>
            <v:group style="position:absolute;left:8085;top:12020;width:408;height:2" coordorigin="8085,12020" coordsize="408,2">
              <v:shape style="position:absolute;left:8085;top:12020;width:408;height:2" coordorigin="8085,12020" coordsize="408,0" path="m8085,12020l8492,12020e" filled="false" stroked="true" strokeweight=".48pt" strokecolor="#000000">
                <v:path arrowok="t"/>
              </v:shape>
            </v:group>
            <v:group style="position:absolute;left:8502;top:12020;width:1137;height:2" coordorigin="8502,12020" coordsize="1137,2">
              <v:shape style="position:absolute;left:8502;top:12020;width:1137;height:2" coordorigin="8502,12020" coordsize="1137,0" path="m8502,12020l9638,12020e" filled="false" stroked="true" strokeweight=".48pt" strokecolor="#000000">
                <v:path arrowok="t"/>
              </v:shape>
            </v:group>
            <v:group style="position:absolute;left:9648;top:12020;width:240;height:2" coordorigin="9648,12020" coordsize="240,2">
              <v:shape style="position:absolute;left:9648;top:12020;width:240;height:2" coordorigin="9648,12020" coordsize="240,0" path="m9648,12020l9888,12020e" filled="false" stroked="true" strokeweight=".48pt" strokecolor="#000000">
                <v:path arrowok="t"/>
              </v:shape>
            </v:group>
            <v:group style="position:absolute;left:9898;top:12020;width:408;height:2" coordorigin="9898,12020" coordsize="408,2">
              <v:shape style="position:absolute;left:9898;top:12020;width:408;height:2" coordorigin="9898,12020" coordsize="408,0" path="m9898,12020l10306,12020e" filled="false" stroked="true" strokeweight=".48pt" strokecolor="#000000">
                <v:path arrowok="t"/>
              </v:shape>
            </v:group>
            <v:group style="position:absolute;left:10315;top:12020;width:482;height:2" coordorigin="10315,12020" coordsize="482,2">
              <v:shape style="position:absolute;left:10315;top:12020;width:482;height:2" coordorigin="10315,12020" coordsize="482,0" path="m10315,12020l10796,12020e" filled="false" stroked="true" strokeweight=".48pt" strokecolor="#000000">
                <v:path arrowok="t"/>
              </v:shape>
            </v:group>
            <v:group style="position:absolute;left:3552;top:13675;width:232;height:469" coordorigin="3552,13675" coordsize="232,469">
              <v:shape style="position:absolute;left:3552;top:13675;width:232;height:469" coordorigin="3552,13675" coordsize="232,469" path="m3552,14143l3784,14143,3784,13675,3552,13675,3552,14143xe" filled="true" fillcolor="#ffffff" stroked="false">
                <v:path arrowok="t"/>
                <v:fill type="solid"/>
              </v:shape>
            </v:group>
            <v:group style="position:absolute;left:3564;top:14143;width:2;height:705" coordorigin="3564,14143" coordsize="2,705">
              <v:shape style="position:absolute;left:3564;top:14143;width:2;height:705" coordorigin="3564,14143" coordsize="0,705" path="m3564,14143l3564,14848e" filled="false" stroked="true" strokeweight="1.140pt" strokecolor="#ffffff">
                <v:path arrowok="t"/>
              </v:shape>
            </v:group>
            <v:group style="position:absolute;left:3552;top:14848;width:232;height:468" coordorigin="3552,14848" coordsize="232,468">
              <v:shape style="position:absolute;left:3552;top:14848;width:232;height:468" coordorigin="3552,14848" coordsize="232,468" path="m3552,15316l3784,15316,3784,14848,3552,14848,3552,15316xe" filled="true" fillcolor="#ffffff" stroked="false">
                <v:path arrowok="t"/>
                <v:fill type="solid"/>
              </v:shape>
            </v:group>
            <v:group style="position:absolute;left:3575;top:14143;width:186;height:352" coordorigin="3575,14143" coordsize="186,352">
              <v:shape style="position:absolute;left:3575;top:14143;width:186;height:352" coordorigin="3575,14143" coordsize="186,352" path="m3575,14495l3761,14495,3761,14143,3575,14143,3575,14495xe" filled="true" fillcolor="#ffffff" stroked="false">
                <v:path arrowok="t"/>
                <v:fill type="solid"/>
              </v:shape>
            </v:group>
            <v:group style="position:absolute;left:3575;top:14495;width:186;height:353" coordorigin="3575,14495" coordsize="186,353">
              <v:shape style="position:absolute;left:3575;top:14495;width:186;height:353" coordorigin="3575,14495" coordsize="186,353" path="m3575,14848l3761,14848,3761,14495,3575,14495,3575,14848xe" filled="true" fillcolor="#ffffff" stroked="false">
                <v:path arrowok="t"/>
                <v:fill type="solid"/>
              </v:shape>
            </v:group>
            <v:group style="position:absolute;left:1111;top:13670;width:895;height:2" coordorigin="1111,13670" coordsize="895,2">
              <v:shape style="position:absolute;left:1111;top:13670;width:895;height:2" coordorigin="1111,13670" coordsize="895,0" path="m1111,13670l2006,13670e" filled="false" stroked="true" strokeweight=".48pt" strokecolor="#000000">
                <v:path arrowok="t"/>
              </v:shape>
            </v:group>
            <v:group style="position:absolute;left:2015;top:13670;width:1528;height:2" coordorigin="2015,13670" coordsize="1528,2">
              <v:shape style="position:absolute;left:2015;top:13670;width:1528;height:2" coordorigin="2015,13670" coordsize="1528,0" path="m2015,13670l3543,13670e" filled="false" stroked="true" strokeweight=".48pt" strokecolor="#000000">
                <v:path arrowok="t"/>
              </v:shape>
            </v:group>
            <v:group style="position:absolute;left:3552;top:13670;width:233;height:2" coordorigin="3552,13670" coordsize="233,2">
              <v:shape style="position:absolute;left:3552;top:13670;width:233;height:2" coordorigin="3552,13670" coordsize="233,0" path="m3552,13670l3785,13670e" filled="false" stroked="true" strokeweight=".48pt" strokecolor="#000000">
                <v:path arrowok="t"/>
              </v:shape>
            </v:group>
            <v:group style="position:absolute;left:3795;top:13670;width:1023;height:2" coordorigin="3795,13670" coordsize="1023,2">
              <v:shape style="position:absolute;left:3795;top:13670;width:1023;height:2" coordorigin="3795,13670" coordsize="1023,0" path="m3795,13670l4817,13670e" filled="false" stroked="true" strokeweight=".48pt" strokecolor="#000000">
                <v:path arrowok="t"/>
              </v:shape>
            </v:group>
            <v:group style="position:absolute;left:4827;top:13670;width:702;height:2" coordorigin="4827,13670" coordsize="702,2">
              <v:shape style="position:absolute;left:4827;top:13670;width:702;height:2" coordorigin="4827,13670" coordsize="702,0" path="m4827,13670l5528,13670e" filled="false" stroked="true" strokeweight=".48pt" strokecolor="#000000">
                <v:path arrowok="t"/>
              </v:shape>
            </v:group>
            <v:group style="position:absolute;left:5538;top:13670;width:557;height:2" coordorigin="5538,13670" coordsize="557,2">
              <v:shape style="position:absolute;left:5538;top:13670;width:557;height:2" coordorigin="5538,13670" coordsize="557,0" path="m5538,13670l6094,13670e" filled="false" stroked="true" strokeweight=".48pt" strokecolor="#000000">
                <v:path arrowok="t"/>
              </v:shape>
            </v:group>
            <v:group style="position:absolute;left:6104;top:13670;width:839;height:2" coordorigin="6104,13670" coordsize="839,2">
              <v:shape style="position:absolute;left:6104;top:13670;width:839;height:2" coordorigin="6104,13670" coordsize="839,0" path="m6104,13670l6943,13670e" filled="false" stroked="true" strokeweight=".48pt" strokecolor="#000000">
                <v:path arrowok="t"/>
              </v:shape>
            </v:group>
            <v:group style="position:absolute;left:6952;top:13670;width:274;height:2" coordorigin="6952,13670" coordsize="274,2">
              <v:shape style="position:absolute;left:6952;top:13670;width:274;height:2" coordorigin="6952,13670" coordsize="274,0" path="m6952,13670l7226,13670e" filled="false" stroked="true" strokeweight=".48pt" strokecolor="#000000">
                <v:path arrowok="t"/>
              </v:shape>
            </v:group>
            <v:group style="position:absolute;left:7236;top:13670;width:558;height:2" coordorigin="7236,13670" coordsize="558,2">
              <v:shape style="position:absolute;left:7236;top:13670;width:558;height:2" coordorigin="7236,13670" coordsize="558,0" path="m7236,13670l7794,13670e" filled="false" stroked="true" strokeweight=".48pt" strokecolor="#000000">
                <v:path arrowok="t"/>
              </v:shape>
            </v:group>
            <v:group style="position:absolute;left:7803;top:13670;width:273;height:2" coordorigin="7803,13670" coordsize="273,2">
              <v:shape style="position:absolute;left:7803;top:13670;width:273;height:2" coordorigin="7803,13670" coordsize="273,0" path="m7803,13670l8076,13670e" filled="false" stroked="true" strokeweight=".48pt" strokecolor="#000000">
                <v:path arrowok="t"/>
              </v:shape>
            </v:group>
            <v:group style="position:absolute;left:8085;top:13670;width:408;height:2" coordorigin="8085,13670" coordsize="408,2">
              <v:shape style="position:absolute;left:8085;top:13670;width:408;height:2" coordorigin="8085,13670" coordsize="408,0" path="m8085,13670l8492,13670e" filled="false" stroked="true" strokeweight=".48pt" strokecolor="#000000">
                <v:path arrowok="t"/>
              </v:shape>
            </v:group>
            <v:group style="position:absolute;left:8502;top:13670;width:1137;height:2" coordorigin="8502,13670" coordsize="1137,2">
              <v:shape style="position:absolute;left:8502;top:13670;width:1137;height:2" coordorigin="8502,13670" coordsize="1137,0" path="m8502,13670l9638,13670e" filled="false" stroked="true" strokeweight=".48pt" strokecolor="#000000">
                <v:path arrowok="t"/>
              </v:shape>
            </v:group>
            <v:group style="position:absolute;left:9648;top:13670;width:240;height:2" coordorigin="9648,13670" coordsize="240,2">
              <v:shape style="position:absolute;left:9648;top:13670;width:240;height:2" coordorigin="9648,13670" coordsize="240,0" path="m9648,13670l9888,13670e" filled="false" stroked="true" strokeweight=".48pt" strokecolor="#000000">
                <v:path arrowok="t"/>
              </v:shape>
            </v:group>
            <v:group style="position:absolute;left:9898;top:13670;width:408;height:2" coordorigin="9898,13670" coordsize="408,2">
              <v:shape style="position:absolute;left:9898;top:13670;width:408;height:2" coordorigin="9898,13670" coordsize="408,0" path="m9898,13670l10306,13670e" filled="false" stroked="true" strokeweight=".48pt" strokecolor="#000000">
                <v:path arrowok="t"/>
              </v:shape>
            </v:group>
            <v:group style="position:absolute;left:10315;top:13670;width:482;height:2" coordorigin="10315,13670" coordsize="482,2">
              <v:shape style="position:absolute;left:10315;top:13670;width:482;height:2" coordorigin="10315,13670" coordsize="482,0" path="m10315,13670l10796,13670e" filled="false" stroked="true" strokeweight=".48pt" strokecolor="#000000">
                <v:path arrowok="t"/>
              </v:shape>
            </v:group>
            <v:group style="position:absolute;left:1106;top:1440;width:2;height:13886" coordorigin="1106,1440" coordsize="2,13886">
              <v:shape style="position:absolute;left:1106;top:1440;width:2;height:13886" coordorigin="1106,1440" coordsize="0,13886" path="m1106,1440l1106,15325e" filled="false" stroked="true" strokeweight=".48pt" strokecolor="#000000">
                <v:path arrowok="t"/>
              </v:shape>
            </v:group>
            <v:group style="position:absolute;left:1111;top:15320;width:895;height:2" coordorigin="1111,15320" coordsize="895,2">
              <v:shape style="position:absolute;left:1111;top:15320;width:895;height:2" coordorigin="1111,15320" coordsize="895,0" path="m1111,15320l2006,15320e" filled="false" stroked="true" strokeweight=".48pt" strokecolor="#000000">
                <v:path arrowok="t"/>
              </v:shape>
            </v:group>
            <v:group style="position:absolute;left:2010;top:1440;width:2;height:13886" coordorigin="2010,1440" coordsize="2,13886">
              <v:shape style="position:absolute;left:2010;top:1440;width:2;height:13886" coordorigin="2010,1440" coordsize="0,13886" path="m2010,1440l2010,15325e" filled="false" stroked="true" strokeweight=".48pt" strokecolor="#000000">
                <v:path arrowok="t"/>
              </v:shape>
            </v:group>
            <v:group style="position:absolute;left:2015;top:15320;width:1528;height:2" coordorigin="2015,15320" coordsize="1528,2">
              <v:shape style="position:absolute;left:2015;top:15320;width:1528;height:2" coordorigin="2015,15320" coordsize="1528,0" path="m2015,15320l3543,15320e" filled="false" stroked="true" strokeweight=".48pt" strokecolor="#000000">
                <v:path arrowok="t"/>
              </v:shape>
            </v:group>
            <v:group style="position:absolute;left:3548;top:1440;width:2;height:13886" coordorigin="3548,1440" coordsize="2,13886">
              <v:shape style="position:absolute;left:3548;top:1440;width:2;height:13886" coordorigin="3548,1440" coordsize="0,13886" path="m3548,1440l3548,15325e" filled="false" stroked="true" strokeweight=".48pt" strokecolor="#000000">
                <v:path arrowok="t"/>
              </v:shape>
            </v:group>
            <v:group style="position:absolute;left:3552;top:15320;width:233;height:2" coordorigin="3552,15320" coordsize="233,2">
              <v:shape style="position:absolute;left:3552;top:15320;width:233;height:2" coordorigin="3552,15320" coordsize="233,0" path="m3552,15320l3785,15320e" filled="false" stroked="true" strokeweight=".48pt" strokecolor="#000000">
                <v:path arrowok="t"/>
              </v:shape>
            </v:group>
            <v:group style="position:absolute;left:3790;top:1440;width:2;height:13886" coordorigin="3790,1440" coordsize="2,13886">
              <v:shape style="position:absolute;left:3790;top:1440;width:2;height:13886" coordorigin="3790,1440" coordsize="0,13886" path="m3790,1440l3790,15325e" filled="false" stroked="true" strokeweight=".48pt" strokecolor="#000000">
                <v:path arrowok="t"/>
              </v:shape>
            </v:group>
            <v:group style="position:absolute;left:3795;top:15320;width:1023;height:2" coordorigin="3795,15320" coordsize="1023,2">
              <v:shape style="position:absolute;left:3795;top:15320;width:1023;height:2" coordorigin="3795,15320" coordsize="1023,0" path="m3795,15320l4817,15320e" filled="false" stroked="true" strokeweight=".48pt" strokecolor="#000000">
                <v:path arrowok="t"/>
              </v:shape>
            </v:group>
            <v:group style="position:absolute;left:4822;top:1440;width:2;height:13886" coordorigin="4822,1440" coordsize="2,13886">
              <v:shape style="position:absolute;left:4822;top:1440;width:2;height:13886" coordorigin="4822,1440" coordsize="0,13886" path="m4822,1440l4822,15325e" filled="false" stroked="true" strokeweight=".48pt" strokecolor="#000000">
                <v:path arrowok="t"/>
              </v:shape>
            </v:group>
            <v:group style="position:absolute;left:4827;top:15320;width:702;height:2" coordorigin="4827,15320" coordsize="702,2">
              <v:shape style="position:absolute;left:4827;top:15320;width:702;height:2" coordorigin="4827,15320" coordsize="702,0" path="m4827,15320l5528,15320e" filled="false" stroked="true" strokeweight=".48pt" strokecolor="#000000">
                <v:path arrowok="t"/>
              </v:shape>
            </v:group>
            <v:group style="position:absolute;left:5533;top:1440;width:2;height:13886" coordorigin="5533,1440" coordsize="2,13886">
              <v:shape style="position:absolute;left:5533;top:1440;width:2;height:13886" coordorigin="5533,1440" coordsize="0,13886" path="m5533,1440l5533,15325e" filled="false" stroked="true" strokeweight=".48pt" strokecolor="#000000">
                <v:path arrowok="t"/>
              </v:shape>
            </v:group>
            <v:group style="position:absolute;left:5538;top:15320;width:557;height:2" coordorigin="5538,15320" coordsize="557,2">
              <v:shape style="position:absolute;left:5538;top:15320;width:557;height:2" coordorigin="5538,15320" coordsize="557,0" path="m5538,15320l6094,15320e" filled="false" stroked="true" strokeweight=".48pt" strokecolor="#000000">
                <v:path arrowok="t"/>
              </v:shape>
            </v:group>
            <v:group style="position:absolute;left:6099;top:1440;width:2;height:13886" coordorigin="6099,1440" coordsize="2,13886">
              <v:shape style="position:absolute;left:6099;top:1440;width:2;height:13886" coordorigin="6099,1440" coordsize="0,13886" path="m6099,1440l6099,15325e" filled="false" stroked="true" strokeweight=".48pt" strokecolor="#000000">
                <v:path arrowok="t"/>
              </v:shape>
            </v:group>
            <v:group style="position:absolute;left:6104;top:15320;width:839;height:2" coordorigin="6104,15320" coordsize="839,2">
              <v:shape style="position:absolute;left:6104;top:15320;width:839;height:2" coordorigin="6104,15320" coordsize="839,0" path="m6104,15320l6943,15320e" filled="false" stroked="true" strokeweight=".48pt" strokecolor="#000000">
                <v:path arrowok="t"/>
              </v:shape>
            </v:group>
            <v:group style="position:absolute;left:6948;top:1440;width:2;height:13886" coordorigin="6948,1440" coordsize="2,13886">
              <v:shape style="position:absolute;left:6948;top:1440;width:2;height:13886" coordorigin="6948,1440" coordsize="0,13886" path="m6948,1440l6948,15325e" filled="false" stroked="true" strokeweight=".48pt" strokecolor="#000000">
                <v:path arrowok="t"/>
              </v:shape>
            </v:group>
            <v:group style="position:absolute;left:6952;top:15320;width:274;height:2" coordorigin="6952,15320" coordsize="274,2">
              <v:shape style="position:absolute;left:6952;top:15320;width:274;height:2" coordorigin="6952,15320" coordsize="274,0" path="m6952,15320l7226,15320e" filled="false" stroked="true" strokeweight=".48pt" strokecolor="#000000">
                <v:path arrowok="t"/>
              </v:shape>
            </v:group>
            <v:group style="position:absolute;left:7231;top:1440;width:2;height:13886" coordorigin="7231,1440" coordsize="2,13886">
              <v:shape style="position:absolute;left:7231;top:1440;width:2;height:13886" coordorigin="7231,1440" coordsize="0,13886" path="m7231,1440l7231,15325e" filled="false" stroked="true" strokeweight=".48pt" strokecolor="#000000">
                <v:path arrowok="t"/>
              </v:shape>
            </v:group>
            <v:group style="position:absolute;left:7236;top:15320;width:558;height:2" coordorigin="7236,15320" coordsize="558,2">
              <v:shape style="position:absolute;left:7236;top:15320;width:558;height:2" coordorigin="7236,15320" coordsize="558,0" path="m7236,15320l7794,15320e" filled="false" stroked="true" strokeweight=".48pt" strokecolor="#000000">
                <v:path arrowok="t"/>
              </v:shape>
            </v:group>
            <v:group style="position:absolute;left:7798;top:1440;width:2;height:13886" coordorigin="7798,1440" coordsize="2,13886">
              <v:shape style="position:absolute;left:7798;top:1440;width:2;height:13886" coordorigin="7798,1440" coordsize="0,13886" path="m7798,1440l7798,15325e" filled="false" stroked="true" strokeweight=".48pt" strokecolor="#000000">
                <v:path arrowok="t"/>
              </v:shape>
            </v:group>
            <v:group style="position:absolute;left:7803;top:15320;width:273;height:2" coordorigin="7803,15320" coordsize="273,2">
              <v:shape style="position:absolute;left:7803;top:15320;width:273;height:2" coordorigin="7803,15320" coordsize="273,0" path="m7803,15320l8076,15320e" filled="false" stroked="true" strokeweight=".48pt" strokecolor="#000000">
                <v:path arrowok="t"/>
              </v:shape>
            </v:group>
            <v:group style="position:absolute;left:8080;top:1440;width:2;height:13886" coordorigin="8080,1440" coordsize="2,13886">
              <v:shape style="position:absolute;left:8080;top:1440;width:2;height:13886" coordorigin="8080,1440" coordsize="0,13886" path="m8080,1440l8080,15325e" filled="false" stroked="true" strokeweight=".48pt" strokecolor="#000000">
                <v:path arrowok="t"/>
              </v:shape>
            </v:group>
            <v:group style="position:absolute;left:8085;top:15320;width:408;height:2" coordorigin="8085,15320" coordsize="408,2">
              <v:shape style="position:absolute;left:8085;top:15320;width:408;height:2" coordorigin="8085,15320" coordsize="408,0" path="m8085,15320l8492,15320e" filled="false" stroked="true" strokeweight=".48pt" strokecolor="#000000">
                <v:path arrowok="t"/>
              </v:shape>
            </v:group>
            <v:group style="position:absolute;left:8497;top:1440;width:2;height:13886" coordorigin="8497,1440" coordsize="2,13886">
              <v:shape style="position:absolute;left:8497;top:1440;width:2;height:13886" coordorigin="8497,1440" coordsize="0,13886" path="m8497,1440l8497,15325e" filled="false" stroked="true" strokeweight=".48pt" strokecolor="#000000">
                <v:path arrowok="t"/>
              </v:shape>
            </v:group>
            <v:group style="position:absolute;left:8502;top:15320;width:1137;height:2" coordorigin="8502,15320" coordsize="1137,2">
              <v:shape style="position:absolute;left:8502;top:15320;width:1137;height:2" coordorigin="8502,15320" coordsize="1137,0" path="m8502,15320l9638,15320e" filled="false" stroked="true" strokeweight=".48pt" strokecolor="#000000">
                <v:path arrowok="t"/>
              </v:shape>
            </v:group>
            <v:group style="position:absolute;left:9643;top:1440;width:2;height:13886" coordorigin="9643,1440" coordsize="2,13886">
              <v:shape style="position:absolute;left:9643;top:1440;width:2;height:13886" coordorigin="9643,1440" coordsize="0,13886" path="m9643,1440l9643,15325e" filled="false" stroked="true" strokeweight=".48pt" strokecolor="#000000">
                <v:path arrowok="t"/>
              </v:shape>
            </v:group>
            <v:group style="position:absolute;left:9648;top:15320;width:240;height:2" coordorigin="9648,15320" coordsize="240,2">
              <v:shape style="position:absolute;left:9648;top:15320;width:240;height:2" coordorigin="9648,15320" coordsize="240,0" path="m9648,15320l9888,15320e" filled="false" stroked="true" strokeweight=".48pt" strokecolor="#000000">
                <v:path arrowok="t"/>
              </v:shape>
            </v:group>
            <v:group style="position:absolute;left:9893;top:1440;width:2;height:13886" coordorigin="9893,1440" coordsize="2,13886">
              <v:shape style="position:absolute;left:9893;top:1440;width:2;height:13886" coordorigin="9893,1440" coordsize="0,13886" path="m9893,1440l9893,15325e" filled="false" stroked="true" strokeweight=".48pt" strokecolor="#000000">
                <v:path arrowok="t"/>
              </v:shape>
            </v:group>
            <v:group style="position:absolute;left:9898;top:15320;width:408;height:2" coordorigin="9898,15320" coordsize="408,2">
              <v:shape style="position:absolute;left:9898;top:15320;width:408;height:2" coordorigin="9898,15320" coordsize="408,0" path="m9898,15320l10306,15320e" filled="false" stroked="true" strokeweight=".48pt" strokecolor="#000000">
                <v:path arrowok="t"/>
              </v:shape>
            </v:group>
            <v:group style="position:absolute;left:10310;top:1440;width:2;height:13886" coordorigin="10310,1440" coordsize="2,13886">
              <v:shape style="position:absolute;left:10310;top:1440;width:2;height:13886" coordorigin="10310,1440" coordsize="0,13886" path="m10310,1440l10310,15325e" filled="false" stroked="true" strokeweight=".48pt" strokecolor="#000000">
                <v:path arrowok="t"/>
              </v:shape>
            </v:group>
            <v:group style="position:absolute;left:10315;top:15320;width:482;height:2" coordorigin="10315,15320" coordsize="482,2">
              <v:shape style="position:absolute;left:10315;top:15320;width:482;height:2" coordorigin="10315,15320" coordsize="482,0" path="m10315,15320l10796,15320e" filled="false" stroked="true" strokeweight=".48pt" strokecolor="#000000">
                <v:path arrowok="t"/>
              </v:shape>
            </v:group>
            <v:group style="position:absolute;left:10801;top:1440;width:2;height:13886" coordorigin="10801,1440" coordsize="2,13886">
              <v:shape style="position:absolute;left:10801;top:1440;width:2;height:13886" coordorigin="10801,1440" coordsize="0,13886" path="m10801,1440l10801,15325e" filled="false" stroked="true" strokeweight=".48pt" strokecolor="#000000">
                <v:path arrowok="t"/>
              </v:shape>
            </v:group>
            <w10:wrap type="none"/>
          </v:group>
        </w:pict>
      </w:r>
      <w:r>
        <w:rPr/>
        <w:t>上海爱康 富罗纳售 电有限公 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0.00 -19,031,118.10</w:t>
      </w:r>
      <w:r>
        <w:rPr>
          <w:rFonts w:ascii="Times New Roman" w:hAnsi="Times New Roman" w:cs="Times New Roman" w:eastAsia="Times New Roman" w:hint="default"/>
          <w:spacing w:val="12"/>
        </w:rPr>
        <w:t> </w:t>
      </w:r>
      <w:r>
        <w:rPr/>
        <w:t>否</w:t>
      </w:r>
    </w:p>
    <w:p>
      <w:pPr>
        <w:spacing w:after="0" w:line="240" w:lineRule="auto"/>
        <w:jc w:val="left"/>
        <w:sectPr>
          <w:type w:val="continuous"/>
          <w:pgSz w:w="11910" w:h="16840"/>
          <w:pgMar w:top="1060" w:bottom="1160" w:left="980" w:right="0"/>
          <w:cols w:num="2" w:equalWidth="0">
            <w:col w:w="875" w:space="6147"/>
            <w:col w:w="3908"/>
          </w:cols>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904"/>
        <w:gridCol w:w="1537"/>
        <w:gridCol w:w="242"/>
        <w:gridCol w:w="1032"/>
        <w:gridCol w:w="711"/>
        <w:gridCol w:w="566"/>
        <w:gridCol w:w="848"/>
        <w:gridCol w:w="283"/>
        <w:gridCol w:w="568"/>
        <w:gridCol w:w="282"/>
        <w:gridCol w:w="417"/>
        <w:gridCol w:w="1146"/>
        <w:gridCol w:w="250"/>
        <w:gridCol w:w="418"/>
        <w:gridCol w:w="491"/>
      </w:tblGrid>
      <w:tr>
        <w:trPr>
          <w:trHeight w:val="1338"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09"/>
              <w:jc w:val="left"/>
              <w:rPr>
                <w:rFonts w:ascii="Times New Roman" w:hAnsi="Times New Roman" w:cs="Times New Roman" w:eastAsia="Times New Roman" w:hint="default"/>
                <w:sz w:val="18"/>
                <w:szCs w:val="18"/>
              </w:rPr>
            </w:pPr>
            <w:r>
              <w:rPr>
                <w:rFonts w:ascii="Times New Roman"/>
                <w:sz w:val="18"/>
              </w:rPr>
              <w:t>Akcome</w:t>
            </w:r>
            <w:r>
              <w:rPr>
                <w:rFonts w:ascii="Times New Roman"/>
                <w:w w:val="99"/>
                <w:sz w:val="18"/>
              </w:rPr>
              <w:t> </w:t>
            </w:r>
            <w:r>
              <w:rPr>
                <w:rFonts w:ascii="Times New Roman"/>
                <w:sz w:val="18"/>
              </w:rPr>
              <w:t>Energy</w:t>
            </w:r>
            <w:r>
              <w:rPr>
                <w:rFonts w:ascii="Times New Roman"/>
                <w:w w:val="99"/>
                <w:sz w:val="18"/>
              </w:rPr>
              <w:t> </w:t>
            </w:r>
            <w:r>
              <w:rPr>
                <w:rFonts w:ascii="Times New Roman"/>
                <w:sz w:val="18"/>
              </w:rPr>
              <w:t>Australia</w:t>
            </w:r>
            <w:r>
              <w:rPr>
                <w:rFonts w:ascii="Times New Roman"/>
                <w:w w:val="99"/>
                <w:sz w:val="18"/>
              </w:rPr>
              <w:t> </w:t>
            </w:r>
            <w:r>
              <w:rPr>
                <w:rFonts w:ascii="Times New Roman"/>
                <w:sz w:val="18"/>
              </w:rPr>
              <w:t>Pty</w:t>
            </w:r>
            <w:r>
              <w:rPr>
                <w:rFonts w:ascii="Times New Roman"/>
                <w:spacing w:val="-3"/>
                <w:sz w:val="18"/>
              </w:rPr>
              <w:t> </w:t>
            </w:r>
            <w:r>
              <w:rPr>
                <w:rFonts w:ascii="Times New Roman"/>
                <w:sz w:val="18"/>
              </w:rPr>
              <w:t>Ltd.</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分布式电站开发</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增 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7,925,700.00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3"/>
              <w:jc w:val="both"/>
              <w:rPr>
                <w:rFonts w:ascii="宋体" w:hAnsi="宋体" w:cs="宋体" w:eastAsia="宋体" w:hint="default"/>
                <w:sz w:val="18"/>
                <w:szCs w:val="18"/>
              </w:rPr>
            </w:pPr>
            <w:r>
              <w:rPr>
                <w:rFonts w:ascii="宋体" w:hAnsi="宋体" w:cs="宋体" w:eastAsia="宋体" w:hint="default"/>
                <w:sz w:val="18"/>
                <w:szCs w:val="18"/>
              </w:rPr>
              <w:t>电力 生产 销售</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-1,267,165.83</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9"/>
              <w:jc w:val="both"/>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2"/>
              <w:jc w:val="both"/>
              <w:rPr>
                <w:rFonts w:ascii="宋体" w:hAnsi="宋体" w:cs="宋体" w:eastAsia="宋体" w:hint="default"/>
                <w:sz w:val="18"/>
                <w:szCs w:val="18"/>
              </w:rPr>
            </w:pPr>
            <w:r>
              <w:rPr>
                <w:rFonts w:ascii="宋体" w:hAnsi="宋体" w:cs="宋体" w:eastAsia="宋体" w:hint="default"/>
                <w:sz w:val="18"/>
                <w:szCs w:val="18"/>
              </w:rPr>
              <w:t>融资租赁，企业项 目投资管理与咨询 等</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9"/>
              <w:jc w:val="left"/>
              <w:rPr>
                <w:rFonts w:ascii="宋体" w:hAnsi="宋体" w:cs="宋体" w:eastAsia="宋体" w:hint="default"/>
                <w:sz w:val="18"/>
                <w:szCs w:val="18"/>
              </w:rPr>
            </w:pPr>
            <w:r>
              <w:rPr>
                <w:rFonts w:ascii="宋体" w:hAnsi="宋体" w:cs="宋体" w:eastAsia="宋体" w:hint="default"/>
                <w:sz w:val="18"/>
                <w:szCs w:val="18"/>
              </w:rPr>
              <w:t>增 资</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both"/>
              <w:rPr>
                <w:rFonts w:ascii="宋体" w:hAnsi="宋体" w:cs="宋体" w:eastAsia="宋体" w:hint="default"/>
                <w:sz w:val="18"/>
                <w:szCs w:val="18"/>
              </w:rPr>
            </w:pPr>
            <w:r>
              <w:rPr>
                <w:rFonts w:ascii="宋体" w:hAnsi="宋体" w:cs="宋体" w:eastAsia="宋体" w:hint="default"/>
                <w:sz w:val="18"/>
                <w:szCs w:val="18"/>
              </w:rPr>
              <w:t>赣州发展 投资控股 集团有限 责任公司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73"/>
              <w:jc w:val="left"/>
              <w:rPr>
                <w:rFonts w:ascii="宋体" w:hAnsi="宋体" w:cs="宋体" w:eastAsia="宋体" w:hint="default"/>
                <w:sz w:val="18"/>
                <w:szCs w:val="18"/>
              </w:rPr>
            </w:pPr>
            <w:r>
              <w:rPr>
                <w:rFonts w:ascii="宋体" w:hAnsi="宋体" w:cs="宋体" w:eastAsia="宋体" w:hint="default"/>
                <w:sz w:val="18"/>
                <w:szCs w:val="18"/>
              </w:rPr>
              <w:t>金融 服务</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24,387,270.67</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9"/>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22" w:right="47"/>
              <w:jc w:val="left"/>
              <w:rPr>
                <w:rFonts w:ascii="宋体" w:hAnsi="宋体" w:cs="宋体" w:eastAsia="宋体" w:hint="default"/>
                <w:sz w:val="18"/>
                <w:szCs w:val="18"/>
              </w:rPr>
            </w:pPr>
            <w:r>
              <w:rPr>
                <w:rFonts w:ascii="宋体" w:hAnsi="宋体" w:cs="宋体" w:eastAsia="宋体" w:hint="default"/>
                <w:sz w:val="18"/>
                <w:szCs w:val="18"/>
              </w:rPr>
              <w:t>能源工程技术服 务；新能源发电工 程设计；</w:t>
            </w:r>
            <w:r>
              <w:rPr>
                <w:rFonts w:ascii="Times New Roman" w:hAnsi="Times New Roman" w:cs="Times New Roman" w:eastAsia="Times New Roman" w:hint="default"/>
                <w:sz w:val="18"/>
                <w:szCs w:val="18"/>
              </w:rPr>
              <w:t>EPC </w:t>
            </w:r>
            <w:r>
              <w:rPr>
                <w:rFonts w:ascii="宋体" w:hAnsi="宋体" w:cs="宋体" w:eastAsia="宋体" w:hint="default"/>
                <w:sz w:val="18"/>
                <w:szCs w:val="18"/>
              </w:rPr>
              <w:t>工程 管理服务等</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29"/>
              <w:jc w:val="left"/>
              <w:rPr>
                <w:rFonts w:ascii="宋体" w:hAnsi="宋体" w:cs="宋体" w:eastAsia="宋体" w:hint="default"/>
                <w:sz w:val="18"/>
                <w:szCs w:val="18"/>
              </w:rPr>
            </w:pPr>
            <w:r>
              <w:rPr>
                <w:rFonts w:ascii="宋体" w:hAnsi="宋体" w:cs="宋体" w:eastAsia="宋体" w:hint="default"/>
                <w:sz w:val="18"/>
                <w:szCs w:val="18"/>
              </w:rPr>
              <w:t>收 购</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790,440,000.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95"/>
              <w:jc w:val="both"/>
              <w:rPr>
                <w:rFonts w:ascii="宋体" w:hAnsi="宋体" w:cs="宋体" w:eastAsia="宋体" w:hint="default"/>
                <w:sz w:val="18"/>
                <w:szCs w:val="18"/>
              </w:rPr>
            </w:pPr>
            <w:r>
              <w:rPr>
                <w:rFonts w:ascii="宋体" w:hAnsi="宋体" w:cs="宋体" w:eastAsia="宋体" w:hint="default"/>
                <w:sz w:val="18"/>
                <w:szCs w:val="18"/>
              </w:rPr>
              <w:t>江苏爱康 实业集团 有限公司</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长 期</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
              <w:jc w:val="left"/>
              <w:rPr>
                <w:rFonts w:ascii="宋体" w:hAnsi="宋体" w:cs="宋体" w:eastAsia="宋体" w:hint="default"/>
                <w:sz w:val="18"/>
                <w:szCs w:val="18"/>
              </w:rPr>
            </w:pPr>
            <w:r>
              <w:rPr>
                <w:rFonts w:ascii="宋体" w:hAnsi="宋体" w:cs="宋体" w:eastAsia="宋体" w:hint="default"/>
                <w:sz w:val="18"/>
                <w:szCs w:val="18"/>
              </w:rPr>
              <w:t>工程 总包、 工程 技术 服务</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66"/>
              <w:jc w:val="both"/>
              <w:rPr>
                <w:rFonts w:ascii="宋体" w:hAnsi="宋体" w:cs="宋体" w:eastAsia="宋体" w:hint="default"/>
                <w:sz w:val="18"/>
                <w:szCs w:val="18"/>
              </w:rPr>
            </w:pPr>
            <w:r>
              <w:rPr>
                <w:rFonts w:ascii="宋体" w:hAnsi="宋体" w:cs="宋体" w:eastAsia="宋体" w:hint="default"/>
                <w:sz w:val="18"/>
                <w:szCs w:val="18"/>
              </w:rPr>
              <w:t>已 完 成</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4" w:right="0"/>
              <w:jc w:val="center"/>
              <w:rPr>
                <w:rFonts w:ascii="Times New Roman" w:hAnsi="Times New Roman" w:cs="Times New Roman" w:eastAsia="Times New Roman" w:hint="default"/>
                <w:sz w:val="18"/>
                <w:szCs w:val="18"/>
              </w:rPr>
            </w:pPr>
            <w:r>
              <w:rPr>
                <w:rFonts w:ascii="Times New Roman"/>
                <w:sz w:val="18"/>
              </w:rPr>
              <w:t>23,327,809.71</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18"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2,705,842,60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0.00</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w:t>
            </w:r>
          </w:p>
        </w:tc>
        <w:tc>
          <w:tcPr>
            <w:tcW w:w="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63,268,290.11</w:t>
            </w:r>
          </w:p>
        </w:tc>
        <w:tc>
          <w:tcPr>
            <w:tcW w:w="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w:t>
            </w:r>
          </w:p>
        </w:tc>
        <w:tc>
          <w:tcPr>
            <w:tcW w:w="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747" w:footer="979" w:top="1060" w:bottom="1160" w:left="980" w:right="0"/>
        </w:sectPr>
      </w:pPr>
    </w:p>
    <w:p>
      <w:pPr>
        <w:pStyle w:val="Heading3"/>
        <w:spacing w:line="240" w:lineRule="auto" w:before="35"/>
        <w:ind w:left="154" w:right="0"/>
        <w:jc w:val="left"/>
        <w:rPr>
          <w:b w:val="0"/>
          <w:bCs w:val="0"/>
        </w:rPr>
      </w:pPr>
      <w:r>
        <w:rPr/>
        <w:pict>
          <v:shape style="position:absolute;margin-left:177.619995pt;margin-top:-48.266331pt;width:11.589864pt;height:35.25pt;mso-position-horizontal-relative:page;mso-position-vertical-relative:paragraph;z-index:1504" type="#_x0000_t75" stroked="false">
            <v:imagedata r:id="rId13" o:title=""/>
          </v:shape>
        </w:pict>
      </w:r>
      <w:r>
        <w:rPr/>
        <w:pict>
          <v:shape style="position:absolute;margin-left:347.619995pt;margin-top:-48.266331pt;width:13.691652pt;height:35.25pt;mso-position-horizontal-relative:page;mso-position-vertical-relative:paragraph;z-index:1528" type="#_x0000_t75" stroked="false">
            <v:imagedata r:id="rId14" o:title=""/>
          </v:shape>
        </w:pict>
      </w:r>
      <w:r>
        <w:rPr/>
        <w:pict>
          <v:shape style="position:absolute;margin-left:390.160004pt;margin-top:-48.266331pt;width:13.57155pt;height:35.25pt;mso-position-horizontal-relative:page;mso-position-vertical-relative:paragraph;z-index:1552" type="#_x0000_t75" stroked="false">
            <v:imagedata r:id="rId15" o:title=""/>
          </v:shape>
        </w:pict>
      </w:r>
      <w:r>
        <w:rPr/>
        <w:pict>
          <v:shape style="position:absolute;margin-left:482.399994pt;margin-top:-48.266331pt;width:12.010221pt;height:35.25pt;mso-position-horizontal-relative:page;mso-position-vertical-relative:paragraph;z-index:1576" type="#_x0000_t75" stroked="false">
            <v:imagedata r:id="rId16" o:title=""/>
          </v:shape>
        </w:pict>
      </w: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240" w:lineRule="auto"/>
        <w:ind w:left="559" w:right="0"/>
        <w:jc w:val="left"/>
      </w:pPr>
      <w:r>
        <w:rPr/>
        <w:t>单位：元</w:t>
      </w:r>
    </w:p>
    <w:p>
      <w:pPr>
        <w:spacing w:after="0" w:line="240" w:lineRule="auto"/>
        <w:jc w:val="left"/>
        <w:sectPr>
          <w:type w:val="continuous"/>
          <w:pgSz w:w="11910" w:h="16840"/>
          <w:pgMar w:top="1060" w:bottom="1160" w:left="980" w:right="0"/>
          <w:cols w:num="2" w:equalWidth="0">
            <w:col w:w="7095" w:space="1419"/>
            <w:col w:w="2416"/>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18"/>
        <w:gridCol w:w="264"/>
        <w:gridCol w:w="310"/>
        <w:gridCol w:w="301"/>
        <w:gridCol w:w="1196"/>
        <w:gridCol w:w="1382"/>
        <w:gridCol w:w="463"/>
        <w:gridCol w:w="704"/>
        <w:gridCol w:w="1316"/>
        <w:gridCol w:w="1216"/>
        <w:gridCol w:w="852"/>
        <w:gridCol w:w="473"/>
        <w:gridCol w:w="472"/>
      </w:tblGrid>
      <w:tr>
        <w:trPr>
          <w:trHeight w:val="2898" w:hRule="exact"/>
        </w:trPr>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5" w:right="36"/>
              <w:jc w:val="both"/>
              <w:rPr>
                <w:rFonts w:ascii="宋体" w:hAnsi="宋体" w:cs="宋体" w:eastAsia="宋体" w:hint="default"/>
                <w:sz w:val="18"/>
                <w:szCs w:val="18"/>
              </w:rPr>
            </w:pPr>
            <w:r>
              <w:rPr>
                <w:rFonts w:ascii="宋体" w:hAnsi="宋体" w:cs="宋体" w:eastAsia="宋体" w:hint="default"/>
                <w:sz w:val="18"/>
                <w:szCs w:val="18"/>
              </w:rPr>
              <w:t>投 资 方 式</w:t>
            </w:r>
          </w:p>
        </w:tc>
        <w:tc>
          <w:tcPr>
            <w:tcW w:w="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 w:right="59"/>
              <w:jc w:val="both"/>
              <w:rPr>
                <w:rFonts w:ascii="宋体" w:hAnsi="宋体" w:cs="宋体" w:eastAsia="宋体" w:hint="default"/>
                <w:sz w:val="18"/>
                <w:szCs w:val="18"/>
              </w:rPr>
            </w:pPr>
            <w:r>
              <w:rPr>
                <w:rFonts w:ascii="宋体" w:hAnsi="宋体" w:cs="宋体" w:eastAsia="宋体" w:hint="default"/>
                <w:sz w:val="18"/>
                <w:szCs w:val="18"/>
              </w:rPr>
              <w:t>是 否 为 固 定 资 产 投 资</w:t>
            </w:r>
          </w:p>
        </w:tc>
        <w:tc>
          <w:tcPr>
            <w:tcW w:w="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5" w:right="54"/>
              <w:jc w:val="both"/>
              <w:rPr>
                <w:rFonts w:ascii="宋体" w:hAnsi="宋体" w:cs="宋体" w:eastAsia="宋体" w:hint="default"/>
                <w:sz w:val="18"/>
                <w:szCs w:val="18"/>
              </w:rPr>
            </w:pPr>
            <w:r>
              <w:rPr>
                <w:rFonts w:ascii="宋体" w:hAnsi="宋体" w:cs="宋体" w:eastAsia="宋体" w:hint="default"/>
                <w:sz w:val="18"/>
                <w:szCs w:val="18"/>
              </w:rPr>
              <w:t>投 资 项 目 涉 及 行 业</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55" w:right="54"/>
              <w:jc w:val="left"/>
              <w:rPr>
                <w:rFonts w:ascii="宋体" w:hAnsi="宋体" w:cs="宋体" w:eastAsia="宋体" w:hint="default"/>
                <w:sz w:val="18"/>
                <w:szCs w:val="18"/>
              </w:rPr>
            </w:pPr>
            <w:r>
              <w:rPr>
                <w:rFonts w:ascii="宋体" w:hAnsi="宋体" w:cs="宋体" w:eastAsia="宋体" w:hint="default"/>
                <w:sz w:val="18"/>
                <w:szCs w:val="18"/>
              </w:rPr>
              <w:t>截至报告期末累 计实际投入金额</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45" w:right="47"/>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56" w:right="77"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3" w:right="0"/>
              <w:jc w:val="left"/>
              <w:rPr>
                <w:rFonts w:ascii="宋体" w:hAnsi="宋体" w:cs="宋体" w:eastAsia="宋体" w:hint="default"/>
                <w:sz w:val="18"/>
                <w:szCs w:val="18"/>
              </w:rPr>
            </w:pPr>
            <w:r>
              <w:rPr>
                <w:rFonts w:ascii="宋体" w:hAnsi="宋体" w:cs="宋体" w:eastAsia="宋体" w:hint="default"/>
                <w:sz w:val="18"/>
                <w:szCs w:val="18"/>
              </w:rPr>
              <w:t>预计收益</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62" w:right="63"/>
              <w:jc w:val="center"/>
              <w:rPr>
                <w:rFonts w:ascii="宋体" w:hAnsi="宋体" w:cs="宋体" w:eastAsia="宋体" w:hint="default"/>
                <w:sz w:val="18"/>
                <w:szCs w:val="18"/>
              </w:rPr>
            </w:pPr>
            <w:r>
              <w:rPr>
                <w:rFonts w:ascii="宋体" w:hAnsi="宋体" w:cs="宋体" w:eastAsia="宋体" w:hint="default"/>
                <w:sz w:val="18"/>
                <w:szCs w:val="18"/>
              </w:rPr>
              <w:t>截止报告期末 累计实现的收 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61" w:right="59"/>
              <w:jc w:val="both"/>
              <w:rPr>
                <w:rFonts w:ascii="宋体" w:hAnsi="宋体" w:cs="宋体" w:eastAsia="宋体" w:hint="default"/>
                <w:sz w:val="18"/>
                <w:szCs w:val="18"/>
              </w:rPr>
            </w:pPr>
            <w:r>
              <w:rPr>
                <w:rFonts w:ascii="宋体" w:hAnsi="宋体" w:cs="宋体" w:eastAsia="宋体" w:hint="default"/>
                <w:sz w:val="18"/>
                <w:szCs w:val="18"/>
              </w:rPr>
              <w:t>未达到计 划进度和 预计收益 的原因</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1" w:right="49"/>
              <w:jc w:val="left"/>
              <w:rPr>
                <w:rFonts w:ascii="宋体" w:hAnsi="宋体" w:cs="宋体" w:eastAsia="宋体" w:hint="default"/>
                <w:sz w:val="18"/>
                <w:szCs w:val="18"/>
              </w:rPr>
            </w:pPr>
            <w:r>
              <w:rPr>
                <w:rFonts w:ascii="宋体" w:hAnsi="宋体" w:cs="宋体" w:eastAsia="宋体" w:hint="default"/>
                <w:sz w:val="18"/>
                <w:szCs w:val="18"/>
              </w:rPr>
              <w:t>披露 日期</w:t>
            </w:r>
          </w:p>
          <w:p>
            <w:pPr>
              <w:pStyle w:val="TableParagraph"/>
              <w:spacing w:line="319" w:lineRule="auto" w:before="19"/>
              <w:ind w:left="51" w:right="49"/>
              <w:jc w:val="left"/>
              <w:rPr>
                <w:rFonts w:ascii="宋体" w:hAnsi="宋体" w:cs="宋体" w:eastAsia="宋体" w:hint="default"/>
                <w:sz w:val="18"/>
                <w:szCs w:val="18"/>
              </w:rPr>
            </w:pPr>
            <w:r>
              <w:rPr>
                <w:rFonts w:ascii="宋体" w:hAnsi="宋体" w:cs="宋体" w:eastAsia="宋体" w:hint="default"/>
                <w:sz w:val="18"/>
                <w:szCs w:val="18"/>
              </w:rPr>
              <w:t>（如 有）</w:t>
            </w:r>
          </w:p>
        </w:tc>
        <w:tc>
          <w:tcPr>
            <w:tcW w:w="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0" w:right="49"/>
              <w:jc w:val="left"/>
              <w:rPr>
                <w:rFonts w:ascii="宋体" w:hAnsi="宋体" w:cs="宋体" w:eastAsia="宋体" w:hint="default"/>
                <w:sz w:val="18"/>
                <w:szCs w:val="18"/>
              </w:rPr>
            </w:pPr>
            <w:r>
              <w:rPr>
                <w:rFonts w:ascii="宋体" w:hAnsi="宋体" w:cs="宋体" w:eastAsia="宋体" w:hint="default"/>
                <w:sz w:val="18"/>
                <w:szCs w:val="18"/>
              </w:rPr>
              <w:t>披露 索引</w:t>
            </w:r>
          </w:p>
          <w:p>
            <w:pPr>
              <w:pStyle w:val="TableParagraph"/>
              <w:spacing w:line="319" w:lineRule="auto" w:before="19"/>
              <w:ind w:left="50" w:right="49"/>
              <w:jc w:val="left"/>
              <w:rPr>
                <w:rFonts w:ascii="宋体" w:hAnsi="宋体" w:cs="宋体" w:eastAsia="宋体" w:hint="default"/>
                <w:sz w:val="18"/>
                <w:szCs w:val="18"/>
              </w:rPr>
            </w:pPr>
            <w:r>
              <w:rPr>
                <w:rFonts w:ascii="宋体" w:hAnsi="宋体" w:cs="宋体" w:eastAsia="宋体" w:hint="default"/>
                <w:sz w:val="18"/>
                <w:szCs w:val="18"/>
              </w:rPr>
              <w:t>（如 有）</w:t>
            </w: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3"/>
              <w:jc w:val="left"/>
              <w:rPr>
                <w:rFonts w:ascii="宋体" w:hAnsi="宋体" w:cs="宋体" w:eastAsia="宋体" w:hint="default"/>
                <w:sz w:val="18"/>
                <w:szCs w:val="18"/>
              </w:rPr>
            </w:pPr>
            <w:r>
              <w:rPr>
                <w:rFonts w:ascii="宋体" w:hAnsi="宋体" w:cs="宋体" w:eastAsia="宋体" w:hint="default"/>
                <w:sz w:val="18"/>
                <w:szCs w:val="18"/>
              </w:rPr>
              <w:t>山东嘉 祥电站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15,456,993.30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97,422,218.58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74,369,000.00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-6,923,147.10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因电价政 策调整致 发电收入 减少；</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43"/>
              <w:jc w:val="both"/>
              <w:rPr>
                <w:rFonts w:ascii="宋体" w:hAnsi="宋体" w:cs="宋体" w:eastAsia="宋体" w:hint="default"/>
                <w:sz w:val="18"/>
                <w:szCs w:val="18"/>
              </w:rPr>
            </w:pPr>
            <w:r>
              <w:rPr>
                <w:rFonts w:ascii="宋体" w:hAnsi="宋体" w:cs="宋体" w:eastAsia="宋体" w:hint="default"/>
                <w:sz w:val="18"/>
                <w:szCs w:val="18"/>
              </w:rPr>
              <w:t>新疆五 家渠电 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16,433,598.99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379,485,498.50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197,275,000.00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-825,886.17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电站尚在 施工中， 暂未并网</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43"/>
              <w:jc w:val="left"/>
              <w:rPr>
                <w:rFonts w:ascii="宋体" w:hAnsi="宋体" w:cs="宋体" w:eastAsia="宋体" w:hint="default"/>
                <w:sz w:val="18"/>
                <w:szCs w:val="18"/>
              </w:rPr>
            </w:pPr>
            <w:r>
              <w:rPr>
                <w:rFonts w:ascii="宋体" w:hAnsi="宋体" w:cs="宋体" w:eastAsia="宋体" w:hint="default"/>
                <w:sz w:val="18"/>
                <w:szCs w:val="18"/>
              </w:rPr>
              <w:t>新疆利 源电站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5,957,451.60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339,683,942.95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197,275,000.00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-14,326,674.18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97"/>
              <w:jc w:val="both"/>
              <w:rPr>
                <w:rFonts w:ascii="宋体" w:hAnsi="宋体" w:cs="宋体" w:eastAsia="宋体" w:hint="default"/>
                <w:sz w:val="18"/>
                <w:szCs w:val="18"/>
              </w:rPr>
            </w:pPr>
            <w:r>
              <w:rPr>
                <w:rFonts w:ascii="宋体" w:hAnsi="宋体" w:cs="宋体" w:eastAsia="宋体" w:hint="default"/>
                <w:sz w:val="18"/>
                <w:szCs w:val="18"/>
              </w:rPr>
              <w:t>电站尚在 施工中， 暂未并网</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8"/>
        <w:gridCol w:w="264"/>
        <w:gridCol w:w="310"/>
        <w:gridCol w:w="301"/>
        <w:gridCol w:w="1196"/>
        <w:gridCol w:w="1382"/>
        <w:gridCol w:w="463"/>
        <w:gridCol w:w="704"/>
        <w:gridCol w:w="1316"/>
        <w:gridCol w:w="1216"/>
        <w:gridCol w:w="852"/>
        <w:gridCol w:w="473"/>
        <w:gridCol w:w="472"/>
      </w:tblGrid>
      <w:tr>
        <w:trPr>
          <w:trHeight w:val="2274"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山东无 棣电站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178,973,302.47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563,146,665.27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74,369,000.00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9,390,472.00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因土地取 得成本较 高年摊销 费用较大 致毛利率 有所降 低；</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143"/>
              <w:jc w:val="left"/>
              <w:rPr>
                <w:rFonts w:ascii="宋体" w:hAnsi="宋体" w:cs="宋体" w:eastAsia="宋体" w:hint="default"/>
                <w:sz w:val="18"/>
                <w:szCs w:val="18"/>
              </w:rPr>
            </w:pPr>
            <w:r>
              <w:rPr>
                <w:rFonts w:ascii="宋体" w:hAnsi="宋体" w:cs="宋体" w:eastAsia="宋体" w:hint="default"/>
                <w:sz w:val="18"/>
                <w:szCs w:val="18"/>
              </w:rPr>
              <w:t>河南南 召电站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8"/>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1,147,828.83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553,081,119.35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23,481,010.61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因电价政 策调整导 致发电收 入减少； 项目偏僻 远离城 镇，运营 维护成本 较高；</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3"/>
              <w:jc w:val="left"/>
              <w:rPr>
                <w:rFonts w:ascii="宋体" w:hAnsi="宋体" w:cs="宋体" w:eastAsia="宋体" w:hint="default"/>
                <w:sz w:val="18"/>
                <w:szCs w:val="18"/>
              </w:rPr>
            </w:pPr>
            <w:r>
              <w:rPr>
                <w:rFonts w:ascii="宋体" w:hAnsi="宋体" w:cs="宋体" w:eastAsia="宋体" w:hint="default"/>
                <w:sz w:val="18"/>
                <w:szCs w:val="18"/>
              </w:rPr>
              <w:t>河南泌 阳电站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29,536,015.33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134,078,410.97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65,596,400.00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7,316,827.35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因并网消 缺期间较 长，致营 业收入较 低；</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143"/>
              <w:jc w:val="left"/>
              <w:rPr>
                <w:rFonts w:ascii="宋体" w:hAnsi="宋体" w:cs="宋体" w:eastAsia="宋体" w:hint="default"/>
                <w:sz w:val="18"/>
                <w:szCs w:val="18"/>
              </w:rPr>
            </w:pPr>
            <w:r>
              <w:rPr>
                <w:rFonts w:ascii="宋体" w:hAnsi="宋体" w:cs="宋体" w:eastAsia="宋体" w:hint="default"/>
                <w:sz w:val="18"/>
                <w:szCs w:val="18"/>
              </w:rPr>
              <w:t>云南禄 劝电站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2"/>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95,797.65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189,194,403.38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89.30%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-3,504,123.74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主要受云 南全省各 发电企业 需要参与 购售电市 场竞价、 电量集中 撮合交易 以获得发 电负荷的 影响，发 电收入下 降</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43"/>
              <w:jc w:val="left"/>
              <w:rPr>
                <w:rFonts w:ascii="宋体" w:hAnsi="宋体" w:cs="宋体" w:eastAsia="宋体" w:hint="default"/>
                <w:sz w:val="18"/>
                <w:szCs w:val="18"/>
              </w:rPr>
            </w:pPr>
            <w:r>
              <w:rPr>
                <w:rFonts w:ascii="宋体" w:hAnsi="宋体" w:cs="宋体" w:eastAsia="宋体" w:hint="default"/>
                <w:sz w:val="18"/>
                <w:szCs w:val="18"/>
              </w:rPr>
              <w:t>安徽明 光电站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34,695,269.94</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120,810,895.90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38,447,000.00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4,967,827.21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因并网消 缺期间较 长，发电 量未达预 期目标；</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43"/>
              <w:jc w:val="left"/>
              <w:rPr>
                <w:rFonts w:ascii="宋体" w:hAnsi="宋体" w:cs="宋体" w:eastAsia="宋体" w:hint="default"/>
                <w:sz w:val="18"/>
                <w:szCs w:val="18"/>
              </w:rPr>
            </w:pPr>
            <w:r>
              <w:rPr>
                <w:rFonts w:ascii="宋体" w:hAnsi="宋体" w:cs="宋体" w:eastAsia="宋体" w:hint="default"/>
                <w:sz w:val="18"/>
                <w:szCs w:val="18"/>
              </w:rPr>
              <w:t>吉林大 安电站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86"/>
              <w:jc w:val="both"/>
              <w:rPr>
                <w:rFonts w:ascii="宋体" w:hAnsi="宋体" w:cs="宋体" w:eastAsia="宋体" w:hint="default"/>
                <w:sz w:val="18"/>
                <w:szCs w:val="18"/>
              </w:rPr>
            </w:pPr>
            <w:r>
              <w:rPr>
                <w:rFonts w:ascii="宋体" w:hAnsi="宋体" w:cs="宋体" w:eastAsia="宋体" w:hint="default"/>
                <w:sz w:val="18"/>
                <w:szCs w:val="18"/>
              </w:rPr>
              <w:t>光 伏 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4,313,961.59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73,174,997.80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38,447,000.00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1,429,937.51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18"/>
        <w:gridCol w:w="264"/>
        <w:gridCol w:w="310"/>
        <w:gridCol w:w="301"/>
        <w:gridCol w:w="1196"/>
        <w:gridCol w:w="1382"/>
        <w:gridCol w:w="463"/>
        <w:gridCol w:w="704"/>
        <w:gridCol w:w="1316"/>
        <w:gridCol w:w="1216"/>
        <w:gridCol w:w="852"/>
        <w:gridCol w:w="473"/>
        <w:gridCol w:w="472"/>
      </w:tblGrid>
      <w:tr>
        <w:trPr>
          <w:trHeight w:val="362" w:hRule="exact"/>
        </w:trPr>
        <w:tc>
          <w:tcPr>
            <w:tcW w:w="718" w:type="dxa"/>
            <w:tcBorders>
              <w:top w:val="single" w:sz="4" w:space="0" w:color="000000"/>
              <w:left w:val="single" w:sz="4" w:space="0" w:color="000000"/>
              <w:bottom w:val="single" w:sz="4" w:space="0" w:color="000000"/>
              <w:right w:val="single" w:sz="4" w:space="0" w:color="000000"/>
            </w:tcBorders>
          </w:tcPr>
          <w:p>
            <w:pPr/>
          </w:p>
        </w:tc>
        <w:tc>
          <w:tcPr>
            <w:tcW w:w="264" w:type="dxa"/>
            <w:tcBorders>
              <w:top w:val="single" w:sz="4" w:space="0" w:color="000000"/>
              <w:left w:val="single" w:sz="4" w:space="0" w:color="000000"/>
              <w:bottom w:val="single" w:sz="4" w:space="0" w:color="000000"/>
              <w:right w:val="single" w:sz="4" w:space="0" w:color="000000"/>
            </w:tcBorders>
          </w:tcPr>
          <w:p>
            <w:pPr/>
          </w:p>
        </w:tc>
        <w:tc>
          <w:tcPr>
            <w:tcW w:w="310" w:type="dxa"/>
            <w:tcBorders>
              <w:top w:val="single" w:sz="4" w:space="0" w:color="000000"/>
              <w:left w:val="single" w:sz="4" w:space="0" w:color="000000"/>
              <w:bottom w:val="single" w:sz="4" w:space="0" w:color="000000"/>
              <w:right w:val="single" w:sz="4" w:space="0" w:color="000000"/>
            </w:tcBorders>
          </w:tcPr>
          <w:p>
            <w:pP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5"/>
              <w:jc w:val="center"/>
              <w:rPr>
                <w:rFonts w:ascii="宋体" w:hAnsi="宋体" w:cs="宋体" w:eastAsia="宋体" w:hint="default"/>
                <w:sz w:val="18"/>
                <w:szCs w:val="18"/>
              </w:rPr>
            </w:pPr>
            <w:r>
              <w:rPr>
                <w:rFonts w:ascii="宋体" w:hAnsi="宋体" w:cs="宋体" w:eastAsia="宋体" w:hint="default"/>
                <w:sz w:val="18"/>
                <w:szCs w:val="18"/>
              </w:rPr>
              <w:t>电</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46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c>
          <w:tcPr>
            <w:tcW w:w="1216"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3"/>
              <w:jc w:val="left"/>
              <w:rPr>
                <w:rFonts w:ascii="宋体" w:hAnsi="宋体" w:cs="宋体" w:eastAsia="宋体" w:hint="default"/>
                <w:sz w:val="18"/>
                <w:szCs w:val="18"/>
              </w:rPr>
            </w:pPr>
            <w:r>
              <w:rPr>
                <w:rFonts w:ascii="宋体" w:hAnsi="宋体" w:cs="宋体" w:eastAsia="宋体" w:hint="default"/>
                <w:sz w:val="18"/>
                <w:szCs w:val="18"/>
              </w:rPr>
              <w:t>广东徐 闻电站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128,410,679.95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264,452,385.61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122,040,000.00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9,533,319.60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3"/>
              <w:jc w:val="left"/>
              <w:rPr>
                <w:rFonts w:ascii="宋体" w:hAnsi="宋体" w:cs="宋体" w:eastAsia="宋体" w:hint="default"/>
                <w:sz w:val="18"/>
                <w:szCs w:val="18"/>
              </w:rPr>
            </w:pPr>
            <w:r>
              <w:rPr>
                <w:rFonts w:ascii="宋体" w:hAnsi="宋体" w:cs="宋体" w:eastAsia="宋体" w:hint="default"/>
                <w:sz w:val="18"/>
                <w:szCs w:val="18"/>
              </w:rPr>
              <w:t>广西崇 左电站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1,341,115.45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101,100,621.37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60.57%</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61,020,000.00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-92,112.98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7"/>
              <w:jc w:val="left"/>
              <w:rPr>
                <w:rFonts w:ascii="宋体" w:hAnsi="宋体" w:cs="宋体" w:eastAsia="宋体" w:hint="default"/>
                <w:sz w:val="18"/>
                <w:szCs w:val="18"/>
              </w:rPr>
            </w:pPr>
            <w:r>
              <w:rPr>
                <w:rFonts w:ascii="宋体" w:hAnsi="宋体" w:cs="宋体" w:eastAsia="宋体" w:hint="default"/>
                <w:sz w:val="18"/>
                <w:szCs w:val="18"/>
              </w:rPr>
              <w:t>电站尚未 投建完成</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3"/>
              <w:jc w:val="left"/>
              <w:rPr>
                <w:rFonts w:ascii="宋体" w:hAnsi="宋体" w:cs="宋体" w:eastAsia="宋体" w:hint="default"/>
                <w:sz w:val="18"/>
                <w:szCs w:val="18"/>
              </w:rPr>
            </w:pPr>
            <w:r>
              <w:rPr>
                <w:rFonts w:ascii="宋体" w:hAnsi="宋体" w:cs="宋体" w:eastAsia="宋体" w:hint="default"/>
                <w:sz w:val="18"/>
                <w:szCs w:val="18"/>
              </w:rPr>
              <w:t>辽宁锦 州电站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79,415,635.76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126,178,778.03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68,492,000.00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368,330.48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43"/>
              <w:jc w:val="left"/>
              <w:rPr>
                <w:rFonts w:ascii="宋体" w:hAnsi="宋体" w:cs="宋体" w:eastAsia="宋体" w:hint="default"/>
                <w:sz w:val="18"/>
                <w:szCs w:val="18"/>
              </w:rPr>
            </w:pPr>
            <w:r>
              <w:rPr>
                <w:rFonts w:ascii="宋体" w:hAnsi="宋体" w:cs="宋体" w:eastAsia="宋体" w:hint="default"/>
                <w:sz w:val="18"/>
                <w:szCs w:val="18"/>
              </w:rPr>
              <w:t>河南伊 川电站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39,930,993.45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194,662,408.13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募集 资 金、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163,991,000.00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-203,629.32</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7"/>
              <w:jc w:val="both"/>
              <w:rPr>
                <w:rFonts w:ascii="宋体" w:hAnsi="宋体" w:cs="宋体" w:eastAsia="宋体" w:hint="default"/>
                <w:sz w:val="18"/>
                <w:szCs w:val="18"/>
              </w:rPr>
            </w:pPr>
            <w:r>
              <w:rPr>
                <w:rFonts w:ascii="宋体" w:hAnsi="宋体" w:cs="宋体" w:eastAsia="宋体" w:hint="default"/>
                <w:sz w:val="18"/>
                <w:szCs w:val="18"/>
              </w:rPr>
              <w:t>因并网消 缺期间较 长，发电 量未达预 期目标；</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43"/>
              <w:jc w:val="left"/>
              <w:rPr>
                <w:rFonts w:ascii="宋体" w:hAnsi="宋体" w:cs="宋体" w:eastAsia="宋体" w:hint="default"/>
                <w:sz w:val="18"/>
                <w:szCs w:val="18"/>
              </w:rPr>
            </w:pPr>
            <w:r>
              <w:rPr>
                <w:rFonts w:ascii="宋体" w:hAnsi="宋体" w:cs="宋体" w:eastAsia="宋体" w:hint="default"/>
                <w:sz w:val="18"/>
                <w:szCs w:val="18"/>
              </w:rPr>
              <w:t>山东莒 南电站</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6"/>
              <w:jc w:val="both"/>
              <w:rPr>
                <w:rFonts w:ascii="宋体" w:hAnsi="宋体" w:cs="宋体" w:eastAsia="宋体" w:hint="default"/>
                <w:sz w:val="18"/>
                <w:szCs w:val="18"/>
              </w:rPr>
            </w:pPr>
            <w:r>
              <w:rPr>
                <w:rFonts w:ascii="宋体" w:hAnsi="宋体" w:cs="宋体" w:eastAsia="宋体" w:hint="default"/>
                <w:sz w:val="18"/>
                <w:szCs w:val="18"/>
              </w:rPr>
              <w:t>光 伏 发 电</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35,362,225.88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50,832,521.03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78.00%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36,612,000.00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-526,315.27</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97"/>
              <w:jc w:val="left"/>
              <w:rPr>
                <w:rFonts w:ascii="宋体" w:hAnsi="宋体" w:cs="宋体" w:eastAsia="宋体" w:hint="default"/>
                <w:sz w:val="18"/>
                <w:szCs w:val="18"/>
              </w:rPr>
            </w:pPr>
            <w:r>
              <w:rPr>
                <w:rFonts w:ascii="宋体" w:hAnsi="宋体" w:cs="宋体" w:eastAsia="宋体" w:hint="default"/>
                <w:sz w:val="18"/>
                <w:szCs w:val="18"/>
              </w:rPr>
              <w:t>电站尚未 投建完成</w:t>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600MW</w:t>
            </w:r>
          </w:p>
          <w:p>
            <w:pPr>
              <w:pStyle w:val="TableParagraph"/>
              <w:spacing w:line="319" w:lineRule="auto" w:before="65"/>
              <w:ind w:left="22" w:right="143"/>
              <w:jc w:val="left"/>
              <w:rPr>
                <w:rFonts w:ascii="宋体" w:hAnsi="宋体" w:cs="宋体" w:eastAsia="宋体" w:hint="default"/>
                <w:sz w:val="18"/>
                <w:szCs w:val="18"/>
              </w:rPr>
            </w:pPr>
            <w:r>
              <w:rPr>
                <w:rFonts w:ascii="宋体" w:hAnsi="宋体" w:cs="宋体" w:eastAsia="宋体" w:hint="default"/>
                <w:sz w:val="18"/>
                <w:szCs w:val="18"/>
              </w:rPr>
              <w:t>组件项 目</w:t>
            </w:r>
          </w:p>
        </w:tc>
        <w:tc>
          <w:tcPr>
            <w:tcW w:w="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49"/>
              <w:jc w:val="left"/>
              <w:rPr>
                <w:rFonts w:ascii="宋体" w:hAnsi="宋体" w:cs="宋体" w:eastAsia="宋体" w:hint="default"/>
                <w:sz w:val="18"/>
                <w:szCs w:val="18"/>
              </w:rPr>
            </w:pPr>
            <w:r>
              <w:rPr>
                <w:rFonts w:ascii="宋体" w:hAnsi="宋体" w:cs="宋体" w:eastAsia="宋体" w:hint="default"/>
                <w:sz w:val="18"/>
                <w:szCs w:val="18"/>
              </w:rPr>
              <w:t>自 建</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72"/>
              <w:jc w:val="center"/>
              <w:rPr>
                <w:rFonts w:ascii="宋体" w:hAnsi="宋体" w:cs="宋体" w:eastAsia="宋体" w:hint="default"/>
                <w:sz w:val="18"/>
                <w:szCs w:val="18"/>
              </w:rPr>
            </w:pPr>
            <w:r>
              <w:rPr>
                <w:rFonts w:ascii="宋体" w:hAnsi="宋体" w:cs="宋体" w:eastAsia="宋体" w:hint="default"/>
                <w:sz w:val="18"/>
                <w:szCs w:val="18"/>
              </w:rPr>
              <w:t>是</w:t>
            </w:r>
          </w:p>
        </w:tc>
        <w:tc>
          <w:tcPr>
            <w:tcW w:w="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86"/>
              <w:jc w:val="both"/>
              <w:rPr>
                <w:rFonts w:ascii="宋体" w:hAnsi="宋体" w:cs="宋体" w:eastAsia="宋体" w:hint="default"/>
                <w:sz w:val="18"/>
                <w:szCs w:val="18"/>
              </w:rPr>
            </w:pPr>
            <w:r>
              <w:rPr>
                <w:rFonts w:ascii="宋体" w:hAnsi="宋体" w:cs="宋体" w:eastAsia="宋体" w:hint="default"/>
                <w:sz w:val="18"/>
                <w:szCs w:val="18"/>
              </w:rPr>
              <w:t>制 造 业</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129,840,007.28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129,840,007.28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8"/>
              <w:jc w:val="left"/>
              <w:rPr>
                <w:rFonts w:ascii="宋体" w:hAnsi="宋体" w:cs="宋体" w:eastAsia="宋体" w:hint="default"/>
                <w:sz w:val="18"/>
                <w:szCs w:val="18"/>
              </w:rPr>
            </w:pPr>
            <w:r>
              <w:rPr>
                <w:rFonts w:ascii="宋体" w:hAnsi="宋体" w:cs="宋体" w:eastAsia="宋体" w:hint="default"/>
                <w:sz w:val="18"/>
                <w:szCs w:val="18"/>
              </w:rPr>
              <w:t>贷 款、 自筹</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98.99%</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48,854,521.99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73"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5" w:right="0"/>
              <w:jc w:val="left"/>
              <w:rPr>
                <w:rFonts w:ascii="Times New Roman" w:hAnsi="Times New Roman" w:cs="Times New Roman" w:eastAsia="Times New Roman" w:hint="default"/>
                <w:sz w:val="18"/>
                <w:szCs w:val="18"/>
              </w:rPr>
            </w:pPr>
            <w:r>
              <w:rPr>
                <w:rFonts w:ascii="Times New Roman"/>
                <w:sz w:val="18"/>
              </w:rPr>
              <w:t>--</w:t>
            </w:r>
          </w:p>
        </w:tc>
        <w:tc>
          <w:tcPr>
            <w:tcW w:w="3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700,910,877.47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3,317,144,874.15</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1,482,933,400.00</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78,940,357.99</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88"/>
        <w:gridCol w:w="895"/>
        <w:gridCol w:w="1088"/>
        <w:gridCol w:w="1180"/>
        <w:gridCol w:w="1194"/>
        <w:gridCol w:w="955"/>
        <w:gridCol w:w="957"/>
        <w:gridCol w:w="956"/>
        <w:gridCol w:w="955"/>
      </w:tblGrid>
      <w:tr>
        <w:trPr>
          <w:trHeight w:val="1026"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7" w:right="0"/>
              <w:jc w:val="left"/>
              <w:rPr>
                <w:rFonts w:ascii="宋体" w:hAnsi="宋体" w:cs="宋体" w:eastAsia="宋体" w:hint="default"/>
                <w:sz w:val="18"/>
                <w:szCs w:val="18"/>
              </w:rPr>
            </w:pPr>
            <w:r>
              <w:rPr>
                <w:rFonts w:ascii="宋体" w:hAnsi="宋体" w:cs="宋体" w:eastAsia="宋体" w:hint="default"/>
                <w:sz w:val="18"/>
                <w:szCs w:val="18"/>
              </w:rPr>
              <w:t>资产类别</w:t>
            </w:r>
          </w:p>
        </w:tc>
        <w:tc>
          <w:tcPr>
            <w:tcW w:w="8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61" w:right="83" w:hanging="180"/>
              <w:jc w:val="left"/>
              <w:rPr>
                <w:rFonts w:ascii="宋体" w:hAnsi="宋体" w:cs="宋体" w:eastAsia="宋体" w:hint="default"/>
                <w:sz w:val="18"/>
                <w:szCs w:val="18"/>
              </w:rPr>
            </w:pPr>
            <w:r>
              <w:rPr>
                <w:rFonts w:ascii="宋体" w:hAnsi="宋体" w:cs="宋体" w:eastAsia="宋体" w:hint="default"/>
                <w:sz w:val="18"/>
                <w:szCs w:val="18"/>
              </w:rPr>
              <w:t>初始投资 成本</w:t>
            </w:r>
          </w:p>
        </w:tc>
        <w:tc>
          <w:tcPr>
            <w:tcW w:w="1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88" w:right="89"/>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4" w:right="45"/>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1" w:right="50" w:hanging="360"/>
              <w:jc w:val="left"/>
              <w:rPr>
                <w:rFonts w:ascii="宋体" w:hAnsi="宋体" w:cs="宋体" w:eastAsia="宋体" w:hint="default"/>
                <w:sz w:val="18"/>
                <w:szCs w:val="18"/>
              </w:rPr>
            </w:pPr>
            <w:r>
              <w:rPr>
                <w:rFonts w:ascii="宋体" w:hAnsi="宋体" w:cs="宋体" w:eastAsia="宋体" w:hint="default"/>
                <w:sz w:val="18"/>
                <w:szCs w:val="18"/>
              </w:rPr>
              <w:t>报告期内购入 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2" w:right="20" w:hanging="180"/>
              <w:jc w:val="left"/>
              <w:rPr>
                <w:rFonts w:ascii="宋体" w:hAnsi="宋体" w:cs="宋体" w:eastAsia="宋体" w:hint="default"/>
                <w:sz w:val="18"/>
                <w:szCs w:val="18"/>
              </w:rPr>
            </w:pPr>
            <w:r>
              <w:rPr>
                <w:rFonts w:ascii="宋体" w:hAnsi="宋体" w:cs="宋体" w:eastAsia="宋体" w:hint="default"/>
                <w:sz w:val="18"/>
                <w:szCs w:val="18"/>
              </w:rPr>
              <w:t>报告期内售 出金额</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84" w:right="21" w:hanging="361"/>
              <w:jc w:val="left"/>
              <w:rPr>
                <w:rFonts w:ascii="宋体" w:hAnsi="宋体" w:cs="宋体" w:eastAsia="宋体" w:hint="default"/>
                <w:sz w:val="18"/>
                <w:szCs w:val="18"/>
              </w:rPr>
            </w:pPr>
            <w:r>
              <w:rPr>
                <w:rFonts w:ascii="宋体" w:hAnsi="宋体" w:cs="宋体" w:eastAsia="宋体" w:hint="default"/>
                <w:sz w:val="18"/>
                <w:szCs w:val="18"/>
              </w:rPr>
              <w:t>累计投资收 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期末金额</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2"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金融衍生工具</w:t>
            </w:r>
          </w:p>
        </w:tc>
        <w:tc>
          <w:tcPr>
            <w:tcW w:w="895"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1180"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自筹</w:t>
            </w:r>
          </w:p>
        </w:tc>
      </w:tr>
      <w:tr>
        <w:trPr>
          <w:trHeight w:val="714" w:hRule="exact"/>
        </w:trPr>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0.00</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8"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9" w:right="0"/>
              <w:jc w:val="left"/>
              <w:rPr>
                <w:rFonts w:ascii="Times New Roman" w:hAnsi="Times New Roman" w:cs="Times New Roman" w:eastAsia="Times New Roman" w:hint="default"/>
                <w:sz w:val="18"/>
                <w:szCs w:val="18"/>
              </w:rPr>
            </w:pPr>
            <w:r>
              <w:rPr>
                <w:rFonts w:ascii="Times New Roman"/>
                <w:sz w:val="18"/>
              </w:rPr>
              <w:t>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BodyText"/>
        <w:spacing w:line="240" w:lineRule="auto"/>
        <w:ind w:right="1042"/>
        <w:jc w:val="right"/>
      </w:pPr>
      <w:r>
        <w:rPr/>
        <w:pict>
          <v:shape style="position:absolute;margin-left:56.459999pt;margin-top:-463.808289pt;width:484.1pt;height:557.450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8"/>
                    <w:gridCol w:w="362"/>
                    <w:gridCol w:w="896"/>
                    <w:gridCol w:w="922"/>
                    <w:gridCol w:w="1001"/>
                    <w:gridCol w:w="1004"/>
                    <w:gridCol w:w="964"/>
                    <w:gridCol w:w="858"/>
                    <w:gridCol w:w="902"/>
                    <w:gridCol w:w="1837"/>
                    <w:gridCol w:w="464"/>
                  </w:tblGrid>
                  <w:tr>
                    <w:trPr>
                      <w:trHeight w:val="1962" w:hRule="exact"/>
                    </w:trPr>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43" w:right="43"/>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募 集 方 式</w:t>
                        </w:r>
                      </w:p>
                    </w:tc>
                    <w:tc>
                      <w:tcPr>
                        <w:tcW w:w="8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62" w:right="83"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5" w:right="43"/>
                          <w:jc w:val="center"/>
                          <w:rPr>
                            <w:rFonts w:ascii="宋体" w:hAnsi="宋体" w:cs="宋体" w:eastAsia="宋体" w:hint="default"/>
                            <w:sz w:val="18"/>
                            <w:szCs w:val="18"/>
                          </w:rPr>
                        </w:pPr>
                        <w:r>
                          <w:rPr>
                            <w:rFonts w:ascii="宋体" w:hAnsi="宋体" w:cs="宋体" w:eastAsia="宋体" w:hint="default"/>
                            <w:sz w:val="18"/>
                            <w:szCs w:val="18"/>
                          </w:rPr>
                          <w:t>已累计使用 募集资金总 额</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6" w:right="45"/>
                          <w:jc w:val="both"/>
                          <w:rPr>
                            <w:rFonts w:ascii="宋体" w:hAnsi="宋体" w:cs="宋体" w:eastAsia="宋体" w:hint="default"/>
                            <w:sz w:val="18"/>
                            <w:szCs w:val="18"/>
                          </w:rPr>
                        </w:pPr>
                        <w:r>
                          <w:rPr>
                            <w:rFonts w:ascii="宋体" w:hAnsi="宋体" w:cs="宋体" w:eastAsia="宋体" w:hint="default"/>
                            <w:sz w:val="18"/>
                            <w:szCs w:val="18"/>
                          </w:rPr>
                          <w:t>报告期内变 更用途的募 集资金总额</w:t>
                        </w:r>
                      </w:p>
                    </w:tc>
                    <w:tc>
                      <w:tcPr>
                        <w:tcW w:w="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7" w:right="24"/>
                          <w:jc w:val="center"/>
                          <w:rPr>
                            <w:rFonts w:ascii="宋体" w:hAnsi="宋体" w:cs="宋体" w:eastAsia="宋体" w:hint="default"/>
                            <w:sz w:val="18"/>
                            <w:szCs w:val="18"/>
                          </w:rPr>
                        </w:pPr>
                        <w:r>
                          <w:rPr>
                            <w:rFonts w:ascii="宋体" w:hAnsi="宋体" w:cs="宋体" w:eastAsia="宋体" w:hint="default"/>
                            <w:sz w:val="18"/>
                            <w:szCs w:val="18"/>
                          </w:rPr>
                          <w:t>累计变更用 途的募集资 金总额</w:t>
                        </w:r>
                      </w:p>
                    </w:tc>
                    <w:tc>
                      <w:tcPr>
                        <w:tcW w:w="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2"/>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9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85" w:right="84"/>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553" w:right="102" w:hanging="450"/>
                          <w:jc w:val="left"/>
                          <w:rPr>
                            <w:rFonts w:ascii="宋体" w:hAnsi="宋体" w:cs="宋体" w:eastAsia="宋体" w:hint="default"/>
                            <w:sz w:val="18"/>
                            <w:szCs w:val="18"/>
                          </w:rPr>
                        </w:pPr>
                        <w:r>
                          <w:rPr>
                            <w:rFonts w:ascii="宋体" w:hAnsi="宋体" w:cs="宋体" w:eastAsia="宋体" w:hint="default"/>
                            <w:sz w:val="18"/>
                            <w:szCs w:val="18"/>
                          </w:rPr>
                          <w:t>尚未使用募集资金用 途及去向</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4"/>
                          <w:jc w:val="both"/>
                          <w:rPr>
                            <w:rFonts w:ascii="宋体" w:hAnsi="宋体" w:cs="宋体" w:eastAsia="宋体" w:hint="default"/>
                            <w:sz w:val="18"/>
                            <w:szCs w:val="18"/>
                          </w:rPr>
                        </w:pPr>
                        <w:r>
                          <w:rPr>
                            <w:rFonts w:ascii="宋体" w:hAnsi="宋体" w:cs="宋体" w:eastAsia="宋体" w:hint="default"/>
                            <w:sz w:val="18"/>
                            <w:szCs w:val="18"/>
                          </w:rPr>
                          <w:t>闲置 两年 以上 募集 资金 金额</w:t>
                        </w:r>
                      </w:p>
                    </w:tc>
                  </w:tr>
                  <w:tr>
                    <w:trPr>
                      <w:trHeight w:val="2586" w:hRule="exact"/>
                    </w:trPr>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41"/>
                          <w:jc w:val="center"/>
                          <w:rPr>
                            <w:rFonts w:ascii="Times New Roman" w:hAnsi="Times New Roman" w:cs="Times New Roman" w:eastAsia="Times New Roman" w:hint="default"/>
                            <w:sz w:val="18"/>
                            <w:szCs w:val="18"/>
                          </w:rPr>
                        </w:pPr>
                        <w:r>
                          <w:rPr>
                            <w:rFonts w:ascii="Times New Roman"/>
                            <w:sz w:val="18"/>
                          </w:rPr>
                          <w:t>2016</w:t>
                        </w:r>
                      </w:p>
                    </w:tc>
                    <w:tc>
                      <w:tcPr>
                        <w:tcW w:w="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47"/>
                          <w:jc w:val="both"/>
                          <w:rPr>
                            <w:rFonts w:ascii="宋体" w:hAnsi="宋体" w:cs="宋体" w:eastAsia="宋体" w:hint="default"/>
                            <w:sz w:val="18"/>
                            <w:szCs w:val="18"/>
                          </w:rPr>
                        </w:pPr>
                        <w:r>
                          <w:rPr>
                            <w:rFonts w:ascii="宋体" w:hAnsi="宋体" w:cs="宋体" w:eastAsia="宋体" w:hint="default"/>
                            <w:sz w:val="18"/>
                            <w:szCs w:val="18"/>
                          </w:rPr>
                          <w:t>非 公 开 发 行 股 票</w:t>
                        </w:r>
                      </w:p>
                    </w:tc>
                    <w:tc>
                      <w:tcPr>
                        <w:tcW w:w="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377,679.16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42,002.73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339,752.18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22,354.83</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39,754.83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38,862.01</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2"/>
                            <w:sz w:val="18"/>
                            <w:szCs w:val="18"/>
                          </w:rPr>
                          <w:t>日，公司第二次非公开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发行股票所募集的尚 未使用的募集资金全 部存放于公司募集资 金专用账户内或根据 会议决议用于暂时补 充流动资金。</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center"/>
                          <w:rPr>
                            <w:rFonts w:ascii="宋体" w:hAnsi="宋体" w:cs="宋体" w:eastAsia="宋体" w:hint="default"/>
                            <w:sz w:val="18"/>
                            <w:szCs w:val="18"/>
                          </w:rPr>
                        </w:pPr>
                        <w:r>
                          <w:rPr>
                            <w:rFonts w:ascii="宋体" w:hAnsi="宋体" w:cs="宋体" w:eastAsia="宋体" w:hint="default"/>
                            <w:sz w:val="18"/>
                            <w:szCs w:val="18"/>
                          </w:rPr>
                          <w:t>合计</w:t>
                        </w:r>
                      </w:p>
                    </w:tc>
                    <w:tc>
                      <w:tcPr>
                        <w:tcW w:w="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5" w:right="0"/>
                          <w:jc w:val="left"/>
                          <w:rPr>
                            <w:rFonts w:ascii="Times New Roman" w:hAnsi="Times New Roman" w:cs="Times New Roman" w:eastAsia="Times New Roman" w:hint="default"/>
                            <w:sz w:val="18"/>
                            <w:szCs w:val="18"/>
                          </w:rPr>
                        </w:pPr>
                        <w:r>
                          <w:rPr>
                            <w:rFonts w:ascii="Times New Roman"/>
                            <w:sz w:val="18"/>
                          </w:rPr>
                          <w:t>--</w:t>
                        </w:r>
                      </w:p>
                    </w:tc>
                    <w:tc>
                      <w:tcPr>
                        <w:tcW w:w="8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377,679.16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42,002.73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339,752.18</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22,354.83</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39,754.83</w:t>
                        </w:r>
                      </w:p>
                    </w:tc>
                    <w:tc>
                      <w:tcPr>
                        <w:tcW w:w="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10.53%</w:t>
                        </w:r>
                      </w:p>
                    </w:tc>
                    <w:tc>
                      <w:tcPr>
                        <w:tcW w:w="90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z w:val="18"/>
                          </w:rPr>
                          <w:t>38,862.01</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787" w:hRule="exact"/>
                    </w:trPr>
                    <w:tc>
                      <w:tcPr>
                        <w:tcW w:w="9667" w:type="dxa"/>
                        <w:gridSpan w:val="11"/>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3" w:firstLine="360"/>
                          <w:jc w:val="left"/>
                          <w:rPr>
                            <w:rFonts w:ascii="宋体" w:hAnsi="宋体" w:cs="宋体" w:eastAsia="宋体" w:hint="default"/>
                            <w:sz w:val="18"/>
                            <w:szCs w:val="18"/>
                          </w:rPr>
                        </w:pPr>
                        <w:r>
                          <w:rPr>
                            <w:rFonts w:ascii="宋体" w:hAnsi="宋体" w:cs="宋体" w:eastAsia="宋体" w:hint="default"/>
                            <w:sz w:val="18"/>
                            <w:szCs w:val="18"/>
                          </w:rPr>
                          <w:t>本公司于</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年首次公开发行股票并在中小板上市，本公司共有三次募集资金：</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年公司首次公开发行股票募集资 金实际到账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75,865.07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万元，专户已于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日全部销户；</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年公司第一次非公开发行股票募集资金实际到账</w:t>
                        </w:r>
                      </w:p>
                      <w:p>
                        <w:pPr>
                          <w:pStyle w:val="TableParagraph"/>
                          <w:spacing w:line="240" w:lineRule="auto" w:before="1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96,960.10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万元，专户已于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日全部销户；</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年第二次公司非公开发行股票募集资金实际到账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377,679.16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日，第二次非公开发行股票募集资金使用情况如下：</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日，公司第二届董事会第四十四次临时会议审议通过了《关于使用募集资金置换前期投入自有资金的议</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案</w:t>
                        </w:r>
                        <w:r>
                          <w:rPr>
                            <w:rFonts w:ascii="宋体" w:hAnsi="宋体" w:cs="宋体" w:eastAsia="宋体" w:hint="default"/>
                            <w:spacing w:val="-90"/>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一致同意公司使用募集资金置换预先投入募投项目的自有资金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820,166,55</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z w:val="18"/>
                            <w:szCs w:val="18"/>
                          </w:rPr>
                          <w:t>.25 </w:t>
                        </w:r>
                        <w:r>
                          <w:rPr>
                            <w:rFonts w:ascii="宋体" w:hAnsi="宋体" w:cs="宋体" w:eastAsia="宋体" w:hint="default"/>
                            <w:sz w:val="18"/>
                            <w:szCs w:val="18"/>
                          </w:rPr>
                          <w:t>元</w:t>
                        </w:r>
                        <w:r>
                          <w:rPr>
                            <w:rFonts w:ascii="宋体" w:hAnsi="宋体" w:cs="宋体" w:eastAsia="宋体" w:hint="default"/>
                            <w:spacing w:val="-22"/>
                            <w:sz w:val="18"/>
                            <w:szCs w:val="18"/>
                          </w:rPr>
                          <w:t>。</w:t>
                        </w:r>
                        <w:r>
                          <w:rPr>
                            <w:rFonts w:ascii="宋体" w:hAnsi="宋体" w:cs="宋体" w:eastAsia="宋体" w:hint="default"/>
                            <w:sz w:val="18"/>
                            <w:szCs w:val="18"/>
                          </w:rPr>
                          <w:t>根据各项目实际请况</w:t>
                        </w:r>
                        <w:r>
                          <w:rPr>
                            <w:rFonts w:ascii="宋体" w:hAnsi="宋体" w:cs="宋体" w:eastAsia="宋体" w:hint="default"/>
                            <w:spacing w:val="-22"/>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日公司总共实际置换金额为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820,166,558.25 </w:t>
                        </w:r>
                        <w:r>
                          <w:rPr>
                            <w:rFonts w:ascii="宋体" w:hAnsi="宋体" w:cs="宋体" w:eastAsia="宋体" w:hint="default"/>
                            <w:sz w:val="18"/>
                            <w:szCs w:val="18"/>
                          </w:rPr>
                          <w:t>元。</w:t>
                        </w:r>
                      </w:p>
                      <w:p>
                        <w:pPr>
                          <w:pStyle w:val="TableParagraph"/>
                          <w:spacing w:line="300" w:lineRule="auto" w:before="101"/>
                          <w:ind w:left="22"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日召开的第三届董事会第三次临时会议审议通过了《关于部分募投项目结项并将节余募集资金用于其他 募投项目的议案》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将已并网发电的云南凤庆县大兴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项目及山东嘉祥昱辉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光伏发电项目节余募集资金合计 </w:t>
                        </w:r>
                        <w:r>
                          <w:rPr>
                            <w:rFonts w:ascii="Times New Roman" w:hAnsi="Times New Roman" w:cs="Times New Roman" w:eastAsia="Times New Roman" w:hint="default"/>
                            <w:sz w:val="18"/>
                            <w:szCs w:val="18"/>
                          </w:rPr>
                          <w:t>17,400 </w:t>
                        </w:r>
                        <w:r>
                          <w:rPr>
                            <w:rFonts w:ascii="宋体" w:hAnsi="宋体" w:cs="宋体" w:eastAsia="宋体" w:hint="default"/>
                            <w:sz w:val="18"/>
                            <w:szCs w:val="18"/>
                          </w:rPr>
                          <w:t>万元投资于新增募投项目，其中安徽省明光爱康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万元、河南省伊川佳康</w:t>
                        </w:r>
                      </w:p>
                      <w:p>
                        <w:pPr>
                          <w:pStyle w:val="TableParagraph"/>
                          <w:spacing w:line="240" w:lineRule="auto" w:before="1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光伏电站项目拟使用募集资金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02" w:lineRule="auto" w:before="10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日召开的第三届董事会第八次会议审议通过了《关于部分募投项目结项的议案》，将</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w:t>
                        </w:r>
                        <w:r>
                          <w:rPr>
                            <w:rFonts w:ascii="宋体" w:hAnsi="宋体" w:cs="宋体" w:eastAsia="宋体" w:hint="default"/>
                            <w:spacing w:val="-86"/>
                            <w:sz w:val="18"/>
                            <w:szCs w:val="18"/>
                          </w:rPr>
                          <w:t> </w:t>
                        </w:r>
                        <w:r>
                          <w:rPr>
                            <w:rFonts w:ascii="宋体" w:hAnsi="宋体" w:cs="宋体" w:eastAsia="宋体" w:hint="default"/>
                            <w:spacing w:val="-3"/>
                            <w:sz w:val="18"/>
                            <w:szCs w:val="18"/>
                          </w:rPr>
                          <w:t>次非公开发行股票的部分已建成并网发电的项目（宿州恒康新能源有限公司埇桥夹沟一期</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地面分布式光伏发电项目</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喀左坤都小房申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太阳能光伏发电项目、爱康精河三期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光伏并网发电项目、爱康精河四期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光伏并网发 </w:t>
                        </w:r>
                        <w:r>
                          <w:rPr>
                            <w:rFonts w:ascii="宋体" w:hAnsi="宋体" w:cs="宋体" w:eastAsia="宋体" w:hint="default"/>
                            <w:spacing w:val="-3"/>
                            <w:sz w:val="18"/>
                            <w:szCs w:val="18"/>
                          </w:rPr>
                          <w:t>电项目、奇台农场二期</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光伏发电项目）结项，节余募集资金返回上一级募集资金账户。公司于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 的第三届董事会第十三次会议审议通过了《关于部分募投项目结项并使用节余募集资金及利息永久补充流动资金的议案》 </w:t>
                        </w:r>
                        <w:r>
                          <w:rPr>
                            <w:rFonts w:ascii="宋体" w:hAnsi="宋体" w:cs="宋体" w:eastAsia="宋体" w:hint="default"/>
                            <w:spacing w:val="-4"/>
                            <w:sz w:val="18"/>
                            <w:szCs w:val="18"/>
                          </w:rPr>
                          <w:t>和《关于节余募集资金及利息永久补充流动资金的议案》，将符合结项条件的募投项目（河南南召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地面光伏电站项目 和无棣农业设施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光伏发电项目）结项，同时同意将第三届董事会第八次会议和本次会议结项的募投项目节余资金合</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pStyle w:val="BodyText"/>
        <w:spacing w:line="240" w:lineRule="auto" w:before="44"/>
        <w:ind w:left="181" w:right="0"/>
        <w:jc w:val="left"/>
      </w:pPr>
      <w:r>
        <w:rPr/>
        <w:pict>
          <v:group style="position:absolute;margin-left:56.459999pt;margin-top:.951743pt;width:483.85pt;height:617.950pt;mso-position-horizontal-relative:page;mso-position-vertical-relative:paragraph;z-index:-1651240" coordorigin="1129,19" coordsize="9677,12359">
            <v:group style="position:absolute;left:1139;top:29;width:9658;height:2" coordorigin="1139,29" coordsize="9658,2">
              <v:shape style="position:absolute;left:1139;top:29;width:9658;height:2" coordorigin="1139,29" coordsize="9658,0" path="m1139,29l10796,29e" filled="false" stroked="true" strokeweight=".48pt" strokecolor="#000000">
                <v:path arrowok="t"/>
              </v:shape>
            </v:group>
            <v:group style="position:absolute;left:1134;top:24;width:2;height:12349" coordorigin="1134,24" coordsize="2,12349">
              <v:shape style="position:absolute;left:1134;top:24;width:2;height:12349" coordorigin="1134,24" coordsize="0,12349" path="m1134,24l1134,12373e" filled="false" stroked="true" strokeweight=".48pt" strokecolor="#000000">
                <v:path arrowok="t"/>
              </v:shape>
            </v:group>
            <v:group style="position:absolute;left:1139;top:12368;width:9658;height:2" coordorigin="1139,12368" coordsize="9658,2">
              <v:shape style="position:absolute;left:1139;top:12368;width:9658;height:2" coordorigin="1139,12368" coordsize="9658,0" path="m1139,12368l10796,12368e" filled="false" stroked="true" strokeweight=".48pt" strokecolor="#000000">
                <v:path arrowok="t"/>
              </v:shape>
            </v:group>
            <v:group style="position:absolute;left:10801;top:24;width:2;height:12349" coordorigin="10801,24" coordsize="2,12349">
              <v:shape style="position:absolute;left:10801;top:24;width:2;height:12349" coordorigin="10801,24" coordsize="0,12349" path="m10801,24l10801,12373e" filled="false" stroked="true" strokeweight=".48pt" strokecolor="#000000">
                <v:path arrowok="t"/>
              </v:shape>
            </v:group>
            <w10:wrap type="none"/>
          </v:group>
        </w:pict>
      </w:r>
      <w:r>
        <w:rPr/>
        <w:t>计约</w:t>
      </w:r>
      <w:r>
        <w:rPr>
          <w:spacing w:val="-49"/>
        </w:rPr>
        <w:t> </w:t>
      </w:r>
      <w:r>
        <w:rPr>
          <w:rFonts w:ascii="Times New Roman" w:hAnsi="Times New Roman" w:cs="Times New Roman" w:eastAsia="Times New Roman" w:hint="default"/>
        </w:rPr>
        <w:t>13289</w:t>
      </w:r>
      <w:r>
        <w:rPr>
          <w:rFonts w:ascii="Times New Roman" w:hAnsi="Times New Roman" w:cs="Times New Roman" w:eastAsia="Times New Roman" w:hint="default"/>
          <w:spacing w:val="-4"/>
        </w:rPr>
        <w:t> </w:t>
      </w:r>
      <w:r>
        <w:rPr/>
        <w:t>万元及募集资金专户后期利息收入永久补充流动资金。截至</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4"/>
        </w:rPr>
        <w:t> </w:t>
      </w:r>
      <w:r>
        <w:rPr/>
        <w:t>日，公司已将上述项目结余资金全</w:t>
      </w:r>
    </w:p>
    <w:p>
      <w:pPr>
        <w:pStyle w:val="BodyText"/>
        <w:spacing w:line="240" w:lineRule="auto" w:before="64"/>
        <w:ind w:left="181" w:right="1122"/>
        <w:jc w:val="left"/>
      </w:pPr>
      <w:r>
        <w:rPr/>
        <w:t>部用于永久补充流动资金，金额总计</w:t>
      </w:r>
      <w:r>
        <w:rPr>
          <w:spacing w:val="-50"/>
        </w:rPr>
        <w:t> </w:t>
      </w:r>
      <w:r>
        <w:rPr>
          <w:rFonts w:ascii="Times New Roman" w:hAnsi="Times New Roman" w:cs="Times New Roman" w:eastAsia="Times New Roman" w:hint="default"/>
        </w:rPr>
        <w:t>133,182,611.02</w:t>
      </w:r>
      <w:r>
        <w:rPr>
          <w:rFonts w:ascii="Times New Roman" w:hAnsi="Times New Roman" w:cs="Times New Roman" w:eastAsia="Times New Roman" w:hint="default"/>
          <w:spacing w:val="-5"/>
        </w:rPr>
        <w:t> </w:t>
      </w:r>
      <w:r>
        <w:rPr/>
        <w:t>元。</w:t>
      </w:r>
    </w:p>
    <w:p>
      <w:pPr>
        <w:pStyle w:val="BodyText"/>
        <w:spacing w:line="240" w:lineRule="auto" w:before="102"/>
        <w:ind w:left="181" w:right="1122"/>
        <w:jc w:val="left"/>
      </w:pPr>
      <w:r>
        <w:rPr>
          <w:rFonts w:ascii="Times New Roman" w:hAnsi="Times New Roman" w:cs="Times New Roman" w:eastAsia="Times New Roman" w:hint="default"/>
        </w:rPr>
        <w:t>4</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日召开的第三届董事会第十三次会议审议通过了《关于继续使用部分闲置募集资金暂时补充流动</w:t>
      </w:r>
    </w:p>
    <w:p>
      <w:pPr>
        <w:pStyle w:val="BodyText"/>
        <w:spacing w:line="240" w:lineRule="auto" w:before="63"/>
        <w:ind w:left="181" w:right="1122"/>
        <w:jc w:val="left"/>
      </w:pPr>
      <w:r>
        <w:rPr/>
        <w:t>资金的议案</w:t>
      </w:r>
      <w:r>
        <w:rPr>
          <w:spacing w:val="-90"/>
        </w:rPr>
        <w:t>》</w:t>
      </w:r>
      <w:r>
        <w:rPr/>
        <w:t>，拟使用部分闲置募集资金</w:t>
      </w:r>
      <w:r>
        <w:rPr>
          <w:spacing w:val="-46"/>
        </w:rPr>
        <w:t> </w:t>
      </w:r>
      <w:r>
        <w:rPr>
          <w:rFonts w:ascii="Times New Roman" w:hAnsi="Times New Roman" w:cs="Times New Roman" w:eastAsia="Times New Roman" w:hint="default"/>
        </w:rPr>
        <w:t>43,600 </w:t>
      </w:r>
      <w:r>
        <w:rPr/>
        <w:t>万元暂时补充流动资金，使用期限自董事会批准之日起不超过</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个</w:t>
      </w:r>
      <w:r>
        <w:rPr/>
        <w:t>月。截</w:t>
      </w:r>
    </w:p>
    <w:p>
      <w:pPr>
        <w:pStyle w:val="BodyText"/>
        <w:spacing w:line="240" w:lineRule="auto" w:before="64"/>
        <w:ind w:left="181" w:right="1122"/>
        <w:jc w:val="left"/>
      </w:pPr>
      <w:r>
        <w:rPr/>
        <w:t>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日，闲置募集资金暂时补充流动资金的余额为</w:t>
      </w:r>
      <w:r>
        <w:rPr>
          <w:spacing w:val="-46"/>
        </w:rPr>
        <w:t> </w:t>
      </w:r>
      <w:r>
        <w:rPr>
          <w:rFonts w:ascii="Times New Roman" w:hAnsi="Times New Roman" w:cs="Times New Roman" w:eastAsia="Times New Roman" w:hint="default"/>
        </w:rPr>
        <w:t>34,600</w:t>
      </w:r>
      <w:r>
        <w:rPr>
          <w:rFonts w:ascii="Times New Roman" w:hAnsi="Times New Roman" w:cs="Times New Roman" w:eastAsia="Times New Roman" w:hint="default"/>
          <w:spacing w:val="-1"/>
        </w:rPr>
        <w:t> </w:t>
      </w:r>
      <w:r>
        <w:rPr/>
        <w:t>万元。</w:t>
      </w:r>
    </w:p>
    <w:p>
      <w:pPr>
        <w:pStyle w:val="BodyText"/>
        <w:spacing w:line="240" w:lineRule="auto" w:before="101"/>
        <w:ind w:left="181" w:right="1122"/>
        <w:jc w:val="left"/>
      </w:pPr>
      <w:r>
        <w:rPr>
          <w:rFonts w:ascii="Times New Roman" w:hAnsi="Times New Roman" w:cs="Times New Roman" w:eastAsia="Times New Roman" w:hint="default"/>
        </w:rPr>
        <w:t>5</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t>日召开的第三届董事会第二十四次临时会议和第三届监事会第十二次临时会议审议通过了《关</w:t>
      </w:r>
    </w:p>
    <w:p>
      <w:pPr>
        <w:pStyle w:val="BodyText"/>
        <w:spacing w:line="240" w:lineRule="auto" w:before="63"/>
        <w:ind w:left="181" w:right="1122"/>
        <w:jc w:val="left"/>
      </w:pPr>
      <w:r>
        <w:rPr/>
        <w:t>于部分募投项目结项并使用节余募集资金及利息永久补充流动资金的议案</w:t>
      </w:r>
      <w:r>
        <w:rPr>
          <w:spacing w:val="-90"/>
        </w:rPr>
        <w:t>》</w:t>
      </w:r>
      <w:r>
        <w:rPr/>
        <w:t>，同意将部分</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1"/>
        </w:rPr>
        <w:t>度</w:t>
      </w:r>
      <w:r>
        <w:rPr/>
        <w:t>非公开发行股票募集资</w:t>
      </w:r>
    </w:p>
    <w:p>
      <w:pPr>
        <w:pStyle w:val="BodyText"/>
        <w:spacing w:line="302" w:lineRule="auto" w:before="63"/>
        <w:ind w:left="181" w:right="1039"/>
        <w:jc w:val="left"/>
      </w:pPr>
      <w:r>
        <w:rPr/>
        <w:t>金投资项目结项，并将结项后的节余募集资金（含截止</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日利息收入）及后续变更前产生的利息永久补充公 司流动资金。募投项目泌阳县中康</w:t>
      </w:r>
      <w:r>
        <w:rPr>
          <w:spacing w:val="-46"/>
        </w:rPr>
        <w:t> </w:t>
      </w:r>
      <w:r>
        <w:rPr>
          <w:rFonts w:ascii="Times New Roman" w:hAnsi="Times New Roman" w:cs="Times New Roman" w:eastAsia="Times New Roman" w:hint="default"/>
        </w:rPr>
        <w:t>20MW </w:t>
      </w:r>
      <w:r>
        <w:rPr/>
        <w:t>分布式光伏发电项目于</w:t>
      </w:r>
      <w:r>
        <w:rPr>
          <w:spacing w:val="-46"/>
        </w:rPr>
        <w:t> </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月已并网验收合格并签署了购售电协议等文件， 开始发电，节余募集资金</w:t>
      </w:r>
      <w:r>
        <w:rPr>
          <w:spacing w:val="-51"/>
        </w:rPr>
        <w:t> </w:t>
      </w:r>
      <w:r>
        <w:rPr>
          <w:rFonts w:ascii="Times New Roman" w:hAnsi="Times New Roman" w:cs="Times New Roman" w:eastAsia="Times New Roman" w:hint="default"/>
        </w:rPr>
        <w:t>2,861.12</w:t>
      </w:r>
      <w:r>
        <w:rPr>
          <w:rFonts w:ascii="Times New Roman" w:hAnsi="Times New Roman" w:cs="Times New Roman" w:eastAsia="Times New Roman" w:hint="default"/>
          <w:spacing w:val="-6"/>
        </w:rPr>
        <w:t> </w:t>
      </w:r>
      <w:r>
        <w:rPr/>
        <w:t>万元，应付未付质保金约为</w:t>
      </w:r>
      <w:r>
        <w:rPr>
          <w:spacing w:val="-51"/>
        </w:rPr>
        <w:t> </w:t>
      </w:r>
      <w:r>
        <w:rPr>
          <w:rFonts w:ascii="Times New Roman" w:hAnsi="Times New Roman" w:cs="Times New Roman" w:eastAsia="Times New Roman" w:hint="default"/>
        </w:rPr>
        <w:t>700.70</w:t>
      </w:r>
      <w:r>
        <w:rPr>
          <w:rFonts w:ascii="Times New Roman" w:hAnsi="Times New Roman" w:cs="Times New Roman" w:eastAsia="Times New Roman" w:hint="default"/>
          <w:spacing w:val="-6"/>
        </w:rPr>
        <w:t> </w:t>
      </w:r>
      <w:r>
        <w:rPr/>
        <w:t>万元；募投项目安徽省明光爱康</w:t>
      </w:r>
      <w:r>
        <w:rPr>
          <w:spacing w:val="-51"/>
        </w:rPr>
        <w:t> </w:t>
      </w:r>
      <w:r>
        <w:rPr>
          <w:rFonts w:ascii="Times New Roman" w:hAnsi="Times New Roman" w:cs="Times New Roman" w:eastAsia="Times New Roman" w:hint="default"/>
        </w:rPr>
        <w:t>20MW</w:t>
      </w:r>
      <w:r>
        <w:rPr>
          <w:rFonts w:ascii="Times New Roman" w:hAnsi="Times New Roman" w:cs="Times New Roman" w:eastAsia="Times New Roman" w:hint="default"/>
          <w:spacing w:val="-7"/>
        </w:rPr>
        <w:t> </w:t>
      </w:r>
      <w:r>
        <w:rPr/>
        <w:t>光伏电站项目 于</w:t>
      </w:r>
      <w:r>
        <w:rPr>
          <w:spacing w:val="-5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9"/>
        </w:rPr>
        <w:t> </w:t>
      </w:r>
      <w:r>
        <w:rPr/>
        <w:t>年</w:t>
      </w:r>
      <w:r>
        <w:rPr>
          <w:spacing w:val="-54"/>
        </w:rPr>
        <w:t> </w:t>
      </w: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t>月已并网验收合格并签署了购售电协议等文件，开始发电，募集资金账户余额</w:t>
      </w:r>
      <w:r>
        <w:rPr>
          <w:spacing w:val="-54"/>
        </w:rPr>
        <w:t> </w:t>
      </w:r>
      <w:r>
        <w:rPr>
          <w:rFonts w:ascii="Times New Roman" w:hAnsi="Times New Roman" w:cs="Times New Roman" w:eastAsia="Times New Roman" w:hint="default"/>
        </w:rPr>
        <w:t>0.34</w:t>
      </w:r>
      <w:r>
        <w:rPr>
          <w:rFonts w:ascii="Times New Roman" w:hAnsi="Times New Roman" w:cs="Times New Roman" w:eastAsia="Times New Roman" w:hint="default"/>
          <w:spacing w:val="-9"/>
        </w:rPr>
        <w:t> </w:t>
      </w:r>
      <w:r>
        <w:rPr/>
        <w:t>万元；募投项目内蒙古四子 王旗江岸苏木</w:t>
      </w:r>
      <w:r>
        <w:rPr>
          <w:spacing w:val="-55"/>
        </w:rPr>
        <w:t> </w:t>
      </w:r>
      <w:r>
        <w:rPr>
          <w:rFonts w:ascii="Times New Roman" w:hAnsi="Times New Roman" w:cs="Times New Roman" w:eastAsia="Times New Roman" w:hint="default"/>
        </w:rPr>
        <w:t>100MWp</w:t>
      </w:r>
      <w:r>
        <w:rPr>
          <w:rFonts w:ascii="Times New Roman" w:hAnsi="Times New Roman" w:cs="Times New Roman" w:eastAsia="Times New Roman" w:hint="default"/>
          <w:spacing w:val="-10"/>
        </w:rPr>
        <w:t> </w:t>
      </w:r>
      <w:r>
        <w:rPr/>
        <w:t>光伏并网发电项目的</w:t>
      </w:r>
      <w:r>
        <w:rPr>
          <w:spacing w:val="-55"/>
        </w:rPr>
        <w:t> </w:t>
      </w:r>
      <w:r>
        <w:rPr>
          <w:rFonts w:ascii="Times New Roman" w:hAnsi="Times New Roman" w:cs="Times New Roman" w:eastAsia="Times New Roman" w:hint="default"/>
        </w:rPr>
        <w:t>20MW</w:t>
      </w:r>
      <w:r>
        <w:rPr>
          <w:rFonts w:ascii="Times New Roman" w:hAnsi="Times New Roman" w:cs="Times New Roman" w:eastAsia="Times New Roman" w:hint="default"/>
          <w:spacing w:val="-11"/>
        </w:rPr>
        <w:t> </w:t>
      </w:r>
      <w:r>
        <w:rPr/>
        <w:t>已并网验收合格并签署了购售电协议等文件，开始发电，在内蒙古四子 王旗江岸苏木项目投建后，由于升压站无法扩容，后续投建电站产生的电力将无法输出，公司经综合考虑，为确保募集资 金的收益，拟终止投建本项目的剩余</w:t>
      </w:r>
      <w:r>
        <w:rPr>
          <w:spacing w:val="-46"/>
        </w:rPr>
        <w:t> </w:t>
      </w:r>
      <w:r>
        <w:rPr>
          <w:rFonts w:ascii="Times New Roman" w:hAnsi="Times New Roman" w:cs="Times New Roman" w:eastAsia="Times New Roman" w:hint="default"/>
        </w:rPr>
        <w:t>80MW</w:t>
      </w:r>
      <w:r>
        <w:rPr/>
        <w:t>，待该项目闲置募集资金临时补流的</w:t>
      </w:r>
      <w:r>
        <w:rPr>
          <w:spacing w:val="-46"/>
        </w:rPr>
        <w:t> </w:t>
      </w:r>
      <w:r>
        <w:rPr>
          <w:rFonts w:ascii="Times New Roman" w:hAnsi="Times New Roman" w:cs="Times New Roman" w:eastAsia="Times New Roman" w:hint="default"/>
        </w:rPr>
        <w:t>9,000</w:t>
      </w:r>
      <w:r>
        <w:rPr>
          <w:rFonts w:ascii="Times New Roman" w:hAnsi="Times New Roman" w:cs="Times New Roman" w:eastAsia="Times New Roman" w:hint="default"/>
          <w:spacing w:val="-1"/>
        </w:rPr>
        <w:t> </w:t>
      </w:r>
      <w:r>
        <w:rPr/>
        <w:t>万元归还后，节余募集资金合计约 </w:t>
      </w:r>
      <w:r>
        <w:rPr>
          <w:rFonts w:ascii="Times New Roman" w:hAnsi="Times New Roman" w:cs="Times New Roman" w:eastAsia="Times New Roman" w:hint="default"/>
        </w:rPr>
        <w:t>9,036.79</w:t>
      </w:r>
      <w:r>
        <w:rPr>
          <w:rFonts w:ascii="Times New Roman" w:hAnsi="Times New Roman" w:cs="Times New Roman" w:eastAsia="Times New Roman" w:hint="default"/>
          <w:spacing w:val="-23"/>
        </w:rPr>
        <w:t> </w:t>
      </w:r>
      <w:r>
        <w:rPr/>
        <w:t>万元。为提高募集资金使用效率，降低公司财务费用，本着股东利益最大化的原则，根据《深圳证券交易所股票上 </w:t>
      </w:r>
      <w:r>
        <w:rPr>
          <w:spacing w:val="-6"/>
        </w:rPr>
        <w:t>市规则》、《深圳证券交易所中小企业板上市公司规范运作指引（</w:t>
      </w:r>
      <w:r>
        <w:rPr>
          <w:rFonts w:ascii="Times New Roman" w:hAnsi="Times New Roman" w:cs="Times New Roman" w:eastAsia="Times New Roman" w:hint="default"/>
          <w:spacing w:val="-6"/>
        </w:rPr>
        <w:t>2015</w:t>
      </w:r>
      <w:r>
        <w:rPr>
          <w:rFonts w:ascii="Times New Roman" w:hAnsi="Times New Roman" w:cs="Times New Roman" w:eastAsia="Times New Roman" w:hint="default"/>
        </w:rPr>
        <w:t> </w:t>
      </w:r>
      <w:r>
        <w:rPr>
          <w:spacing w:val="-12"/>
        </w:rPr>
        <w:t>年修订）》、《募集资金管理制度》等相关规定，待闲</w:t>
      </w:r>
      <w:r>
        <w:rPr>
          <w:spacing w:val="-54"/>
        </w:rPr>
        <w:t> </w:t>
      </w:r>
      <w:r>
        <w:rPr>
          <w:spacing w:val="-54"/>
        </w:rPr>
      </w:r>
      <w:r>
        <w:rPr/>
        <w:t>置募集资金全部归还后，公司拟将上述</w:t>
      </w:r>
      <w:r>
        <w:rPr>
          <w:spacing w:val="-50"/>
        </w:rPr>
        <w:t> </w:t>
      </w:r>
      <w:r>
        <w:rPr>
          <w:rFonts w:ascii="Times New Roman" w:hAnsi="Times New Roman" w:cs="Times New Roman" w:eastAsia="Times New Roman" w:hint="default"/>
        </w:rPr>
        <w:t>2016</w:t>
      </w:r>
      <w:r>
        <w:rPr>
          <w:rFonts w:ascii="Times New Roman" w:hAnsi="Times New Roman" w:cs="Times New Roman" w:eastAsia="Times New Roman" w:hint="default"/>
          <w:spacing w:val="-5"/>
        </w:rPr>
        <w:t> </w:t>
      </w:r>
      <w:r>
        <w:rPr/>
        <w:t>年非公开募投项目结项后的节余募集资金合计</w:t>
      </w:r>
      <w:r>
        <w:rPr>
          <w:spacing w:val="-49"/>
        </w:rPr>
        <w:t> </w:t>
      </w:r>
      <w:r>
        <w:rPr>
          <w:rFonts w:ascii="Times New Roman" w:hAnsi="Times New Roman" w:cs="Times New Roman" w:eastAsia="Times New Roman" w:hint="default"/>
        </w:rPr>
        <w:t>11,898.25</w:t>
      </w:r>
      <w:r>
        <w:rPr>
          <w:rFonts w:ascii="Times New Roman" w:hAnsi="Times New Roman" w:cs="Times New Roman" w:eastAsia="Times New Roman" w:hint="default"/>
          <w:spacing w:val="-5"/>
        </w:rPr>
        <w:t> </w:t>
      </w:r>
      <w:r>
        <w:rPr/>
        <w:t>万元（含截止</w:t>
      </w:r>
      <w:r>
        <w:rPr>
          <w:spacing w:val="-5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p>
    <w:p>
      <w:pPr>
        <w:pStyle w:val="BodyText"/>
        <w:spacing w:line="307" w:lineRule="auto" w:before="11"/>
        <w:ind w:left="181" w:right="1135"/>
        <w:jc w:val="left"/>
      </w:pPr>
      <w:r>
        <w:rPr>
          <w:rFonts w:ascii="Times New Roman" w:hAnsi="Times New Roman" w:cs="Times New Roman" w:eastAsia="Times New Roman" w:hint="default"/>
        </w:rPr>
        <w:t>10</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22"/>
        </w:rPr>
        <w:t> </w:t>
      </w:r>
      <w:r>
        <w:rPr/>
        <w:t>日利息收入）及募集资金专户后期利息收入（具体金额以资金转出当日银行结算余额为准）永久补充流动资金，并 注销存放募集资金投资项目的募集资金专项账户。项目公司剩余质保金等应付账款（如有）将以自有资金继续支付（公告 </w:t>
      </w:r>
      <w:r>
        <w:rPr>
          <w:rFonts w:ascii="Times New Roman" w:hAnsi="Times New Roman" w:cs="Times New Roman" w:eastAsia="Times New Roman" w:hint="default"/>
          <w:spacing w:val="-8"/>
        </w:rPr>
        <w:t>2017-150</w:t>
      </w:r>
      <w:r>
        <w:rPr>
          <w:spacing w:val="-8"/>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日，公司已将内蒙古四子王旗江岸苏木</w:t>
      </w:r>
      <w:r>
        <w:rPr>
          <w:spacing w:val="-46"/>
        </w:rPr>
        <w:t> </w:t>
      </w:r>
      <w:r>
        <w:rPr>
          <w:rFonts w:ascii="Times New Roman" w:hAnsi="Times New Roman" w:cs="Times New Roman" w:eastAsia="Times New Roman" w:hint="default"/>
        </w:rPr>
        <w:t>100MWp</w:t>
      </w:r>
      <w:r>
        <w:rPr>
          <w:rFonts w:ascii="Times New Roman" w:hAnsi="Times New Roman" w:cs="Times New Roman" w:eastAsia="Times New Roman" w:hint="default"/>
          <w:spacing w:val="-1"/>
        </w:rPr>
        <w:t> </w:t>
      </w:r>
      <w:r>
        <w:rPr/>
        <w:t>光伏并网发电项目结余资金</w:t>
      </w:r>
      <w:r>
        <w:rPr>
          <w:spacing w:val="-46"/>
        </w:rPr>
        <w:t> </w:t>
      </w:r>
      <w:r>
        <w:rPr>
          <w:rFonts w:ascii="Times New Roman" w:hAnsi="Times New Roman" w:cs="Times New Roman" w:eastAsia="Times New Roman" w:hint="default"/>
        </w:rPr>
        <w:t>9,036.76</w:t>
      </w:r>
      <w:r>
        <w:rPr>
          <w:rFonts w:ascii="Times New Roman" w:hAnsi="Times New Roman" w:cs="Times New Roman" w:eastAsia="Times New Roman" w:hint="default"/>
          <w:spacing w:val="-1"/>
        </w:rPr>
        <w:t> </w:t>
      </w:r>
      <w:r>
        <w:rPr/>
        <w:t>万 元永久补充流动资金。</w:t>
      </w:r>
    </w:p>
    <w:p>
      <w:pPr>
        <w:pStyle w:val="BodyText"/>
        <w:spacing w:line="240" w:lineRule="auto" w:before="26"/>
        <w:ind w:left="181" w:right="1122"/>
        <w:jc w:val="left"/>
      </w:pPr>
      <w:r>
        <w:rPr>
          <w:rFonts w:ascii="Times New Roman" w:hAnsi="Times New Roman" w:cs="Times New Roman" w:eastAsia="Times New Roman" w:hint="default"/>
        </w:rPr>
        <w:t>6</w:t>
      </w:r>
      <w:r>
        <w:rPr/>
        <w:t>、公司于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日召开的第三届董事会第二十六次临时会议和第三届监事会第十四次临时会议审议通过了《关</w:t>
      </w:r>
    </w:p>
    <w:p>
      <w:pPr>
        <w:pStyle w:val="BodyText"/>
        <w:spacing w:line="240" w:lineRule="auto" w:before="63"/>
        <w:ind w:left="181" w:right="1122"/>
        <w:jc w:val="left"/>
      </w:pPr>
      <w:r>
        <w:rPr/>
        <w:t>于剩余募投项目结项并使用节余募集资金及利息永久补充流动资金的议案</w:t>
      </w:r>
      <w:r>
        <w:rPr>
          <w:spacing w:val="-90"/>
        </w:rPr>
        <w:t>》</w:t>
      </w:r>
      <w:r>
        <w:rPr/>
        <w:t>，同意将剩余</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t>年</w:t>
      </w:r>
      <w:r>
        <w:rPr>
          <w:spacing w:val="1"/>
        </w:rPr>
        <w:t>度</w:t>
      </w:r>
      <w:r>
        <w:rPr/>
        <w:t>非公开发行股票募集资</w:t>
      </w:r>
    </w:p>
    <w:p>
      <w:pPr>
        <w:pStyle w:val="BodyText"/>
        <w:spacing w:line="307" w:lineRule="auto" w:before="63"/>
        <w:ind w:left="181" w:right="1123"/>
        <w:jc w:val="left"/>
      </w:pPr>
      <w:r>
        <w:rPr/>
        <w:t>金投资项目结项，并将结项后的节余募集资金（含截止</w:t>
      </w:r>
      <w:r>
        <w:rPr>
          <w:spacing w:val="-48"/>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30</w:t>
      </w:r>
      <w:r>
        <w:rPr>
          <w:rFonts w:ascii="Times New Roman" w:hAnsi="Times New Roman" w:cs="Times New Roman" w:eastAsia="Times New Roman" w:hint="default"/>
          <w:spacing w:val="-3"/>
        </w:rPr>
        <w:t> </w:t>
      </w:r>
      <w:r>
        <w:rPr/>
        <w:t>日利息收入）及后续变更前产生的利息永久补充公 司流动资金。募投项目禄劝县工业园区</w:t>
      </w:r>
      <w:r>
        <w:rPr>
          <w:spacing w:val="-46"/>
        </w:rPr>
        <w:t> </w:t>
      </w:r>
      <w:r>
        <w:rPr>
          <w:rFonts w:ascii="Times New Roman" w:hAnsi="Times New Roman" w:cs="Times New Roman" w:eastAsia="Times New Roman" w:hint="default"/>
        </w:rPr>
        <w:t>50MW</w:t>
      </w:r>
      <w:r>
        <w:rPr>
          <w:rFonts w:ascii="Times New Roman" w:hAnsi="Times New Roman" w:cs="Times New Roman" w:eastAsia="Times New Roman" w:hint="default"/>
          <w:spacing w:val="-2"/>
        </w:rPr>
        <w:t> </w:t>
      </w:r>
      <w:r>
        <w:rPr/>
        <w:t>农光互补光伏电站建设项目中的</w:t>
      </w:r>
      <w:r>
        <w:rPr>
          <w:spacing w:val="-46"/>
        </w:rPr>
        <w:t> </w:t>
      </w:r>
      <w:r>
        <w:rPr>
          <w:rFonts w:ascii="Times New Roman" w:hAnsi="Times New Roman" w:cs="Times New Roman" w:eastAsia="Times New Roman" w:hint="default"/>
        </w:rPr>
        <w:t>20MW </w:t>
      </w:r>
      <w:r>
        <w:rPr/>
        <w:t>于</w:t>
      </w:r>
      <w:r>
        <w:rPr>
          <w:spacing w:val="-46"/>
        </w:rPr>
        <w:t> </w:t>
      </w:r>
      <w:r>
        <w:rPr>
          <w:rFonts w:ascii="Times New Roman" w:hAnsi="Times New Roman" w:cs="Times New Roman" w:eastAsia="Times New Roman" w:hint="default"/>
        </w:rPr>
        <w:t>2016 </w:t>
      </w:r>
      <w:r>
        <w:rPr/>
        <w:t>年</w:t>
      </w:r>
      <w:r>
        <w:rPr>
          <w:spacing w:val="-46"/>
        </w:rPr>
        <w:t> </w:t>
      </w:r>
      <w:r>
        <w:rPr>
          <w:rFonts w:ascii="Times New Roman" w:hAnsi="Times New Roman" w:cs="Times New Roman" w:eastAsia="Times New Roman" w:hint="default"/>
        </w:rPr>
        <w:t>6 </w:t>
      </w:r>
      <w:r>
        <w:rPr/>
        <w:t>月已并网验收合格并签 署了购售电协议等文件，开始发电，公司在项目建设过程中，项目现场发生泥石流等异常情况，电站全部建成后运维可能 存在安全隐患，公司经综合考虑，为确保募集资金的收益和安全，决定压缩建设规模，不再进行后续项目的建设，待该项 目闲置募集资金临时补流的</w:t>
      </w:r>
      <w:r>
        <w:rPr>
          <w:spacing w:val="-46"/>
        </w:rPr>
        <w:t> </w:t>
      </w:r>
      <w:r>
        <w:rPr>
          <w:rFonts w:ascii="Times New Roman" w:hAnsi="Times New Roman" w:cs="Times New Roman" w:eastAsia="Times New Roman" w:hint="default"/>
        </w:rPr>
        <w:t>19,000</w:t>
      </w:r>
      <w:r>
        <w:rPr>
          <w:rFonts w:ascii="Times New Roman" w:hAnsi="Times New Roman" w:cs="Times New Roman" w:eastAsia="Times New Roman" w:hint="default"/>
          <w:spacing w:val="-1"/>
        </w:rPr>
        <w:t> </w:t>
      </w:r>
      <w:r>
        <w:rPr/>
        <w:t>万元归还后，节余募集资金合计约</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rFonts w:ascii="Times New Roman" w:hAnsi="Times New Roman" w:cs="Times New Roman" w:eastAsia="Times New Roman" w:hint="default"/>
        </w:rPr>
        <w:t>441.84</w:t>
      </w:r>
      <w:r>
        <w:rPr>
          <w:rFonts w:ascii="Times New Roman" w:hAnsi="Times New Roman" w:cs="Times New Roman" w:eastAsia="Times New Roman" w:hint="default"/>
          <w:spacing w:val="-1"/>
        </w:rPr>
        <w:t> </w:t>
      </w:r>
      <w:r>
        <w:rPr/>
        <w:t>万元；昱辉榆林</w:t>
      </w:r>
      <w:r>
        <w:rPr>
          <w:spacing w:val="-46"/>
        </w:rPr>
        <w:t> </w:t>
      </w:r>
      <w:r>
        <w:rPr>
          <w:rFonts w:ascii="Times New Roman" w:hAnsi="Times New Roman" w:cs="Times New Roman" w:eastAsia="Times New Roman" w:hint="default"/>
        </w:rPr>
        <w:t>20MW</w:t>
      </w:r>
      <w:r>
        <w:rPr>
          <w:rFonts w:ascii="Times New Roman" w:hAnsi="Times New Roman" w:cs="Times New Roman" w:eastAsia="Times New Roman" w:hint="default"/>
          <w:spacing w:val="-2"/>
        </w:rPr>
        <w:t> </w:t>
      </w:r>
      <w:r>
        <w:rPr/>
        <w:t>太阳能光伏发电项 目，因涉及当地政府对用地规划的调整，相关手续办理缓慢，经审慎考虑，为提高募集资金使用效率，公司拟终止投资， 待该项目闲置募集资金临时补流的</w:t>
      </w:r>
      <w:r>
        <w:rPr>
          <w:spacing w:val="-47"/>
        </w:rPr>
        <w:t> </w:t>
      </w:r>
      <w:r>
        <w:rPr>
          <w:rFonts w:ascii="Times New Roman" w:hAnsi="Times New Roman" w:cs="Times New Roman" w:eastAsia="Times New Roman" w:hint="default"/>
        </w:rPr>
        <w:t>15,600</w:t>
      </w:r>
      <w:r>
        <w:rPr>
          <w:rFonts w:ascii="Times New Roman" w:hAnsi="Times New Roman" w:cs="Times New Roman" w:eastAsia="Times New Roman" w:hint="default"/>
          <w:spacing w:val="-2"/>
        </w:rPr>
        <w:t> </w:t>
      </w:r>
      <w:r>
        <w:rPr/>
        <w:t>万元归还后，节余募集资金合计约</w:t>
      </w:r>
      <w:r>
        <w:rPr>
          <w:spacing w:val="-47"/>
        </w:rPr>
        <w:t> </w:t>
      </w:r>
      <w:r>
        <w:rPr>
          <w:rFonts w:ascii="Times New Roman" w:hAnsi="Times New Roman" w:cs="Times New Roman" w:eastAsia="Times New Roman" w:hint="default"/>
        </w:rPr>
        <w:t>15,603.79</w:t>
      </w:r>
      <w:r>
        <w:rPr>
          <w:rFonts w:ascii="Times New Roman" w:hAnsi="Times New Roman" w:cs="Times New Roman" w:eastAsia="Times New Roman" w:hint="default"/>
          <w:spacing w:val="-2"/>
        </w:rPr>
        <w:t> </w:t>
      </w:r>
      <w:r>
        <w:rPr/>
        <w:t>万元；河南省伊川佳康</w:t>
      </w:r>
      <w:r>
        <w:rPr>
          <w:spacing w:val="-47"/>
        </w:rPr>
        <w:t> </w:t>
      </w:r>
      <w:r>
        <w:rPr>
          <w:rFonts w:ascii="Times New Roman" w:hAnsi="Times New Roman" w:cs="Times New Roman" w:eastAsia="Times New Roman" w:hint="default"/>
        </w:rPr>
        <w:t>50MW</w:t>
      </w:r>
      <w:r>
        <w:rPr>
          <w:rFonts w:ascii="Times New Roman" w:hAnsi="Times New Roman" w:cs="Times New Roman" w:eastAsia="Times New Roman" w:hint="default"/>
          <w:spacing w:val="-3"/>
        </w:rPr>
        <w:t> </w:t>
      </w:r>
      <w:r>
        <w:rPr/>
        <w:t>光伏 电站项目目前已实施完成，符合项目结项条件，该项目结余募集资金</w:t>
      </w:r>
      <w:r>
        <w:rPr>
          <w:spacing w:val="-45"/>
        </w:rPr>
        <w:t> </w:t>
      </w:r>
      <w:r>
        <w:rPr>
          <w:rFonts w:ascii="Times New Roman" w:hAnsi="Times New Roman" w:cs="Times New Roman" w:eastAsia="Times New Roman" w:hint="default"/>
        </w:rPr>
        <w:t>1.41</w:t>
      </w:r>
      <w:r>
        <w:rPr>
          <w:rFonts w:ascii="Times New Roman" w:hAnsi="Times New Roman" w:cs="Times New Roman" w:eastAsia="Times New Roman" w:hint="default"/>
          <w:spacing w:val="-1"/>
        </w:rPr>
        <w:t> </w:t>
      </w:r>
      <w:r>
        <w:rPr/>
        <w:t>万元。为提高募集资金使用效率，降低公司财务 </w:t>
      </w:r>
      <w:r>
        <w:rPr>
          <w:spacing w:val="-4"/>
        </w:rPr>
        <w:t>费用，本着股东利益最大化的原则，根据《深圳证券交易所股票上市规则》、《深圳证券交易所中小企业板上市公司规范运</w:t>
      </w:r>
      <w:r>
        <w:rPr>
          <w:spacing w:val="-54"/>
        </w:rPr>
        <w:t> </w:t>
      </w:r>
      <w:r>
        <w:rPr>
          <w:spacing w:val="-54"/>
        </w:rPr>
      </w:r>
      <w:r>
        <w:rPr>
          <w:spacing w:val="-1"/>
        </w:rPr>
        <w:t>作指引（</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4"/>
        </w:rPr>
        <w:t> </w:t>
      </w:r>
      <w:r>
        <w:rPr>
          <w:spacing w:val="-7"/>
        </w:rPr>
        <w:t>年修订）》、《募集资金管理制度》等相关规定，待闲置募集资金全部归还后，公司拟将上述</w:t>
      </w:r>
      <w:r>
        <w:rPr>
          <w:spacing w:val="-4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1"/>
        </w:rPr>
        <w:t>年非公开募</w:t>
      </w:r>
      <w:r>
        <w:rPr/>
        <w:t> 投项目结项后的节余募集资金合计</w:t>
      </w:r>
      <w:r>
        <w:rPr>
          <w:spacing w:val="-45"/>
        </w:rPr>
        <w:t> </w:t>
      </w:r>
      <w:r>
        <w:rPr>
          <w:rFonts w:ascii="Times New Roman" w:hAnsi="Times New Roman" w:cs="Times New Roman" w:eastAsia="Times New Roman" w:hint="default"/>
        </w:rPr>
        <w:t>35,047.04 </w:t>
      </w:r>
      <w:r>
        <w:rPr>
          <w:spacing w:val="-6"/>
        </w:rPr>
        <w:t>万元（含截止</w:t>
      </w:r>
      <w:r>
        <w:rPr>
          <w:spacing w:val="-44"/>
        </w:rPr>
        <w:t> </w:t>
      </w:r>
      <w:r>
        <w:rPr>
          <w:rFonts w:ascii="Times New Roman" w:hAnsi="Times New Roman" w:cs="Times New Roman" w:eastAsia="Times New Roman" w:hint="default"/>
        </w:rPr>
        <w:t>2017 </w:t>
      </w:r>
      <w:r>
        <w:rPr/>
        <w:t>年</w:t>
      </w:r>
      <w:r>
        <w:rPr>
          <w:spacing w:val="-45"/>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rPr>
        <w:t> </w:t>
      </w:r>
      <w:r>
        <w:rPr/>
        <w:t>月</w:t>
      </w:r>
      <w:r>
        <w:rPr>
          <w:spacing w:val="-45"/>
        </w:rPr>
        <w:t> </w:t>
      </w:r>
      <w:r>
        <w:rPr>
          <w:rFonts w:ascii="Times New Roman" w:hAnsi="Times New Roman" w:cs="Times New Roman" w:eastAsia="Times New Roman" w:hint="default"/>
        </w:rPr>
        <w:t>30 </w:t>
      </w:r>
      <w:r>
        <w:rPr>
          <w:spacing w:val="-4"/>
        </w:rPr>
        <w:t>日利息收入）及募集资金专户后期利息收入（具</w:t>
      </w:r>
      <w:r>
        <w:rPr/>
        <w:t> 体金额以资金转出当日银行结算余额为准）永久补充流动资金，并注销存放募集资金投资项目的募集资金专项账户。项目 公司剩余质保金等应付账款（如有）将以自有资金继续支付（公告</w:t>
      </w:r>
      <w:r>
        <w:rPr>
          <w:spacing w:val="-45"/>
        </w:rPr>
        <w:t> </w:t>
      </w:r>
      <w:r>
        <w:rPr>
          <w:rFonts w:ascii="Times New Roman" w:hAnsi="Times New Roman" w:cs="Times New Roman" w:eastAsia="Times New Roman" w:hint="default"/>
          <w:spacing w:val="-8"/>
        </w:rPr>
        <w:t>2017-167</w:t>
      </w:r>
      <w:r>
        <w:rPr>
          <w:spacing w:val="-8"/>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 </w:t>
      </w:r>
      <w:r>
        <w:rPr/>
        <w:t>日，公司尚未将上述 结余资金补充流动资金。</w:t>
      </w:r>
    </w:p>
    <w:p>
      <w:pPr>
        <w:pStyle w:val="BodyText"/>
        <w:spacing w:line="240" w:lineRule="auto" w:before="64"/>
        <w:ind w:left="181" w:right="0"/>
        <w:jc w:val="left"/>
        <w:rPr>
          <w:rFonts w:ascii="Times New Roman" w:hAnsi="Times New Roman" w:cs="Times New Roman" w:eastAsia="Times New Roman" w:hint="default"/>
        </w:rPr>
      </w:pPr>
      <w:r>
        <w:rPr>
          <w:rFonts w:ascii="Times New Roman" w:hAnsi="Times New Roman" w:cs="Times New Roman" w:eastAsia="Times New Roman" w:hint="default"/>
          <w:spacing w:val="-6"/>
        </w:rPr>
        <w:t>7</w:t>
      </w:r>
      <w:r>
        <w:rPr>
          <w:spacing w:val="-6"/>
        </w:rPr>
        <w:t>、截至</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日，公司尚未使用募集资金余额为</w:t>
      </w:r>
      <w:r>
        <w:rPr>
          <w:spacing w:val="-51"/>
        </w:rPr>
        <w:t> </w:t>
      </w:r>
      <w:r>
        <w:rPr>
          <w:rFonts w:ascii="Times New Roman" w:hAnsi="Times New Roman" w:cs="Times New Roman" w:eastAsia="Times New Roman" w:hint="default"/>
        </w:rPr>
        <w:t>388,620,091.35</w:t>
      </w:r>
      <w:r>
        <w:rPr>
          <w:rFonts w:ascii="Times New Roman" w:hAnsi="Times New Roman" w:cs="Times New Roman" w:eastAsia="Times New Roman" w:hint="default"/>
          <w:spacing w:val="-5"/>
        </w:rPr>
        <w:t> </w:t>
      </w:r>
      <w:r>
        <w:rPr/>
        <w:t>元，募集资金银行账户实际余额为</w:t>
      </w:r>
      <w:r>
        <w:rPr>
          <w:spacing w:val="-51"/>
        </w:rPr>
        <w:t> </w:t>
      </w:r>
      <w:r>
        <w:rPr>
          <w:rFonts w:ascii="Times New Roman" w:hAnsi="Times New Roman" w:cs="Times New Roman" w:eastAsia="Times New Roman" w:hint="default"/>
        </w:rPr>
        <w:t>42,620,091.35</w:t>
      </w:r>
    </w:p>
    <w:p>
      <w:pPr>
        <w:pStyle w:val="BodyText"/>
        <w:spacing w:line="240" w:lineRule="auto" w:before="64"/>
        <w:ind w:left="181" w:right="1122"/>
        <w:jc w:val="left"/>
      </w:pPr>
      <w:r>
        <w:rPr/>
        <w:t>元，差异金额</w:t>
      </w:r>
      <w:r>
        <w:rPr>
          <w:spacing w:val="-47"/>
        </w:rPr>
        <w:t> </w:t>
      </w:r>
      <w:r>
        <w:rPr>
          <w:rFonts w:ascii="Times New Roman" w:hAnsi="Times New Roman" w:cs="Times New Roman" w:eastAsia="Times New Roman" w:hint="default"/>
        </w:rPr>
        <w:t>346,000,000.00</w:t>
      </w:r>
      <w:r>
        <w:rPr>
          <w:rFonts w:ascii="Times New Roman" w:hAnsi="Times New Roman" w:cs="Times New Roman" w:eastAsia="Times New Roman" w:hint="default"/>
          <w:spacing w:val="-1"/>
        </w:rPr>
        <w:t> </w:t>
      </w:r>
      <w:r>
        <w:rPr/>
        <w:t>元为公司以募集资金暂时补充流动资金。</w:t>
      </w:r>
    </w:p>
    <w:p>
      <w:pPr>
        <w:spacing w:line="240" w:lineRule="auto" w:before="13"/>
        <w:rPr>
          <w:rFonts w:ascii="宋体" w:hAnsi="宋体" w:cs="宋体" w:eastAsia="宋体" w:hint="default"/>
          <w:sz w:val="26"/>
          <w:szCs w:val="26"/>
        </w:rPr>
      </w:pPr>
    </w:p>
    <w:p>
      <w:pPr>
        <w:pStyle w:val="Heading3"/>
        <w:spacing w:line="240" w:lineRule="auto" w:before="35"/>
        <w:ind w:left="154" w:right="1122"/>
        <w:jc w:val="left"/>
        <w:rPr>
          <w:b w:val="0"/>
          <w:bCs w:val="0"/>
        </w:rPr>
      </w:pP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单位：万元</w:t>
      </w:r>
    </w:p>
    <w:p>
      <w:pPr>
        <w:spacing w:after="0" w:line="240" w:lineRule="auto"/>
        <w:jc w:val="right"/>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648"/>
        <w:gridCol w:w="881"/>
        <w:gridCol w:w="1027"/>
        <w:gridCol w:w="942"/>
        <w:gridCol w:w="1117"/>
        <w:gridCol w:w="1016"/>
        <w:gridCol w:w="952"/>
        <w:gridCol w:w="967"/>
        <w:gridCol w:w="457"/>
        <w:gridCol w:w="605"/>
      </w:tblGrid>
      <w:tr>
        <w:trPr>
          <w:trHeight w:val="1650"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0" w:right="7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9" w:right="47"/>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75" w:right="7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3" w:right="56" w:hanging="16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调整后投资 总额</w:t>
            </w:r>
            <w:r>
              <w:rPr>
                <w:rFonts w:ascii="Times New Roman" w:hAnsi="Times New Roman" w:cs="Times New Roman" w:eastAsia="Times New Roman" w:hint="default"/>
                <w:sz w:val="18"/>
                <w:szCs w:val="18"/>
              </w:rPr>
              <w:t>(1)</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06" w:right="105"/>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11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6"/>
              <w:ind w:left="104" w:right="10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截至期末累 计投入金额 </w:t>
            </w:r>
            <w:r>
              <w:rPr>
                <w:rFonts w:ascii="Times New Roman" w:hAnsi="Times New Roman" w:cs="Times New Roman" w:eastAsia="Times New Roman" w:hint="default"/>
                <w:sz w:val="18"/>
                <w:szCs w:val="18"/>
              </w:rPr>
              <w:t>(2)</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56"/>
              <w:ind w:left="37" w:right="37" w:firstLine="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110" w:right="111"/>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117" w:right="29"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43" w:right="42"/>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6" w:right="2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凤庆爱康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50MW</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32,338.57</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32,380.09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734.92</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禄劝爱康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50MW</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255.38</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22,300.59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53.74%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444.96</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嘉祥昱辉</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8,282.64</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8,386.13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101.25%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-658.36</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00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无棣爱康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16,597.52</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16,658.8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100.37%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p>
            <w:pPr>
              <w:pStyle w:val="TableParagraph"/>
              <w:tabs>
                <w:tab w:pos="738" w:val="left" w:leader="none"/>
              </w:tabs>
              <w:spacing w:line="240" w:lineRule="auto" w:before="115"/>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604.68</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泌阳中康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3,616.11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13,247.48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82.80%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693.73</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南召中机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62,665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50,537.77</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12,066.92</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50,806.21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100.53%</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月并网</w:t>
            </w:r>
          </w:p>
          <w:p>
            <w:pPr>
              <w:pStyle w:val="TableParagraph"/>
              <w:tabs>
                <w:tab w:pos="738" w:val="left" w:leader="none"/>
              </w:tabs>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54MW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3,197.67</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南召中机</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7,790.24</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7,813.5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100.30%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10MW</w:t>
              <w:tab/>
            </w:r>
            <w:r>
              <w:rPr>
                <w:rFonts w:ascii="宋体" w:hAnsi="宋体" w:cs="宋体" w:eastAsia="宋体" w:hint="default"/>
                <w:sz w:val="18"/>
                <w:szCs w:val="18"/>
              </w:rPr>
              <w:t>于</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428.23</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榆林榆神</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1,022.33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6" w:right="0"/>
              <w:jc w:val="left"/>
              <w:rPr>
                <w:rFonts w:ascii="宋体" w:hAnsi="宋体" w:cs="宋体" w:eastAsia="宋体" w:hint="default"/>
                <w:sz w:val="18"/>
                <w:szCs w:val="18"/>
              </w:rPr>
            </w:pPr>
            <w:r>
              <w:rPr>
                <w:rFonts w:ascii="宋体" w:hAnsi="宋体" w:cs="宋体" w:eastAsia="宋体" w:hint="default"/>
                <w:sz w:val="18"/>
                <w:szCs w:val="18"/>
              </w:rPr>
              <w:t>已终止</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宿州恒康</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16,600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16,006.81</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16,013.62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1,081.04</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朝阳爱康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8,299.95</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8,302.97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100.04%</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10MW</w:t>
              <w:tab/>
            </w:r>
            <w:r>
              <w:rPr>
                <w:rFonts w:ascii="宋体" w:hAnsi="宋体" w:cs="宋体" w:eastAsia="宋体" w:hint="default"/>
                <w:sz w:val="18"/>
                <w:szCs w:val="18"/>
              </w:rPr>
              <w:t>于</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526.38</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648"/>
        <w:gridCol w:w="881"/>
        <w:gridCol w:w="1027"/>
        <w:gridCol w:w="942"/>
        <w:gridCol w:w="1117"/>
        <w:gridCol w:w="1016"/>
        <w:gridCol w:w="952"/>
        <w:gridCol w:w="967"/>
        <w:gridCol w:w="457"/>
        <w:gridCol w:w="605"/>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四子王旗</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24,900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15,863.24</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10.41</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15,882.69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100.12%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1,463.01</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精河三期、四</w:t>
            </w:r>
            <w:r>
              <w:rPr>
                <w:rFonts w:ascii="宋体" w:hAnsi="宋体" w:cs="宋体" w:eastAsia="宋体" w:hint="default"/>
                <w:sz w:val="18"/>
                <w:szCs w:val="18"/>
              </w:rPr>
              <w:t> 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41,493.45</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41,539.42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100.11%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50MW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1,241.41</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奇台二期</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30MW</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23,655</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23,655</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13.65</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22,680.2</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95.88%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30MW</w:t>
              <w:tab/>
            </w:r>
            <w:r>
              <w:rPr>
                <w:rFonts w:ascii="宋体" w:hAnsi="宋体" w:cs="宋体" w:eastAsia="宋体" w:hint="default"/>
                <w:sz w:val="18"/>
                <w:szCs w:val="18"/>
              </w:rPr>
              <w:t>于</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1,110.42</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34.53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4,000.53</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tabs>
                <w:tab w:pos="738" w:val="left" w:leader="none"/>
              </w:tabs>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w w:val="95"/>
                <w:sz w:val="18"/>
                <w:szCs w:val="18"/>
              </w:rPr>
              <w:t>20MW</w:t>
              <w:tab/>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496.31</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伊川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13,400</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3,650.9</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13,401.9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20.22M  </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于</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48,280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22,000</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22,000.54</w:t>
            </w:r>
          </w:p>
        </w:tc>
        <w:tc>
          <w:tcPr>
            <w:tcW w:w="101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20,959.16</w:t>
            </w: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20,960.36</w:t>
            </w:r>
          </w:p>
        </w:tc>
        <w:tc>
          <w:tcPr>
            <w:tcW w:w="101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补充流动资 金</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22,354.83</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22,354.83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22,354.83</w:t>
            </w:r>
          </w:p>
        </w:tc>
        <w:tc>
          <w:tcPr>
            <w:tcW w:w="101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1" w:hRule="exact"/>
        </w:trPr>
        <w:tc>
          <w:tcPr>
            <w:tcW w:w="105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64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57" w:right="0"/>
              <w:jc w:val="left"/>
              <w:rPr>
                <w:rFonts w:ascii="Times New Roman" w:hAnsi="Times New Roman" w:cs="Times New Roman" w:eastAsia="Times New Roman" w:hint="default"/>
                <w:sz w:val="18"/>
                <w:szCs w:val="18"/>
              </w:rPr>
            </w:pPr>
            <w:r>
              <w:rPr>
                <w:rFonts w:ascii="Times New Roman"/>
                <w:sz w:val="18"/>
              </w:rPr>
              <w:t>383,000</w:t>
            </w:r>
          </w:p>
        </w:tc>
        <w:tc>
          <w:tcPr>
            <w:tcW w:w="102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377,679.16</w:t>
            </w:r>
          </w:p>
        </w:tc>
        <w:tc>
          <w:tcPr>
            <w:tcW w:w="94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42,002.73</w:t>
            </w:r>
          </w:p>
        </w:tc>
        <w:tc>
          <w:tcPr>
            <w:tcW w:w="1117" w:type="dxa"/>
            <w:vMerge w:val="restart"/>
            <w:tcBorders>
              <w:top w:val="single" w:sz="4" w:space="0" w:color="000000"/>
              <w:left w:val="single" w:sz="4" w:space="0" w:color="000000"/>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339,752.18</w:t>
            </w:r>
          </w:p>
        </w:tc>
        <w:tc>
          <w:tcPr>
            <w:tcW w:w="1016" w:type="dxa"/>
            <w:tcBorders>
              <w:top w:val="single" w:sz="4" w:space="0" w:color="000000"/>
              <w:left w:val="single" w:sz="4" w:space="0" w:color="000000"/>
              <w:bottom w:val="nil" w:sz="6" w:space="0" w:color="auto"/>
              <w:right w:val="single" w:sz="4" w:space="0" w:color="000000"/>
            </w:tcBorders>
            <w:shd w:val="clear" w:color="auto" w:fill="D2D2D2"/>
          </w:tcPr>
          <w:p>
            <w:pPr/>
          </w:p>
        </w:tc>
        <w:tc>
          <w:tcPr>
            <w:tcW w:w="952" w:type="dxa"/>
            <w:tcBorders>
              <w:top w:val="single" w:sz="4" w:space="0" w:color="000000"/>
              <w:left w:val="single" w:sz="4" w:space="0" w:color="000000"/>
              <w:bottom w:val="nil" w:sz="6" w:space="0" w:color="auto"/>
              <w:right w:val="single" w:sz="4" w:space="0" w:color="000000"/>
            </w:tcBorders>
            <w:shd w:val="clear" w:color="auto" w:fill="D2D2D2"/>
          </w:tcPr>
          <w:p>
            <w:pPr/>
          </w:p>
        </w:tc>
        <w:tc>
          <w:tcPr>
            <w:tcW w:w="967" w:type="dxa"/>
            <w:vMerge w:val="restart"/>
            <w:tcBorders>
              <w:top w:val="single" w:sz="4" w:space="0" w:color="000000"/>
              <w:left w:val="single" w:sz="9" w:space="0" w:color="D2D2D2"/>
              <w:right w:val="single" w:sz="9"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11,363.18</w:t>
            </w:r>
          </w:p>
        </w:tc>
        <w:tc>
          <w:tcPr>
            <w:tcW w:w="457" w:type="dxa"/>
            <w:tcBorders>
              <w:top w:val="single" w:sz="4" w:space="0" w:color="000000"/>
              <w:left w:val="single" w:sz="4" w:space="0" w:color="000000"/>
              <w:bottom w:val="nil" w:sz="6" w:space="0" w:color="auto"/>
              <w:right w:val="single" w:sz="4" w:space="0" w:color="000000"/>
            </w:tcBorders>
            <w:shd w:val="clear" w:color="auto" w:fill="D2D2D2"/>
          </w:tcPr>
          <w:p>
            <w:pPr/>
          </w:p>
        </w:tc>
        <w:tc>
          <w:tcPr>
            <w:tcW w:w="60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054" w:type="dxa"/>
            <w:vMerge/>
            <w:tcBorders>
              <w:left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c>
          <w:tcPr>
            <w:tcW w:w="881" w:type="dxa"/>
            <w:vMerge/>
            <w:tcBorders>
              <w:left w:val="single" w:sz="9" w:space="0" w:color="D2D2D2"/>
              <w:right w:val="single" w:sz="4" w:space="0" w:color="000000"/>
            </w:tcBorders>
          </w:tcPr>
          <w:p>
            <w:pPr/>
          </w:p>
        </w:tc>
        <w:tc>
          <w:tcPr>
            <w:tcW w:w="1027" w:type="dxa"/>
            <w:vMerge/>
            <w:tcBorders>
              <w:left w:val="single" w:sz="4" w:space="0" w:color="000000"/>
              <w:right w:val="single" w:sz="4" w:space="0" w:color="000000"/>
            </w:tcBorders>
          </w:tcPr>
          <w:p>
            <w:pPr/>
          </w:p>
        </w:tc>
        <w:tc>
          <w:tcPr>
            <w:tcW w:w="942" w:type="dxa"/>
            <w:vMerge/>
            <w:tcBorders>
              <w:left w:val="single" w:sz="4" w:space="0" w:color="000000"/>
              <w:right w:val="single" w:sz="4" w:space="0" w:color="000000"/>
            </w:tcBorders>
          </w:tcPr>
          <w:p>
            <w:pPr/>
          </w:p>
        </w:tc>
        <w:tc>
          <w:tcPr>
            <w:tcW w:w="1117" w:type="dxa"/>
            <w:vMerge/>
            <w:tcBorders>
              <w:left w:val="single" w:sz="4" w:space="0" w:color="000000"/>
              <w:right w:val="single" w:sz="9" w:space="0" w:color="D2D2D2"/>
            </w:tcBorders>
          </w:tcPr>
          <w:p>
            <w:pPr/>
          </w:p>
        </w:tc>
        <w:tc>
          <w:tcPr>
            <w:tcW w:w="101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w:t>
            </w:r>
          </w:p>
        </w:tc>
        <w:tc>
          <w:tcPr>
            <w:tcW w:w="967" w:type="dxa"/>
            <w:vMerge/>
            <w:tcBorders>
              <w:left w:val="single" w:sz="9" w:space="0" w:color="D2D2D2"/>
              <w:right w:val="single" w:sz="9" w:space="0" w:color="D2D2D2"/>
            </w:tcBorders>
          </w:tcPr>
          <w:p>
            <w:pPr/>
          </w:p>
        </w:tc>
        <w:tc>
          <w:tcPr>
            <w:tcW w:w="4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054" w:type="dxa"/>
            <w:vMerge/>
            <w:tcBorders>
              <w:left w:val="single" w:sz="4" w:space="0" w:color="000000"/>
              <w:bottom w:val="single" w:sz="4" w:space="0" w:color="000000"/>
              <w:right w:val="single" w:sz="4" w:space="0" w:color="000000"/>
            </w:tcBorders>
            <w:shd w:val="clear" w:color="auto" w:fill="D2D2D2"/>
          </w:tcPr>
          <w:p>
            <w:pPr/>
          </w:p>
        </w:tc>
        <w:tc>
          <w:tcPr>
            <w:tcW w:w="64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vMerge/>
            <w:tcBorders>
              <w:left w:val="single" w:sz="9" w:space="0" w:color="D2D2D2"/>
              <w:bottom w:val="single" w:sz="4" w:space="0" w:color="000000"/>
              <w:right w:val="single" w:sz="4" w:space="0" w:color="000000"/>
            </w:tcBorders>
          </w:tcPr>
          <w:p>
            <w:pPr/>
          </w:p>
        </w:tc>
        <w:tc>
          <w:tcPr>
            <w:tcW w:w="1027" w:type="dxa"/>
            <w:vMerge/>
            <w:tcBorders>
              <w:left w:val="single" w:sz="4" w:space="0" w:color="000000"/>
              <w:bottom w:val="single" w:sz="4" w:space="0" w:color="000000"/>
              <w:right w:val="single" w:sz="4" w:space="0" w:color="000000"/>
            </w:tcBorders>
          </w:tcPr>
          <w:p>
            <w:pPr/>
          </w:p>
        </w:tc>
        <w:tc>
          <w:tcPr>
            <w:tcW w:w="942" w:type="dxa"/>
            <w:vMerge/>
            <w:tcBorders>
              <w:left w:val="single" w:sz="4" w:space="0" w:color="000000"/>
              <w:bottom w:val="single" w:sz="4" w:space="0" w:color="000000"/>
              <w:right w:val="single" w:sz="4" w:space="0" w:color="000000"/>
            </w:tcBorders>
          </w:tcPr>
          <w:p>
            <w:pPr/>
          </w:p>
        </w:tc>
        <w:tc>
          <w:tcPr>
            <w:tcW w:w="1117" w:type="dxa"/>
            <w:vMerge/>
            <w:tcBorders>
              <w:left w:val="single" w:sz="4" w:space="0" w:color="000000"/>
              <w:bottom w:val="single" w:sz="4" w:space="0" w:color="000000"/>
              <w:right w:val="single" w:sz="9" w:space="0" w:color="D2D2D2"/>
            </w:tcBorders>
          </w:tcPr>
          <w:p>
            <w:pPr/>
          </w:p>
        </w:tc>
        <w:tc>
          <w:tcPr>
            <w:tcW w:w="1016" w:type="dxa"/>
            <w:tcBorders>
              <w:top w:val="nil" w:sz="6" w:space="0" w:color="auto"/>
              <w:left w:val="single" w:sz="4" w:space="0" w:color="000000"/>
              <w:bottom w:val="single" w:sz="4" w:space="0" w:color="000000"/>
              <w:right w:val="single" w:sz="4" w:space="0" w:color="000000"/>
            </w:tcBorders>
            <w:shd w:val="clear" w:color="auto" w:fill="D2D2D2"/>
          </w:tcPr>
          <w:p>
            <w:pPr/>
          </w:p>
        </w:tc>
        <w:tc>
          <w:tcPr>
            <w:tcW w:w="952" w:type="dxa"/>
            <w:tcBorders>
              <w:top w:val="nil" w:sz="6" w:space="0" w:color="auto"/>
              <w:left w:val="single" w:sz="4" w:space="0" w:color="000000"/>
              <w:bottom w:val="single" w:sz="4" w:space="0" w:color="000000"/>
              <w:right w:val="single" w:sz="4" w:space="0" w:color="000000"/>
            </w:tcBorders>
            <w:shd w:val="clear" w:color="auto" w:fill="D2D2D2"/>
          </w:tcPr>
          <w:p>
            <w:pPr/>
          </w:p>
        </w:tc>
        <w:tc>
          <w:tcPr>
            <w:tcW w:w="967" w:type="dxa"/>
            <w:vMerge/>
            <w:tcBorders>
              <w:left w:val="single" w:sz="9" w:space="0" w:color="D2D2D2"/>
              <w:bottom w:val="single" w:sz="4" w:space="0" w:color="000000"/>
              <w:right w:val="single" w:sz="9" w:space="0" w:color="D2D2D2"/>
            </w:tcBorders>
          </w:tcPr>
          <w:p>
            <w:pPr/>
          </w:p>
        </w:tc>
        <w:tc>
          <w:tcPr>
            <w:tcW w:w="457" w:type="dxa"/>
            <w:tcBorders>
              <w:top w:val="nil" w:sz="6" w:space="0" w:color="auto"/>
              <w:left w:val="single" w:sz="4" w:space="0" w:color="000000"/>
              <w:bottom w:val="single" w:sz="4" w:space="0" w:color="000000"/>
              <w:right w:val="single" w:sz="4" w:space="0" w:color="000000"/>
            </w:tcBorders>
            <w:shd w:val="clear" w:color="auto" w:fill="D2D2D2"/>
          </w:tcPr>
          <w:p>
            <w:pPr/>
          </w:p>
        </w:tc>
        <w:tc>
          <w:tcPr>
            <w:tcW w:w="60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9667"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1"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1117" w:type="dxa"/>
            <w:tcBorders>
              <w:top w:val="single" w:sz="4" w:space="0" w:color="000000"/>
              <w:left w:val="single" w:sz="4" w:space="0" w:color="000000"/>
              <w:bottom w:val="single" w:sz="4" w:space="0" w:color="000000"/>
              <w:right w:val="single" w:sz="4" w:space="0" w:color="000000"/>
            </w:tcBorders>
          </w:tcPr>
          <w:p>
            <w:pPr/>
          </w:p>
        </w:tc>
        <w:tc>
          <w:tcPr>
            <w:tcW w:w="1016"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不适 用</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57"/>
              <w:jc w:val="right"/>
              <w:rPr>
                <w:rFonts w:ascii="Times New Roman" w:hAnsi="Times New Roman" w:cs="Times New Roman" w:eastAsia="Times New Roman" w:hint="default"/>
                <w:sz w:val="18"/>
                <w:szCs w:val="18"/>
              </w:rPr>
            </w:pPr>
            <w:r>
              <w:rPr>
                <w:rFonts w:ascii="Times New Roman"/>
                <w:sz w:val="18"/>
              </w:rPr>
              <w:t>--</w:t>
            </w:r>
          </w:p>
        </w:tc>
        <w:tc>
          <w:tcPr>
            <w:tcW w:w="8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383,000</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377,679.16</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42,002.73</w:t>
            </w:r>
          </w:p>
        </w:tc>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339,752.18</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0" w:right="0"/>
              <w:jc w:val="left"/>
              <w:rPr>
                <w:rFonts w:ascii="Times New Roman" w:hAnsi="Times New Roman" w:cs="Times New Roman" w:eastAsia="Times New Roman" w:hint="default"/>
                <w:sz w:val="18"/>
                <w:szCs w:val="18"/>
              </w:rPr>
            </w:pPr>
            <w:r>
              <w:rPr>
                <w:rFonts w:ascii="Times New Roman"/>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11,363.18</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62"/>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93" w:hRule="exact"/>
        </w:trPr>
        <w:tc>
          <w:tcPr>
            <w:tcW w:w="1054" w:type="dxa"/>
            <w:tcBorders>
              <w:top w:val="single" w:sz="4" w:space="0" w:color="000000"/>
              <w:left w:val="single" w:sz="4" w:space="0" w:color="000000"/>
              <w:bottom w:val="nil" w:sz="6" w:space="0" w:color="auto"/>
              <w:right w:val="single" w:sz="4" w:space="0" w:color="000000"/>
            </w:tcBorders>
            <w:shd w:val="clear" w:color="auto" w:fill="D2D2D2"/>
          </w:tcPr>
          <w:p>
            <w:pPr/>
          </w:p>
        </w:tc>
        <w:tc>
          <w:tcPr>
            <w:tcW w:w="8613"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部分项目未达到计划进度或预计收益的主要原因如下：</w:t>
            </w:r>
          </w:p>
          <w:p>
            <w:pPr>
              <w:pStyle w:val="TableParagraph"/>
              <w:spacing w:line="302" w:lineRule="auto" w:before="116"/>
              <w:ind w:left="1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、凤庆和禄劝项目，主要受云南全省发电企业需要参与购售电市场竞价、发电量撮合交易影响导致并网发电 量减少所致；</w:t>
            </w:r>
          </w:p>
          <w:p>
            <w:pPr>
              <w:pStyle w:val="TableParagraph"/>
              <w:spacing w:line="302" w:lineRule="auto" w:before="68"/>
              <w:ind w:left="1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、嘉祥项目，主要系该项目建在山地上，建造成本和运维成本超过预期，及山地遮挡导致发电量损失较大所 致；</w:t>
            </w:r>
          </w:p>
          <w:p>
            <w:pPr>
              <w:pStyle w:val="TableParagraph"/>
              <w:spacing w:line="240" w:lineRule="auto" w:before="70"/>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、无棣项目，主要系因技术原因发电量未达预期及运维成本上升所致；</w:t>
            </w:r>
          </w:p>
          <w:p>
            <w:pPr>
              <w:pStyle w:val="TableParagraph"/>
              <w:spacing w:line="302" w:lineRule="auto" w:before="101"/>
              <w:ind w:left="1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、泌阳项目，主要系并网电价下降所致，该电站在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年才完成并网，上网电价按照国家</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年度的标杆 电价执行；</w:t>
            </w:r>
          </w:p>
          <w:p>
            <w:pPr>
              <w:pStyle w:val="TableParagraph"/>
              <w:spacing w:line="302" w:lineRule="auto" w:before="68"/>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、南召项目，主要系电站部分运维工程开展不顺导致发电量减少，该运维工程在</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3"/>
                <w:sz w:val="18"/>
                <w:szCs w:val="18"/>
              </w:rPr>
              <w:t> </w:t>
            </w:r>
            <w:r>
              <w:rPr>
                <w:rFonts w:ascii="宋体" w:hAnsi="宋体" w:cs="宋体" w:eastAsia="宋体" w:hint="default"/>
                <w:spacing w:val="-3"/>
                <w:sz w:val="18"/>
                <w:szCs w:val="18"/>
              </w:rPr>
              <w:t>年年底已完成，预计该</w:t>
            </w:r>
            <w:r>
              <w:rPr>
                <w:rFonts w:ascii="宋体" w:hAnsi="宋体" w:cs="宋体" w:eastAsia="宋体" w:hint="default"/>
                <w:sz w:val="18"/>
                <w:szCs w:val="18"/>
              </w:rPr>
              <w:t> 项目效益以后年度会明显好转；</w:t>
            </w:r>
          </w:p>
          <w:p>
            <w:pPr>
              <w:pStyle w:val="TableParagraph"/>
              <w:spacing w:line="302" w:lineRule="auto" w:before="69"/>
              <w:ind w:left="16"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、宿州项目，主要系该项目建在山地上，运维成本较高，发电量也未达到预期；项目组已积累山地电站运维 经验，采取整改措施，预计以后年度发电量会提升；</w:t>
            </w:r>
          </w:p>
          <w:p>
            <w:pPr>
              <w:pStyle w:val="TableParagraph"/>
              <w:spacing w:line="240" w:lineRule="auto" w:before="6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、朝阳项目，主要系供应商逆变器参数设置问题导致发电量下降，现该问题已解决；</w:t>
            </w:r>
          </w:p>
        </w:tc>
      </w:tr>
      <w:tr>
        <w:trPr>
          <w:trHeight w:val="1640" w:hRule="exact"/>
        </w:trPr>
        <w:tc>
          <w:tcPr>
            <w:tcW w:w="10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未达到计划 进度或预计 收益的情况 </w:t>
            </w:r>
            <w:r>
              <w:rPr>
                <w:rFonts w:ascii="宋体" w:hAnsi="宋体" w:cs="宋体" w:eastAsia="宋体" w:hint="default"/>
                <w:spacing w:val="-14"/>
                <w:sz w:val="18"/>
                <w:szCs w:val="18"/>
              </w:rPr>
              <w:t>和原因（分具</w:t>
            </w:r>
            <w:r>
              <w:rPr>
                <w:rFonts w:ascii="宋体" w:hAnsi="宋体" w:cs="宋体" w:eastAsia="宋体" w:hint="default"/>
                <w:sz w:val="18"/>
                <w:szCs w:val="18"/>
              </w:rPr>
              <w:t> 体项目）</w:t>
            </w:r>
          </w:p>
        </w:tc>
        <w:tc>
          <w:tcPr>
            <w:tcW w:w="8613" w:type="dxa"/>
            <w:gridSpan w:val="10"/>
            <w:vMerge/>
            <w:tcBorders>
              <w:left w:val="single" w:sz="9" w:space="0" w:color="D2D2D2"/>
              <w:right w:val="single" w:sz="4" w:space="0" w:color="000000"/>
            </w:tcBorders>
          </w:tcPr>
          <w:p>
            <w:pPr/>
          </w:p>
        </w:tc>
      </w:tr>
      <w:tr>
        <w:trPr>
          <w:trHeight w:val="1394" w:hRule="exact"/>
        </w:trPr>
        <w:tc>
          <w:tcPr>
            <w:tcW w:w="1054" w:type="dxa"/>
            <w:tcBorders>
              <w:top w:val="nil" w:sz="6" w:space="0" w:color="auto"/>
              <w:left w:val="single" w:sz="4" w:space="0" w:color="000000"/>
              <w:bottom w:val="single" w:sz="4" w:space="0" w:color="000000"/>
              <w:right w:val="single" w:sz="4" w:space="0" w:color="000000"/>
            </w:tcBorders>
            <w:shd w:val="clear" w:color="auto" w:fill="D2D2D2"/>
          </w:tcPr>
          <w:p>
            <w:pPr/>
          </w:p>
        </w:tc>
        <w:tc>
          <w:tcPr>
            <w:tcW w:w="8613" w:type="dxa"/>
            <w:gridSpan w:val="10"/>
            <w:vMerge/>
            <w:tcBorders>
              <w:left w:val="single" w:sz="9" w:space="0" w:color="D2D2D2"/>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56.459999pt;margin-top:71.999985pt;width:484.1pt;height:687.7pt;mso-position-horizontal-relative:page;mso-position-vertical-relative:page;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8614"/>
                  </w:tblGrid>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3"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、精河、奇台项目主要系新疆、内蒙地区限电致发电量下降，及部分并网发电量参加购售电市场竞价交易致 电价下降所致；</w:t>
                        </w:r>
                      </w:p>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、明光、伊川项目，主要系电站在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年才完成并网，消缺周期较长，发电量未达预期所致。</w:t>
                        </w:r>
                      </w:p>
                    </w:tc>
                  </w:tr>
                  <w:tr>
                    <w:trPr>
                      <w:trHeight w:val="1338"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2" w:lineRule="auto" w:before="128"/>
                          <w:ind w:left="23" w:right="112"/>
                          <w:jc w:val="left"/>
                          <w:rPr>
                            <w:rFonts w:ascii="宋体" w:hAnsi="宋体" w:cs="宋体" w:eastAsia="宋体" w:hint="default"/>
                            <w:sz w:val="18"/>
                            <w:szCs w:val="18"/>
                          </w:rPr>
                        </w:pPr>
                        <w:r>
                          <w:rPr>
                            <w:rFonts w:ascii="宋体" w:hAnsi="宋体" w:cs="宋体" w:eastAsia="宋体" w:hint="default"/>
                            <w:sz w:val="18"/>
                            <w:szCs w:val="18"/>
                          </w:rPr>
                          <w:t>昱辉榆林</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5"/>
                            <w:sz w:val="18"/>
                            <w:szCs w:val="18"/>
                          </w:rPr>
                          <w:t> </w:t>
                        </w:r>
                        <w:r>
                          <w:rPr>
                            <w:rFonts w:ascii="宋体" w:hAnsi="宋体" w:cs="宋体" w:eastAsia="宋体" w:hint="default"/>
                            <w:sz w:val="18"/>
                            <w:szCs w:val="18"/>
                          </w:rPr>
                          <w:t>太阳能光伏发电项目，因涉及当地政府对用地规划的调整，相关手续办理缓慢，经审慎考虑 为提高募集资金使用效率，公司终止投资。</w:t>
                        </w:r>
                      </w:p>
                    </w:tc>
                  </w:tr>
                  <w:tr>
                    <w:trPr>
                      <w:trHeight w:val="402" w:hRule="exact"/>
                    </w:trPr>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超募资金的 </w:t>
                        </w:r>
                        <w:r>
                          <w:rPr>
                            <w:rFonts w:ascii="宋体" w:hAnsi="宋体" w:cs="宋体" w:eastAsia="宋体" w:hint="default"/>
                            <w:spacing w:val="-14"/>
                            <w:sz w:val="18"/>
                            <w:szCs w:val="18"/>
                          </w:rPr>
                          <w:t>金额、用途及</w:t>
                        </w:r>
                        <w:r>
                          <w:rPr>
                            <w:rFonts w:ascii="宋体" w:hAnsi="宋体" w:cs="宋体" w:eastAsia="宋体" w:hint="default"/>
                            <w:sz w:val="18"/>
                            <w:szCs w:val="18"/>
                          </w:rPr>
                          <w:t> 使用进展情 况</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募集资金投 资项目实施 地点变更情 况</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053" w:type="dxa"/>
                        <w:vMerge/>
                        <w:tcBorders>
                          <w:left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
                    </w:tc>
                  </w:tr>
                  <w:tr>
                    <w:trPr>
                      <w:trHeight w:val="534"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053" w:type="dxa"/>
                        <w:vMerge/>
                        <w:tcBorders>
                          <w:left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
                    </w:tc>
                  </w:tr>
                  <w:tr>
                    <w:trPr>
                      <w:trHeight w:val="534" w:hRule="exact"/>
                    </w:trPr>
                    <w:tc>
                      <w:tcPr>
                        <w:tcW w:w="1053" w:type="dxa"/>
                        <w:vMerge/>
                        <w:tcBorders>
                          <w:left w:val="single" w:sz="4" w:space="0" w:color="000000"/>
                          <w:bottom w:val="single" w:sz="4" w:space="0" w:color="FFFFFF"/>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053" w:type="dxa"/>
                        <w:vMerge w:val="restart"/>
                        <w:tcBorders>
                          <w:top w:val="single" w:sz="4" w:space="0" w:color="FFFFFF"/>
                          <w:left w:val="single" w:sz="4" w:space="0" w:color="000000"/>
                          <w:right w:val="single" w:sz="4" w:space="0" w:color="000000"/>
                        </w:tcBorders>
                        <w:shd w:val="clear" w:color="auto" w:fill="D2D2D2"/>
                      </w:tcPr>
                      <w:p>
                        <w:pPr>
                          <w:pStyle w:val="TableParagraph"/>
                          <w:spacing w:line="319" w:lineRule="auto" w:before="97"/>
                          <w:ind w:left="22" w:right="120"/>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8614"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026"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日，公司第二届董事会第四十四次临时会议和第二届监事会第十七次临时会议审议通过了《关 </w:t>
                        </w:r>
                        <w:r>
                          <w:rPr>
                            <w:rFonts w:ascii="宋体" w:hAnsi="宋体" w:cs="宋体" w:eastAsia="宋体" w:hint="default"/>
                            <w:spacing w:val="-2"/>
                            <w:sz w:val="18"/>
                            <w:szCs w:val="18"/>
                          </w:rPr>
                          <w:t>于使用募集资金置换前期投入自有资金的议案》，一致同意公司使用募集资金置换预先投入募投项目的自有资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820,166,558.25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日公司总共实际置换金额为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820,166,558.25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2" w:hRule="exact"/>
                    </w:trPr>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20"/>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3522"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日召开的第二届董事会第五十次会议审议通过了《关于使用部分闲置募集资金暂时</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补充流动资金的议案</w:t>
                        </w:r>
                        <w:r>
                          <w:rPr>
                            <w:rFonts w:ascii="宋体" w:hAnsi="宋体" w:cs="宋体" w:eastAsia="宋体" w:hint="default"/>
                            <w:spacing w:val="-90"/>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拟使用部分闲置募集资金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w:t>
                        </w:r>
                        <w:r>
                          <w:rPr>
                            <w:rFonts w:ascii="宋体" w:hAnsi="宋体" w:cs="宋体" w:eastAsia="宋体" w:hint="default"/>
                            <w:spacing w:val="-3"/>
                            <w:sz w:val="18"/>
                            <w:szCs w:val="18"/>
                          </w:rPr>
                          <w:t>金</w:t>
                        </w:r>
                        <w:r>
                          <w:rPr>
                            <w:rFonts w:ascii="宋体" w:hAnsi="宋体" w:cs="宋体" w:eastAsia="宋体" w:hint="default"/>
                            <w:sz w:val="18"/>
                            <w:szCs w:val="18"/>
                          </w:rPr>
                          <w:t>（公告</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2016-69</w:t>
                        </w:r>
                        <w:r>
                          <w:rPr>
                            <w:rFonts w:ascii="宋体" w:hAnsi="宋体" w:cs="宋体" w:eastAsia="宋体" w:hint="default"/>
                            <w:spacing w:val="-90"/>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根据公司</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募投项目进度及资金需求，公司分别于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日将暂时补充流动资金的部分募集资金的</w:t>
                        </w:r>
                      </w:p>
                      <w:p>
                        <w:pPr>
                          <w:pStyle w:val="TableParagraph"/>
                          <w:spacing w:line="300" w:lineRule="auto" w:before="63"/>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4,500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2,600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8,300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2,400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16,300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万元和</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万元分别归还至募集资金 监管账户，公司累计已将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万元资金全部归还至募集资金专户，至此此次公司使用部分闲置募集资金暂 时补充流动资金已提前归还完毕。</w:t>
                        </w:r>
                      </w:p>
                      <w:p>
                        <w:pPr>
                          <w:pStyle w:val="TableParagraph"/>
                          <w:spacing w:line="240" w:lineRule="auto" w:before="31"/>
                          <w:ind w:left="23" w:right="0"/>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日召开的第三届董事会第十三次会议审议通过了《关于继续使用部分闲置募集资金暂</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时补充流动资金的议案</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拟使用部分闲置募集资金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w:t>
                        </w:r>
                        <w:r>
                          <w:rPr>
                            <w:rFonts w:ascii="宋体" w:hAnsi="宋体" w:cs="宋体" w:eastAsia="宋体" w:hint="default"/>
                            <w:spacing w:val="-20"/>
                            <w:sz w:val="18"/>
                            <w:szCs w:val="18"/>
                          </w:rPr>
                          <w:t>，</w:t>
                        </w:r>
                        <w:r>
                          <w:rPr>
                            <w:rFonts w:ascii="宋体" w:hAnsi="宋体" w:cs="宋体" w:eastAsia="宋体" w:hint="default"/>
                            <w:sz w:val="18"/>
                            <w:szCs w:val="18"/>
                          </w:rPr>
                          <w:t>使用期限自董事会批准之</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p>
                        <w:pPr>
                          <w:pStyle w:val="TableParagraph"/>
                          <w:spacing w:line="240" w:lineRule="auto" w:before="64"/>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日，闲置募集资金暂时补充流动资金的余额为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34,600 </w:t>
                        </w:r>
                        <w:r>
                          <w:rPr>
                            <w:rFonts w:ascii="宋体" w:hAnsi="宋体" w:cs="宋体" w:eastAsia="宋体" w:hint="default"/>
                            <w:sz w:val="18"/>
                            <w:szCs w:val="18"/>
                          </w:rPr>
                          <w:t>万元</w:t>
                        </w:r>
                      </w:p>
                    </w:tc>
                  </w:tr>
                  <w:tr>
                    <w:trPr>
                      <w:trHeight w:val="402" w:hRule="exact"/>
                    </w:trPr>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2" w:right="120"/>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11"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5"/>
                          <w:jc w:val="both"/>
                          <w:rPr>
                            <w:rFonts w:ascii="宋体" w:hAnsi="宋体" w:cs="宋体" w:eastAsia="宋体"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日召开的第三届董事会第三次临时会议审议通过了《关于部分募投项目结项并将节 </w:t>
                        </w:r>
                        <w:r>
                          <w:rPr>
                            <w:rFonts w:ascii="宋体" w:hAnsi="宋体" w:cs="宋体" w:eastAsia="宋体" w:hint="default"/>
                            <w:spacing w:val="-3"/>
                            <w:sz w:val="18"/>
                            <w:szCs w:val="18"/>
                          </w:rPr>
                          <w:t>余募集资金用于其他募投项目的议案》</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同意将公司在云南凤庆县大兴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项目及山东嘉祥昱辉</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光伏</w:t>
                        </w:r>
                        <w:r>
                          <w:rPr>
                            <w:rFonts w:ascii="宋体" w:hAnsi="宋体" w:cs="宋体" w:eastAsia="宋体" w:hint="default"/>
                            <w:spacing w:val="-86"/>
                            <w:sz w:val="18"/>
                            <w:szCs w:val="18"/>
                          </w:rPr>
                          <w:t> </w:t>
                        </w:r>
                        <w:r>
                          <w:rPr>
                            <w:rFonts w:ascii="宋体" w:hAnsi="宋体" w:cs="宋体" w:eastAsia="宋体" w:hint="default"/>
                            <w:sz w:val="18"/>
                            <w:szCs w:val="18"/>
                          </w:rPr>
                          <w:t>发电项目节余募集资金投资安徽省明光爱康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光伏电站项目、河南省伊川佳康</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光伏电站项目。云 南凤庆县大兴 </w:t>
                        </w:r>
                        <w:r>
                          <w:rPr>
                            <w:rFonts w:ascii="Times New Roman" w:hAnsi="Times New Roman" w:cs="Times New Roman" w:eastAsia="Times New Roman" w:hint="default"/>
                            <w:sz w:val="18"/>
                            <w:szCs w:val="18"/>
                          </w:rPr>
                          <w:t>50MW </w:t>
                        </w:r>
                        <w:r>
                          <w:rPr>
                            <w:rFonts w:ascii="宋体" w:hAnsi="宋体" w:cs="宋体" w:eastAsia="宋体" w:hint="default"/>
                            <w:sz w:val="18"/>
                            <w:szCs w:val="18"/>
                          </w:rPr>
                          <w:t>项目及山东嘉祥昱辉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光伏发电项目已建成并网发电。上述项目在施工过程中， </w:t>
                        </w:r>
                        <w:r>
                          <w:rPr>
                            <w:rFonts w:ascii="宋体" w:hAnsi="宋体" w:cs="宋体" w:eastAsia="宋体" w:hint="default"/>
                            <w:spacing w:val="-2"/>
                            <w:sz w:val="18"/>
                            <w:szCs w:val="18"/>
                          </w:rPr>
                          <w:t>项目的部分土地地质情况不适合用于安装光伏组件等电站设备，因此减少项目的投资规模，节余募集资金共计</w:t>
                        </w: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pStyle w:val="BodyText"/>
        <w:spacing w:line="240" w:lineRule="auto"/>
        <w:ind w:right="1042"/>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84.1pt;height:687.5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8614"/>
                  </w:tblGrid>
                  <w:tr>
                    <w:trPr>
                      <w:trHeight w:val="322" w:hRule="exact"/>
                    </w:trPr>
                    <w:tc>
                      <w:tcPr>
                        <w:tcW w:w="1053" w:type="dxa"/>
                        <w:vMerge w:val="restart"/>
                        <w:tcBorders>
                          <w:top w:val="single" w:sz="4" w:space="0" w:color="000000"/>
                          <w:left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17,400 </w:t>
                        </w:r>
                        <w:r>
                          <w:rPr>
                            <w:rFonts w:ascii="宋体" w:hAnsi="宋体" w:cs="宋体" w:eastAsia="宋体" w:hint="default"/>
                            <w:sz w:val="18"/>
                            <w:szCs w:val="18"/>
                          </w:rPr>
                          <w:t>万元。为提高募集资金投资回报率，公司将节余资金投资安徽省明光爱康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光伏电站项目，项目</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投资总额</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万元，使用募集资金</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万元；河南省伊川佳康</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光伏电站项目，项目总投资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42,500</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万元，使用募集资金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召</w:t>
                        </w:r>
                        <w:r>
                          <w:rPr>
                            <w:rFonts w:ascii="宋体" w:hAnsi="宋体" w:cs="宋体" w:eastAsia="宋体" w:hint="default"/>
                            <w:sz w:val="18"/>
                            <w:szCs w:val="18"/>
                          </w:rPr>
                          <w:t>开的第三届董事会第八次会议审议通过了《关于部分募投项目结项的议案</w:t>
                        </w:r>
                        <w:r>
                          <w:rPr>
                            <w:rFonts w:ascii="宋体" w:hAnsi="宋体" w:cs="宋体" w:eastAsia="宋体" w:hint="default"/>
                            <w:spacing w:val="-90"/>
                            <w:sz w:val="18"/>
                            <w:szCs w:val="18"/>
                          </w:rPr>
                          <w:t>》</w:t>
                        </w:r>
                        <w:r>
                          <w:rPr>
                            <w:rFonts w:ascii="宋体" w:hAnsi="宋体" w:cs="宋体" w:eastAsia="宋体" w:hint="default"/>
                            <w:sz w:val="18"/>
                            <w:szCs w:val="18"/>
                          </w:rPr>
                          <w:t>，将</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年第一次非公开发行股票的部分已建成并网发电的募投项</w:t>
                        </w:r>
                        <w:r>
                          <w:rPr>
                            <w:rFonts w:ascii="宋体" w:hAnsi="宋体" w:cs="宋体" w:eastAsia="宋体" w:hint="default"/>
                            <w:spacing w:val="-20"/>
                            <w:sz w:val="18"/>
                            <w:szCs w:val="18"/>
                          </w:rPr>
                          <w:t>目</w:t>
                        </w:r>
                        <w:r>
                          <w:rPr>
                            <w:rFonts w:ascii="宋体" w:hAnsi="宋体" w:cs="宋体" w:eastAsia="宋体" w:hint="default"/>
                            <w:sz w:val="18"/>
                            <w:szCs w:val="18"/>
                          </w:rPr>
                          <w:t>（如下</w:t>
                        </w:r>
                        <w:r>
                          <w:rPr>
                            <w:rFonts w:ascii="宋体" w:hAnsi="宋体" w:cs="宋体" w:eastAsia="宋体" w:hint="default"/>
                            <w:spacing w:val="-90"/>
                            <w:sz w:val="18"/>
                            <w:szCs w:val="18"/>
                          </w:rPr>
                          <w:t>）</w:t>
                        </w:r>
                        <w:r>
                          <w:rPr>
                            <w:rFonts w:ascii="宋体" w:hAnsi="宋体" w:cs="宋体" w:eastAsia="宋体" w:hint="default"/>
                            <w:spacing w:val="-20"/>
                            <w:sz w:val="18"/>
                            <w:szCs w:val="18"/>
                          </w:rPr>
                          <w:t>：</w:t>
                        </w:r>
                        <w:r>
                          <w:rPr>
                            <w:rFonts w:ascii="宋体" w:hAnsi="宋体" w:cs="宋体" w:eastAsia="宋体" w:hint="default"/>
                            <w:sz w:val="18"/>
                            <w:szCs w:val="18"/>
                          </w:rPr>
                          <w:t>宿州恒康新能源有限公司埇桥夹沟</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地面分布式光伏发电项目、喀左坤都小房申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10MW</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太阳能光伏发电项目、爱康精河三期</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光</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伏并网发电项目、爱康精河四期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光伏并网发电项目、奇台农场二期</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光伏发电项目结项，以上募</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投项目结项后，节余募集资金将返回上一级募集资金账户。公司于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日召开的第三届董事会第十</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三次会议审议通过了《关于部分募投项目结项并使用节余募集资金及利息永久补充流动资金的议案》和《关于</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节余募集资金及利息永久补充流动资金的议案</w:t>
                        </w:r>
                        <w:r>
                          <w:rPr>
                            <w:rFonts w:ascii="宋体" w:hAnsi="宋体" w:cs="宋体" w:eastAsia="宋体" w:hint="default"/>
                            <w:spacing w:val="-90"/>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拟将符合结项条件的本次结项募投项</w:t>
                        </w:r>
                        <w:r>
                          <w:rPr>
                            <w:rFonts w:ascii="宋体" w:hAnsi="宋体" w:cs="宋体" w:eastAsia="宋体" w:hint="default"/>
                            <w:spacing w:val="-27"/>
                            <w:sz w:val="18"/>
                            <w:szCs w:val="18"/>
                          </w:rPr>
                          <w:t>目</w:t>
                        </w:r>
                        <w:r>
                          <w:rPr>
                            <w:rFonts w:ascii="宋体" w:hAnsi="宋体" w:cs="宋体" w:eastAsia="宋体" w:hint="default"/>
                            <w:sz w:val="18"/>
                            <w:szCs w:val="18"/>
                          </w:rPr>
                          <w:t>（河南南召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地</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面光伏电站项目和无棣农业设施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光伏发电项目）和之前已结项募投项目的节余募集资金合计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13289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元及募集资金专户后期利息收入永久补充流动资金。截至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日，公司已将上述项目结余资金全</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部用于永久补充流动资金，金额总计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133,182,611.02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、公司于</w:t>
                        </w:r>
                        <w:r>
                          <w:rPr>
                            <w:rFonts w:ascii="宋体" w:hAnsi="宋体" w:cs="宋体" w:eastAsia="宋体" w:hint="default"/>
                            <w:spacing w:val="-4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日召开的第三届董事会第二十四次临时会议和第三届监事会第十二次临</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时会议审议通过了《关于部分募投项目结项并使用节余募集资金及利息永久补充流动资金的议案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，同意将部</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年度非公开发行股票募集资金投资项目结项，并将结项后的节余募集资金（含截止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日利息收入）及后续变更前产生的利息永久补充公司流动资金。募投项目泌阳县中康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分布式光伏发电</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月已并网验收合格并签署了购售电协议等文件，开始发电，节余募集资金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2,861.12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万元，应</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付未付质保金约为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700.70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万元；募投项目安徽省明光爱康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月已并网验收合</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格并签署了购售电协议等文件，开始发电，募集资金账户余额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万元；募投项目内蒙古四子王旗江岸苏木</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100MWp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光伏并网发电项目的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已并网验收合格并签署了购售电协议等文件，开始发电，在内蒙古四子</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王旗江岸苏木项目投建后，由于升压站无法扩容，后续投建电站产生的电力将无法输出，公司经综合考虑，为</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确保募集资金的收益</w:t>
                        </w:r>
                        <w:r>
                          <w:rPr>
                            <w:rFonts w:ascii="宋体" w:hAnsi="宋体" w:cs="宋体" w:eastAsia="宋体" w:hint="default"/>
                            <w:spacing w:val="-72"/>
                            <w:sz w:val="18"/>
                            <w:szCs w:val="18"/>
                          </w:rPr>
                          <w:t>，</w:t>
                        </w:r>
                        <w:r>
                          <w:rPr>
                            <w:rFonts w:ascii="宋体" w:hAnsi="宋体" w:cs="宋体" w:eastAsia="宋体" w:hint="default"/>
                            <w:sz w:val="18"/>
                            <w:szCs w:val="18"/>
                          </w:rPr>
                          <w:t>拟终止投建本项目的剩余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80MW</w:t>
                        </w:r>
                        <w:r>
                          <w:rPr>
                            <w:rFonts w:ascii="宋体" w:hAnsi="宋体" w:cs="宋体" w:eastAsia="宋体" w:hint="default"/>
                            <w:spacing w:val="-72"/>
                            <w:sz w:val="18"/>
                            <w:szCs w:val="18"/>
                          </w:rPr>
                          <w:t>，</w:t>
                        </w:r>
                        <w:r>
                          <w:rPr>
                            <w:rFonts w:ascii="宋体" w:hAnsi="宋体" w:cs="宋体" w:eastAsia="宋体" w:hint="default"/>
                            <w:spacing w:val="1"/>
                            <w:sz w:val="18"/>
                            <w:szCs w:val="18"/>
                          </w:rPr>
                          <w:t>待</w:t>
                        </w:r>
                        <w:r>
                          <w:rPr>
                            <w:rFonts w:ascii="宋体" w:hAnsi="宋体" w:cs="宋体" w:eastAsia="宋体" w:hint="default"/>
                            <w:sz w:val="18"/>
                            <w:szCs w:val="18"/>
                          </w:rPr>
                          <w:t>该项目闲置募集资金临时补流的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万元归还后</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节余募集资金合计约</w:t>
                        </w:r>
                        <w:r>
                          <w:rPr>
                            <w:rFonts w:ascii="宋体" w:hAnsi="宋体" w:cs="宋体" w:eastAsia="宋体" w:hint="default"/>
                            <w:spacing w:val="-37"/>
                            <w:sz w:val="18"/>
                            <w:szCs w:val="18"/>
                          </w:rPr>
                          <w:t> </w:t>
                        </w:r>
                        <w:r>
                          <w:rPr>
                            <w:rFonts w:ascii="Times New Roman" w:hAnsi="Times New Roman" w:cs="Times New Roman" w:eastAsia="Times New Roman" w:hint="default"/>
                            <w:sz w:val="18"/>
                            <w:szCs w:val="18"/>
                          </w:rPr>
                          <w:t>9,036.79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万元。为提高募集资金使用效率，降低公司财务费用，本着股东利益最大化的原</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则，根据《深圳证券交易所股票上市规则</w:t>
                        </w:r>
                        <w:r>
                          <w:rPr>
                            <w:rFonts w:ascii="宋体" w:hAnsi="宋体" w:cs="宋体" w:eastAsia="宋体" w:hint="default"/>
                            <w:spacing w:val="-90"/>
                            <w:sz w:val="18"/>
                            <w:szCs w:val="18"/>
                          </w:rPr>
                          <w:t>》、</w:t>
                        </w:r>
                        <w:r>
                          <w:rPr>
                            <w:rFonts w:ascii="宋体" w:hAnsi="宋体" w:cs="宋体" w:eastAsia="宋体" w:hint="default"/>
                            <w:sz w:val="18"/>
                            <w:szCs w:val="18"/>
                          </w:rPr>
                          <w:t>《深圳证券交易所中小企业板上市公司规范运作指引（</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年修</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订</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《募集资金管理制度</w:t>
                        </w:r>
                        <w:r>
                          <w:rPr>
                            <w:rFonts w:ascii="宋体" w:hAnsi="宋体" w:cs="宋体" w:eastAsia="宋体" w:hint="default"/>
                            <w:spacing w:val="-21"/>
                            <w:sz w:val="18"/>
                            <w:szCs w:val="18"/>
                          </w:rPr>
                          <w:t>》</w:t>
                        </w:r>
                        <w:r>
                          <w:rPr>
                            <w:rFonts w:ascii="宋体" w:hAnsi="宋体" w:cs="宋体" w:eastAsia="宋体" w:hint="default"/>
                            <w:sz w:val="18"/>
                            <w:szCs w:val="18"/>
                          </w:rPr>
                          <w:t>等相关规定</w:t>
                        </w:r>
                        <w:r>
                          <w:rPr>
                            <w:rFonts w:ascii="宋体" w:hAnsi="宋体" w:cs="宋体" w:eastAsia="宋体" w:hint="default"/>
                            <w:spacing w:val="-21"/>
                            <w:sz w:val="18"/>
                            <w:szCs w:val="18"/>
                          </w:rPr>
                          <w:t>，</w:t>
                        </w:r>
                        <w:r>
                          <w:rPr>
                            <w:rFonts w:ascii="宋体" w:hAnsi="宋体" w:cs="宋体" w:eastAsia="宋体" w:hint="default"/>
                            <w:sz w:val="18"/>
                            <w:szCs w:val="18"/>
                          </w:rPr>
                          <w:t>待闲置募集资金全部归还后</w:t>
                        </w:r>
                        <w:r>
                          <w:rPr>
                            <w:rFonts w:ascii="宋体" w:hAnsi="宋体" w:cs="宋体" w:eastAsia="宋体" w:hint="default"/>
                            <w:spacing w:val="-21"/>
                            <w:sz w:val="18"/>
                            <w:szCs w:val="18"/>
                          </w:rPr>
                          <w:t>，</w:t>
                        </w:r>
                        <w:r>
                          <w:rPr>
                            <w:rFonts w:ascii="宋体" w:hAnsi="宋体" w:cs="宋体" w:eastAsia="宋体" w:hint="default"/>
                            <w:sz w:val="18"/>
                            <w:szCs w:val="18"/>
                          </w:rPr>
                          <w:t>公司拟将上述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w:t>
                        </w:r>
                        <w:r>
                          <w:rPr>
                            <w:rFonts w:ascii="宋体" w:hAnsi="宋体" w:cs="宋体" w:eastAsia="宋体" w:hint="default"/>
                            <w:spacing w:val="1"/>
                            <w:sz w:val="18"/>
                            <w:szCs w:val="18"/>
                          </w:rPr>
                          <w:t>公</w:t>
                        </w:r>
                        <w:r>
                          <w:rPr>
                            <w:rFonts w:ascii="宋体" w:hAnsi="宋体" w:cs="宋体" w:eastAsia="宋体" w:hint="default"/>
                            <w:sz w:val="18"/>
                            <w:szCs w:val="18"/>
                          </w:rPr>
                          <w:t>开募投项目</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结项后的节余募集资金合计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11,898.25</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万元（含截止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日利息收入）及募集资金专户后期利息收</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入（具体金额以资金转出当日银行结算余额为准）永久补充流动资金，并注销存放募集资金投资项目的募集资</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金专项账户。项目公司剩余质保金等应付账款（如有）将以自有资金继续支付（公告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2017-150</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日，公司已将内蒙古四子王旗江岸苏木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100MWp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光伏并网发电项目结余资金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9,036.76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万元永久补</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充流动资金。</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pacing w:val="-83"/>
                            <w:sz w:val="18"/>
                            <w:szCs w:val="18"/>
                          </w:rPr>
                          <w:t>、</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召开的第三届董事会第二十六次临时会议和第三届监事会第十四次临时会议审议</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通过</w:t>
                        </w:r>
                        <w:r>
                          <w:rPr>
                            <w:rFonts w:ascii="宋体" w:hAnsi="宋体" w:cs="宋体" w:eastAsia="宋体" w:hint="default"/>
                            <w:spacing w:val="-42"/>
                            <w:sz w:val="18"/>
                            <w:szCs w:val="18"/>
                          </w:rPr>
                          <w:t>了</w:t>
                        </w:r>
                        <w:r>
                          <w:rPr>
                            <w:rFonts w:ascii="宋体" w:hAnsi="宋体" w:cs="宋体" w:eastAsia="宋体" w:hint="default"/>
                            <w:sz w:val="18"/>
                            <w:szCs w:val="18"/>
                          </w:rPr>
                          <w:t>《关于剩余募投项目</w:t>
                        </w:r>
                        <w:r>
                          <w:rPr>
                            <w:rFonts w:ascii="宋体" w:hAnsi="宋体" w:cs="宋体" w:eastAsia="宋体" w:hint="default"/>
                            <w:spacing w:val="-1"/>
                            <w:sz w:val="18"/>
                            <w:szCs w:val="18"/>
                          </w:rPr>
                          <w:t>结</w:t>
                        </w:r>
                        <w:r>
                          <w:rPr>
                            <w:rFonts w:ascii="宋体" w:hAnsi="宋体" w:cs="宋体" w:eastAsia="宋体" w:hint="default"/>
                            <w:sz w:val="18"/>
                            <w:szCs w:val="18"/>
                          </w:rPr>
                          <w:t>项并使用节余募集资金及利息永久补充流动资金的议案</w:t>
                        </w:r>
                        <w:r>
                          <w:rPr>
                            <w:rFonts w:ascii="宋体" w:hAnsi="宋体" w:cs="宋体" w:eastAsia="宋体" w:hint="default"/>
                            <w:spacing w:val="-90"/>
                            <w:sz w:val="18"/>
                            <w:szCs w:val="18"/>
                          </w:rPr>
                          <w:t>》</w:t>
                        </w:r>
                        <w:r>
                          <w:rPr>
                            <w:rFonts w:ascii="宋体" w:hAnsi="宋体" w:cs="宋体" w:eastAsia="宋体" w:hint="default"/>
                            <w:spacing w:val="-42"/>
                            <w:sz w:val="18"/>
                            <w:szCs w:val="18"/>
                          </w:rPr>
                          <w:t>，</w:t>
                        </w:r>
                        <w:r>
                          <w:rPr>
                            <w:rFonts w:ascii="宋体" w:hAnsi="宋体" w:cs="宋体" w:eastAsia="宋体" w:hint="default"/>
                            <w:sz w:val="18"/>
                            <w:szCs w:val="18"/>
                          </w:rPr>
                          <w:t>同意将剩余</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非公开发行股票募集资金投资项目结项，并将结项后的节余募集资金（含截止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日利息收入）</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及后续变更前产生的利息永久补充公司流动资金。募投项目禄劝县工业园区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50MW </w:t>
                        </w:r>
                        <w:r>
                          <w:rPr>
                            <w:rFonts w:ascii="宋体" w:hAnsi="宋体" w:cs="宋体" w:eastAsia="宋体" w:hint="default"/>
                            <w:sz w:val="18"/>
                            <w:szCs w:val="18"/>
                          </w:rPr>
                          <w:t>农光互补光伏电站建设项</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目中的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 </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月</w:t>
                        </w:r>
                        <w:r>
                          <w:rPr>
                            <w:rFonts w:ascii="宋体" w:hAnsi="宋体" w:cs="宋体" w:eastAsia="宋体" w:hint="default"/>
                            <w:sz w:val="18"/>
                            <w:szCs w:val="18"/>
                          </w:rPr>
                          <w:t>已并网验收合格并签署了购售电协议等文件</w:t>
                        </w:r>
                        <w:r>
                          <w:rPr>
                            <w:rFonts w:ascii="宋体" w:hAnsi="宋体" w:cs="宋体" w:eastAsia="宋体" w:hint="default"/>
                            <w:spacing w:val="-72"/>
                            <w:sz w:val="18"/>
                            <w:szCs w:val="18"/>
                          </w:rPr>
                          <w:t>，</w:t>
                        </w:r>
                        <w:r>
                          <w:rPr>
                            <w:rFonts w:ascii="宋体" w:hAnsi="宋体" w:cs="宋体" w:eastAsia="宋体" w:hint="default"/>
                            <w:sz w:val="18"/>
                            <w:szCs w:val="18"/>
                          </w:rPr>
                          <w:t>开始发电</w:t>
                        </w:r>
                        <w:r>
                          <w:rPr>
                            <w:rFonts w:ascii="宋体" w:hAnsi="宋体" w:cs="宋体" w:eastAsia="宋体" w:hint="default"/>
                            <w:spacing w:val="-71"/>
                            <w:sz w:val="18"/>
                            <w:szCs w:val="18"/>
                          </w:rPr>
                          <w:t>，</w:t>
                        </w:r>
                        <w:r>
                          <w:rPr>
                            <w:rFonts w:ascii="宋体" w:hAnsi="宋体" w:cs="宋体" w:eastAsia="宋体" w:hint="default"/>
                            <w:sz w:val="18"/>
                            <w:szCs w:val="18"/>
                          </w:rPr>
                          <w:t>公司在项目建设过程中</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项目现场发生泥石流等异常情况，电站全部建成后运维可能存在安全隐患，公司经综合考虑，为确保募集资金</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的收益和安全，决定压缩建设规模，不再进行后续项目的建设，待该项目闲置募集资金临时补流的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元归还后，节余募集资金合计约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19, 441.84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万元；昱辉榆林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太阳能光伏发电项目，因涉及当地政府对</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2"/>
                            <w:sz w:val="18"/>
                            <w:szCs w:val="18"/>
                          </w:rPr>
                          <w:t>用地规划的调整，相关手续办理缓慢，经审慎考虑，为提高募集资金使用效率，公司拟终止投资，待该项目闲</w:t>
                        </w:r>
                      </w:p>
                    </w:tc>
                  </w:tr>
                  <w:tr>
                    <w:trPr>
                      <w:trHeight w:val="31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置募集资金临时补流的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万元归还后，节余募集资金合计约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15,603.79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万元；河南省伊川佳康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光</w:t>
                        </w:r>
                      </w:p>
                    </w:tc>
                  </w:tr>
                  <w:tr>
                    <w:trPr>
                      <w:trHeight w:val="312"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伏电站项目目前已实施完成，符合项目结项条件，该项目结余募集资金</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1.41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万元。为提高募集资金使用效率</w:t>
                        </w:r>
                      </w:p>
                    </w:tc>
                  </w:tr>
                  <w:tr>
                    <w:trPr>
                      <w:trHeight w:val="307" w:hRule="exact"/>
                    </w:trPr>
                    <w:tc>
                      <w:tcPr>
                        <w:tcW w:w="1053" w:type="dxa"/>
                        <w:vMerge/>
                        <w:tcBorders>
                          <w:left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降低公司财务费用</w:t>
                        </w:r>
                        <w:r>
                          <w:rPr>
                            <w:rFonts w:ascii="宋体" w:hAnsi="宋体" w:cs="宋体" w:eastAsia="宋体" w:hint="default"/>
                            <w:spacing w:val="-21"/>
                            <w:sz w:val="18"/>
                            <w:szCs w:val="18"/>
                          </w:rPr>
                          <w:t>，</w:t>
                        </w:r>
                        <w:r>
                          <w:rPr>
                            <w:rFonts w:ascii="宋体" w:hAnsi="宋体" w:cs="宋体" w:eastAsia="宋体" w:hint="default"/>
                            <w:sz w:val="18"/>
                            <w:szCs w:val="18"/>
                          </w:rPr>
                          <w:t>本着股东利益最大化的原则</w:t>
                        </w:r>
                        <w:r>
                          <w:rPr>
                            <w:rFonts w:ascii="宋体" w:hAnsi="宋体" w:cs="宋体" w:eastAsia="宋体" w:hint="default"/>
                            <w:spacing w:val="-21"/>
                            <w:sz w:val="18"/>
                            <w:szCs w:val="18"/>
                          </w:rPr>
                          <w:t>，</w:t>
                        </w:r>
                        <w:r>
                          <w:rPr>
                            <w:rFonts w:ascii="宋体" w:hAnsi="宋体" w:cs="宋体" w:eastAsia="宋体" w:hint="default"/>
                            <w:sz w:val="18"/>
                            <w:szCs w:val="18"/>
                          </w:rPr>
                          <w:t>根</w:t>
                        </w:r>
                        <w:r>
                          <w:rPr>
                            <w:rFonts w:ascii="宋体" w:hAnsi="宋体" w:cs="宋体" w:eastAsia="宋体" w:hint="default"/>
                            <w:spacing w:val="-21"/>
                            <w:sz w:val="18"/>
                            <w:szCs w:val="18"/>
                          </w:rPr>
                          <w:t>据</w:t>
                        </w:r>
                        <w:r>
                          <w:rPr>
                            <w:rFonts w:ascii="宋体" w:hAnsi="宋体" w:cs="宋体" w:eastAsia="宋体" w:hint="default"/>
                            <w:spacing w:val="-2"/>
                            <w:sz w:val="18"/>
                            <w:szCs w:val="18"/>
                          </w:rPr>
                          <w:t>《</w:t>
                        </w:r>
                        <w:r>
                          <w:rPr>
                            <w:rFonts w:ascii="宋体" w:hAnsi="宋体" w:cs="宋体" w:eastAsia="宋体" w:hint="default"/>
                            <w:sz w:val="18"/>
                            <w:szCs w:val="18"/>
                          </w:rPr>
                          <w:t>深圳证券交易所股票上市规则</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《深圳证券交易所中</w:t>
                        </w:r>
                      </w:p>
                    </w:tc>
                  </w:tr>
                  <w:tr>
                    <w:trPr>
                      <w:trHeight w:val="318" w:hRule="exact"/>
                    </w:trPr>
                    <w:tc>
                      <w:tcPr>
                        <w:tcW w:w="1053" w:type="dxa"/>
                        <w:vMerge/>
                        <w:tcBorders>
                          <w:left w:val="single" w:sz="4" w:space="0" w:color="000000"/>
                          <w:bottom w:val="single" w:sz="4" w:space="0" w:color="000000"/>
                          <w:right w:val="single" w:sz="4" w:space="0" w:color="000000"/>
                        </w:tcBorders>
                        <w:shd w:val="clear" w:color="auto" w:fill="D2D2D2"/>
                      </w:tcPr>
                      <w:p>
                        <w:pPr/>
                      </w:p>
                    </w:tc>
                    <w:tc>
                      <w:tcPr>
                        <w:tcW w:w="86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小企业板上市公司规范运作指</w:t>
                        </w:r>
                        <w:r>
                          <w:rPr>
                            <w:rFonts w:ascii="宋体" w:hAnsi="宋体" w:cs="宋体" w:eastAsia="宋体" w:hint="default"/>
                            <w:spacing w:val="-21"/>
                            <w:sz w:val="18"/>
                            <w:szCs w:val="18"/>
                          </w:rPr>
                          <w:t>引</w:t>
                        </w:r>
                        <w:r>
                          <w:rPr>
                            <w:rFonts w:ascii="宋体" w:hAnsi="宋体" w:cs="宋体" w:eastAsia="宋体" w:hint="default"/>
                            <w:sz w:val="18"/>
                            <w:szCs w:val="18"/>
                          </w:rPr>
                          <w:t>（</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年修订</w:t>
                        </w:r>
                        <w:r>
                          <w:rPr>
                            <w:rFonts w:ascii="宋体" w:hAnsi="宋体" w:cs="宋体" w:eastAsia="宋体" w:hint="default"/>
                            <w:spacing w:val="-90"/>
                            <w:sz w:val="18"/>
                            <w:szCs w:val="18"/>
                          </w:rPr>
                          <w:t>）》</w:t>
                        </w:r>
                        <w:r>
                          <w:rPr>
                            <w:rFonts w:ascii="宋体" w:hAnsi="宋体" w:cs="宋体" w:eastAsia="宋体" w:hint="default"/>
                            <w:spacing w:val="-111"/>
                            <w:sz w:val="18"/>
                            <w:szCs w:val="18"/>
                          </w:rPr>
                          <w:t>、</w:t>
                        </w:r>
                        <w:r>
                          <w:rPr>
                            <w:rFonts w:ascii="宋体" w:hAnsi="宋体" w:cs="宋体" w:eastAsia="宋体" w:hint="default"/>
                            <w:sz w:val="18"/>
                            <w:szCs w:val="18"/>
                          </w:rPr>
                          <w:t>《募集资金管理制度</w:t>
                        </w:r>
                        <w:r>
                          <w:rPr>
                            <w:rFonts w:ascii="宋体" w:hAnsi="宋体" w:cs="宋体" w:eastAsia="宋体" w:hint="default"/>
                            <w:spacing w:val="-21"/>
                            <w:sz w:val="18"/>
                            <w:szCs w:val="18"/>
                          </w:rPr>
                          <w:t>》</w:t>
                        </w:r>
                        <w:r>
                          <w:rPr>
                            <w:rFonts w:ascii="宋体" w:hAnsi="宋体" w:cs="宋体" w:eastAsia="宋体" w:hint="default"/>
                            <w:sz w:val="18"/>
                            <w:szCs w:val="18"/>
                          </w:rPr>
                          <w:t>等相关规定</w:t>
                        </w:r>
                        <w:r>
                          <w:rPr>
                            <w:rFonts w:ascii="宋体" w:hAnsi="宋体" w:cs="宋体" w:eastAsia="宋体" w:hint="default"/>
                            <w:spacing w:val="-22"/>
                            <w:sz w:val="18"/>
                            <w:szCs w:val="18"/>
                          </w:rPr>
                          <w:t>，</w:t>
                        </w:r>
                        <w:r>
                          <w:rPr>
                            <w:rFonts w:ascii="宋体" w:hAnsi="宋体" w:cs="宋体" w:eastAsia="宋体" w:hint="default"/>
                            <w:sz w:val="18"/>
                            <w:szCs w:val="18"/>
                          </w:rPr>
                          <w:t>待闲置募集资金全部归</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right="1042"/>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240" w:lineRule="auto" w:before="44"/>
        <w:ind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240" w:lineRule="auto" w:before="44"/>
        <w:ind w:right="1042"/>
        <w:jc w:val="right"/>
      </w:pPr>
      <w:r>
        <w:rPr/>
        <w:t>，</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3"/>
        <w:gridCol w:w="8614"/>
      </w:tblGrid>
      <w:tr>
        <w:trPr>
          <w:trHeight w:val="1298"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还后，公司拟将上述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年非公开募投项目结项后的节余募集资金合计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35,047.04 </w:t>
            </w:r>
            <w:r>
              <w:rPr>
                <w:rFonts w:ascii="宋体" w:hAnsi="宋体" w:cs="宋体" w:eastAsia="宋体" w:hint="default"/>
                <w:sz w:val="18"/>
                <w:szCs w:val="18"/>
              </w:rPr>
              <w:t>万元（含截止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09" w:lineRule="auto" w:before="63"/>
              <w:ind w:left="23" w:right="2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日利息收入）及募集资金专户后期利息收入（具体金额以资金转出当日银行结算余额为准）永久补充流 </w:t>
            </w:r>
            <w:r>
              <w:rPr>
                <w:rFonts w:ascii="宋体" w:hAnsi="宋体" w:cs="宋体" w:eastAsia="宋体" w:hint="default"/>
                <w:spacing w:val="-2"/>
                <w:sz w:val="18"/>
                <w:szCs w:val="18"/>
              </w:rPr>
              <w:t>动资金，并注销存放募集资金投资项目的募集资金专项账户。项目公司剩余质保金等应付账款（如有）将以自</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有资金继续支付（公告</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2017-167</w:t>
            </w:r>
            <w:r>
              <w:rPr>
                <w:rFonts w:ascii="宋体" w:hAnsi="宋体" w:cs="宋体" w:eastAsia="宋体" w:hint="default"/>
                <w:spacing w:val="-8"/>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日，公司尚未将上述结余资金补充流动资金。</w:t>
            </w:r>
          </w:p>
        </w:tc>
      </w:tr>
      <w:tr>
        <w:trPr>
          <w:trHeight w:val="1026"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23" w:right="3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日，公司尚未使用的募集资金全部存放于公司募集资金专用账户内或根据上述决议用于 暂时补充流动资金</w:t>
            </w:r>
          </w:p>
        </w:tc>
      </w:tr>
      <w:tr>
        <w:trPr>
          <w:trHeight w:val="1338" w:hRule="exact"/>
        </w:trPr>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8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未有异常</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right="1137"/>
        <w:jc w:val="right"/>
      </w:pPr>
      <w:r>
        <w:rPr/>
        <w:pict>
          <v:shape style="position:absolute;margin-left:56.459999pt;margin-top:-252.808289pt;width:479.3pt;height:422.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明光</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9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宋体" w:hAnsi="宋体" w:cs="宋体" w:eastAsia="宋体" w:hint="default"/>
                            <w:sz w:val="18"/>
                            <w:szCs w:val="18"/>
                          </w:rPr>
                          <w:t>凤庆爱康</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50MW</w:t>
                        </w:r>
                        <w:r>
                          <w:rPr>
                            <w:rFonts w:ascii="宋体" w:hAnsi="宋体" w:cs="宋体" w:eastAsia="宋体" w:hint="default"/>
                            <w:sz w:val="18"/>
                            <w:szCs w:val="18"/>
                          </w:rPr>
                          <w:t>、</w:t>
                        </w:r>
                      </w:p>
                      <w:p>
                        <w:pPr>
                          <w:pStyle w:val="TableParagraph"/>
                          <w:spacing w:line="240" w:lineRule="auto" w:before="102"/>
                          <w:ind w:left="22" w:right="0"/>
                          <w:jc w:val="left"/>
                          <w:rPr>
                            <w:rFonts w:ascii="宋体" w:hAnsi="宋体" w:cs="宋体" w:eastAsia="宋体" w:hint="default"/>
                            <w:sz w:val="18"/>
                            <w:szCs w:val="18"/>
                          </w:rPr>
                        </w:pPr>
                        <w:r>
                          <w:rPr>
                            <w:rFonts w:ascii="宋体" w:hAnsi="宋体" w:cs="宋体" w:eastAsia="宋体" w:hint="default"/>
                            <w:sz w:val="18"/>
                            <w:szCs w:val="18"/>
                          </w:rPr>
                          <w:t>嘉祥昱辉</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电站</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4,000.53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于</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月并网</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496.31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伊川</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50MW</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电站</w:t>
                        </w:r>
                      </w:p>
                    </w:tc>
                    <w:tc>
                      <w:tcPr>
                        <w:tcW w:w="958"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13,400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13,401.9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于</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月并网</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3,685.43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17,402.43</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210"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日召开的第三届董事会第三次临时会议审议通过了《关于部分募投项</w:t>
                        </w:r>
                        <w:r>
                          <w:rPr>
                            <w:rFonts w:ascii="宋体" w:hAnsi="宋体" w:cs="宋体" w:eastAsia="宋体" w:hint="default"/>
                            <w:sz w:val="18"/>
                            <w:szCs w:val="18"/>
                          </w:rPr>
                          <w:t> 目结项并将节余募集资金用于其他募投项目的议案》</w:t>
                        </w:r>
                        <w:r>
                          <w:rPr>
                            <w:rFonts w:ascii="Times New Roman" w:hAnsi="Times New Roman" w:cs="Times New Roman" w:eastAsia="Times New Roman" w:hint="default"/>
                            <w:sz w:val="18"/>
                            <w:szCs w:val="18"/>
                          </w:rPr>
                          <w:t>,</w:t>
                        </w:r>
                        <w:r>
                          <w:rPr>
                            <w:rFonts w:ascii="宋体" w:hAnsi="宋体" w:cs="宋体" w:eastAsia="宋体" w:hint="default"/>
                            <w:sz w:val="18"/>
                            <w:szCs w:val="18"/>
                          </w:rPr>
                          <w:t>同意将公司在云南凤庆县大兴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项目及山东嘉祥昱辉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光伏发电项目节余募集资金投资安徽省明光爱康</w:t>
                        </w:r>
                      </w:p>
                      <w:p>
                        <w:pPr>
                          <w:pStyle w:val="TableParagraph"/>
                          <w:spacing w:line="304" w:lineRule="auto" w:before="13"/>
                          <w:ind w:left="23" w:right="17"/>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20MW </w:t>
                        </w:r>
                        <w:r>
                          <w:rPr>
                            <w:rFonts w:ascii="宋体" w:hAnsi="宋体" w:cs="宋体" w:eastAsia="宋体" w:hint="default"/>
                            <w:spacing w:val="-6"/>
                            <w:w w:val="99"/>
                            <w:sz w:val="18"/>
                            <w:szCs w:val="18"/>
                          </w:rPr>
                          <w:t>光伏电站项目、河南省伊川佳康</w:t>
                        </w:r>
                        <w:r>
                          <w:rPr>
                            <w:rFonts w:ascii="宋体" w:hAnsi="宋体" w:cs="宋体" w:eastAsia="宋体" w:hint="default"/>
                            <w:w w:val="99"/>
                            <w:sz w:val="18"/>
                            <w:szCs w:val="18"/>
                          </w:rPr>
                          <w:t> </w:t>
                        </w:r>
                        <w:r>
                          <w:rPr>
                            <w:rFonts w:ascii="Times New Roman" w:hAnsi="Times New Roman" w:cs="Times New Roman" w:eastAsia="Times New Roman" w:hint="default"/>
                            <w:w w:val="99"/>
                            <w:sz w:val="18"/>
                            <w:szCs w:val="18"/>
                          </w:rPr>
                          <w:t>50MW </w:t>
                        </w:r>
                        <w:r>
                          <w:rPr>
                            <w:rFonts w:ascii="宋体" w:hAnsi="宋体" w:cs="宋体" w:eastAsia="宋体" w:hint="default"/>
                            <w:spacing w:val="-6"/>
                            <w:w w:val="99"/>
                            <w:sz w:val="18"/>
                            <w:szCs w:val="18"/>
                          </w:rPr>
                          <w:t>光伏电站项目。云南凤庆县大兴</w:t>
                        </w:r>
                        <w:r>
                          <w:rPr>
                            <w:rFonts w:ascii="宋体" w:hAnsi="宋体" w:cs="宋体" w:eastAsia="宋体" w:hint="default"/>
                            <w:spacing w:val="-32"/>
                            <w:w w:val="99"/>
                            <w:sz w:val="18"/>
                            <w:szCs w:val="18"/>
                          </w:rPr>
                          <w:t> </w:t>
                        </w:r>
                        <w:r>
                          <w:rPr>
                            <w:rFonts w:ascii="Times New Roman" w:hAnsi="Times New Roman" w:cs="Times New Roman" w:eastAsia="Times New Roman" w:hint="default"/>
                            <w:w w:val="99"/>
                            <w:sz w:val="18"/>
                            <w:szCs w:val="18"/>
                          </w:rPr>
                          <w:t>50MW </w:t>
                        </w:r>
                        <w:r>
                          <w:rPr>
                            <w:rFonts w:ascii="宋体" w:hAnsi="宋体" w:cs="宋体" w:eastAsia="宋体" w:hint="default"/>
                            <w:w w:val="99"/>
                            <w:sz w:val="18"/>
                            <w:szCs w:val="18"/>
                          </w:rPr>
                          <w:t>项目及山东嘉祥昱辉 </w:t>
                        </w:r>
                        <w:r>
                          <w:rPr>
                            <w:rFonts w:ascii="Times New Roman" w:hAnsi="Times New Roman" w:cs="Times New Roman" w:eastAsia="Times New Roman" w:hint="default"/>
                            <w:w w:val="99"/>
                            <w:sz w:val="18"/>
                            <w:szCs w:val="18"/>
                          </w:rPr>
                          <w:t>20MW </w:t>
                        </w:r>
                        <w:r>
                          <w:rPr>
                            <w:rFonts w:ascii="宋体" w:hAnsi="宋体" w:cs="宋体" w:eastAsia="宋体" w:hint="default"/>
                            <w:spacing w:val="-4"/>
                            <w:w w:val="99"/>
                            <w:sz w:val="18"/>
                            <w:szCs w:val="18"/>
                          </w:rPr>
                          <w:t>光伏发电项目已建成并网发电。上述项目在施工过程中</w:t>
                        </w:r>
                        <w:r>
                          <w:rPr>
                            <w:rFonts w:ascii="宋体" w:hAnsi="宋体" w:cs="宋体" w:eastAsia="宋体" w:hint="default"/>
                            <w:spacing w:val="-73"/>
                            <w:w w:val="99"/>
                            <w:sz w:val="18"/>
                            <w:szCs w:val="18"/>
                          </w:rPr>
                          <w:t> </w:t>
                        </w:r>
                        <w:r>
                          <w:rPr>
                            <w:rFonts w:ascii="宋体" w:hAnsi="宋体" w:cs="宋体" w:eastAsia="宋体" w:hint="default"/>
                            <w:spacing w:val="-73"/>
                            <w:w w:val="99"/>
                            <w:sz w:val="18"/>
                            <w:szCs w:val="18"/>
                          </w:rPr>
                        </w:r>
                        <w:r>
                          <w:rPr>
                            <w:rFonts w:ascii="宋体" w:hAnsi="宋体" w:cs="宋体" w:eastAsia="宋体" w:hint="default"/>
                            <w:spacing w:val="-1"/>
                            <w:sz w:val="18"/>
                            <w:szCs w:val="18"/>
                          </w:rPr>
                          <w:t>项目的部分土地地质情况不适合用于安装光伏组件等电站设备，因此减少项目的投资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规模，节余募集资金共计 </w:t>
                        </w:r>
                        <w:r>
                          <w:rPr>
                            <w:rFonts w:ascii="Times New Roman" w:hAnsi="Times New Roman" w:cs="Times New Roman" w:eastAsia="Times New Roman" w:hint="default"/>
                            <w:sz w:val="18"/>
                            <w:szCs w:val="18"/>
                          </w:rPr>
                          <w:t>17,400</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万元。为提高募集资金投资回报率，公司将节余资</w:t>
                        </w:r>
                        <w:r>
                          <w:rPr>
                            <w:rFonts w:ascii="宋体" w:hAnsi="宋体" w:cs="宋体" w:eastAsia="宋体" w:hint="default"/>
                            <w:w w:val="99"/>
                            <w:sz w:val="18"/>
                            <w:szCs w:val="18"/>
                          </w:rPr>
                          <w:t> </w:t>
                        </w:r>
                        <w:r>
                          <w:rPr>
                            <w:rFonts w:ascii="宋体" w:hAnsi="宋体" w:cs="宋体" w:eastAsia="宋体" w:hint="default"/>
                            <w:sz w:val="18"/>
                            <w:szCs w:val="18"/>
                          </w:rPr>
                          <w:t>金投资安徽省明光爱康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光伏电站项目，项目投资总额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万元，使用募集</w:t>
                        </w:r>
                        <w:r>
                          <w:rPr>
                            <w:rFonts w:ascii="宋体" w:hAnsi="宋体" w:cs="宋体" w:eastAsia="宋体" w:hint="default"/>
                            <w:w w:val="99"/>
                            <w:sz w:val="18"/>
                            <w:szCs w:val="18"/>
                          </w:rPr>
                          <w:t> </w:t>
                        </w:r>
                        <w:r>
                          <w:rPr>
                            <w:rFonts w:ascii="宋体" w:hAnsi="宋体" w:cs="宋体" w:eastAsia="宋体" w:hint="default"/>
                            <w:sz w:val="18"/>
                            <w:szCs w:val="18"/>
                          </w:rPr>
                          <w:t>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 </w:t>
                        </w:r>
                        <w:r>
                          <w:rPr>
                            <w:rFonts w:ascii="宋体" w:hAnsi="宋体" w:cs="宋体" w:eastAsia="宋体" w:hint="default"/>
                            <w:sz w:val="18"/>
                            <w:szCs w:val="18"/>
                          </w:rPr>
                          <w:t>万元；河南省伊川佳康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光伏电站项目，项目总投资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42,500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宋体" w:hAnsi="宋体" w:cs="宋体" w:eastAsia="宋体" w:hint="default"/>
                            <w:w w:val="99"/>
                            <w:sz w:val="18"/>
                            <w:szCs w:val="18"/>
                          </w:rPr>
                          <w:t> </w:t>
                        </w:r>
                        <w:r>
                          <w:rPr>
                            <w:rFonts w:ascii="宋体" w:hAnsi="宋体" w:cs="宋体" w:eastAsia="宋体" w:hint="default"/>
                            <w:sz w:val="18"/>
                            <w:szCs w:val="18"/>
                          </w:rPr>
                          <w:t>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明光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20MW</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电站、伊川</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50MW</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电站，主要系电站在</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年才完成并网，消缺周期较 长，发电量未达预期所致。</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变更后的项目可行性无重大变化</w:t>
                        </w:r>
                      </w:p>
                    </w:tc>
                  </w:tr>
                </w:tbl>
                <w:p>
                  <w:pPr/>
                </w:p>
              </w:txbxContent>
            </v:textbox>
            <w10:wrap type="none"/>
          </v:shape>
        </w:pict>
      </w:r>
      <w:r>
        <w:rPr/>
        <w:t>，</w:t>
      </w:r>
    </w:p>
    <w:p>
      <w:pPr>
        <w:spacing w:after="0" w:line="240" w:lineRule="auto"/>
        <w:jc w:val="righ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384"/>
        <w:gridCol w:w="384"/>
        <w:gridCol w:w="518"/>
        <w:gridCol w:w="637"/>
        <w:gridCol w:w="810"/>
        <w:gridCol w:w="580"/>
        <w:gridCol w:w="956"/>
        <w:gridCol w:w="352"/>
        <w:gridCol w:w="335"/>
        <w:gridCol w:w="712"/>
        <w:gridCol w:w="467"/>
        <w:gridCol w:w="466"/>
        <w:gridCol w:w="927"/>
        <w:gridCol w:w="518"/>
        <w:gridCol w:w="1650"/>
      </w:tblGrid>
      <w:tr>
        <w:trPr>
          <w:trHeight w:val="2585" w:hRule="exact"/>
        </w:trPr>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6" w:right="96"/>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3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5" w:right="96"/>
              <w:jc w:val="both"/>
              <w:rPr>
                <w:rFonts w:ascii="宋体" w:hAnsi="宋体" w:cs="宋体" w:eastAsia="宋体" w:hint="default"/>
                <w:sz w:val="18"/>
                <w:szCs w:val="18"/>
              </w:rPr>
            </w:pPr>
            <w:r>
              <w:rPr>
                <w:rFonts w:ascii="宋体" w:hAnsi="宋体" w:cs="宋体" w:eastAsia="宋体" w:hint="default"/>
                <w:sz w:val="18"/>
                <w:szCs w:val="18"/>
              </w:rPr>
              <w:t>被 出 售 资 产</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4" w:right="72"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3"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9" w:right="38"/>
              <w:jc w:val="center"/>
              <w:rPr>
                <w:rFonts w:ascii="宋体" w:hAnsi="宋体" w:cs="宋体" w:eastAsia="宋体" w:hint="default"/>
                <w:sz w:val="18"/>
                <w:szCs w:val="18"/>
              </w:rPr>
            </w:pPr>
            <w:r>
              <w:rPr>
                <w:rFonts w:ascii="宋体" w:hAnsi="宋体" w:cs="宋体" w:eastAsia="宋体" w:hint="default"/>
                <w:sz w:val="18"/>
                <w:szCs w:val="18"/>
              </w:rPr>
              <w:t>本期初起 至出售日 该资产为 上市公司 贡献的净 利润（万 元）</w:t>
            </w:r>
          </w:p>
        </w:tc>
        <w:tc>
          <w:tcPr>
            <w:tcW w:w="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04" w:right="103"/>
              <w:jc w:val="both"/>
              <w:rPr>
                <w:rFonts w:ascii="宋体" w:hAnsi="宋体" w:cs="宋体" w:eastAsia="宋体" w:hint="default"/>
                <w:sz w:val="18"/>
                <w:szCs w:val="18"/>
              </w:rPr>
            </w:pPr>
            <w:r>
              <w:rPr>
                <w:rFonts w:ascii="宋体" w:hAnsi="宋体" w:cs="宋体" w:eastAsia="宋体" w:hint="default"/>
                <w:sz w:val="18"/>
                <w:szCs w:val="18"/>
              </w:rPr>
              <w:t>出售 对公 司的 影响</w:t>
            </w:r>
          </w:p>
          <w:p>
            <w:pPr>
              <w:pStyle w:val="TableParagraph"/>
              <w:spacing w:line="240" w:lineRule="auto" w:before="19"/>
              <w:ind w:left="104" w:right="0"/>
              <w:jc w:val="both"/>
              <w:rPr>
                <w:rFonts w:ascii="宋体" w:hAnsi="宋体" w:cs="宋体" w:eastAsia="宋体" w:hint="default"/>
                <w:sz w:val="18"/>
                <w:szCs w:val="18"/>
              </w:rPr>
            </w:pPr>
            <w:r>
              <w:rPr>
                <w:rFonts w:ascii="宋体" w:hAnsi="宋体" w:cs="宋体" w:eastAsia="宋体" w:hint="default"/>
                <w:sz w:val="18"/>
                <w:szCs w:val="18"/>
              </w:rPr>
              <w:t>（注</w:t>
            </w:r>
          </w:p>
          <w:p>
            <w:pPr>
              <w:pStyle w:val="TableParagraph"/>
              <w:spacing w:line="240" w:lineRule="auto" w:before="77"/>
              <w:ind w:left="150"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2" w:right="111"/>
              <w:jc w:val="both"/>
              <w:rPr>
                <w:rFonts w:ascii="宋体" w:hAnsi="宋体" w:cs="宋体" w:eastAsia="宋体" w:hint="default"/>
                <w:sz w:val="18"/>
                <w:szCs w:val="18"/>
              </w:rPr>
            </w:pPr>
            <w:r>
              <w:rPr>
                <w:rFonts w:ascii="宋体" w:hAnsi="宋体" w:cs="宋体" w:eastAsia="宋体" w:hint="default"/>
                <w:sz w:val="18"/>
                <w:szCs w:val="18"/>
              </w:rPr>
              <w:t>资产出售 为上市公 司贡献的 净利润占 净利润总 额的比例</w:t>
            </w:r>
          </w:p>
        </w:tc>
        <w:tc>
          <w:tcPr>
            <w:tcW w:w="3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0" w:right="79"/>
              <w:jc w:val="both"/>
              <w:rPr>
                <w:rFonts w:ascii="宋体" w:hAnsi="宋体" w:cs="宋体" w:eastAsia="宋体" w:hint="default"/>
                <w:sz w:val="18"/>
                <w:szCs w:val="18"/>
              </w:rPr>
            </w:pPr>
            <w:r>
              <w:rPr>
                <w:rFonts w:ascii="宋体" w:hAnsi="宋体" w:cs="宋体" w:eastAsia="宋体" w:hint="default"/>
                <w:sz w:val="18"/>
                <w:szCs w:val="18"/>
              </w:rPr>
              <w:t>资 产 出 售 定 价 原 则</w:t>
            </w:r>
          </w:p>
        </w:tc>
        <w:tc>
          <w:tcPr>
            <w:tcW w:w="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71"/>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41" w:hanging="65"/>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6"/>
                <w:sz w:val="18"/>
                <w:szCs w:val="18"/>
              </w:rPr>
              <w:t>系（适用</w:t>
            </w:r>
            <w:r>
              <w:rPr>
                <w:rFonts w:ascii="宋体" w:hAnsi="宋体" w:cs="宋体" w:eastAsia="宋体" w:hint="default"/>
                <w:sz w:val="18"/>
                <w:szCs w:val="18"/>
              </w:rPr>
              <w:t> 关联交 易情形）</w:t>
            </w:r>
          </w:p>
        </w:tc>
        <w:tc>
          <w:tcPr>
            <w:tcW w:w="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both"/>
              <w:rPr>
                <w:rFonts w:ascii="宋体" w:hAnsi="宋体" w:cs="宋体" w:eastAsia="宋体" w:hint="default"/>
                <w:sz w:val="18"/>
                <w:szCs w:val="18"/>
              </w:rPr>
            </w:pPr>
            <w:r>
              <w:rPr>
                <w:rFonts w:ascii="宋体" w:hAnsi="宋体" w:cs="宋体" w:eastAsia="宋体" w:hint="default"/>
                <w:sz w:val="18"/>
                <w:szCs w:val="18"/>
              </w:rPr>
              <w:t>所涉 及的 资产 产权 是否 已全 部过 户</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8" w:right="47"/>
              <w:jc w:val="both"/>
              <w:rPr>
                <w:rFonts w:ascii="宋体" w:hAnsi="宋体" w:cs="宋体" w:eastAsia="宋体" w:hint="default"/>
                <w:sz w:val="18"/>
                <w:szCs w:val="18"/>
              </w:rPr>
            </w:pPr>
            <w:r>
              <w:rPr>
                <w:rFonts w:ascii="宋体" w:hAnsi="宋体" w:cs="宋体" w:eastAsia="宋体" w:hint="default"/>
                <w:sz w:val="18"/>
                <w:szCs w:val="18"/>
              </w:rPr>
              <w:t>所涉 及的 债权 债务 是否 已全 部转 移</w:t>
            </w:r>
          </w:p>
        </w:tc>
        <w:tc>
          <w:tcPr>
            <w:tcW w:w="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 w:hanging="32"/>
              <w:jc w:val="center"/>
              <w:rPr>
                <w:rFonts w:ascii="宋体" w:hAnsi="宋体" w:cs="宋体" w:eastAsia="宋体" w:hint="default"/>
                <w:sz w:val="18"/>
                <w:szCs w:val="18"/>
              </w:rPr>
            </w:pPr>
            <w:r>
              <w:rPr>
                <w:rFonts w:ascii="宋体" w:hAnsi="宋体" w:cs="宋体" w:eastAsia="宋体" w:hint="default"/>
                <w:sz w:val="18"/>
                <w:szCs w:val="18"/>
              </w:rPr>
              <w:t>是否按计 划如期实 </w:t>
            </w:r>
            <w:r>
              <w:rPr>
                <w:rFonts w:ascii="宋体" w:hAnsi="宋体" w:cs="宋体" w:eastAsia="宋体" w:hint="default"/>
                <w:spacing w:val="-7"/>
                <w:sz w:val="18"/>
                <w:szCs w:val="18"/>
              </w:rPr>
              <w:t>施，如未按</w:t>
            </w:r>
            <w:r>
              <w:rPr>
                <w:rFonts w:ascii="宋体" w:hAnsi="宋体" w:cs="宋体" w:eastAsia="宋体" w:hint="default"/>
                <w:sz w:val="18"/>
                <w:szCs w:val="18"/>
              </w:rPr>
              <w:t> 计划实施， 应当说明 原因及公 司已采取 的措施</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74" w:right="72"/>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5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212" w:hRule="exact"/>
        </w:trPr>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9"/>
              <w:jc w:val="both"/>
              <w:rPr>
                <w:rFonts w:ascii="宋体" w:hAnsi="宋体" w:cs="宋体" w:eastAsia="宋体" w:hint="default"/>
                <w:sz w:val="18"/>
                <w:szCs w:val="18"/>
              </w:rPr>
            </w:pPr>
            <w:r>
              <w:rPr>
                <w:rFonts w:ascii="宋体" w:hAnsi="宋体" w:cs="宋体" w:eastAsia="宋体" w:hint="default"/>
                <w:sz w:val="18"/>
                <w:szCs w:val="18"/>
              </w:rPr>
              <w:t>日 本 明 和 工 程 株 式 会 社</w:t>
            </w:r>
          </w:p>
        </w:tc>
        <w:tc>
          <w:tcPr>
            <w:tcW w:w="3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1"/>
              <w:jc w:val="both"/>
              <w:rPr>
                <w:rFonts w:ascii="宋体" w:hAnsi="宋体" w:cs="宋体" w:eastAsia="宋体" w:hint="default"/>
                <w:sz w:val="18"/>
                <w:szCs w:val="18"/>
              </w:rPr>
            </w:pPr>
            <w:r>
              <w:rPr>
                <w:rFonts w:ascii="宋体" w:hAnsi="宋体" w:cs="宋体" w:eastAsia="宋体" w:hint="default"/>
                <w:sz w:val="18"/>
                <w:szCs w:val="18"/>
              </w:rPr>
              <w:t>秋 田 光 伏 电 站 项 目 权 利</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10,125</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5"/>
              <w:jc w:val="left"/>
              <w:rPr>
                <w:rFonts w:ascii="宋体" w:hAnsi="宋体" w:cs="宋体" w:eastAsia="宋体" w:hint="default"/>
                <w:sz w:val="18"/>
                <w:szCs w:val="18"/>
              </w:rPr>
            </w:pPr>
            <w:r>
              <w:rPr>
                <w:rFonts w:ascii="宋体" w:hAnsi="宋体" w:cs="宋体" w:eastAsia="宋体" w:hint="default"/>
                <w:sz w:val="18"/>
                <w:szCs w:val="18"/>
              </w:rPr>
              <w:t>优化 资源 配置， 降低 负债</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368" w:right="0"/>
              <w:jc w:val="left"/>
              <w:rPr>
                <w:rFonts w:ascii="Times New Roman" w:hAnsi="Times New Roman" w:cs="Times New Roman" w:eastAsia="Times New Roman" w:hint="default"/>
                <w:sz w:val="18"/>
                <w:szCs w:val="18"/>
              </w:rPr>
            </w:pPr>
            <w:r>
              <w:rPr>
                <w:rFonts w:ascii="Times New Roman"/>
                <w:sz w:val="18"/>
              </w:rPr>
              <w:t>13.61%</w:t>
            </w:r>
          </w:p>
        </w:tc>
        <w:tc>
          <w:tcPr>
            <w:tcW w:w="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如期实施</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85"/>
              <w:jc w:val="left"/>
              <w:rPr>
                <w:rFonts w:ascii="宋体" w:hAnsi="宋体" w:cs="宋体" w:eastAsia="宋体" w:hint="default"/>
                <w:sz w:val="18"/>
                <w:szCs w:val="18"/>
              </w:rPr>
            </w:pPr>
            <w:r>
              <w:rPr>
                <w:rFonts w:ascii="宋体" w:hAnsi="宋体" w:cs="宋体" w:eastAsia="宋体" w:hint="default"/>
                <w:spacing w:val="-10"/>
                <w:sz w:val="18"/>
                <w:szCs w:val="18"/>
              </w:rPr>
              <w:t>巨潮咨询网：《关于</w:t>
            </w:r>
            <w:r>
              <w:rPr>
                <w:rFonts w:ascii="宋体" w:hAnsi="宋体" w:cs="宋体" w:eastAsia="宋体" w:hint="default"/>
                <w:sz w:val="18"/>
                <w:szCs w:val="18"/>
              </w:rPr>
              <w:t> 出售日本秋田光伏 电站项目暨推进优 化存量电站资产配 </w:t>
            </w:r>
            <w:r>
              <w:rPr>
                <w:rFonts w:ascii="宋体" w:hAnsi="宋体" w:cs="宋体" w:eastAsia="宋体" w:hint="default"/>
                <w:spacing w:val="-10"/>
                <w:sz w:val="18"/>
                <w:szCs w:val="18"/>
              </w:rPr>
              <w:t>置的公告》，公告编</w:t>
            </w:r>
            <w:r>
              <w:rPr>
                <w:rFonts w:ascii="宋体" w:hAnsi="宋体" w:cs="宋体" w:eastAsia="宋体" w:hint="default"/>
                <w:sz w:val="18"/>
                <w:szCs w:val="18"/>
              </w:rPr>
              <w:t> 号</w:t>
            </w:r>
            <w:r>
              <w:rPr>
                <w:rFonts w:ascii="宋体" w:hAnsi="宋体" w:cs="宋体" w:eastAsia="宋体" w:hint="default"/>
                <w:spacing w:val="-46"/>
                <w:sz w:val="18"/>
                <w:szCs w:val="18"/>
              </w:rPr>
              <w:t> </w:t>
            </w:r>
            <w:r>
              <w:rPr>
                <w:rFonts w:ascii="宋体" w:hAnsi="宋体" w:cs="宋体" w:eastAsia="宋体" w:hint="default"/>
                <w:sz w:val="18"/>
                <w:szCs w:val="18"/>
              </w:rPr>
              <w:t>2017-107</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815"/>
        <w:gridCol w:w="464"/>
        <w:gridCol w:w="516"/>
        <w:gridCol w:w="841"/>
        <w:gridCol w:w="929"/>
        <w:gridCol w:w="708"/>
        <w:gridCol w:w="1004"/>
        <w:gridCol w:w="350"/>
        <w:gridCol w:w="332"/>
        <w:gridCol w:w="383"/>
        <w:gridCol w:w="431"/>
        <w:gridCol w:w="920"/>
        <w:gridCol w:w="516"/>
        <w:gridCol w:w="1484"/>
      </w:tblGrid>
      <w:tr>
        <w:trPr>
          <w:trHeight w:val="3205" w:hRule="exact"/>
        </w:trPr>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2" w:right="0"/>
              <w:jc w:val="left"/>
              <w:rPr>
                <w:rFonts w:ascii="宋体" w:hAnsi="宋体" w:cs="宋体" w:eastAsia="宋体" w:hint="default"/>
                <w:sz w:val="18"/>
                <w:szCs w:val="18"/>
              </w:rPr>
            </w:pPr>
            <w:r>
              <w:rPr>
                <w:rFonts w:ascii="宋体" w:hAnsi="宋体" w:cs="宋体" w:eastAsia="宋体" w:hint="default"/>
                <w:sz w:val="18"/>
                <w:szCs w:val="18"/>
              </w:rPr>
              <w:t>交易对方</w:t>
            </w:r>
          </w:p>
        </w:tc>
        <w:tc>
          <w:tcPr>
            <w:tcW w:w="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46" w:right="47"/>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63" w:right="71" w:hanging="90"/>
              <w:jc w:val="left"/>
              <w:rPr>
                <w:rFonts w:ascii="宋体" w:hAnsi="宋体" w:cs="宋体" w:eastAsia="宋体" w:hint="default"/>
                <w:sz w:val="18"/>
                <w:szCs w:val="18"/>
              </w:rPr>
            </w:pPr>
            <w:r>
              <w:rPr>
                <w:rFonts w:ascii="宋体" w:hAnsi="宋体" w:cs="宋体" w:eastAsia="宋体" w:hint="default"/>
                <w:sz w:val="18"/>
                <w:szCs w:val="18"/>
              </w:rPr>
              <w:t>出售 日</w:t>
            </w:r>
          </w:p>
        </w:tc>
        <w:tc>
          <w:tcPr>
            <w:tcW w:w="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6"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8" w:right="98"/>
              <w:jc w:val="center"/>
              <w:rPr>
                <w:rFonts w:ascii="宋体" w:hAnsi="宋体" w:cs="宋体" w:eastAsia="宋体" w:hint="default"/>
                <w:sz w:val="18"/>
                <w:szCs w:val="18"/>
              </w:rPr>
            </w:pPr>
            <w:r>
              <w:rPr>
                <w:rFonts w:ascii="宋体" w:hAnsi="宋体" w:cs="宋体" w:eastAsia="宋体" w:hint="default"/>
                <w:sz w:val="18"/>
                <w:szCs w:val="18"/>
              </w:rPr>
              <w:t>本期初起 至出售日 该股权为 上市公司 贡献的净 利润（万 元）</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77" w:right="78"/>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1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6" w:right="47"/>
              <w:jc w:val="both"/>
              <w:rPr>
                <w:rFonts w:ascii="宋体" w:hAnsi="宋体" w:cs="宋体" w:eastAsia="宋体" w:hint="default"/>
                <w:sz w:val="18"/>
                <w:szCs w:val="18"/>
              </w:rPr>
            </w:pPr>
            <w:r>
              <w:rPr>
                <w:rFonts w:ascii="宋体" w:hAnsi="宋体" w:cs="宋体" w:eastAsia="宋体" w:hint="default"/>
                <w:sz w:val="18"/>
                <w:szCs w:val="18"/>
              </w:rPr>
              <w:t>股权出售为 上市公司贡 献的净利润 占净利润总 额的比例</w:t>
            </w:r>
          </w:p>
        </w:tc>
        <w:tc>
          <w:tcPr>
            <w:tcW w:w="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9"/>
              <w:jc w:val="both"/>
              <w:rPr>
                <w:rFonts w:ascii="宋体" w:hAnsi="宋体" w:cs="宋体" w:eastAsia="宋体" w:hint="default"/>
                <w:sz w:val="18"/>
                <w:szCs w:val="18"/>
              </w:rPr>
            </w:pPr>
            <w:r>
              <w:rPr>
                <w:rFonts w:ascii="宋体" w:hAnsi="宋体" w:cs="宋体" w:eastAsia="宋体" w:hint="default"/>
                <w:sz w:val="18"/>
                <w:szCs w:val="18"/>
              </w:rPr>
              <w:t>股 权 出 售 定 价 原 则</w:t>
            </w:r>
          </w:p>
        </w:tc>
        <w:tc>
          <w:tcPr>
            <w:tcW w:w="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0" w:right="71"/>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6" w:right="95"/>
              <w:jc w:val="both"/>
              <w:rPr>
                <w:rFonts w:ascii="宋体" w:hAnsi="宋体" w:cs="宋体" w:eastAsia="宋体" w:hint="default"/>
                <w:sz w:val="18"/>
                <w:szCs w:val="18"/>
              </w:rPr>
            </w:pPr>
            <w:r>
              <w:rPr>
                <w:rFonts w:ascii="宋体" w:hAnsi="宋体" w:cs="宋体" w:eastAsia="宋体" w:hint="default"/>
                <w:sz w:val="18"/>
                <w:szCs w:val="18"/>
              </w:rPr>
              <w:t>与 交 易 对 方 的 关 联 关 系</w:t>
            </w:r>
          </w:p>
        </w:tc>
        <w:tc>
          <w:tcPr>
            <w:tcW w:w="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0" w:right="29"/>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 w:hanging="39"/>
              <w:jc w:val="center"/>
              <w:rPr>
                <w:rFonts w:ascii="宋体" w:hAnsi="宋体" w:cs="宋体" w:eastAsia="宋体" w:hint="default"/>
                <w:sz w:val="18"/>
                <w:szCs w:val="18"/>
              </w:rPr>
            </w:pPr>
            <w:r>
              <w:rPr>
                <w:rFonts w:ascii="宋体" w:hAnsi="宋体" w:cs="宋体" w:eastAsia="宋体" w:hint="default"/>
                <w:sz w:val="18"/>
                <w:szCs w:val="18"/>
              </w:rPr>
              <w:t>是否按计 划如期实 </w:t>
            </w:r>
            <w:r>
              <w:rPr>
                <w:rFonts w:ascii="宋体" w:hAnsi="宋体" w:cs="宋体" w:eastAsia="宋体" w:hint="default"/>
                <w:spacing w:val="-8"/>
                <w:sz w:val="18"/>
                <w:szCs w:val="18"/>
              </w:rPr>
              <w:t>施，如未按</w:t>
            </w:r>
            <w:r>
              <w:rPr>
                <w:rFonts w:ascii="宋体" w:hAnsi="宋体" w:cs="宋体" w:eastAsia="宋体" w:hint="default"/>
                <w:sz w:val="18"/>
                <w:szCs w:val="18"/>
              </w:rPr>
              <w:t> 计划实施， 应当说明 原因及公 司已采取 的措施</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3" w:right="7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37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7"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6"/>
              <w:ind w:left="22" w:right="60"/>
              <w:jc w:val="both"/>
              <w:rPr>
                <w:rFonts w:ascii="宋体" w:hAnsi="宋体" w:cs="宋体" w:eastAsia="宋体" w:hint="default"/>
                <w:sz w:val="18"/>
                <w:szCs w:val="18"/>
              </w:rPr>
            </w:pPr>
            <w:r>
              <w:rPr>
                <w:rFonts w:ascii="宋体" w:hAnsi="宋体" w:cs="宋体" w:eastAsia="宋体" w:hint="default"/>
                <w:sz w:val="18"/>
                <w:szCs w:val="18"/>
              </w:rPr>
              <w:t>无锡产业 聚丰投资 合伙企业</w:t>
            </w:r>
          </w:p>
          <w:p>
            <w:pPr>
              <w:pStyle w:val="TableParagraph"/>
              <w:spacing w:line="319" w:lineRule="auto" w:before="17"/>
              <w:ind w:left="22" w:right="21"/>
              <w:jc w:val="both"/>
              <w:rPr>
                <w:rFonts w:ascii="宋体" w:hAnsi="宋体" w:cs="宋体" w:eastAsia="宋体" w:hint="default"/>
                <w:sz w:val="18"/>
                <w:szCs w:val="18"/>
              </w:rPr>
            </w:pPr>
            <w:r>
              <w:rPr>
                <w:rFonts w:ascii="宋体" w:hAnsi="宋体" w:cs="宋体" w:eastAsia="宋体" w:hint="default"/>
                <w:sz w:val="18"/>
                <w:szCs w:val="18"/>
              </w:rPr>
              <w:t>（有限合 </w:t>
            </w:r>
            <w:r>
              <w:rPr>
                <w:rFonts w:ascii="宋体" w:hAnsi="宋体" w:cs="宋体" w:eastAsia="宋体" w:hint="default"/>
                <w:spacing w:val="-29"/>
                <w:sz w:val="18"/>
                <w:szCs w:val="18"/>
              </w:rPr>
              <w:t>伙）、魏高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远</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6"/>
              <w:ind w:left="22" w:right="71"/>
              <w:jc w:val="both"/>
              <w:rPr>
                <w:rFonts w:ascii="宋体" w:hAnsi="宋体" w:cs="宋体" w:eastAsia="宋体" w:hint="default"/>
                <w:sz w:val="18"/>
                <w:szCs w:val="18"/>
              </w:rPr>
            </w:pPr>
            <w:r>
              <w:rPr>
                <w:rFonts w:ascii="宋体" w:hAnsi="宋体" w:cs="宋体" w:eastAsia="宋体" w:hint="default"/>
                <w:sz w:val="18"/>
                <w:szCs w:val="18"/>
              </w:rPr>
              <w:t>青海 蓓翔 新能 源开 发有 限公</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32,352.66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00" w:right="0"/>
              <w:jc w:val="left"/>
              <w:rPr>
                <w:rFonts w:ascii="Times New Roman" w:hAnsi="Times New Roman" w:cs="Times New Roman" w:eastAsia="Times New Roman" w:hint="default"/>
                <w:sz w:val="18"/>
                <w:szCs w:val="18"/>
              </w:rPr>
            </w:pPr>
            <w:r>
              <w:rPr>
                <w:rFonts w:ascii="Times New Roman"/>
                <w:sz w:val="18"/>
              </w:rPr>
              <w:t>737.74</w:t>
            </w:r>
          </w:p>
        </w:tc>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51"/>
              <w:jc w:val="left"/>
              <w:rPr>
                <w:rFonts w:ascii="宋体" w:hAnsi="宋体" w:cs="宋体" w:eastAsia="宋体" w:hint="default"/>
                <w:sz w:val="18"/>
                <w:szCs w:val="18"/>
              </w:rPr>
            </w:pPr>
            <w:r>
              <w:rPr>
                <w:rFonts w:ascii="宋体" w:hAnsi="宋体" w:cs="宋体" w:eastAsia="宋体" w:hint="default"/>
                <w:sz w:val="18"/>
                <w:szCs w:val="18"/>
              </w:rPr>
              <w:t>优化资 源配置， 降低负 债率</w:t>
            </w:r>
          </w:p>
        </w:tc>
        <w:tc>
          <w:tcPr>
            <w:tcW w:w="1004" w:type="dxa"/>
            <w:tcBorders>
              <w:top w:val="single" w:sz="4" w:space="0" w:color="000000"/>
              <w:left w:val="single" w:sz="9" w:space="0" w:color="FFFFFF"/>
              <w:bottom w:val="single" w:sz="4" w:space="0" w:color="000000"/>
              <w:right w:val="single" w:sz="4" w:space="0" w:color="000000"/>
            </w:tcBorders>
          </w:tcPr>
          <w:p>
            <w:pPr>
              <w:pStyle w:val="TableParagraph"/>
              <w:spacing w:line="780" w:lineRule="exact"/>
              <w:ind w:left="-7" w:right="-51"/>
              <w:jc w:val="left"/>
              <w:rPr>
                <w:rFonts w:ascii="宋体" w:hAnsi="宋体" w:cs="宋体" w:eastAsia="宋体" w:hint="default"/>
                <w:sz w:val="20"/>
                <w:szCs w:val="20"/>
              </w:rPr>
            </w:pPr>
            <w:r>
              <w:rPr>
                <w:rFonts w:ascii="宋体" w:hAnsi="宋体" w:cs="宋体" w:eastAsia="宋体" w:hint="default"/>
                <w:position w:val="-15"/>
                <w:sz w:val="20"/>
                <w:szCs w:val="20"/>
              </w:rPr>
              <w:pict>
                <v:group style="width:49.75pt;height:39.050pt;mso-position-horizontal-relative:char;mso-position-vertical-relative:line" coordorigin="0,0" coordsize="995,781">
                  <v:group style="position:absolute;left:0;top:0;width:995;height:781" coordorigin="0,0" coordsize="995,781">
                    <v:shape style="position:absolute;left:0;top:0;width:995;height:781" coordorigin="0,0" coordsize="995,781" path="m0,780l995,780,995,0,0,0,0,780xe" filled="true" fillcolor="#ffffff" stroked="false">
                      <v:path arrowok="t"/>
                      <v:fill type="solid"/>
                    </v:shape>
                  </v:group>
                </v:group>
              </w:pict>
            </w:r>
            <w:r>
              <w:rPr>
                <w:rFonts w:ascii="宋体" w:hAnsi="宋体" w:cs="宋体" w:eastAsia="宋体" w:hint="default"/>
                <w:position w:val="-15"/>
                <w:sz w:val="20"/>
                <w:szCs w:val="20"/>
              </w:rPr>
            </w:r>
          </w:p>
          <w:p>
            <w:pPr>
              <w:pStyle w:val="TableParagraph"/>
              <w:spacing w:line="240" w:lineRule="auto" w:before="96"/>
              <w:ind w:left="411" w:right="0"/>
              <w:jc w:val="left"/>
              <w:rPr>
                <w:rFonts w:ascii="Times New Roman" w:hAnsi="Times New Roman" w:cs="Times New Roman" w:eastAsia="Times New Roman" w:hint="default"/>
                <w:sz w:val="18"/>
                <w:szCs w:val="18"/>
              </w:rPr>
            </w:pPr>
            <w:r>
              <w:rPr>
                <w:rFonts w:ascii="Times New Roman"/>
                <w:sz w:val="18"/>
              </w:rPr>
              <w:t>10.97%</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2"/>
              <w:ind w:left="22" w:right="137"/>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如期实施</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319" w:lineRule="auto"/>
              <w:ind w:left="23" w:right="98"/>
              <w:jc w:val="left"/>
              <w:rPr>
                <w:rFonts w:ascii="宋体" w:hAnsi="宋体" w:cs="宋体" w:eastAsia="宋体" w:hint="default"/>
                <w:sz w:val="18"/>
                <w:szCs w:val="18"/>
              </w:rPr>
            </w:pPr>
            <w:r>
              <w:rPr>
                <w:rFonts w:ascii="宋体" w:hAnsi="宋体" w:cs="宋体" w:eastAsia="宋体" w:hint="default"/>
                <w:spacing w:val="-12"/>
                <w:sz w:val="18"/>
                <w:szCs w:val="18"/>
              </w:rPr>
              <w:t>巨潮咨询网：《关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于转让全资子公 </w:t>
            </w:r>
            <w:r>
              <w:rPr>
                <w:rFonts w:ascii="宋体" w:hAnsi="宋体" w:cs="宋体" w:eastAsia="宋体" w:hint="default"/>
                <w:spacing w:val="-12"/>
                <w:sz w:val="18"/>
                <w:szCs w:val="18"/>
              </w:rPr>
              <w:t>司股权的公告》，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公告编号：</w:t>
            </w:r>
          </w:p>
          <w:p>
            <w:pPr>
              <w:pStyle w:val="TableParagraph"/>
              <w:spacing w:line="240" w:lineRule="auto" w:before="58"/>
              <w:ind w:left="23" w:right="0"/>
              <w:jc w:val="left"/>
              <w:rPr>
                <w:rFonts w:ascii="Times New Roman" w:hAnsi="Times New Roman" w:cs="Times New Roman" w:eastAsia="Times New Roman" w:hint="default"/>
                <w:sz w:val="18"/>
                <w:szCs w:val="18"/>
              </w:rPr>
            </w:pPr>
            <w:r>
              <w:rPr>
                <w:rFonts w:ascii="Times New Roman"/>
                <w:sz w:val="18"/>
              </w:rPr>
              <w:t>2017-134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815"/>
        <w:gridCol w:w="464"/>
        <w:gridCol w:w="516"/>
        <w:gridCol w:w="841"/>
        <w:gridCol w:w="929"/>
        <w:gridCol w:w="708"/>
        <w:gridCol w:w="1004"/>
        <w:gridCol w:w="350"/>
        <w:gridCol w:w="332"/>
        <w:gridCol w:w="383"/>
        <w:gridCol w:w="431"/>
        <w:gridCol w:w="920"/>
        <w:gridCol w:w="516"/>
        <w:gridCol w:w="1484"/>
      </w:tblGrid>
      <w:tr>
        <w:trPr>
          <w:trHeight w:val="362" w:hRule="exact"/>
        </w:trPr>
        <w:tc>
          <w:tcPr>
            <w:tcW w:w="815" w:type="dxa"/>
            <w:tcBorders>
              <w:top w:val="single" w:sz="4" w:space="0" w:color="000000"/>
              <w:left w:val="single" w:sz="4" w:space="0" w:color="000000"/>
              <w:bottom w:val="single" w:sz="4" w:space="0" w:color="000000"/>
              <w:right w:val="single" w:sz="4" w:space="0" w:color="000000"/>
            </w:tcBorders>
          </w:tcPr>
          <w:p>
            <w:pP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516"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004" w:type="dxa"/>
            <w:tcBorders>
              <w:top w:val="single" w:sz="4" w:space="0" w:color="000000"/>
              <w:left w:val="single" w:sz="4" w:space="0" w:color="000000"/>
              <w:bottom w:val="single" w:sz="4" w:space="0" w:color="000000"/>
              <w:right w:val="single" w:sz="4" w:space="0" w:color="000000"/>
            </w:tcBorders>
          </w:tcPr>
          <w:p>
            <w:pPr/>
          </w:p>
        </w:tc>
        <w:tc>
          <w:tcPr>
            <w:tcW w:w="350" w:type="dxa"/>
            <w:tcBorders>
              <w:top w:val="single" w:sz="4" w:space="0" w:color="000000"/>
              <w:left w:val="single" w:sz="4" w:space="0" w:color="000000"/>
              <w:bottom w:val="single" w:sz="4" w:space="0" w:color="000000"/>
              <w:right w:val="single" w:sz="4" w:space="0" w:color="000000"/>
            </w:tcBorders>
          </w:tcPr>
          <w:p>
            <w:pPr/>
          </w:p>
        </w:tc>
        <w:tc>
          <w:tcPr>
            <w:tcW w:w="332" w:type="dxa"/>
            <w:tcBorders>
              <w:top w:val="single" w:sz="4" w:space="0" w:color="000000"/>
              <w:left w:val="single" w:sz="4" w:space="0" w:color="000000"/>
              <w:bottom w:val="single" w:sz="4" w:space="0" w:color="000000"/>
              <w:right w:val="single" w:sz="4" w:space="0" w:color="000000"/>
            </w:tcBorders>
          </w:tcPr>
          <w:p>
            <w:pPr/>
          </w:p>
        </w:tc>
        <w:tc>
          <w:tcPr>
            <w:tcW w:w="383" w:type="dxa"/>
            <w:tcBorders>
              <w:top w:val="single" w:sz="4" w:space="0" w:color="000000"/>
              <w:left w:val="single" w:sz="4" w:space="0" w:color="000000"/>
              <w:bottom w:val="single" w:sz="4" w:space="0" w:color="000000"/>
              <w:right w:val="single" w:sz="4" w:space="0" w:color="000000"/>
            </w:tcBorders>
          </w:tcPr>
          <w:p>
            <w:pPr/>
          </w:p>
        </w:tc>
        <w:tc>
          <w:tcPr>
            <w:tcW w:w="431"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
        </w:tc>
        <w:tc>
          <w:tcPr>
            <w:tcW w:w="516" w:type="dxa"/>
            <w:tcBorders>
              <w:top w:val="single" w:sz="4" w:space="0" w:color="000000"/>
              <w:left w:val="single" w:sz="4" w:space="0" w:color="000000"/>
              <w:bottom w:val="single" w:sz="4" w:space="0" w:color="000000"/>
              <w:right w:val="single" w:sz="4" w:space="0" w:color="000000"/>
            </w:tcBorders>
          </w:tcPr>
          <w:p>
            <w:pPr/>
          </w:p>
        </w:tc>
        <w:tc>
          <w:tcPr>
            <w:tcW w:w="1484"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新疆汇达 捷创业投 资有限公 司</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新疆 爱康 慧诚 信息 技术 有限 公司</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317.78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集中资 源优势 聚焦主 </w:t>
            </w:r>
            <w:r>
              <w:rPr>
                <w:rFonts w:ascii="宋体" w:hAnsi="宋体" w:cs="宋体" w:eastAsia="宋体" w:hint="default"/>
                <w:spacing w:val="-18"/>
                <w:sz w:val="18"/>
                <w:szCs w:val="18"/>
              </w:rPr>
              <w:t>业，实现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公司利 益最大 化</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36.86%</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137"/>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否</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如期实施</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2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1"/>
                <w:w w:val="99"/>
                <w:sz w:val="18"/>
                <w:szCs w:val="18"/>
              </w:rPr>
              <w:t>"</w:t>
            </w:r>
            <w:r>
              <w:rPr>
                <w:rFonts w:ascii="宋体" w:hAnsi="宋体" w:cs="宋体" w:eastAsia="宋体" w:hint="default"/>
                <w:spacing w:val="-11"/>
                <w:w w:val="99"/>
                <w:sz w:val="18"/>
                <w:szCs w:val="18"/>
              </w:rPr>
              <w:t>巨潮咨询网：《关</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z w:val="18"/>
                <w:szCs w:val="18"/>
              </w:rPr>
              <w:t>于出售青海蓓翔 电站暨推进优化 存量电站资产配 </w:t>
            </w:r>
            <w:r>
              <w:rPr>
                <w:rFonts w:ascii="宋体" w:hAnsi="宋体" w:cs="宋体" w:eastAsia="宋体" w:hint="default"/>
                <w:spacing w:val="-12"/>
                <w:sz w:val="18"/>
                <w:szCs w:val="18"/>
              </w:rPr>
              <w:t>置的公告》，公告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编号：</w:t>
            </w:r>
            <w:r>
              <w:rPr>
                <w:rFonts w:ascii="Times New Roman" w:hAnsi="Times New Roman" w:cs="Times New Roman" w:eastAsia="Times New Roman" w:hint="default"/>
                <w:sz w:val="18"/>
                <w:szCs w:val="18"/>
              </w:rPr>
              <w:t>2017-173"</w:t>
            </w:r>
          </w:p>
        </w:tc>
      </w:tr>
      <w:tr>
        <w:trPr>
          <w:trHeight w:val="2586"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60"/>
              <w:jc w:val="both"/>
              <w:rPr>
                <w:rFonts w:ascii="宋体" w:hAnsi="宋体" w:cs="宋体" w:eastAsia="宋体" w:hint="default"/>
                <w:sz w:val="18"/>
                <w:szCs w:val="18"/>
              </w:rPr>
            </w:pPr>
            <w:r>
              <w:rPr>
                <w:rFonts w:ascii="宋体" w:hAnsi="宋体" w:cs="宋体" w:eastAsia="宋体" w:hint="default"/>
                <w:sz w:val="18"/>
                <w:szCs w:val="18"/>
              </w:rPr>
              <w:t>金昌清能 电力有限 公司</w:t>
            </w:r>
          </w:p>
        </w:tc>
        <w:tc>
          <w:tcPr>
            <w:tcW w:w="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both"/>
              <w:rPr>
                <w:rFonts w:ascii="宋体" w:hAnsi="宋体" w:cs="宋体" w:eastAsia="宋体" w:hint="default"/>
                <w:sz w:val="18"/>
                <w:szCs w:val="18"/>
              </w:rPr>
            </w:pPr>
            <w:r>
              <w:rPr>
                <w:rFonts w:ascii="宋体" w:hAnsi="宋体" w:cs="宋体" w:eastAsia="宋体" w:hint="default"/>
                <w:sz w:val="18"/>
                <w:szCs w:val="18"/>
              </w:rPr>
              <w:t>浙江 省水 利水 电投 资集 团有 限公 司</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16,879.37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263.46</w:t>
            </w:r>
          </w:p>
        </w:tc>
        <w:tc>
          <w:tcPr>
            <w:tcW w:w="708"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51"/>
              <w:jc w:val="left"/>
              <w:rPr>
                <w:rFonts w:ascii="宋体" w:hAnsi="宋体" w:cs="宋体" w:eastAsia="宋体" w:hint="default"/>
                <w:sz w:val="18"/>
                <w:szCs w:val="18"/>
              </w:rPr>
            </w:pPr>
            <w:r>
              <w:rPr>
                <w:rFonts w:ascii="宋体" w:hAnsi="宋体" w:cs="宋体" w:eastAsia="宋体" w:hint="default"/>
                <w:sz w:val="18"/>
                <w:szCs w:val="18"/>
              </w:rPr>
              <w:t>优化资 源配置， 降低负 债率</w:t>
            </w:r>
          </w:p>
        </w:tc>
        <w:tc>
          <w:tcPr>
            <w:tcW w:w="1004" w:type="dxa"/>
            <w:tcBorders>
              <w:top w:val="single" w:sz="4" w:space="0" w:color="000000"/>
              <w:left w:val="single" w:sz="9" w:space="0" w:color="FFFFFF"/>
              <w:bottom w:val="single" w:sz="4" w:space="0" w:color="000000"/>
              <w:right w:val="single" w:sz="4" w:space="0" w:color="000000"/>
            </w:tcBorders>
          </w:tcPr>
          <w:p>
            <w:pPr>
              <w:pStyle w:val="TableParagraph"/>
              <w:spacing w:line="1092" w:lineRule="exact"/>
              <w:ind w:left="-7"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49.75pt;height:54.6pt;mso-position-horizontal-relative:char;mso-position-vertical-relative:line" coordorigin="0,0" coordsize="995,1092">
                  <v:group style="position:absolute;left:0;top:0;width:995;height:1092" coordorigin="0,0" coordsize="995,1092">
                    <v:shape style="position:absolute;left:0;top:0;width:995;height:1092" coordorigin="0,0" coordsize="995,1092" path="m0,1092l995,1092,995,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-25.23%</w:t>
            </w:r>
          </w:p>
        </w:tc>
        <w:tc>
          <w:tcPr>
            <w:tcW w:w="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22" w:right="137"/>
              <w:jc w:val="both"/>
              <w:rPr>
                <w:rFonts w:ascii="宋体" w:hAnsi="宋体" w:cs="宋体" w:eastAsia="宋体" w:hint="default"/>
                <w:sz w:val="18"/>
                <w:szCs w:val="18"/>
              </w:rPr>
            </w:pPr>
            <w:r>
              <w:rPr>
                <w:rFonts w:ascii="宋体" w:hAnsi="宋体" w:cs="宋体" w:eastAsia="宋体" w:hint="default"/>
                <w:sz w:val="18"/>
                <w:szCs w:val="18"/>
              </w:rPr>
              <w:t>市 场 价 格</w:t>
            </w:r>
          </w:p>
        </w:tc>
        <w:tc>
          <w:tcPr>
            <w:tcW w:w="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5"/>
              <w:jc w:val="center"/>
              <w:rPr>
                <w:rFonts w:ascii="宋体" w:hAnsi="宋体" w:cs="宋体" w:eastAsia="宋体" w:hint="default"/>
                <w:sz w:val="18"/>
                <w:szCs w:val="18"/>
              </w:rPr>
            </w:pPr>
            <w:r>
              <w:rPr>
                <w:rFonts w:ascii="宋体" w:hAnsi="宋体" w:cs="宋体" w:eastAsia="宋体" w:hint="default"/>
                <w:sz w:val="18"/>
                <w:szCs w:val="18"/>
              </w:rPr>
              <w:t>否</w:t>
            </w:r>
          </w:p>
        </w:tc>
        <w:tc>
          <w:tcPr>
            <w:tcW w:w="3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如期实施</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38"/>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巨潮咨询网：《关</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于出售金昌清能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股权暨推进优 化存量电站资产 </w:t>
            </w:r>
            <w:r>
              <w:rPr>
                <w:rFonts w:ascii="宋体" w:hAnsi="宋体" w:cs="宋体" w:eastAsia="宋体" w:hint="default"/>
                <w:spacing w:val="-12"/>
                <w:sz w:val="18"/>
                <w:szCs w:val="18"/>
              </w:rPr>
              <w:t>配置的公告》，公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2017-132</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9"/>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71"/>
        <w:gridCol w:w="391"/>
        <w:gridCol w:w="714"/>
        <w:gridCol w:w="1181"/>
        <w:gridCol w:w="1316"/>
        <w:gridCol w:w="1316"/>
        <w:gridCol w:w="1317"/>
        <w:gridCol w:w="1181"/>
        <w:gridCol w:w="1181"/>
      </w:tblGrid>
      <w:tr>
        <w:trPr>
          <w:trHeight w:val="1338" w:hRule="exact"/>
        </w:trPr>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 w:right="98"/>
              <w:jc w:val="both"/>
              <w:rPr>
                <w:rFonts w:ascii="宋体" w:hAnsi="宋体" w:cs="宋体" w:eastAsia="宋体" w:hint="default"/>
                <w:sz w:val="18"/>
                <w:szCs w:val="18"/>
              </w:rPr>
            </w:pPr>
            <w:r>
              <w:rPr>
                <w:rFonts w:ascii="宋体" w:hAnsi="宋体" w:cs="宋体" w:eastAsia="宋体" w:hint="default"/>
                <w:sz w:val="18"/>
                <w:szCs w:val="18"/>
              </w:rPr>
              <w:t>公 司 类 型</w:t>
            </w:r>
          </w:p>
        </w:tc>
        <w:tc>
          <w:tcPr>
            <w:tcW w:w="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62" w:right="7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上海爱康富 罗纳售电有 限公司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配售电 业务</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21,936,260.34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626,833.78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137,316.67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-19,101,798.47</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8"/>
                <w:szCs w:val="18"/>
              </w:rPr>
            </w:pPr>
            <w:r>
              <w:rPr>
                <w:rFonts w:ascii="Times New Roman"/>
                <w:sz w:val="18"/>
              </w:rPr>
              <w:t>-19,031,118.10</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苏州爱康电 力开发有限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光伏光 热发电</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450,000,000.00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1,136,500,810.24</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536,703,153.58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75,555,171.50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69,266,093.23</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苏州中康电 力开发有限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光伏光 热发电</w:t>
            </w:r>
          </w:p>
        </w:tc>
        <w:tc>
          <w:tcPr>
            <w:tcW w:w="1181"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5,215,194,898.78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2,005,687,972.06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9,294,024.24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-21,179,034.03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15,486,546.02</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新疆聚阳能 源科技有限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光伏光 热发电</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210,000,000.00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547,696,257.22</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233,360,237.86</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53,231,061.78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15,055,606.98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15,060,166.99</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南召县中机 国能电力有 限公司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光伏光 热发电</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231,800,000.00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706,009,080.73</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255,281,010.61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69,856,688.65</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17,988,620.71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18,003,596.10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71"/>
        <w:gridCol w:w="391"/>
        <w:gridCol w:w="714"/>
        <w:gridCol w:w="1181"/>
        <w:gridCol w:w="1316"/>
        <w:gridCol w:w="1316"/>
        <w:gridCol w:w="1317"/>
        <w:gridCol w:w="1181"/>
        <w:gridCol w:w="1181"/>
      </w:tblGrid>
      <w:tr>
        <w:trPr>
          <w:trHeight w:val="133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榆林市榆神 工业区昱辉 新能源有限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38"/>
              <w:jc w:val="left"/>
              <w:rPr>
                <w:rFonts w:ascii="宋体" w:hAnsi="宋体" w:cs="宋体" w:eastAsia="宋体" w:hint="default"/>
                <w:sz w:val="18"/>
                <w:szCs w:val="18"/>
              </w:rPr>
            </w:pPr>
            <w:r>
              <w:rPr>
                <w:rFonts w:ascii="宋体" w:hAnsi="宋体" w:cs="宋体" w:eastAsia="宋体" w:hint="default"/>
                <w:sz w:val="18"/>
                <w:szCs w:val="18"/>
              </w:rPr>
              <w:t>光伏光 热发电</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42,539.95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-15,767,839.83</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29,442.14</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-16,772,242.81</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苏州爱康光 电科技有限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光伏制 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478,480,400.00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1,845,992,363.10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517,821,836.19</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1,506,183,198.81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26,694,854.79</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20,581,328.14</w:t>
            </w:r>
          </w:p>
        </w:tc>
      </w:tr>
      <w:tr>
        <w:trPr>
          <w:trHeight w:val="1026"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6"/>
              <w:jc w:val="both"/>
              <w:rPr>
                <w:rFonts w:ascii="宋体" w:hAnsi="宋体" w:cs="宋体" w:eastAsia="宋体" w:hint="default"/>
                <w:sz w:val="18"/>
                <w:szCs w:val="18"/>
              </w:rPr>
            </w:pPr>
            <w:r>
              <w:rPr>
                <w:rFonts w:ascii="宋体" w:hAnsi="宋体" w:cs="宋体" w:eastAsia="宋体" w:hint="default"/>
                <w:sz w:val="18"/>
                <w:szCs w:val="18"/>
              </w:rPr>
              <w:t>赣州爱康光 电科技有限 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子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38"/>
              <w:jc w:val="left"/>
              <w:rPr>
                <w:rFonts w:ascii="宋体" w:hAnsi="宋体" w:cs="宋体" w:eastAsia="宋体" w:hint="default"/>
                <w:sz w:val="18"/>
                <w:szCs w:val="18"/>
              </w:rPr>
            </w:pPr>
            <w:r>
              <w:rPr>
                <w:rFonts w:ascii="宋体" w:hAnsi="宋体" w:cs="宋体" w:eastAsia="宋体" w:hint="default"/>
                <w:sz w:val="18"/>
                <w:szCs w:val="18"/>
              </w:rPr>
              <w:t>光伏制 造业</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70,000,000.00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731,884,780.81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124,282,802.21</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680,664,857.56</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55,931,551.52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47,532,348.54</w:t>
            </w:r>
          </w:p>
        </w:tc>
      </w:tr>
      <w:tr>
        <w:trPr>
          <w:trHeight w:val="133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36"/>
              <w:jc w:val="both"/>
              <w:rPr>
                <w:rFonts w:ascii="宋体" w:hAnsi="宋体" w:cs="宋体" w:eastAsia="宋体" w:hint="default"/>
                <w:sz w:val="18"/>
                <w:szCs w:val="18"/>
              </w:rPr>
            </w:pPr>
            <w:r>
              <w:rPr>
                <w:rFonts w:ascii="宋体" w:hAnsi="宋体" w:cs="宋体" w:eastAsia="宋体" w:hint="default"/>
                <w:sz w:val="18"/>
                <w:szCs w:val="18"/>
              </w:rPr>
              <w:t>赣州发展融 资租赁有限 责任公司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38"/>
              <w:jc w:val="left"/>
              <w:rPr>
                <w:rFonts w:ascii="宋体" w:hAnsi="宋体" w:cs="宋体" w:eastAsia="宋体" w:hint="default"/>
                <w:sz w:val="18"/>
                <w:szCs w:val="18"/>
              </w:rPr>
            </w:pPr>
            <w:r>
              <w:rPr>
                <w:rFonts w:ascii="宋体" w:hAnsi="宋体" w:cs="宋体" w:eastAsia="宋体" w:hint="default"/>
                <w:sz w:val="18"/>
                <w:szCs w:val="18"/>
              </w:rPr>
              <w:t>融资租 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745,000,000.00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2,949,216,589.88</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889,952,935.38</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210,639,722.62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72,810,151.73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61,189,210.18</w:t>
            </w:r>
          </w:p>
        </w:tc>
      </w:tr>
      <w:tr>
        <w:trPr>
          <w:trHeight w:val="1338" w:hRule="exact"/>
        </w:trPr>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
              <w:jc w:val="both"/>
              <w:rPr>
                <w:rFonts w:ascii="宋体" w:hAnsi="宋体" w:cs="宋体" w:eastAsia="宋体" w:hint="default"/>
                <w:sz w:val="18"/>
                <w:szCs w:val="18"/>
              </w:rPr>
            </w:pPr>
            <w:r>
              <w:rPr>
                <w:rFonts w:ascii="宋体" w:hAnsi="宋体" w:cs="宋体" w:eastAsia="宋体" w:hint="default"/>
                <w:spacing w:val="22"/>
                <w:sz w:val="18"/>
                <w:szCs w:val="18"/>
              </w:rPr>
              <w:t>苏州爱康能</w:t>
            </w:r>
            <w:r>
              <w:rPr>
                <w:rFonts w:ascii="宋体" w:hAnsi="宋体" w:cs="宋体" w:eastAsia="宋体" w:hint="default"/>
                <w:spacing w:val="-62"/>
                <w:sz w:val="18"/>
                <w:szCs w:val="18"/>
              </w:rPr>
              <w:t> </w:t>
            </w:r>
            <w:r>
              <w:rPr>
                <w:rFonts w:ascii="宋体" w:hAnsi="宋体" w:cs="宋体" w:eastAsia="宋体" w:hint="default"/>
                <w:spacing w:val="22"/>
                <w:sz w:val="18"/>
                <w:szCs w:val="18"/>
              </w:rPr>
              <w:t>源工程技术</w:t>
            </w:r>
            <w:r>
              <w:rPr>
                <w:rFonts w:ascii="宋体" w:hAnsi="宋体" w:cs="宋体" w:eastAsia="宋体" w:hint="default"/>
                <w:spacing w:val="-62"/>
                <w:sz w:val="18"/>
                <w:szCs w:val="18"/>
              </w:rPr>
              <w:t> </w:t>
            </w:r>
            <w:r>
              <w:rPr>
                <w:rFonts w:ascii="宋体" w:hAnsi="宋体" w:cs="宋体" w:eastAsia="宋体" w:hint="default"/>
                <w:spacing w:val="22"/>
                <w:sz w:val="18"/>
                <w:szCs w:val="18"/>
              </w:rPr>
              <w:t>股份有限公</w:t>
            </w:r>
            <w:r>
              <w:rPr>
                <w:rFonts w:ascii="宋体" w:hAnsi="宋体" w:cs="宋体" w:eastAsia="宋体" w:hint="default"/>
                <w:spacing w:val="-62"/>
                <w:sz w:val="18"/>
                <w:szCs w:val="18"/>
              </w:rPr>
              <w:t> </w:t>
            </w:r>
            <w:r>
              <w:rPr>
                <w:rFonts w:ascii="宋体" w:hAnsi="宋体" w:cs="宋体" w:eastAsia="宋体" w:hint="default"/>
                <w:sz w:val="18"/>
                <w:szCs w:val="18"/>
              </w:rPr>
              <w:t>司</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参 股 公 司</w:t>
            </w:r>
          </w:p>
        </w:tc>
        <w:tc>
          <w:tcPr>
            <w:tcW w:w="714" w:type="dxa"/>
            <w:tcBorders>
              <w:top w:val="single" w:sz="4" w:space="0" w:color="000000"/>
              <w:left w:val="single" w:sz="4" w:space="0" w:color="000000"/>
              <w:bottom w:val="single" w:sz="4" w:space="0" w:color="000000"/>
              <w:right w:val="single" w:sz="13" w:space="0" w:color="FFFFFF"/>
            </w:tcBorders>
          </w:tcPr>
          <w:p>
            <w:pPr>
              <w:pStyle w:val="TableParagraph"/>
              <w:spacing w:line="338" w:lineRule="auto" w:before="51"/>
              <w:ind w:left="23" w:right="-48"/>
              <w:jc w:val="both"/>
              <w:rPr>
                <w:rFonts w:ascii="Times New Roman" w:hAnsi="Times New Roman" w:cs="Times New Roman" w:eastAsia="Times New Roman" w:hint="default"/>
                <w:sz w:val="18"/>
                <w:szCs w:val="18"/>
              </w:rPr>
            </w:pPr>
            <w:r>
              <w:rPr>
                <w:rFonts w:ascii="宋体" w:hAnsi="宋体" w:cs="宋体" w:eastAsia="宋体" w:hint="default"/>
                <w:spacing w:val="38"/>
                <w:sz w:val="18"/>
                <w:szCs w:val="18"/>
              </w:rPr>
              <w:t>光伏电</w:t>
            </w:r>
            <w:r>
              <w:rPr>
                <w:rFonts w:ascii="宋体" w:hAnsi="宋体" w:cs="宋体" w:eastAsia="宋体" w:hint="default"/>
                <w:spacing w:val="-32"/>
                <w:sz w:val="18"/>
                <w:szCs w:val="18"/>
              </w:rPr>
              <w:t> </w:t>
            </w:r>
            <w:r>
              <w:rPr>
                <w:rFonts w:ascii="宋体" w:hAnsi="宋体" w:cs="宋体" w:eastAsia="宋体" w:hint="default"/>
                <w:spacing w:val="38"/>
                <w:sz w:val="18"/>
                <w:szCs w:val="18"/>
              </w:rPr>
              <w:t>站建设</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EPC</w:t>
            </w:r>
          </w:p>
        </w:tc>
        <w:tc>
          <w:tcPr>
            <w:tcW w:w="1181"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136,458,333.00</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3,814,314,531.35</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835,265,831.12</w:t>
            </w:r>
          </w:p>
        </w:tc>
        <w:tc>
          <w:tcPr>
            <w:tcW w:w="1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1,646,432,769.88</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220,241,137.91</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160,254,143.82</w:t>
            </w:r>
          </w:p>
        </w:tc>
      </w:tr>
    </w:tbl>
    <w:p>
      <w:pPr>
        <w:pStyle w:val="BodyText"/>
        <w:spacing w:line="240" w:lineRule="auto" w:before="51"/>
        <w:ind w:left="154" w:right="1122"/>
        <w:jc w:val="left"/>
      </w:pPr>
      <w:r>
        <w:rPr/>
        <w:pict>
          <v:group style="position:absolute;margin-left:165.740005pt;margin-top:-66.918274pt;width:58.6pt;height:23.4pt;mso-position-horizontal-relative:page;mso-position-vertical-relative:paragraph;z-index:-1651096" coordorigin="3315,-1338" coordsize="1172,468">
            <v:shape style="position:absolute;left:3315;top:-1338;width:1172;height:468" coordorigin="3315,-1338" coordsize="1172,468" path="m3315,-870l4486,-870,4486,-1338,3315,-1338,3315,-870xe" filled="true" fillcolor="#ffffff" stroked="false">
              <v:path arrowok="t"/>
              <v:fill type="solid"/>
            </v:shape>
            <w10:wrap type="none"/>
          </v:group>
        </w:pict>
      </w:r>
      <w:r>
        <w:rPr/>
        <w:t>报告期内取得和处置子公司的情况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2522"/>
        <w:gridCol w:w="1678"/>
        <w:gridCol w:w="5495"/>
      </w:tblGrid>
      <w:tr>
        <w:trPr>
          <w:trHeight w:val="714" w:hRule="exact"/>
        </w:trPr>
        <w:tc>
          <w:tcPr>
            <w:tcW w:w="2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1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84" w:right="22" w:hanging="360"/>
              <w:jc w:val="left"/>
              <w:rPr>
                <w:rFonts w:ascii="宋体" w:hAnsi="宋体" w:cs="宋体" w:eastAsia="宋体" w:hint="default"/>
                <w:sz w:val="18"/>
                <w:szCs w:val="18"/>
              </w:rPr>
            </w:pPr>
            <w:r>
              <w:rPr>
                <w:rFonts w:ascii="宋体" w:hAnsi="宋体" w:cs="宋体" w:eastAsia="宋体" w:hint="default"/>
                <w:sz w:val="18"/>
                <w:szCs w:val="18"/>
              </w:rPr>
              <w:t>报告期内取得和处置 子公司方式</w:t>
            </w:r>
          </w:p>
        </w:tc>
        <w:tc>
          <w:tcPr>
            <w:tcW w:w="5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1"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江苏智鸿能源科技发展有限公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非同一控制下企业合 同</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布局售电业务，有利于公司开拓售电及相关业务市场，提升公司整体</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盈利水平，完善公司战略布局</w:t>
            </w:r>
            <w:r>
              <w:rPr>
                <w:rFonts w:ascii="Times New Roman" w:hAnsi="Times New Roman" w:cs="Times New Roman" w:eastAsia="Times New Roman" w:hint="default"/>
                <w:sz w:val="18"/>
                <w:szCs w:val="18"/>
              </w:rPr>
              <w:t>"</w:t>
            </w: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为搭建产业技术联盟，引领能源互联网学研产联合发展方向，使公司</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能源互联网业务发展获得核心技术支撑</w:t>
            </w:r>
            <w:r>
              <w:rPr>
                <w:rFonts w:ascii="Times New Roman" w:hAnsi="Times New Roman" w:cs="Times New Roman" w:eastAsia="Times New Roman" w:hint="default"/>
                <w:sz w:val="18"/>
                <w:szCs w:val="18"/>
              </w:rPr>
              <w:t>"</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为优化产业结构，布局分布式电站市场，提升上市公司盈利能力，</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47"/>
              <w:jc w:val="left"/>
              <w:rPr>
                <w:rFonts w:ascii="宋体" w:hAnsi="宋体" w:cs="宋体" w:eastAsia="宋体" w:hint="default"/>
                <w:sz w:val="18"/>
                <w:szCs w:val="18"/>
              </w:rPr>
            </w:pPr>
            <w:r>
              <w:rPr>
                <w:rFonts w:ascii="宋体" w:hAnsi="宋体" w:cs="宋体" w:eastAsia="宋体" w:hint="default"/>
                <w:sz w:val="18"/>
                <w:szCs w:val="18"/>
              </w:rPr>
              <w:t>新疆爱康慧诚信息技术有限公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集中资源优势聚焦主业，实现公司利益最大化</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left"/>
              <w:rPr>
                <w:rFonts w:ascii="宋体" w:hAnsi="宋体" w:cs="宋体" w:eastAsia="宋体" w:hint="default"/>
                <w:sz w:val="18"/>
                <w:szCs w:val="18"/>
              </w:rPr>
            </w:pPr>
            <w:r>
              <w:rPr>
                <w:rFonts w:ascii="宋体" w:hAnsi="宋体" w:cs="宋体" w:eastAsia="宋体" w:hint="default"/>
                <w:spacing w:val="-4"/>
                <w:sz w:val="18"/>
                <w:szCs w:val="18"/>
              </w:rPr>
              <w:t>碳金库（北京）投资管理有限公</w:t>
            </w:r>
            <w:r>
              <w:rPr>
                <w:rFonts w:ascii="宋体" w:hAnsi="宋体" w:cs="宋体" w:eastAsia="宋体" w:hint="default"/>
                <w:sz w:val="18"/>
                <w:szCs w:val="18"/>
              </w:rPr>
              <w:t>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集中资源优势聚焦主业，实现公司利益最大化</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北京碳诺信科技有限公司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集中资源优势聚焦主业，实现公司利益最大化</w:t>
            </w:r>
          </w:p>
        </w:tc>
      </w:tr>
      <w:tr>
        <w:trPr>
          <w:trHeight w:val="403"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522"/>
        <w:gridCol w:w="1678"/>
        <w:gridCol w:w="5495"/>
      </w:tblGrid>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合同公司阳光产业园</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5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优化资源配置，降低负债率</w:t>
            </w: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盛能国际贸易（上海）有限公司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黑龙江省九三农垦昱辉太阳能 发电有限公司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围场满族蒙古族自治县爱康太 阳能发电有限公司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泗水鑫阳新能源电力有限公司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西吉县中康电力开发有限公司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乌兰察布爱康新能源发电有限 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布拖县中康电力开发有限公司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鄂尔多斯市爱康兴兆新能源有 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昌江爱康电力开发有限公司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元氏县爱康新能源开发有限公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镇赉县爱康电力有限公司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沭阳爱康新能源开发有限公司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巴林左旗爱康电力开发有限公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巴彦淖尔市爱康新能源有限公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海兴宏润华夏能源有限公司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芜湖爱康电力开发有限公司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康保县爱康新能源开发有限公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莘县爱康新能源有限公司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韩城市爱康电力开发有限公司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正定县爱康新能源开发有限公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大同市爱康新能源有限公司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承德县爱康太阳能发电有限公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隆尧县瑜康新能源科技有限公 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2522"/>
        <w:gridCol w:w="1678"/>
        <w:gridCol w:w="5495"/>
      </w:tblGrid>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定边中康光伏发电有限公司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白山中康电力开发有限公司</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第三合同会社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第四合同会社</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54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主要控股参股公司情况说明</w:t>
      </w:r>
    </w:p>
    <w:p>
      <w:pPr>
        <w:pStyle w:val="BodyText"/>
        <w:spacing w:line="312" w:lineRule="auto" w:before="116"/>
        <w:ind w:right="0"/>
        <w:jc w:val="left"/>
      </w:pPr>
      <w:r>
        <w:rPr>
          <w:rFonts w:ascii="宋体" w:hAnsi="宋体" w:cs="宋体" w:eastAsia="宋体" w:hint="default"/>
        </w:rPr>
        <w:t>1.</w:t>
      </w:r>
      <w:r>
        <w:rPr/>
        <w:t>赣州发展融资租赁有限责任公司，营业范围包括融资租赁、企业项目投资管理与咨询等，公司直接持有</w:t>
      </w:r>
      <w:r>
        <w:rPr>
          <w:rFonts w:ascii="Times New Roman" w:hAnsi="Times New Roman" w:cs="Times New Roman" w:eastAsia="Times New Roman" w:hint="default"/>
        </w:rPr>
        <w:t>40%</w:t>
      </w:r>
      <w:r>
        <w:rPr/>
        <w:t>股权。</w:t>
      </w:r>
      <w:r>
        <w:rPr>
          <w:rFonts w:ascii="Times New Roman" w:hAnsi="Times New Roman" w:cs="Times New Roman" w:eastAsia="Times New Roman" w:hint="default"/>
        </w:rPr>
        <w:t>2017 </w:t>
      </w:r>
      <w:r>
        <w:rPr/>
        <w:t>年营业收入</w:t>
      </w:r>
      <w:r>
        <w:rPr>
          <w:rFonts w:ascii="Times New Roman" w:hAnsi="Times New Roman" w:cs="Times New Roman" w:eastAsia="Times New Roman" w:hint="default"/>
        </w:rPr>
        <w:t>2.11</w:t>
      </w:r>
      <w:r>
        <w:rPr/>
        <w:t>亿元，净利润</w:t>
      </w:r>
      <w:r>
        <w:rPr>
          <w:rFonts w:ascii="Times New Roman" w:hAnsi="Times New Roman" w:cs="Times New Roman" w:eastAsia="Times New Roman" w:hint="default"/>
        </w:rPr>
        <w:t>0.6</w:t>
      </w:r>
      <w:r>
        <w:rPr/>
        <w:t>亿元。 </w:t>
      </w:r>
      <w:r>
        <w:rPr>
          <w:rFonts w:ascii="宋体" w:hAnsi="宋体" w:cs="宋体" w:eastAsia="宋体" w:hint="default"/>
        </w:rPr>
        <w:t>2.</w:t>
      </w:r>
      <w:r>
        <w:rPr/>
        <w:t>苏州爱康能源工程技术股份有限公司，营业范围包括能源工程技术服务；新能源发电工程设计；</w:t>
      </w:r>
      <w:r>
        <w:rPr>
          <w:rFonts w:ascii="宋体" w:hAnsi="宋体" w:cs="宋体" w:eastAsia="宋体" w:hint="default"/>
        </w:rPr>
        <w:t>EPC</w:t>
      </w:r>
      <w:r>
        <w:rPr/>
        <w:t>工程管理服务等。本 公司于</w:t>
      </w:r>
      <w:r>
        <w:rPr>
          <w:rFonts w:ascii="宋体" w:hAnsi="宋体" w:cs="宋体" w:eastAsia="宋体" w:hint="default"/>
        </w:rPr>
        <w:t>2017</w:t>
      </w:r>
      <w:r>
        <w:rPr/>
        <w:t>年</w:t>
      </w:r>
      <w:r>
        <w:rPr>
          <w:rFonts w:ascii="宋体" w:hAnsi="宋体" w:cs="宋体" w:eastAsia="宋体" w:hint="default"/>
        </w:rPr>
        <w:t>8</w:t>
      </w:r>
      <w:r>
        <w:rPr/>
        <w:t>月</w:t>
      </w:r>
      <w:r>
        <w:rPr>
          <w:rFonts w:ascii="宋体" w:hAnsi="宋体" w:cs="宋体" w:eastAsia="宋体" w:hint="default"/>
        </w:rPr>
        <w:t>23</w:t>
      </w:r>
      <w:r>
        <w:rPr/>
        <w:t>日召开的第三届董事会第十九次临时会议和</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日召开的</w:t>
      </w:r>
      <w:r>
        <w:rPr>
          <w:rFonts w:ascii="宋体" w:hAnsi="宋体" w:cs="宋体" w:eastAsia="宋体" w:hint="default"/>
        </w:rPr>
        <w:t>2017</w:t>
      </w:r>
      <w:r>
        <w:rPr/>
        <w:t>年第七次临时股东大会审议通过 </w:t>
      </w:r>
      <w:r>
        <w:rPr>
          <w:spacing w:val="-2"/>
        </w:rPr>
        <w:t>了《关于收购能源工程部分股权暨关联交易的议案》，收购其</w:t>
      </w:r>
      <w:r>
        <w:rPr>
          <w:rFonts w:ascii="宋体" w:hAnsi="宋体" w:cs="宋体" w:eastAsia="宋体" w:hint="default"/>
          <w:spacing w:val="-2"/>
        </w:rPr>
        <w:t>38.4%</w:t>
      </w:r>
      <w:r>
        <w:rPr>
          <w:spacing w:val="-2"/>
        </w:rPr>
        <w:t>的股权，截止</w:t>
      </w:r>
      <w:r>
        <w:rPr>
          <w:rFonts w:ascii="宋体" w:hAnsi="宋体" w:cs="宋体" w:eastAsia="宋体" w:hint="default"/>
          <w:spacing w:val="-2"/>
        </w:rPr>
        <w:t>2017</w:t>
      </w:r>
      <w:r>
        <w:rPr>
          <w:spacing w:val="-2"/>
        </w:rPr>
        <w:t>年末，公司已完成</w:t>
      </w:r>
      <w:r>
        <w:rPr>
          <w:rFonts w:ascii="宋体" w:hAnsi="宋体" w:cs="宋体" w:eastAsia="宋体" w:hint="default"/>
          <w:spacing w:val="-2"/>
        </w:rPr>
        <w:t>37.64%</w:t>
      </w:r>
      <w:r>
        <w:rPr>
          <w:spacing w:val="-2"/>
        </w:rPr>
        <w:t>的股权收购。</w:t>
      </w:r>
      <w:r>
        <w:rPr>
          <w:spacing w:val="-51"/>
        </w:rPr>
        <w:t> </w:t>
      </w:r>
      <w:r>
        <w:rPr>
          <w:rFonts w:ascii="宋体" w:hAnsi="宋体" w:cs="宋体" w:eastAsia="宋体" w:hint="default"/>
        </w:rPr>
        <w:t>2017</w:t>
      </w:r>
      <w:r>
        <w:rPr/>
        <w:t>年营业收入</w:t>
      </w:r>
      <w:r>
        <w:rPr>
          <w:rFonts w:ascii="宋体" w:hAnsi="宋体" w:cs="宋体" w:eastAsia="宋体" w:hint="default"/>
        </w:rPr>
        <w:t>16.46</w:t>
      </w:r>
      <w:r>
        <w:rPr/>
        <w:t>亿元，净利润</w:t>
      </w:r>
      <w:r>
        <w:rPr>
          <w:rFonts w:ascii="宋体" w:hAnsi="宋体" w:cs="宋体" w:eastAsia="宋体" w:hint="default"/>
        </w:rPr>
        <w:t>1.60</w:t>
      </w:r>
      <w:r>
        <w:rPr/>
        <w:t>亿元。</w:t>
      </w:r>
    </w:p>
    <w:p>
      <w:pPr>
        <w:spacing w:line="240" w:lineRule="auto" w:before="0"/>
        <w:rPr>
          <w:rFonts w:ascii="宋体" w:hAnsi="宋体" w:cs="宋体" w:eastAsia="宋体" w:hint="default"/>
          <w:sz w:val="21"/>
          <w:szCs w:val="21"/>
        </w:rPr>
      </w:pPr>
    </w:p>
    <w:p>
      <w:pPr>
        <w:pStyle w:val="Heading2"/>
        <w:spacing w:line="240" w:lineRule="auto"/>
        <w:ind w:right="1122"/>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9"/>
        <w:rPr>
          <w:rFonts w:ascii="宋体" w:hAnsi="宋体" w:cs="宋体" w:eastAsia="宋体" w:hint="default"/>
          <w:b/>
          <w:bCs/>
          <w:sz w:val="26"/>
          <w:szCs w:val="26"/>
        </w:rPr>
      </w:pPr>
    </w:p>
    <w:p>
      <w:pPr>
        <w:pStyle w:val="Heading4"/>
        <w:spacing w:line="240" w:lineRule="auto"/>
        <w:ind w:left="153" w:right="1122"/>
        <w:jc w:val="left"/>
        <w:rPr>
          <w:b w:val="0"/>
          <w:bCs w:val="0"/>
        </w:rPr>
      </w:pPr>
      <w:r>
        <w:rPr/>
        <w:t>（一）行业的竞争格局及发展趋势</w:t>
      </w:r>
      <w:r>
        <w:rPr>
          <w:b w:val="0"/>
          <w:bCs w:val="0"/>
        </w:rPr>
      </w:r>
    </w:p>
    <w:p>
      <w:pPr>
        <w:pStyle w:val="BodyText"/>
        <w:spacing w:line="290" w:lineRule="auto" w:before="115"/>
        <w:ind w:right="1132" w:firstLine="420"/>
        <w:jc w:val="both"/>
      </w:pPr>
      <w:r>
        <w:rPr>
          <w:rFonts w:ascii="Calibri" w:hAnsi="Calibri" w:cs="Calibri" w:eastAsia="Calibri" w:hint="default"/>
          <w:spacing w:val="-1"/>
        </w:rPr>
        <w:t>1</w:t>
      </w:r>
      <w:r>
        <w:rPr>
          <w:spacing w:val="-1"/>
        </w:rPr>
        <w:t>、光伏发电行业继续保持快速和稳步的发展。截至</w:t>
      </w:r>
      <w:r>
        <w:rPr>
          <w:rFonts w:ascii="Calibri" w:hAnsi="Calibri" w:cs="Calibri" w:eastAsia="Calibri" w:hint="default"/>
          <w:spacing w:val="-1"/>
        </w:rPr>
        <w:t>2017</w:t>
      </w:r>
      <w:r>
        <w:rPr>
          <w:spacing w:val="-1"/>
        </w:rPr>
        <w:t>年底，全球光伏新增装机量为</w:t>
      </w:r>
      <w:r>
        <w:rPr>
          <w:rFonts w:ascii="Calibri" w:hAnsi="Calibri" w:cs="Calibri" w:eastAsia="Calibri" w:hint="default"/>
          <w:spacing w:val="-1"/>
        </w:rPr>
        <w:t>102GW</w:t>
      </w:r>
      <w:r>
        <w:rPr>
          <w:spacing w:val="-1"/>
        </w:rPr>
        <w:t>，同比增长</w:t>
      </w:r>
      <w:r>
        <w:rPr>
          <w:rFonts w:ascii="Calibri" w:hAnsi="Calibri" w:cs="Calibri" w:eastAsia="Calibri" w:hint="default"/>
          <w:spacing w:val="-1"/>
        </w:rPr>
        <w:t>37%</w:t>
      </w:r>
      <w:r>
        <w:rPr>
          <w:spacing w:val="-1"/>
        </w:rPr>
        <w:t>，全球累</w:t>
      </w:r>
      <w:r>
        <w:rPr/>
        <w:t> </w:t>
      </w:r>
      <w:r>
        <w:rPr>
          <w:spacing w:val="-2"/>
        </w:rPr>
        <w:t>计光伏容量达到</w:t>
      </w:r>
      <w:r>
        <w:rPr>
          <w:rFonts w:ascii="Calibri" w:hAnsi="Calibri" w:cs="Calibri" w:eastAsia="Calibri" w:hint="default"/>
          <w:spacing w:val="-2"/>
        </w:rPr>
        <w:t>405GW</w:t>
      </w:r>
      <w:r>
        <w:rPr>
          <w:spacing w:val="-2"/>
        </w:rPr>
        <w:t>。作为节能减排，实现生态、节约、可持续发展国家意志的体现，中国政府对于包括光伏在内的新能</w:t>
      </w:r>
      <w:r>
        <w:rPr>
          <w:spacing w:val="-69"/>
        </w:rPr>
        <w:t> </w:t>
      </w:r>
      <w:r>
        <w:rPr>
          <w:spacing w:val="-69"/>
        </w:rPr>
      </w:r>
      <w:r>
        <w:rPr/>
        <w:t>源产业的发展给予了巨大的政策扶持。</w:t>
      </w:r>
      <w:r>
        <w:rPr>
          <w:rFonts w:ascii="Calibri" w:hAnsi="Calibri" w:cs="Calibri" w:eastAsia="Calibri" w:hint="default"/>
        </w:rPr>
        <w:t>2017</w:t>
      </w:r>
      <w:r>
        <w:rPr/>
        <w:t>年光伏发电市场规模快速扩大，新增装机</w:t>
      </w:r>
      <w:r>
        <w:rPr>
          <w:rFonts w:ascii="Calibri" w:hAnsi="Calibri" w:cs="Calibri" w:eastAsia="Calibri" w:hint="default"/>
        </w:rPr>
        <w:t>5306</w:t>
      </w:r>
      <w:r>
        <w:rPr/>
        <w:t>万千瓦，其中，光伏电站</w:t>
      </w:r>
      <w:r>
        <w:rPr>
          <w:rFonts w:ascii="Calibri" w:hAnsi="Calibri" w:cs="Calibri" w:eastAsia="Calibri" w:hint="default"/>
        </w:rPr>
        <w:t>3362</w:t>
      </w:r>
      <w:r>
        <w:rPr/>
        <w:t>万</w:t>
      </w:r>
      <w:r>
        <w:rPr>
          <w:spacing w:val="-19"/>
        </w:rPr>
        <w:t> </w:t>
      </w:r>
      <w:r>
        <w:rPr>
          <w:spacing w:val="-1"/>
        </w:rPr>
        <w:t>千瓦，同比增加</w:t>
      </w:r>
      <w:r>
        <w:rPr>
          <w:rFonts w:ascii="Calibri" w:hAnsi="Calibri" w:cs="Calibri" w:eastAsia="Calibri" w:hint="default"/>
          <w:spacing w:val="-1"/>
        </w:rPr>
        <w:t>11%;</w:t>
      </w:r>
      <w:r>
        <w:rPr>
          <w:spacing w:val="-1"/>
        </w:rPr>
        <w:t>分布式光伏</w:t>
      </w:r>
      <w:r>
        <w:rPr>
          <w:rFonts w:ascii="Calibri" w:hAnsi="Calibri" w:cs="Calibri" w:eastAsia="Calibri" w:hint="default"/>
          <w:spacing w:val="-1"/>
        </w:rPr>
        <w:t>1944</w:t>
      </w:r>
      <w:r>
        <w:rPr>
          <w:spacing w:val="-1"/>
        </w:rPr>
        <w:t>万千瓦，同比增长</w:t>
      </w:r>
      <w:r>
        <w:rPr>
          <w:rFonts w:ascii="Calibri" w:hAnsi="Calibri" w:cs="Calibri" w:eastAsia="Calibri" w:hint="default"/>
          <w:spacing w:val="-1"/>
        </w:rPr>
        <w:t>3.7</w:t>
      </w:r>
      <w:r>
        <w:rPr>
          <w:spacing w:val="-1"/>
        </w:rPr>
        <w:t>倍。到</w:t>
      </w:r>
      <w:r>
        <w:rPr>
          <w:rFonts w:ascii="Calibri" w:hAnsi="Calibri" w:cs="Calibri" w:eastAsia="Calibri" w:hint="default"/>
          <w:spacing w:val="-1"/>
        </w:rPr>
        <w:t>12</w:t>
      </w:r>
      <w:r>
        <w:rPr>
          <w:spacing w:val="-1"/>
        </w:rPr>
        <w:t>月底，全国光伏发电装机达到</w:t>
      </w:r>
      <w:r>
        <w:rPr>
          <w:rFonts w:ascii="Calibri" w:hAnsi="Calibri" w:cs="Calibri" w:eastAsia="Calibri" w:hint="default"/>
          <w:spacing w:val="-1"/>
        </w:rPr>
        <w:t>1.3</w:t>
      </w:r>
      <w:r>
        <w:rPr>
          <w:spacing w:val="-1"/>
        </w:rPr>
        <w:t>亿千瓦，其中，光伏电</w:t>
      </w:r>
      <w:r>
        <w:rPr>
          <w:spacing w:val="-45"/>
        </w:rPr>
        <w:t> </w:t>
      </w:r>
      <w:r>
        <w:rPr>
          <w:spacing w:val="-45"/>
        </w:rPr>
      </w:r>
      <w:r>
        <w:rPr/>
        <w:t>站</w:t>
      </w:r>
      <w:r>
        <w:rPr>
          <w:rFonts w:ascii="Calibri" w:hAnsi="Calibri" w:cs="Calibri" w:eastAsia="Calibri" w:hint="default"/>
        </w:rPr>
        <w:t>10059</w:t>
      </w:r>
      <w:r>
        <w:rPr/>
        <w:t>万千瓦，分布式光伏</w:t>
      </w:r>
      <w:r>
        <w:rPr>
          <w:rFonts w:ascii="Calibri" w:hAnsi="Calibri" w:cs="Calibri" w:eastAsia="Calibri" w:hint="default"/>
        </w:rPr>
        <w:t>2966</w:t>
      </w:r>
      <w:r>
        <w:rPr/>
        <w:t>万千瓦。</w:t>
      </w:r>
      <w:r>
        <w:rPr>
          <w:rFonts w:ascii="Calibri" w:hAnsi="Calibri" w:cs="Calibri" w:eastAsia="Calibri" w:hint="default"/>
        </w:rPr>
        <w:t>2017</w:t>
      </w:r>
      <w:r>
        <w:rPr/>
        <w:t>年累计装机量位列全球第一，新增光伏装机连续三年保持全球第一。</w:t>
      </w:r>
    </w:p>
    <w:p>
      <w:pPr>
        <w:pStyle w:val="BodyText"/>
        <w:spacing w:line="297" w:lineRule="auto" w:before="47"/>
        <w:ind w:right="1130" w:firstLine="420"/>
        <w:jc w:val="both"/>
      </w:pPr>
      <w:r>
        <w:rPr>
          <w:rFonts w:ascii="Calibri" w:hAnsi="Calibri" w:cs="Calibri" w:eastAsia="Calibri" w:hint="default"/>
          <w:spacing w:val="-2"/>
        </w:rPr>
        <w:t>2</w:t>
      </w:r>
      <w:r>
        <w:rPr>
          <w:spacing w:val="-2"/>
        </w:rPr>
        <w:t>、光伏发电地域发展逐步均衡。因光照和土地因素影响，过去国内光伏装机主要集中在甘肃、新疆、青海、内蒙古等</w:t>
      </w:r>
      <w:r>
        <w:rPr/>
        <w:t> </w:t>
      </w:r>
      <w:r>
        <w:rPr>
          <w:spacing w:val="-2"/>
        </w:rPr>
        <w:t>西北部地区，过度建设导致光伏发电产能出现区域性过剩，上述地区出现了较为严重的弃光限电问题，严重影响了光伏发电</w:t>
      </w:r>
      <w:r>
        <w:rPr>
          <w:spacing w:val="-66"/>
        </w:rPr>
        <w:t> </w:t>
      </w:r>
      <w:r>
        <w:rPr>
          <w:spacing w:val="-66"/>
        </w:rPr>
      </w:r>
      <w:r>
        <w:rPr>
          <w:spacing w:val="-1"/>
        </w:rPr>
        <w:t>行业整体的收益水平和投资的积极性。</w:t>
      </w:r>
      <w:r>
        <w:rPr>
          <w:rFonts w:ascii="Calibri" w:hAnsi="Calibri" w:cs="Calibri" w:eastAsia="Calibri" w:hint="default"/>
          <w:spacing w:val="-1"/>
        </w:rPr>
        <w:t>2017</w:t>
      </w:r>
      <w:r>
        <w:rPr>
          <w:spacing w:val="-1"/>
        </w:rPr>
        <w:t>年，全国光伏发电量</w:t>
      </w:r>
      <w:r>
        <w:rPr>
          <w:rFonts w:ascii="Calibri" w:hAnsi="Calibri" w:cs="Calibri" w:eastAsia="Calibri" w:hint="default"/>
          <w:spacing w:val="-1"/>
        </w:rPr>
        <w:t>1182</w:t>
      </w:r>
      <w:r>
        <w:rPr>
          <w:spacing w:val="-1"/>
        </w:rPr>
        <w:t>亿千瓦时，弃光电量</w:t>
      </w:r>
      <w:r>
        <w:rPr>
          <w:rFonts w:ascii="Calibri" w:hAnsi="Calibri" w:cs="Calibri" w:eastAsia="Calibri" w:hint="default"/>
          <w:spacing w:val="-1"/>
        </w:rPr>
        <w:t>73</w:t>
      </w:r>
      <w:r>
        <w:rPr>
          <w:spacing w:val="-1"/>
        </w:rPr>
        <w:t>亿千瓦时，弃光率</w:t>
      </w:r>
      <w:r>
        <w:rPr>
          <w:rFonts w:ascii="Calibri" w:hAnsi="Calibri" w:cs="Calibri" w:eastAsia="Calibri" w:hint="default"/>
          <w:spacing w:val="-1"/>
        </w:rPr>
        <w:t>6</w:t>
      </w:r>
      <w:r>
        <w:rPr>
          <w:spacing w:val="-1"/>
        </w:rPr>
        <w:t>％，同比下</w:t>
      </w:r>
      <w:r>
        <w:rPr>
          <w:spacing w:val="-50"/>
        </w:rPr>
        <w:t> </w:t>
      </w:r>
      <w:r>
        <w:rPr>
          <w:spacing w:val="-50"/>
        </w:rPr>
      </w:r>
      <w:r>
        <w:rPr/>
        <w:t>降</w:t>
      </w:r>
      <w:r>
        <w:rPr>
          <w:rFonts w:ascii="Calibri" w:hAnsi="Calibri" w:cs="Calibri" w:eastAsia="Calibri" w:hint="default"/>
        </w:rPr>
        <w:t>4</w:t>
      </w:r>
      <w:r>
        <w:rPr/>
        <w:t>．</w:t>
      </w:r>
      <w:r>
        <w:rPr>
          <w:rFonts w:ascii="Calibri" w:hAnsi="Calibri" w:cs="Calibri" w:eastAsia="Calibri" w:hint="default"/>
        </w:rPr>
        <w:t>3</w:t>
      </w:r>
      <w:r>
        <w:rPr/>
        <w:t>个百分点。弃光率有所下降。</w:t>
      </w:r>
      <w:r>
        <w:rPr>
          <w:rFonts w:ascii="Calibri" w:hAnsi="Calibri" w:cs="Calibri" w:eastAsia="Calibri" w:hint="default"/>
        </w:rPr>
        <w:t>2016</w:t>
      </w:r>
      <w:r>
        <w:rPr/>
        <w:t>年以来中东部地区光伏发电的扩张速度明显加快，按照十三五规划到</w:t>
      </w:r>
      <w:r>
        <w:rPr>
          <w:rFonts w:ascii="Calibri" w:hAnsi="Calibri" w:cs="Calibri" w:eastAsia="Calibri" w:hint="default"/>
        </w:rPr>
        <w:t>2020</w:t>
      </w:r>
      <w:r>
        <w:rPr/>
        <w:t>年底西</w:t>
      </w:r>
      <w:r>
        <w:rPr>
          <w:spacing w:val="-16"/>
        </w:rPr>
        <w:t> </w:t>
      </w:r>
      <w:r>
        <w:rPr/>
        <w:t>部地区占太阳能发电总装机容量的</w:t>
      </w:r>
      <w:r>
        <w:rPr>
          <w:rFonts w:ascii="Calibri" w:hAnsi="Calibri" w:cs="Calibri" w:eastAsia="Calibri" w:hint="default"/>
        </w:rPr>
        <w:t>35%</w:t>
      </w:r>
      <w:r>
        <w:rPr/>
        <w:t>，中东部地区占比</w:t>
      </w:r>
      <w:r>
        <w:rPr>
          <w:rFonts w:ascii="Calibri" w:hAnsi="Calibri" w:cs="Calibri" w:eastAsia="Calibri" w:hint="default"/>
        </w:rPr>
        <w:t>65%</w:t>
      </w:r>
      <w:r>
        <w:rPr/>
        <w:t>，中东部地区光伏发展迎来发展良机。</w:t>
      </w:r>
    </w:p>
    <w:p>
      <w:pPr>
        <w:pStyle w:val="BodyText"/>
        <w:spacing w:line="295" w:lineRule="auto" w:before="39"/>
        <w:ind w:right="0" w:firstLine="420"/>
        <w:jc w:val="left"/>
      </w:pPr>
      <w:r>
        <w:rPr>
          <w:rFonts w:ascii="Calibri" w:hAnsi="Calibri" w:cs="Calibri" w:eastAsia="Calibri" w:hint="default"/>
        </w:rPr>
        <w:t>3</w:t>
      </w:r>
      <w:r>
        <w:rPr/>
        <w:t>、光伏扶贫成为发展亮点。光伏发电清洁环保，技术可靠，收益稳定，符合精准扶贫战略，又符合国家清洁低碳能源 </w:t>
      </w:r>
      <w:r>
        <w:rPr>
          <w:spacing w:val="-2"/>
        </w:rPr>
        <w:t>发展战略，各地区将光伏扶贫作为资产收益扶贫的重要方式。近期，国家发改委、国务院扶贫开发领导小组办公室、国家能</w:t>
      </w:r>
      <w:r>
        <w:rPr>
          <w:spacing w:val="-66"/>
        </w:rPr>
        <w:t> </w:t>
      </w:r>
      <w:r>
        <w:rPr>
          <w:spacing w:val="-66"/>
        </w:rPr>
      </w:r>
      <w:r>
        <w:rPr>
          <w:spacing w:val="-2"/>
        </w:rPr>
        <w:t>源局、国家开发银行、中国农业发展银行联合下发《关于光伏发电扶贫工作的意见》。《意见》显示，</w:t>
      </w:r>
      <w:r>
        <w:rPr>
          <w:rFonts w:ascii="Calibri" w:hAnsi="Calibri" w:cs="Calibri" w:eastAsia="Calibri" w:hint="default"/>
          <w:spacing w:val="-2"/>
        </w:rPr>
        <w:t>2020</w:t>
      </w:r>
      <w:r>
        <w:rPr>
          <w:spacing w:val="-2"/>
        </w:rPr>
        <w:t>年之前，重点在</w:t>
      </w:r>
      <w:r>
        <w:rPr>
          <w:spacing w:val="-71"/>
        </w:rPr>
        <w:t> </w:t>
      </w:r>
      <w:r>
        <w:rPr>
          <w:spacing w:val="-71"/>
        </w:rPr>
      </w:r>
      <w:r>
        <w:rPr/>
        <w:t>前期开展试点的、光照条件好的</w:t>
      </w:r>
      <w:r>
        <w:rPr>
          <w:rFonts w:ascii="Calibri" w:hAnsi="Calibri" w:cs="Calibri" w:eastAsia="Calibri" w:hint="default"/>
        </w:rPr>
        <w:t>16</w:t>
      </w:r>
      <w:r>
        <w:rPr/>
        <w:t>个省</w:t>
      </w:r>
      <w:r>
        <w:rPr>
          <w:rFonts w:ascii="Calibri" w:hAnsi="Calibri" w:cs="Calibri" w:eastAsia="Calibri" w:hint="default"/>
        </w:rPr>
        <w:t>471</w:t>
      </w:r>
      <w:r>
        <w:rPr/>
        <w:t>个县的约</w:t>
      </w:r>
      <w:r>
        <w:rPr>
          <w:rFonts w:ascii="Calibri" w:hAnsi="Calibri" w:cs="Calibri" w:eastAsia="Calibri" w:hint="default"/>
        </w:rPr>
        <w:t>3.5</w:t>
      </w:r>
      <w:r>
        <w:rPr/>
        <w:t>万个建档立卡贫困村开展光伏扶贫工作，保障</w:t>
      </w:r>
      <w:r>
        <w:rPr>
          <w:rFonts w:ascii="Calibri" w:hAnsi="Calibri" w:cs="Calibri" w:eastAsia="Calibri" w:hint="default"/>
        </w:rPr>
        <w:t>280</w:t>
      </w:r>
      <w:r>
        <w:rPr/>
        <w:t>万建档立卡无劳动</w:t>
      </w:r>
      <w:r>
        <w:rPr>
          <w:spacing w:val="-60"/>
        </w:rPr>
        <w:t> </w:t>
      </w:r>
      <w:r>
        <w:rPr>
          <w:spacing w:val="-60"/>
        </w:rPr>
      </w:r>
      <w:r>
        <w:rPr>
          <w:spacing w:val="-4"/>
        </w:rPr>
        <w:t>力贫困户每年每户增收</w:t>
      </w:r>
      <w:r>
        <w:rPr>
          <w:rFonts w:ascii="Calibri" w:hAnsi="Calibri" w:cs="Calibri" w:eastAsia="Calibri" w:hint="default"/>
          <w:spacing w:val="-4"/>
        </w:rPr>
        <w:t>3000</w:t>
      </w:r>
      <w:r>
        <w:rPr>
          <w:spacing w:val="-4"/>
        </w:rPr>
        <w:t>元以上。鉴于光伏扶贫主要以规模较小的分布式电站为主，且有当地政府的信用背书和金融支持，</w:t>
      </w:r>
      <w:r>
        <w:rPr>
          <w:spacing w:val="-44"/>
        </w:rPr>
        <w:t> </w:t>
      </w:r>
      <w:r>
        <w:rPr>
          <w:spacing w:val="-44"/>
        </w:rPr>
      </w:r>
      <w:r>
        <w:rPr/>
        <w:t>电费收入将会相对稳定，拖欠补贴和限电问题较小，预计未来该领域将成为光伏行业较有特色的战场。</w:t>
      </w:r>
    </w:p>
    <w:p>
      <w:pPr>
        <w:pStyle w:val="BodyText"/>
        <w:spacing w:line="290" w:lineRule="auto" w:before="73"/>
        <w:ind w:right="1130" w:firstLine="420"/>
        <w:jc w:val="both"/>
      </w:pPr>
      <w:r>
        <w:rPr>
          <w:rFonts w:ascii="Calibri" w:hAnsi="Calibri" w:cs="Calibri" w:eastAsia="Calibri" w:hint="default"/>
          <w:spacing w:val="-2"/>
        </w:rPr>
        <w:t>4</w:t>
      </w:r>
      <w:r>
        <w:rPr>
          <w:spacing w:val="-2"/>
        </w:rPr>
        <w:t>、户用光伏成为行业的一个新亮点。中国分布式光伏发电呈现爆发式增长。与</w:t>
      </w:r>
      <w:r>
        <w:rPr>
          <w:rFonts w:ascii="Calibri" w:hAnsi="Calibri" w:cs="Calibri" w:eastAsia="Calibri" w:hint="default"/>
          <w:spacing w:val="-2"/>
        </w:rPr>
        <w:t>2016</w:t>
      </w:r>
      <w:r>
        <w:rPr>
          <w:spacing w:val="-2"/>
        </w:rPr>
        <w:t>年相比，</w:t>
      </w:r>
      <w:r>
        <w:rPr>
          <w:rFonts w:ascii="Calibri" w:hAnsi="Calibri" w:cs="Calibri" w:eastAsia="Calibri" w:hint="default"/>
          <w:spacing w:val="-2"/>
        </w:rPr>
        <w:t>2017</w:t>
      </w:r>
      <w:r>
        <w:rPr>
          <w:spacing w:val="-2"/>
        </w:rPr>
        <w:t>年地面电站同比增长</w:t>
      </w:r>
      <w:r>
        <w:rPr/>
        <w:t> 率由去年</w:t>
      </w:r>
      <w:r>
        <w:rPr>
          <w:rFonts w:ascii="Calibri" w:hAnsi="Calibri" w:cs="Calibri" w:eastAsia="Calibri" w:hint="default"/>
        </w:rPr>
        <w:t>118%</w:t>
      </w:r>
      <w:r>
        <w:rPr/>
        <w:t>下降到</w:t>
      </w:r>
      <w:r>
        <w:rPr>
          <w:rFonts w:ascii="Calibri" w:hAnsi="Calibri" w:cs="Calibri" w:eastAsia="Calibri" w:hint="default"/>
        </w:rPr>
        <w:t>3%</w:t>
      </w:r>
      <w:r>
        <w:rPr/>
        <w:t>，而分布式光伏电站同比增长率由去年的</w:t>
      </w:r>
      <w:r>
        <w:rPr>
          <w:rFonts w:ascii="Calibri" w:hAnsi="Calibri" w:cs="Calibri" w:eastAsia="Calibri" w:hint="default"/>
        </w:rPr>
        <w:t>206%</w:t>
      </w:r>
      <w:r>
        <w:rPr/>
        <w:t>上升至</w:t>
      </w:r>
      <w:r>
        <w:rPr>
          <w:rFonts w:ascii="Calibri" w:hAnsi="Calibri" w:cs="Calibri" w:eastAsia="Calibri" w:hint="default"/>
        </w:rPr>
        <w:t>300%</w:t>
      </w:r>
      <w:r>
        <w:rPr/>
        <w:t>，分布式光伏在新增光伏市场中占比由</w:t>
      </w:r>
      <w:r>
        <w:rPr>
          <w:spacing w:val="-6"/>
        </w:rPr>
        <w:t> </w:t>
      </w:r>
      <w:r>
        <w:rPr>
          <w:spacing w:val="-6"/>
        </w:rPr>
      </w:r>
      <w:r>
        <w:rPr>
          <w:rFonts w:ascii="Calibri" w:hAnsi="Calibri" w:cs="Calibri" w:eastAsia="Calibri" w:hint="default"/>
          <w:spacing w:val="-2"/>
        </w:rPr>
        <w:t>12%</w:t>
      </w:r>
      <w:r>
        <w:rPr>
          <w:spacing w:val="-2"/>
        </w:rPr>
        <w:t>提升至</w:t>
      </w:r>
      <w:r>
        <w:rPr>
          <w:rFonts w:ascii="Calibri" w:hAnsi="Calibri" w:cs="Calibri" w:eastAsia="Calibri" w:hint="default"/>
          <w:spacing w:val="-2"/>
        </w:rPr>
        <w:t>36%</w:t>
      </w:r>
      <w:r>
        <w:rPr>
          <w:spacing w:val="-2"/>
        </w:rPr>
        <w:t>。分布式光伏中户用光伏成为最大的发展亮点。</w:t>
      </w:r>
      <w:r>
        <w:rPr>
          <w:rFonts w:ascii="Calibri" w:hAnsi="Calibri" w:cs="Calibri" w:eastAsia="Calibri" w:hint="default"/>
          <w:spacing w:val="-2"/>
        </w:rPr>
        <w:t>2015</w:t>
      </w:r>
      <w:r>
        <w:rPr>
          <w:spacing w:val="-2"/>
        </w:rPr>
        <w:t>年我国家庭光伏并网用户仅有</w:t>
      </w:r>
      <w:r>
        <w:rPr>
          <w:rFonts w:ascii="Calibri" w:hAnsi="Calibri" w:cs="Calibri" w:eastAsia="Calibri" w:hint="default"/>
          <w:spacing w:val="-2"/>
        </w:rPr>
        <w:t>2</w:t>
      </w:r>
      <w:r>
        <w:rPr>
          <w:spacing w:val="-2"/>
        </w:rPr>
        <w:t>万户，</w:t>
      </w:r>
      <w:r>
        <w:rPr>
          <w:rFonts w:ascii="Calibri" w:hAnsi="Calibri" w:cs="Calibri" w:eastAsia="Calibri" w:hint="default"/>
          <w:spacing w:val="-2"/>
        </w:rPr>
        <w:t>2016</w:t>
      </w:r>
      <w:r>
        <w:rPr>
          <w:spacing w:val="-2"/>
        </w:rPr>
        <w:t>年新增用户为</w:t>
      </w:r>
    </w:p>
    <w:p>
      <w:pPr>
        <w:pStyle w:val="BodyText"/>
        <w:spacing w:line="290" w:lineRule="auto" w:before="7"/>
        <w:ind w:right="1122"/>
        <w:jc w:val="left"/>
      </w:pPr>
      <w:r>
        <w:rPr>
          <w:rFonts w:ascii="Calibri" w:hAnsi="Calibri" w:cs="Calibri" w:eastAsia="Calibri" w:hint="default"/>
          <w:spacing w:val="-2"/>
        </w:rPr>
        <w:t>14.98</w:t>
      </w:r>
      <w:r>
        <w:rPr>
          <w:spacing w:val="-2"/>
        </w:rPr>
        <w:t>万户，增幅达到惊人的</w:t>
      </w:r>
      <w:r>
        <w:rPr>
          <w:rFonts w:ascii="Calibri" w:hAnsi="Calibri" w:cs="Calibri" w:eastAsia="Calibri" w:hint="default"/>
          <w:spacing w:val="-2"/>
        </w:rPr>
        <w:t>749%</w:t>
      </w:r>
      <w:r>
        <w:rPr>
          <w:spacing w:val="-2"/>
        </w:rPr>
        <w:t>。</w:t>
      </w:r>
      <w:r>
        <w:rPr>
          <w:rFonts w:ascii="Calibri" w:hAnsi="Calibri" w:cs="Calibri" w:eastAsia="Calibri" w:hint="default"/>
          <w:spacing w:val="-2"/>
        </w:rPr>
        <w:t>2017</w:t>
      </w:r>
      <w:r>
        <w:rPr>
          <w:spacing w:val="-2"/>
        </w:rPr>
        <w:t>年据不完全统计已经实现新增</w:t>
      </w:r>
      <w:r>
        <w:rPr>
          <w:rFonts w:ascii="Calibri" w:hAnsi="Calibri" w:cs="Calibri" w:eastAsia="Calibri" w:hint="default"/>
          <w:spacing w:val="-2"/>
        </w:rPr>
        <w:t>50</w:t>
      </w:r>
      <w:r>
        <w:rPr>
          <w:spacing w:val="-2"/>
        </w:rPr>
        <w:t>万户，装机容量超过</w:t>
      </w:r>
      <w:r>
        <w:rPr>
          <w:rFonts w:ascii="Calibri" w:hAnsi="Calibri" w:cs="Calibri" w:eastAsia="Calibri" w:hint="default"/>
          <w:spacing w:val="-2"/>
        </w:rPr>
        <w:t>4GW</w:t>
      </w:r>
      <w:r>
        <w:rPr>
          <w:spacing w:val="-2"/>
        </w:rPr>
        <w:t>。增速达</w:t>
      </w:r>
      <w:r>
        <w:rPr>
          <w:rFonts w:ascii="Calibri" w:hAnsi="Calibri" w:cs="Calibri" w:eastAsia="Calibri" w:hint="default"/>
          <w:spacing w:val="-2"/>
        </w:rPr>
        <w:t>250%</w:t>
      </w:r>
      <w:r>
        <w:rPr>
          <w:spacing w:val="-2"/>
        </w:rPr>
        <w:t>。</w:t>
      </w:r>
      <w:r>
        <w:rPr>
          <w:rFonts w:ascii="Calibri" w:hAnsi="Calibri" w:cs="Calibri" w:eastAsia="Calibri" w:hint="default"/>
          <w:spacing w:val="-2"/>
        </w:rPr>
        <w:t>2017</w:t>
      </w:r>
      <w:r>
        <w:rPr>
          <w:spacing w:val="-2"/>
        </w:rPr>
        <w:t>年被</w:t>
      </w:r>
      <w:r>
        <w:rPr>
          <w:spacing w:val="-36"/>
        </w:rPr>
        <w:t> </w:t>
      </w:r>
      <w:r>
        <w:rPr/>
        <w:t>众多光伏人认为是户用光伏发展元年。其表现远超预期。</w:t>
      </w:r>
    </w:p>
    <w:p>
      <w:pPr>
        <w:pStyle w:val="BodyText"/>
        <w:spacing w:line="290" w:lineRule="auto" w:before="78"/>
        <w:ind w:left="154" w:right="1131" w:firstLine="420"/>
        <w:jc w:val="both"/>
      </w:pPr>
      <w:r>
        <w:rPr>
          <w:rFonts w:ascii="Calibri" w:hAnsi="Calibri" w:cs="Calibri" w:eastAsia="Calibri" w:hint="default"/>
          <w:spacing w:val="-1"/>
        </w:rPr>
        <w:t>5</w:t>
      </w:r>
      <w:r>
        <w:rPr>
          <w:spacing w:val="-1"/>
        </w:rPr>
        <w:t>、光伏</w:t>
      </w:r>
      <w:r>
        <w:rPr>
          <w:rFonts w:ascii="Calibri" w:hAnsi="Calibri" w:cs="Calibri" w:eastAsia="Calibri" w:hint="default"/>
          <w:spacing w:val="-1"/>
        </w:rPr>
        <w:t>“</w:t>
      </w:r>
      <w:r>
        <w:rPr>
          <w:spacing w:val="-1"/>
        </w:rPr>
        <w:t>领跑者</w:t>
      </w:r>
      <w:r>
        <w:rPr>
          <w:rFonts w:ascii="Calibri" w:hAnsi="Calibri" w:cs="Calibri" w:eastAsia="Calibri" w:hint="default"/>
          <w:spacing w:val="-1"/>
        </w:rPr>
        <w:t>”</w:t>
      </w:r>
      <w:r>
        <w:rPr>
          <w:spacing w:val="-1"/>
        </w:rPr>
        <w:t>计划成为各企业角逐的领域。目前已经有超过</w:t>
      </w:r>
      <w:r>
        <w:rPr>
          <w:rFonts w:ascii="Calibri" w:hAnsi="Calibri" w:cs="Calibri" w:eastAsia="Calibri" w:hint="default"/>
          <w:spacing w:val="-1"/>
        </w:rPr>
        <w:t>50</w:t>
      </w:r>
      <w:r>
        <w:rPr>
          <w:spacing w:val="-1"/>
        </w:rPr>
        <w:t>个地区在申请领跑者基地。已经开展和正在开展的三</w:t>
      </w:r>
      <w:r>
        <w:rPr/>
        <w:t> </w:t>
      </w:r>
      <w:r>
        <w:rPr>
          <w:spacing w:val="-1"/>
        </w:rPr>
        <w:t>批领跑者基地共</w:t>
      </w:r>
      <w:r>
        <w:rPr>
          <w:rFonts w:ascii="Calibri" w:hAnsi="Calibri" w:cs="Calibri" w:eastAsia="Calibri" w:hint="default"/>
          <w:spacing w:val="-1"/>
        </w:rPr>
        <w:t>22</w:t>
      </w:r>
      <w:r>
        <w:rPr>
          <w:spacing w:val="-1"/>
        </w:rPr>
        <w:t>个，领跑者基地建设采用</w:t>
      </w:r>
      <w:r>
        <w:rPr>
          <w:rFonts w:ascii="Calibri" w:hAnsi="Calibri" w:cs="Calibri" w:eastAsia="Calibri" w:hint="default"/>
          <w:spacing w:val="-1"/>
        </w:rPr>
        <w:t>“</w:t>
      </w:r>
      <w:r>
        <w:rPr>
          <w:spacing w:val="-1"/>
        </w:rPr>
        <w:t>领跑者</w:t>
      </w:r>
      <w:r>
        <w:rPr>
          <w:rFonts w:ascii="Calibri" w:hAnsi="Calibri" w:cs="Calibri" w:eastAsia="Calibri" w:hint="default"/>
          <w:spacing w:val="-1"/>
        </w:rPr>
        <w:t>”</w:t>
      </w:r>
      <w:r>
        <w:rPr>
          <w:spacing w:val="-1"/>
        </w:rPr>
        <w:t>光伏产品的领跑技术基地，为先进技术及产品提供市场支持，引领光伏</w:t>
      </w:r>
    </w:p>
    <w:p>
      <w:pPr>
        <w:spacing w:after="0" w:line="290" w:lineRule="auto"/>
        <w:jc w:val="both"/>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技术进步和产业升级。</w:t>
      </w:r>
    </w:p>
    <w:p>
      <w:pPr>
        <w:pStyle w:val="BodyText"/>
        <w:spacing w:line="290" w:lineRule="auto" w:before="115"/>
        <w:ind w:right="1130" w:firstLine="420"/>
        <w:jc w:val="both"/>
      </w:pPr>
      <w:r>
        <w:rPr>
          <w:rFonts w:ascii="Calibri" w:hAnsi="Calibri" w:cs="Calibri" w:eastAsia="Calibri" w:hint="default"/>
        </w:rPr>
        <w:t>6</w:t>
      </w:r>
      <w:r>
        <w:rPr/>
        <w:t>、持续推进分布式光伏和</w:t>
      </w:r>
      <w:r>
        <w:rPr>
          <w:rFonts w:ascii="Calibri" w:hAnsi="Calibri" w:cs="Calibri" w:eastAsia="Calibri" w:hint="default"/>
        </w:rPr>
        <w:t>“</w:t>
      </w:r>
      <w:r>
        <w:rPr/>
        <w:t>光伏</w:t>
      </w:r>
      <w:r>
        <w:rPr>
          <w:rFonts w:ascii="Calibri" w:hAnsi="Calibri" w:cs="Calibri" w:eastAsia="Calibri" w:hint="default"/>
        </w:rPr>
        <w:t>+”</w:t>
      </w:r>
      <w:r>
        <w:rPr/>
        <w:t>应用。《太阳能利用十三五发展规划》明确，继续开展分布式光伏发电应用示范区 </w:t>
      </w:r>
      <w:r>
        <w:rPr>
          <w:spacing w:val="-2"/>
        </w:rPr>
        <w:t>建设，到</w:t>
      </w:r>
      <w:r>
        <w:rPr>
          <w:rFonts w:ascii="Calibri" w:hAnsi="Calibri" w:cs="Calibri" w:eastAsia="Calibri" w:hint="default"/>
          <w:spacing w:val="-2"/>
        </w:rPr>
        <w:t>2020</w:t>
      </w:r>
      <w:r>
        <w:rPr>
          <w:spacing w:val="-2"/>
        </w:rPr>
        <w:t>年建成</w:t>
      </w:r>
      <w:r>
        <w:rPr>
          <w:rFonts w:ascii="Calibri" w:hAnsi="Calibri" w:cs="Calibri" w:eastAsia="Calibri" w:hint="default"/>
          <w:spacing w:val="-2"/>
        </w:rPr>
        <w:t>100</w:t>
      </w:r>
      <w:r>
        <w:rPr>
          <w:spacing w:val="-2"/>
        </w:rPr>
        <w:t>个分布式光伏应用示范区，园区内</w:t>
      </w:r>
      <w:r>
        <w:rPr>
          <w:rFonts w:ascii="Calibri" w:hAnsi="Calibri" w:cs="Calibri" w:eastAsia="Calibri" w:hint="default"/>
          <w:spacing w:val="-2"/>
        </w:rPr>
        <w:t>80%</w:t>
      </w:r>
      <w:r>
        <w:rPr>
          <w:spacing w:val="-2"/>
        </w:rPr>
        <w:t>的新建建筑屋顶、</w:t>
      </w:r>
      <w:r>
        <w:rPr>
          <w:rFonts w:ascii="Calibri" w:hAnsi="Calibri" w:cs="Calibri" w:eastAsia="Calibri" w:hint="default"/>
          <w:spacing w:val="-2"/>
        </w:rPr>
        <w:t>50%</w:t>
      </w:r>
      <w:r>
        <w:rPr>
          <w:spacing w:val="-2"/>
        </w:rPr>
        <w:t>的已有建筑屋顶安装光伏发电。在具备</w:t>
      </w:r>
      <w:r>
        <w:rPr>
          <w:spacing w:val="-67"/>
        </w:rPr>
        <w:t> </w:t>
      </w:r>
      <w:r>
        <w:rPr>
          <w:spacing w:val="-67"/>
        </w:rPr>
      </w:r>
      <w:r>
        <w:rPr/>
        <w:t>开发条件的工业园区、经济开发区、大型工矿企业以及商场学校医院等公共建筑，采取</w:t>
      </w:r>
      <w:r>
        <w:rPr>
          <w:rFonts w:ascii="Calibri" w:hAnsi="Calibri" w:cs="Calibri" w:eastAsia="Calibri" w:hint="default"/>
        </w:rPr>
        <w:t>“</w:t>
      </w:r>
      <w:r>
        <w:rPr/>
        <w:t>政府引导、企业自愿、金融支持、</w:t>
      </w:r>
      <w:r>
        <w:rPr>
          <w:spacing w:val="-72"/>
        </w:rPr>
        <w:t> </w:t>
      </w:r>
      <w:r>
        <w:rPr>
          <w:spacing w:val="-72"/>
        </w:rPr>
      </w:r>
      <w:r>
        <w:rPr/>
        <w:t>社会参与</w:t>
      </w:r>
      <w:r>
        <w:rPr>
          <w:rFonts w:ascii="Calibri" w:hAnsi="Calibri" w:cs="Calibri" w:eastAsia="Calibri" w:hint="default"/>
        </w:rPr>
        <w:t>”</w:t>
      </w:r>
      <w:r>
        <w:rPr/>
        <w:t>的方式，统一规划并组织实施屋顶光伏工程。鼓励结合荒山荒地和沿海滩涂综合利用、采煤沉陷区等废弃土地治</w:t>
      </w:r>
      <w:r>
        <w:rPr>
          <w:spacing w:val="-74"/>
        </w:rPr>
        <w:t> </w:t>
      </w:r>
      <w:r>
        <w:rPr>
          <w:spacing w:val="-74"/>
        </w:rPr>
      </w:r>
      <w:r>
        <w:rPr/>
        <w:t>理、设施农业、渔业养殖等方式，因地制宜开展各类</w:t>
      </w:r>
      <w:r>
        <w:rPr>
          <w:rFonts w:ascii="Calibri" w:hAnsi="Calibri" w:cs="Calibri" w:eastAsia="Calibri" w:hint="default"/>
        </w:rPr>
        <w:t>“</w:t>
      </w:r>
      <w:r>
        <w:rPr/>
        <w:t>光伏</w:t>
      </w:r>
      <w:r>
        <w:rPr>
          <w:rFonts w:ascii="Calibri" w:hAnsi="Calibri" w:cs="Calibri" w:eastAsia="Calibri" w:hint="default"/>
        </w:rPr>
        <w:t>+”</w:t>
      </w:r>
      <w:r>
        <w:rPr/>
        <w:t>应用工程，促进光伏发电与其他产业有机融合，通过光伏发电</w:t>
      </w:r>
      <w:r>
        <w:rPr>
          <w:spacing w:val="-56"/>
        </w:rPr>
        <w:t> </w:t>
      </w:r>
      <w:r>
        <w:rPr>
          <w:spacing w:val="-56"/>
        </w:rPr>
      </w:r>
      <w:r>
        <w:rPr/>
        <w:t>为土地增值利用开拓新途径。</w:t>
      </w:r>
    </w:p>
    <w:p>
      <w:pPr>
        <w:pStyle w:val="BodyText"/>
        <w:spacing w:line="312" w:lineRule="auto" w:before="78"/>
        <w:ind w:right="1131" w:firstLine="420"/>
        <w:jc w:val="both"/>
      </w:pPr>
      <w:r>
        <w:rPr>
          <w:rFonts w:ascii="Calibri" w:hAnsi="Calibri" w:cs="Calibri" w:eastAsia="Calibri" w:hint="default"/>
          <w:spacing w:val="-2"/>
        </w:rPr>
        <w:t>7</w:t>
      </w:r>
      <w:r>
        <w:rPr>
          <w:spacing w:val="-2"/>
        </w:rPr>
        <w:t>、电力体制改革为太阳能发展增添了新动力。新一轮电力体制改革正在逐步放开发用电计划、建立优先发电制度、推</w:t>
      </w:r>
      <w:r>
        <w:rPr/>
        <w:t> </w:t>
      </w:r>
      <w:r>
        <w:rPr>
          <w:spacing w:val="-2"/>
        </w:rPr>
        <w:t>进售电侧开放和电价形成机制改革、构建现代竞争性电力市场，有利于可再生能源优先发展和公平参与市场交易。在新的电</w:t>
      </w:r>
      <w:r>
        <w:rPr>
          <w:spacing w:val="-66"/>
        </w:rPr>
        <w:t> </w:t>
      </w:r>
      <w:r>
        <w:rPr>
          <w:spacing w:val="-66"/>
        </w:rPr>
      </w:r>
      <w:r>
        <w:rPr>
          <w:spacing w:val="-2"/>
        </w:rPr>
        <w:t>力体制条件下，市场机制将鼓励提高电力系统灵活性、逐步解决常规能源与可再生能源的利益冲突问题，扩大新能源消纳市</w:t>
      </w:r>
      <w:r>
        <w:rPr>
          <w:spacing w:val="-66"/>
        </w:rPr>
        <w:t> </w:t>
      </w:r>
      <w:r>
        <w:rPr>
          <w:spacing w:val="-66"/>
        </w:rPr>
      </w:r>
      <w:r>
        <w:rPr>
          <w:spacing w:val="-2"/>
        </w:rPr>
        <w:t>场，从而促进太阳能发电等可再生能源的大规模发展。随着售电侧改革的推进，分布式发电将会以更灵活、更多元的方式发</w:t>
      </w:r>
      <w:r>
        <w:rPr>
          <w:spacing w:val="-66"/>
        </w:rPr>
        <w:t> </w:t>
      </w:r>
      <w:r>
        <w:rPr>
          <w:spacing w:val="-66"/>
        </w:rPr>
      </w:r>
      <w:r>
        <w:rPr/>
        <w:t>展，通过市场机制创新解决困扰分布式光伏发展所面临的问题，推动太阳能发电全面市场化发展。</w:t>
      </w:r>
    </w:p>
    <w:p>
      <w:pPr>
        <w:pStyle w:val="BodyText"/>
        <w:spacing w:line="240" w:lineRule="auto" w:before="62"/>
        <w:ind w:left="573" w:right="1122"/>
        <w:jc w:val="left"/>
      </w:pPr>
      <w:r>
        <w:rPr>
          <w:rFonts w:ascii="Calibri" w:hAnsi="Calibri" w:cs="Calibri" w:eastAsia="Calibri" w:hint="default"/>
        </w:rPr>
        <w:t>8</w:t>
      </w:r>
      <w:r>
        <w:rPr/>
        <w:t>、行业的竞争激烈，竞争模式推成出新。</w:t>
      </w:r>
    </w:p>
    <w:p>
      <w:pPr>
        <w:pStyle w:val="BodyText"/>
        <w:spacing w:line="304" w:lineRule="auto" w:before="92"/>
        <w:ind w:left="154" w:right="1131" w:firstLine="420"/>
        <w:jc w:val="both"/>
      </w:pPr>
      <w:r>
        <w:rPr>
          <w:spacing w:val="-2"/>
        </w:rPr>
        <w:t>（</w:t>
      </w:r>
      <w:r>
        <w:rPr>
          <w:rFonts w:ascii="Calibri" w:hAnsi="Calibri" w:cs="Calibri" w:eastAsia="Calibri" w:hint="default"/>
          <w:spacing w:val="-2"/>
        </w:rPr>
        <w:t>1</w:t>
      </w:r>
      <w:r>
        <w:rPr>
          <w:spacing w:val="-2"/>
        </w:rPr>
        <w:t>）随着近年来政策的扶持，越来越多的资本开始流向这个行业，除了传统的电力企业加大光伏投入，产业链前端的</w:t>
      </w:r>
      <w:r>
        <w:rPr/>
        <w:t> </w:t>
      </w:r>
      <w:r>
        <w:rPr>
          <w:spacing w:val="-2"/>
        </w:rPr>
        <w:t>制造类企业也开始在光伏发电领域开疆拓土，行业竞争呈现百花齐放的局面。无论是传统的光伏企业还是后来者大多热衷于</w:t>
      </w:r>
      <w:r>
        <w:rPr>
          <w:spacing w:val="-64"/>
        </w:rPr>
        <w:t> </w:t>
      </w:r>
      <w:r>
        <w:rPr>
          <w:spacing w:val="-64"/>
        </w:rPr>
      </w:r>
      <w:r>
        <w:rPr/>
        <w:t>同地方政府签署光伏发展的战略合作协议，开展跑马圈地。</w:t>
      </w:r>
    </w:p>
    <w:p>
      <w:pPr>
        <w:pStyle w:val="BodyText"/>
        <w:spacing w:line="304" w:lineRule="auto" w:before="67"/>
        <w:ind w:left="154" w:right="1042" w:firstLine="420"/>
        <w:jc w:val="both"/>
      </w:pPr>
      <w:r>
        <w:rPr>
          <w:spacing w:val="-3"/>
        </w:rPr>
        <w:t>（</w:t>
      </w:r>
      <w:r>
        <w:rPr>
          <w:rFonts w:ascii="Calibri" w:hAnsi="Calibri" w:cs="Calibri" w:eastAsia="Calibri" w:hint="default"/>
          <w:spacing w:val="-3"/>
        </w:rPr>
        <w:t>2</w:t>
      </w:r>
      <w:r>
        <w:rPr>
          <w:spacing w:val="-3"/>
        </w:rPr>
        <w:t>）光伏发电行业的竞争主要战场在资金的竞争，行业内资金实力充足，融资能力较强的企业将获得更多的发展机会。</w:t>
      </w:r>
      <w:r>
        <w:rPr/>
        <w:t> 除了对于国家开发银行等银行项目贷款的争夺外，近年来，多家上市企业启动非公开发行股票募集资金进行光伏电站建设。 众多光伏类新型的融资模式不断涌现，互联网金融的触角开始拥抱光伏发电行业。</w:t>
      </w:r>
    </w:p>
    <w:p>
      <w:pPr>
        <w:pStyle w:val="BodyText"/>
        <w:spacing w:line="295" w:lineRule="auto" w:before="66"/>
        <w:ind w:right="1130" w:firstLine="420"/>
        <w:jc w:val="both"/>
      </w:pPr>
      <w:r>
        <w:rPr/>
        <w:t>（</w:t>
      </w:r>
      <w:r>
        <w:rPr>
          <w:rFonts w:ascii="Calibri" w:hAnsi="Calibri" w:cs="Calibri" w:eastAsia="Calibri" w:hint="default"/>
        </w:rPr>
        <w:t>3</w:t>
      </w:r>
      <w:r>
        <w:rPr/>
        <w:t>）作为清洁能源，光伏发电天然的具有降低二氧化碳等温室气体排放量的功能，</w:t>
      </w:r>
      <w:r>
        <w:rPr>
          <w:spacing w:val="-60"/>
        </w:rPr>
        <w:t> </w:t>
      </w:r>
      <w:r>
        <w:rPr>
          <w:rFonts w:ascii="Calibri" w:hAnsi="Calibri" w:cs="Calibri" w:eastAsia="Calibri" w:hint="default"/>
        </w:rPr>
        <w:t>2016</w:t>
      </w:r>
      <w:r>
        <w:rPr/>
        <w:t>年</w:t>
      </w:r>
      <w:r>
        <w:rPr>
          <w:rFonts w:ascii="Calibri" w:hAnsi="Calibri" w:cs="Calibri" w:eastAsia="Calibri" w:hint="default"/>
        </w:rPr>
        <w:t>1</w:t>
      </w:r>
      <w:r>
        <w:rPr/>
        <w:t>月</w:t>
      </w:r>
      <w:r>
        <w:rPr>
          <w:rFonts w:ascii="Calibri" w:hAnsi="Calibri" w:cs="Calibri" w:eastAsia="Calibri" w:hint="default"/>
        </w:rPr>
        <w:t>22</w:t>
      </w:r>
      <w:r>
        <w:rPr/>
        <w:t>日，发改委办公厅印 发《关于切实做好全国碳排放权交易市场启动重点工作的通知》，旨在协同推进全国碳排放权交易市场建设。</w:t>
      </w:r>
      <w:r>
        <w:rPr>
          <w:rFonts w:ascii="Calibri" w:hAnsi="Calibri" w:cs="Calibri" w:eastAsia="Calibri" w:hint="default"/>
        </w:rPr>
        <w:t>2017</w:t>
      </w:r>
      <w:r>
        <w:rPr/>
        <w:t>年</w:t>
      </w:r>
      <w:r>
        <w:rPr>
          <w:rFonts w:ascii="Calibri" w:hAnsi="Calibri" w:cs="Calibri" w:eastAsia="Calibri" w:hint="default"/>
        </w:rPr>
        <w:t>12</w:t>
      </w:r>
      <w:r>
        <w:rPr/>
        <w:t>月</w:t>
      </w:r>
      <w:r>
        <w:rPr>
          <w:spacing w:val="-7"/>
        </w:rPr>
        <w:t> </w:t>
      </w:r>
      <w:r>
        <w:rPr>
          <w:rFonts w:ascii="Calibri" w:hAnsi="Calibri" w:cs="Calibri" w:eastAsia="Calibri" w:hint="default"/>
          <w:spacing w:val="-2"/>
        </w:rPr>
        <w:t>19</w:t>
      </w:r>
      <w:r>
        <w:rPr>
          <w:spacing w:val="-2"/>
        </w:rPr>
        <w:t>日，经国务院同意，国家发展改革委印发了《全国碳排放权交易市场建设方案（发电行业）》，标志着我国碳排放交易体</w:t>
      </w:r>
      <w:r>
        <w:rPr>
          <w:spacing w:val="-73"/>
        </w:rPr>
        <w:t> </w:t>
      </w:r>
      <w:r>
        <w:rPr>
          <w:spacing w:val="-73"/>
        </w:rPr>
      </w:r>
      <w:r>
        <w:rPr>
          <w:spacing w:val="-2"/>
        </w:rPr>
        <w:t>系完成了总体设计，并正式启动。将以发电行业为突破口，分基础建设期、模拟运行期、深化完善期三阶段稳步推进碳市场</w:t>
      </w:r>
      <w:r>
        <w:rPr>
          <w:spacing w:val="-66"/>
        </w:rPr>
        <w:t> </w:t>
      </w:r>
      <w:r>
        <w:rPr>
          <w:spacing w:val="-66"/>
        </w:rPr>
      </w:r>
      <w:r>
        <w:rPr>
          <w:spacing w:val="-2"/>
        </w:rPr>
        <w:t>建设工作。随着光伏发电的大规模应用，从自愿减排到配额制后的强制性减排预期的出现世界银行预测，</w:t>
      </w:r>
      <w:r>
        <w:rPr>
          <w:rFonts w:ascii="Calibri" w:hAnsi="Calibri" w:cs="Calibri" w:eastAsia="Calibri" w:hint="default"/>
          <w:spacing w:val="-2"/>
        </w:rPr>
        <w:t>2020</w:t>
      </w:r>
      <w:r>
        <w:rPr>
          <w:spacing w:val="-2"/>
        </w:rPr>
        <w:t>年全球碳交易</w:t>
      </w:r>
      <w:r>
        <w:rPr>
          <w:spacing w:val="-68"/>
        </w:rPr>
        <w:t> </w:t>
      </w:r>
      <w:r>
        <w:rPr/>
        <w:t>总额有望达到</w:t>
      </w:r>
      <w:r>
        <w:rPr>
          <w:rFonts w:ascii="Calibri" w:hAnsi="Calibri" w:cs="Calibri" w:eastAsia="Calibri" w:hint="default"/>
        </w:rPr>
        <w:t>3.5</w:t>
      </w:r>
      <w:r>
        <w:rPr/>
        <w:t>万亿美元，有望超过石油市场成为第一大能源交易市场。</w:t>
      </w:r>
    </w:p>
    <w:p>
      <w:pPr>
        <w:pStyle w:val="BodyText"/>
        <w:spacing w:line="312" w:lineRule="auto" w:before="41"/>
        <w:ind w:right="1041" w:firstLine="420"/>
        <w:jc w:val="left"/>
      </w:pPr>
      <w:r>
        <w:rPr>
          <w:spacing w:val="-3"/>
        </w:rPr>
        <w:t>（</w:t>
      </w:r>
      <w:r>
        <w:rPr>
          <w:rFonts w:ascii="Calibri" w:hAnsi="Calibri" w:cs="Calibri" w:eastAsia="Calibri" w:hint="default"/>
          <w:spacing w:val="-3"/>
        </w:rPr>
        <w:t>4</w:t>
      </w:r>
      <w:r>
        <w:rPr>
          <w:spacing w:val="-3"/>
        </w:rPr>
        <w:t>）光伏电站装机规模的不断扩大，光伏电站运维能力的提升将显得尤为重要。除了承担直接提升光伏电站发电效率、</w:t>
      </w:r>
      <w:r>
        <w:rPr/>
        <w:t> </w:t>
      </w:r>
      <w:r>
        <w:rPr>
          <w:spacing w:val="-2"/>
        </w:rPr>
        <w:t>降低运营成本的重任之外，光伏电站运行维护管理系统的另一项更大的重担，则在于盘活电站资产及实现光伏电站的金融交</w:t>
      </w:r>
      <w:r>
        <w:rPr>
          <w:spacing w:val="-64"/>
        </w:rPr>
        <w:t> </w:t>
      </w:r>
      <w:r>
        <w:rPr>
          <w:spacing w:val="-64"/>
        </w:rPr>
      </w:r>
      <w:r>
        <w:rPr>
          <w:spacing w:val="-2"/>
        </w:rPr>
        <w:t>易属性，以为整个行业的拓展提供前提。光伏电站运维标准化建设，同互联网结合的智能运维系统的建立成为运维领域竞争</w:t>
      </w:r>
      <w:r>
        <w:rPr>
          <w:spacing w:val="-66"/>
        </w:rPr>
        <w:t> </w:t>
      </w:r>
      <w:r>
        <w:rPr>
          <w:spacing w:val="-66"/>
        </w:rPr>
      </w:r>
      <w:r>
        <w:rPr>
          <w:spacing w:val="-2"/>
        </w:rPr>
        <w:t>的落脚点。碳资产开发的能力，电站资信评级和检测、售电能力的建立、电站金融产品化等能力都将成为电站代理运维业务</w:t>
      </w:r>
      <w:r>
        <w:rPr>
          <w:spacing w:val="-66"/>
        </w:rPr>
        <w:t> </w:t>
      </w:r>
      <w:r>
        <w:rPr>
          <w:spacing w:val="-66"/>
        </w:rPr>
      </w:r>
      <w:r>
        <w:rPr/>
        <w:t>拓展的有力武器。</w:t>
      </w:r>
    </w:p>
    <w:p>
      <w:pPr>
        <w:spacing w:line="240" w:lineRule="auto" w:before="0"/>
        <w:rPr>
          <w:rFonts w:ascii="宋体" w:hAnsi="宋体" w:cs="宋体" w:eastAsia="宋体" w:hint="default"/>
          <w:sz w:val="18"/>
          <w:szCs w:val="18"/>
        </w:rPr>
      </w:pPr>
    </w:p>
    <w:p>
      <w:pPr>
        <w:pStyle w:val="Heading4"/>
        <w:spacing w:line="240" w:lineRule="auto" w:before="138"/>
        <w:ind w:left="153" w:right="1122"/>
        <w:jc w:val="left"/>
        <w:rPr>
          <w:b w:val="0"/>
          <w:bCs w:val="0"/>
        </w:rPr>
      </w:pPr>
      <w:r>
        <w:rPr/>
        <w:t>（二）公司的经营发展规划</w:t>
      </w:r>
      <w:r>
        <w:rPr>
          <w:b w:val="0"/>
          <w:bCs w:val="0"/>
        </w:rPr>
      </w:r>
    </w:p>
    <w:p>
      <w:pPr>
        <w:pStyle w:val="Heading4"/>
        <w:spacing w:line="240" w:lineRule="auto" w:before="76"/>
        <w:ind w:left="153" w:right="1122"/>
        <w:jc w:val="left"/>
        <w:rPr>
          <w:b w:val="0"/>
          <w:bCs w:val="0"/>
        </w:rPr>
      </w:pPr>
      <w:r>
        <w:rPr>
          <w:rFonts w:ascii="Times New Roman" w:hAnsi="Times New Roman" w:cs="Times New Roman" w:eastAsia="Times New Roman" w:hint="default"/>
        </w:rPr>
        <w:t>1</w:t>
      </w:r>
      <w:r>
        <w:rPr/>
        <w:t>、公司战略规划</w:t>
      </w:r>
      <w:r>
        <w:rPr>
          <w:b w:val="0"/>
          <w:bCs w:val="0"/>
        </w:rPr>
      </w:r>
    </w:p>
    <w:p>
      <w:pPr>
        <w:spacing w:line="314" w:lineRule="auto" w:before="63"/>
        <w:ind w:left="154" w:right="1131" w:firstLine="420"/>
        <w:jc w:val="both"/>
        <w:rPr>
          <w:rFonts w:ascii="宋体" w:hAnsi="宋体" w:cs="宋体" w:eastAsia="宋体" w:hint="default"/>
          <w:sz w:val="18"/>
          <w:szCs w:val="18"/>
        </w:rPr>
      </w:pPr>
      <w:r>
        <w:rPr>
          <w:rFonts w:ascii="宋体" w:hAnsi="宋体" w:cs="宋体" w:eastAsia="宋体" w:hint="default"/>
          <w:sz w:val="18"/>
          <w:szCs w:val="18"/>
        </w:rPr>
        <w:t>经过十年的奋斗，公司已打造成为光伏制造和电力运营双轮驱动的业务格局，光伏配件制造业尤其是边框产品和安装 支架产品龙头地位坚实，光伏发电站持有体量和运维能力处于国内民营企业前列。</w:t>
      </w:r>
      <w:r>
        <w:rPr>
          <w:rFonts w:ascii="宋体" w:hAnsi="宋体" w:cs="宋体" w:eastAsia="宋体" w:hint="default"/>
          <w:spacing w:val="-42"/>
          <w:sz w:val="18"/>
          <w:szCs w:val="18"/>
        </w:rPr>
        <w:t> </w:t>
      </w:r>
      <w:r>
        <w:rPr>
          <w:rFonts w:ascii="宋体" w:hAnsi="宋体" w:cs="宋体" w:eastAsia="宋体" w:hint="default"/>
          <w:spacing w:val="-3"/>
          <w:sz w:val="18"/>
          <w:szCs w:val="18"/>
        </w:rPr>
        <w:t>在能源革命、互联网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、电力体制改革和</w:t>
      </w:r>
      <w:r>
        <w:rPr>
          <w:rFonts w:ascii="宋体" w:hAnsi="宋体" w:cs="宋体" w:eastAsia="宋体" w:hint="default"/>
          <w:sz w:val="18"/>
          <w:szCs w:val="18"/>
        </w:rPr>
        <w:t> </w:t>
      </w:r>
      <w:r>
        <w:rPr>
          <w:rFonts w:ascii="宋体" w:hAnsi="宋体" w:cs="宋体" w:eastAsia="宋体" w:hint="default"/>
          <w:spacing w:val="-2"/>
          <w:sz w:val="18"/>
          <w:szCs w:val="18"/>
        </w:rPr>
        <w:t>创新驱动等国家战略的背景下，在多年光伏电站投资、运维积累的经验和资源的基础上，公司迎来了新的历史机遇，并开始</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搭建以卓越的能源生产商为体，以新能源服务和新能源金融为翼的</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一体两翼</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的业务格局，在售电消费侧、融资租赁、互联</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2"/>
          <w:sz w:val="18"/>
          <w:szCs w:val="18"/>
        </w:rPr>
        <w:t>网金融服务等金融领域同时发力。为增强公司可持续发展能力，培植发展后劲，充分发掘现有产业优势，抓住电力体制改革</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带来的巨大商机，公司董事会战略委员会审议通过了《关于全面推进能源互联网业务的战略发展规划》，</w:t>
      </w:r>
      <w:r>
        <w:rPr>
          <w:rFonts w:ascii="宋体" w:hAnsi="宋体" w:cs="宋体" w:eastAsia="宋体" w:hint="default"/>
          <w:b/>
          <w:bCs/>
          <w:spacing w:val="-2"/>
          <w:sz w:val="18"/>
          <w:szCs w:val="18"/>
        </w:rPr>
        <w:t>公司开启能源互联</w:t>
      </w:r>
      <w:r>
        <w:rPr>
          <w:rFonts w:ascii="宋体" w:hAnsi="宋体" w:cs="宋体" w:eastAsia="宋体" w:hint="default"/>
          <w:b/>
          <w:bCs/>
          <w:spacing w:val="-72"/>
          <w:sz w:val="18"/>
          <w:szCs w:val="18"/>
        </w:rPr>
        <w:t> </w:t>
      </w:r>
      <w:r>
        <w:rPr>
          <w:rFonts w:ascii="宋体" w:hAnsi="宋体" w:cs="宋体" w:eastAsia="宋体" w:hint="default"/>
          <w:b/>
          <w:bCs/>
          <w:spacing w:val="-72"/>
          <w:sz w:val="18"/>
          <w:szCs w:val="18"/>
        </w:rPr>
      </w:r>
      <w:r>
        <w:rPr>
          <w:rFonts w:ascii="宋体" w:hAnsi="宋体" w:cs="宋体" w:eastAsia="宋体" w:hint="default"/>
          <w:b/>
          <w:bCs/>
          <w:sz w:val="18"/>
          <w:szCs w:val="18"/>
        </w:rPr>
        <w:t>网时代，拟出售部分并网电站，轻资产运营，致力成为国际清洁能源服务商、能源互联网运营商。推动能源生产和消费方</w:t>
      </w:r>
      <w:r>
        <w:rPr>
          <w:rFonts w:ascii="宋体" w:hAnsi="宋体" w:cs="宋体" w:eastAsia="宋体" w:hint="default"/>
          <w:b/>
          <w:bCs/>
          <w:spacing w:val="-48"/>
          <w:sz w:val="18"/>
          <w:szCs w:val="18"/>
        </w:rPr>
        <w:t> </w:t>
      </w:r>
      <w:r>
        <w:rPr>
          <w:rFonts w:ascii="宋体" w:hAnsi="宋体" w:cs="宋体" w:eastAsia="宋体" w:hint="default"/>
          <w:b/>
          <w:bCs/>
          <w:spacing w:val="-48"/>
          <w:sz w:val="18"/>
          <w:szCs w:val="18"/>
        </w:rPr>
      </w:r>
      <w:r>
        <w:rPr>
          <w:rFonts w:ascii="宋体" w:hAnsi="宋体" w:cs="宋体" w:eastAsia="宋体" w:hint="default"/>
          <w:b/>
          <w:bCs/>
          <w:sz w:val="18"/>
          <w:szCs w:val="18"/>
        </w:rPr>
        <w:t>式变革，运用互联网、大数据和金融结算，为社会、企业和终端用户提供创新的新能源解决方案，打造智能的绿色能源生</w:t>
      </w:r>
      <w:r>
        <w:rPr>
          <w:rFonts w:ascii="宋体" w:hAnsi="宋体" w:cs="宋体" w:eastAsia="宋体" w:hint="default"/>
          <w:b/>
          <w:bCs/>
          <w:spacing w:val="-48"/>
          <w:sz w:val="18"/>
          <w:szCs w:val="18"/>
        </w:rPr>
        <w:t> </w:t>
      </w:r>
      <w:r>
        <w:rPr>
          <w:rFonts w:ascii="宋体" w:hAnsi="宋体" w:cs="宋体" w:eastAsia="宋体" w:hint="default"/>
          <w:b/>
          <w:bCs/>
          <w:spacing w:val="-48"/>
          <w:sz w:val="18"/>
          <w:szCs w:val="18"/>
        </w:rPr>
      </w:r>
      <w:r>
        <w:rPr>
          <w:rFonts w:ascii="宋体" w:hAnsi="宋体" w:cs="宋体" w:eastAsia="宋体" w:hint="default"/>
          <w:b/>
          <w:bCs/>
          <w:sz w:val="18"/>
          <w:szCs w:val="18"/>
        </w:rPr>
        <w:t>态系统，为社会的可持续发展做贡献。公司将努力建设发、配、售一体化的综合能源服务机构，实现大规模绿色电力的智</w:t>
      </w:r>
      <w:r>
        <w:rPr>
          <w:rFonts w:ascii="宋体" w:hAnsi="宋体" w:cs="宋体" w:eastAsia="宋体" w:hint="default"/>
          <w:b/>
          <w:bCs/>
          <w:spacing w:val="-47"/>
          <w:sz w:val="18"/>
          <w:szCs w:val="18"/>
        </w:rPr>
        <w:t> </w:t>
      </w:r>
      <w:r>
        <w:rPr>
          <w:rFonts w:ascii="宋体" w:hAnsi="宋体" w:cs="宋体" w:eastAsia="宋体" w:hint="default"/>
          <w:b/>
          <w:bCs/>
          <w:spacing w:val="-47"/>
          <w:sz w:val="18"/>
          <w:szCs w:val="18"/>
        </w:rPr>
      </w:r>
      <w:r>
        <w:rPr>
          <w:rFonts w:ascii="宋体" w:hAnsi="宋体" w:cs="宋体" w:eastAsia="宋体" w:hint="default"/>
          <w:b/>
          <w:bCs/>
          <w:sz w:val="18"/>
          <w:szCs w:val="18"/>
        </w:rPr>
        <w:t>能化生产运营，构建以分布式能源为主的多能协同供应的区域能源综合运营网络，结合信息技术与金融手段为广泛的电力</w:t>
      </w:r>
      <w:r>
        <w:rPr>
          <w:rFonts w:ascii="宋体" w:hAnsi="宋体" w:cs="宋体" w:eastAsia="宋体" w:hint="default"/>
          <w:sz w:val="18"/>
          <w:szCs w:val="18"/>
        </w:rPr>
      </w:r>
    </w:p>
    <w:p>
      <w:pPr>
        <w:spacing w:after="0" w:line="31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b/>
          <w:bCs/>
          <w:sz w:val="25"/>
          <w:szCs w:val="25"/>
        </w:rPr>
      </w:pPr>
    </w:p>
    <w:p>
      <w:pPr>
        <w:pStyle w:val="Heading4"/>
        <w:spacing w:line="316" w:lineRule="auto" w:before="44"/>
        <w:ind w:left="573" w:right="0" w:hanging="420"/>
        <w:jc w:val="left"/>
        <w:rPr>
          <w:b w:val="0"/>
          <w:bCs w:val="0"/>
        </w:rPr>
      </w:pPr>
      <w:r>
        <w:rPr/>
        <w:t>客户提供创新的智慧能源解决方案与增值服务，推动能源生产和消费方式的变革。</w:t>
      </w:r>
      <w:r>
        <w:rPr>
          <w:w w:val="99"/>
        </w:rPr>
        <w:t> </w:t>
      </w:r>
      <w:r>
        <w:rPr>
          <w:spacing w:val="-2"/>
        </w:rPr>
        <w:t>公司能源互联网业务布局的总体思路是：贯彻国家</w:t>
      </w:r>
      <w:r>
        <w:rPr>
          <w:rFonts w:ascii="Times New Roman" w:hAnsi="Times New Roman" w:cs="Times New Roman" w:eastAsia="Times New Roman" w:hint="default"/>
          <w:spacing w:val="-2"/>
        </w:rPr>
        <w:t>“</w:t>
      </w:r>
      <w:r>
        <w:rPr>
          <w:spacing w:val="-2"/>
        </w:rPr>
        <w:t>一带一路</w:t>
      </w:r>
      <w:r>
        <w:rPr>
          <w:rFonts w:ascii="Times New Roman" w:hAnsi="Times New Roman" w:cs="Times New Roman" w:eastAsia="Times New Roman" w:hint="default"/>
          <w:spacing w:val="-2"/>
        </w:rPr>
        <w:t>”</w:t>
      </w:r>
      <w:r>
        <w:rPr>
          <w:spacing w:val="-2"/>
        </w:rPr>
        <w:t>战略，自公司所在地江苏出发，沿丝绸之路经济带布局、</w:t>
      </w:r>
      <w:r>
        <w:rPr>
          <w:b w:val="0"/>
          <w:bCs w:val="0"/>
          <w:spacing w:val="-2"/>
        </w:rPr>
      </w:r>
    </w:p>
    <w:p>
      <w:pPr>
        <w:pStyle w:val="Heading4"/>
        <w:spacing w:line="235" w:lineRule="exact"/>
        <w:ind w:left="153" w:right="0"/>
        <w:jc w:val="both"/>
        <w:rPr>
          <w:b w:val="0"/>
          <w:bCs w:val="0"/>
        </w:rPr>
      </w:pPr>
      <w:r>
        <w:rPr/>
        <w:t>布点，直至新疆边境口岸。</w:t>
      </w:r>
      <w:r>
        <w:rPr>
          <w:b w:val="0"/>
          <w:bCs w:val="0"/>
        </w:rPr>
      </w:r>
    </w:p>
    <w:p>
      <w:pPr>
        <w:spacing w:line="240" w:lineRule="auto" w:before="0"/>
        <w:rPr>
          <w:rFonts w:ascii="宋体" w:hAnsi="宋体" w:cs="宋体" w:eastAsia="宋体" w:hint="default"/>
          <w:b/>
          <w:bCs/>
          <w:sz w:val="18"/>
          <w:szCs w:val="18"/>
        </w:rPr>
      </w:pPr>
    </w:p>
    <w:p>
      <w:pPr>
        <w:pStyle w:val="Heading4"/>
        <w:spacing w:line="240" w:lineRule="auto" w:before="153"/>
        <w:ind w:left="153" w:right="0"/>
        <w:jc w:val="both"/>
        <w:rPr>
          <w:b w:val="0"/>
          <w:bCs w:val="0"/>
        </w:rPr>
      </w:pPr>
      <w:r>
        <w:rPr>
          <w:rFonts w:ascii="Times New Roman" w:hAnsi="Times New Roman" w:cs="Times New Roman" w:eastAsia="Times New Roman" w:hint="default"/>
        </w:rPr>
        <w:t>2</w:t>
      </w:r>
      <w:r>
        <w:rPr/>
        <w:t>、经营计划</w:t>
      </w:r>
      <w:r>
        <w:rPr>
          <w:b w:val="0"/>
          <w:bCs w:val="0"/>
        </w:rPr>
      </w:r>
    </w:p>
    <w:p>
      <w:pPr>
        <w:pStyle w:val="BodyText"/>
        <w:spacing w:line="300" w:lineRule="auto" w:before="63"/>
        <w:ind w:right="1122" w:firstLine="420"/>
        <w:jc w:val="left"/>
      </w:pPr>
      <w:r>
        <w:rPr/>
        <w:t>（下述经营计划、经营目标并不代表公司对</w:t>
      </w:r>
      <w:r>
        <w:rPr>
          <w:rFonts w:ascii="Times New Roman" w:hAnsi="Times New Roman" w:cs="Times New Roman" w:eastAsia="Times New Roman" w:hint="default"/>
        </w:rPr>
        <w:t>2018</w:t>
      </w:r>
      <w:r>
        <w:rPr/>
        <w:t>年度的盈利预测，能否实现取决于市场状况变化等多种因素，存在很 大的不确定性，敬请投资者注意风险）</w:t>
      </w:r>
    </w:p>
    <w:p>
      <w:pPr>
        <w:pStyle w:val="Heading4"/>
        <w:spacing w:line="240" w:lineRule="auto" w:before="72"/>
        <w:ind w:left="573" w:right="1122"/>
        <w:jc w:val="left"/>
        <w:rPr>
          <w:b w:val="0"/>
          <w:bCs w:val="0"/>
        </w:rPr>
      </w:pPr>
      <w:r>
        <w:rPr/>
        <w:t>（</w:t>
      </w:r>
      <w:r>
        <w:rPr>
          <w:rFonts w:ascii="Times New Roman" w:hAnsi="Times New Roman" w:cs="Times New Roman" w:eastAsia="Times New Roman" w:hint="default"/>
        </w:rPr>
        <w:t>1</w:t>
      </w:r>
      <w:r>
        <w:rPr/>
        <w:t>）配件制造业务，潜心研发，精益求精、稳健转型</w:t>
      </w:r>
      <w:r>
        <w:rPr>
          <w:b w:val="0"/>
          <w:bCs w:val="0"/>
        </w:rPr>
      </w:r>
    </w:p>
    <w:p>
      <w:pPr>
        <w:pStyle w:val="BodyText"/>
        <w:spacing w:line="312" w:lineRule="auto" w:before="102"/>
        <w:ind w:left="154" w:right="1032" w:firstLine="420"/>
        <w:jc w:val="left"/>
      </w:pPr>
      <w:r>
        <w:rPr>
          <w:rFonts w:ascii="Times New Roman" w:hAnsi="Times New Roman" w:cs="Times New Roman" w:eastAsia="Times New Roman" w:hint="default"/>
        </w:rPr>
        <w:t>2018</w:t>
      </w:r>
      <w:r>
        <w:rPr/>
        <w:t>年，公司在保持原有竞争优势的基础上，配件制造以稳定产能、降低成本、提高效率，努力保持市场占有率和盈 </w:t>
      </w:r>
      <w:r>
        <w:rPr>
          <w:spacing w:val="-2"/>
        </w:rPr>
        <w:t>利水平为经营策略，充分利用公司在新能源领域拓展对制造业的带动效应，通过技术改造、流程优化努力降低成本，采取高</w:t>
      </w:r>
      <w:r>
        <w:rPr>
          <w:spacing w:val="-66"/>
        </w:rPr>
        <w:t> </w:t>
      </w:r>
      <w:r>
        <w:rPr>
          <w:spacing w:val="-66"/>
        </w:rPr>
      </w:r>
      <w:r>
        <w:rPr/>
        <w:t>举高打的竞争策略，选择毛利较高的优质客户，实现利润最大化。同时在汽车、家电、照明等细分的非光伏金属制造领域， 继续深入研发、试产及开发市场。</w:t>
      </w:r>
    </w:p>
    <w:p>
      <w:pPr>
        <w:spacing w:line="338" w:lineRule="auto" w:before="62"/>
        <w:ind w:left="573" w:right="112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）新能源发电业务，度电必争</w:t>
      </w:r>
      <w:r>
        <w:rPr>
          <w:rFonts w:ascii="宋体" w:hAnsi="宋体" w:cs="宋体" w:eastAsia="宋体" w:hint="default"/>
          <w:b/>
          <w:bCs/>
          <w:w w:val="99"/>
          <w:sz w:val="18"/>
          <w:szCs w:val="18"/>
        </w:rPr>
        <w:t> </w:t>
      </w:r>
      <w:r>
        <w:rPr>
          <w:rFonts w:ascii="宋体" w:hAnsi="宋体" w:cs="宋体" w:eastAsia="宋体" w:hint="default"/>
          <w:sz w:val="18"/>
          <w:szCs w:val="18"/>
        </w:rPr>
        <w:t>经营管理方面，依托现有运维团队和管理经验，加快打造行业领先的专业化、精细化、标准化、集约化、信息化和智</w:t>
      </w:r>
    </w:p>
    <w:p>
      <w:pPr>
        <w:pStyle w:val="BodyText"/>
        <w:spacing w:line="240" w:lineRule="auto" w:before="4"/>
        <w:ind w:right="0"/>
        <w:jc w:val="both"/>
      </w:pPr>
      <w:r>
        <w:rPr/>
        <w:t>能化管控能力，培育新能源电站全寿命期服务能力，持续优化运营管理水平，不断提效增发，提升市场化竞争能力。</w:t>
      </w:r>
    </w:p>
    <w:p>
      <w:pPr>
        <w:spacing w:line="338" w:lineRule="auto" w:before="117"/>
        <w:ind w:left="573" w:right="1122"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）综合能源服务，深耕细作。</w:t>
      </w:r>
      <w:r>
        <w:rPr>
          <w:rFonts w:ascii="宋体" w:hAnsi="宋体" w:cs="宋体" w:eastAsia="宋体" w:hint="default"/>
          <w:b/>
          <w:bCs/>
          <w:w w:val="99"/>
          <w:sz w:val="18"/>
          <w:szCs w:val="18"/>
        </w:rPr>
        <w:t> </w:t>
      </w:r>
      <w:r>
        <w:rPr>
          <w:rFonts w:ascii="宋体" w:hAnsi="宋体" w:cs="宋体" w:eastAsia="宋体" w:hint="default"/>
          <w:sz w:val="18"/>
          <w:szCs w:val="18"/>
        </w:rPr>
        <w:t>2018</w:t>
      </w:r>
      <w:r>
        <w:rPr>
          <w:rFonts w:ascii="宋体" w:hAnsi="宋体" w:cs="宋体" w:eastAsia="宋体" w:hint="default"/>
          <w:sz w:val="18"/>
          <w:szCs w:val="18"/>
        </w:rPr>
        <w:t>年，公司将以现有发电资产和售电网络为依托，重点布局经济发达地区，加强政策研究和预判，紧跟能源革命和</w:t>
      </w:r>
    </w:p>
    <w:p>
      <w:pPr>
        <w:pStyle w:val="BodyText"/>
        <w:spacing w:line="319" w:lineRule="auto" w:before="2"/>
        <w:ind w:right="1129"/>
        <w:jc w:val="both"/>
      </w:pPr>
      <w:r>
        <w:rPr>
          <w:spacing w:val="-2"/>
        </w:rPr>
        <w:t>电力改革步伐，对已经形成用户规模的优质园区进行深耕细作，以分布式新能源和配售电服务为切入点，培育综合能源服务</w:t>
      </w:r>
      <w:r>
        <w:rPr>
          <w:spacing w:val="-66"/>
        </w:rPr>
        <w:t> </w:t>
      </w:r>
      <w:r>
        <w:rPr>
          <w:spacing w:val="-66"/>
        </w:rPr>
      </w:r>
      <w:r>
        <w:rPr>
          <w:spacing w:val="-2"/>
        </w:rPr>
        <w:t>核心竞争力，不断增强客户粘性、深度挖掘价值，努力建设发、配、售一体化的综合能源服务机构，实现大规模绿色电力的</w:t>
      </w:r>
      <w:r>
        <w:rPr>
          <w:spacing w:val="-67"/>
        </w:rPr>
        <w:t> </w:t>
      </w:r>
      <w:r>
        <w:rPr>
          <w:spacing w:val="-67"/>
        </w:rPr>
      </w:r>
      <w:r>
        <w:rPr>
          <w:spacing w:val="-2"/>
        </w:rPr>
        <w:t>智能化生产运营，构建以分布式能源为主的多能协同供应的区域能源综合运营网络，结合信息技术与金融手段为广泛的电力</w:t>
      </w:r>
      <w:r>
        <w:rPr>
          <w:spacing w:val="-64"/>
        </w:rPr>
        <w:t> </w:t>
      </w:r>
      <w:r>
        <w:rPr>
          <w:spacing w:val="-64"/>
        </w:rPr>
      </w:r>
      <w:r>
        <w:rPr/>
        <w:t>客户提供创新的智慧能源解决方案与增值服务，推动能源生产和消费方式的变革。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49"/>
        <w:ind w:right="0"/>
        <w:jc w:val="both"/>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公司报告期内未发生接待调研、沟通、采访等活动。</w:t>
      </w:r>
    </w:p>
    <w:p>
      <w:pPr>
        <w:spacing w:after="0" w:line="3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2"/>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报告期内普通股利润分配政策，特别是现金分红政策的制定、执行或调整情况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81" w:lineRule="auto" w:before="102"/>
        <w:ind w:left="654" w:right="1122" w:hanging="501"/>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spacing w:val="-3"/>
        </w:rPr>
        <w:t>年（包括本报告期）的普通股股利分配方案（预案）、资本公积金转增股本方案（预案）情况</w:t>
      </w:r>
      <w:r>
        <w:rPr>
          <w:spacing w:val="-58"/>
        </w:rPr>
        <w:t> </w:t>
      </w:r>
      <w:r>
        <w:rPr>
          <w:spacing w:val="-58"/>
        </w:rPr>
      </w:r>
      <w:r>
        <w:rPr>
          <w:spacing w:val="2"/>
        </w:rPr>
        <w:t>公司于</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30</w:t>
      </w:r>
      <w:r>
        <w:rPr>
          <w:spacing w:val="2"/>
        </w:rPr>
        <w:t>日召开的公司第二届董事会第二十八次会议和</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日召开的</w:t>
      </w:r>
      <w:r>
        <w:rPr>
          <w:rFonts w:ascii="Times New Roman" w:hAnsi="Times New Roman" w:cs="Times New Roman" w:eastAsia="Times New Roman" w:hint="default"/>
          <w:spacing w:val="2"/>
        </w:rPr>
        <w:t>2014</w:t>
      </w:r>
      <w:r>
        <w:rPr>
          <w:spacing w:val="2"/>
        </w:rPr>
        <w:t>年年度股东大会审议通</w:t>
      </w:r>
    </w:p>
    <w:p>
      <w:pPr>
        <w:pStyle w:val="BodyText"/>
        <w:spacing w:line="194" w:lineRule="exact"/>
        <w:ind w:left="294" w:right="0"/>
        <w:jc w:val="left"/>
      </w:pPr>
      <w:r>
        <w:rPr/>
        <w:t>过了公司</w:t>
      </w:r>
      <w:r>
        <w:rPr>
          <w:rFonts w:ascii="Times New Roman" w:hAnsi="Times New Roman" w:cs="Times New Roman" w:eastAsia="Times New Roman" w:hint="default"/>
        </w:rPr>
        <w:t>2014</w:t>
      </w:r>
      <w:r>
        <w:rPr/>
        <w:t>年利润分配方案：以</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36,250</w:t>
      </w:r>
      <w:r>
        <w:rPr/>
        <w:t>万股为基数，拟以资本公积金向全体股东每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股。合计</w:t>
      </w:r>
    </w:p>
    <w:p>
      <w:pPr>
        <w:pStyle w:val="BodyText"/>
        <w:spacing w:line="384" w:lineRule="auto" w:before="63"/>
        <w:ind w:left="654" w:right="1122" w:hanging="361"/>
        <w:jc w:val="left"/>
      </w:pPr>
      <w:r>
        <w:rPr/>
        <w:t>转增</w:t>
      </w:r>
      <w:r>
        <w:rPr>
          <w:rFonts w:ascii="Times New Roman" w:hAnsi="Times New Roman" w:cs="Times New Roman" w:eastAsia="Times New Roman" w:hint="default"/>
        </w:rPr>
        <w:t>36,250</w:t>
      </w:r>
      <w:r>
        <w:rPr/>
        <w:t>万股，转增后总股本为</w:t>
      </w:r>
      <w:r>
        <w:rPr>
          <w:rFonts w:ascii="Times New Roman" w:hAnsi="Times New Roman" w:cs="Times New Roman" w:eastAsia="Times New Roman" w:hint="default"/>
        </w:rPr>
        <w:t>72,500</w:t>
      </w:r>
      <w:r>
        <w:rPr/>
        <w:t>万股，于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日实施完毕。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日召开的第二届董事会第四十六次会议和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日召开的</w:t>
      </w:r>
      <w:r>
        <w:rPr>
          <w:rFonts w:ascii="Times New Roman" w:hAnsi="Times New Roman" w:cs="Times New Roman" w:eastAsia="Times New Roman" w:hint="default"/>
          <w:spacing w:val="2"/>
        </w:rPr>
        <w:t>2015</w:t>
      </w:r>
      <w:r>
        <w:rPr>
          <w:spacing w:val="2"/>
        </w:rPr>
        <w:t>年年度股东大会审议通过了</w:t>
      </w:r>
    </w:p>
    <w:p>
      <w:pPr>
        <w:pStyle w:val="BodyText"/>
        <w:spacing w:line="191" w:lineRule="exact"/>
        <w:ind w:left="294" w:right="1122"/>
        <w:jc w:val="left"/>
      </w:pPr>
      <w:r>
        <w:rPr>
          <w:spacing w:val="2"/>
        </w:rPr>
        <w:t>公司</w:t>
      </w:r>
      <w:r>
        <w:rPr>
          <w:rFonts w:ascii="Times New Roman" w:hAnsi="Times New Roman" w:cs="Times New Roman" w:eastAsia="Times New Roman" w:hint="default"/>
          <w:spacing w:val="2"/>
        </w:rPr>
        <w:t>2015</w:t>
      </w:r>
      <w:r>
        <w:rPr>
          <w:spacing w:val="2"/>
        </w:rPr>
        <w:t>年利润分配方案：以</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日公司总股本</w:t>
      </w:r>
      <w:r>
        <w:rPr>
          <w:rFonts w:ascii="Times New Roman" w:hAnsi="Times New Roman" w:cs="Times New Roman" w:eastAsia="Times New Roman" w:hint="default"/>
          <w:spacing w:val="2"/>
        </w:rPr>
        <w:t>1,122,715,400</w:t>
      </w:r>
      <w:r>
        <w:rPr>
          <w:spacing w:val="2"/>
        </w:rPr>
        <w:t>股为基数，每十股分配现金</w:t>
      </w:r>
      <w:r>
        <w:rPr>
          <w:rFonts w:ascii="Times New Roman" w:hAnsi="Times New Roman" w:cs="Times New Roman" w:eastAsia="Times New Roman" w:hint="default"/>
          <w:spacing w:val="2"/>
        </w:rPr>
        <w:t>1</w:t>
      </w:r>
      <w:r>
        <w:rPr>
          <w:spacing w:val="2"/>
        </w:rPr>
        <w:t>元（含税），共分配</w:t>
      </w:r>
    </w:p>
    <w:p>
      <w:pPr>
        <w:pStyle w:val="BodyText"/>
        <w:spacing w:line="384" w:lineRule="auto" w:before="63"/>
        <w:ind w:left="654" w:right="1122" w:hanging="361"/>
        <w:jc w:val="left"/>
      </w:pPr>
      <w:r>
        <w:rPr>
          <w:rFonts w:ascii="Times New Roman" w:hAnsi="Times New Roman" w:cs="Times New Roman" w:eastAsia="Times New Roman" w:hint="default"/>
        </w:rPr>
        <w:t>112,271,540</w:t>
      </w:r>
      <w:r>
        <w:rPr/>
        <w:t>元，剩余结转至下年。</w:t>
      </w:r>
      <w:r>
        <w:rPr>
          <w:rFonts w:ascii="Times New Roman" w:hAnsi="Times New Roman" w:cs="Times New Roman" w:eastAsia="Times New Roman" w:hint="default"/>
        </w:rPr>
        <w:t>2015</w:t>
      </w:r>
      <w:r>
        <w:rPr/>
        <w:t>年度利润分配不进行资本公积转增股本，于</w:t>
      </w:r>
      <w:r>
        <w:rPr>
          <w:rFonts w:ascii="Times New Roman" w:hAnsi="Times New Roman" w:cs="Times New Roman" w:eastAsia="Times New Roman" w:hint="default"/>
        </w:rPr>
        <w:t>2016</w:t>
      </w:r>
      <w:r>
        <w:rPr>
          <w:rFonts w:ascii="Times New Roman" w:hAnsi="Times New Roman" w:cs="Times New Roman" w:eastAsia="Times New Roman" w:hint="default"/>
          <w:spacing w:val="27"/>
        </w:rPr>
        <w:t> </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日实施完毕。 </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24</w:t>
      </w:r>
      <w:r>
        <w:rPr>
          <w:spacing w:val="2"/>
        </w:rPr>
        <w:t>日召开的第二届董事会五十五次会议和</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12</w:t>
      </w:r>
      <w:r>
        <w:rPr>
          <w:spacing w:val="2"/>
        </w:rPr>
        <w:t>日召开的</w:t>
      </w:r>
      <w:r>
        <w:rPr>
          <w:rFonts w:ascii="Times New Roman" w:hAnsi="Times New Roman" w:cs="Times New Roman" w:eastAsia="Times New Roman" w:hint="default"/>
          <w:spacing w:val="2"/>
        </w:rPr>
        <w:t>2016</w:t>
      </w:r>
      <w:r>
        <w:rPr>
          <w:spacing w:val="2"/>
        </w:rPr>
        <w:t>年第五次临时股东大会审议通</w:t>
      </w:r>
    </w:p>
    <w:p>
      <w:pPr>
        <w:pStyle w:val="BodyText"/>
        <w:spacing w:line="192" w:lineRule="exact"/>
        <w:ind w:left="294" w:right="0"/>
        <w:jc w:val="left"/>
      </w:pPr>
      <w:r>
        <w:rPr/>
        <w:t>过了公司</w:t>
      </w:r>
      <w:r>
        <w:rPr>
          <w:rFonts w:ascii="Times New Roman" w:hAnsi="Times New Roman" w:cs="Times New Roman" w:eastAsia="Times New Roman" w:hint="default"/>
        </w:rPr>
        <w:t>2016</w:t>
      </w:r>
      <w:r>
        <w:rPr/>
        <w:t>年半年度利润分配方案：以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日的公司总股本</w:t>
      </w:r>
      <w:r>
        <w:rPr>
          <w:rFonts w:ascii="Times New Roman" w:hAnsi="Times New Roman" w:cs="Times New Roman" w:eastAsia="Times New Roman" w:hint="default"/>
        </w:rPr>
        <w:t>1,122,715,400</w:t>
      </w:r>
      <w:r>
        <w:rPr/>
        <w:t>股为基数，以资本公积金向全体股东每</w:t>
      </w:r>
    </w:p>
    <w:p>
      <w:pPr>
        <w:pStyle w:val="BodyText"/>
        <w:spacing w:line="340" w:lineRule="auto" w:before="63"/>
        <w:ind w:left="154" w:right="1072" w:firstLine="140"/>
        <w:jc w:val="left"/>
      </w:pP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30</w:t>
      </w:r>
      <w:r>
        <w:rPr/>
        <w:t>股。分红前本公司总股本为</w:t>
      </w:r>
      <w:r>
        <w:rPr>
          <w:rFonts w:ascii="Times New Roman" w:hAnsi="Times New Roman" w:cs="Times New Roman" w:eastAsia="Times New Roman" w:hint="default"/>
        </w:rPr>
        <w:t>1,122,715,400</w:t>
      </w:r>
      <w:r>
        <w:rPr/>
        <w:t>股，分红后总股本增至</w:t>
      </w:r>
      <w:r>
        <w:rPr>
          <w:rFonts w:ascii="Times New Roman" w:hAnsi="Times New Roman" w:cs="Times New Roman" w:eastAsia="Times New Roman" w:hint="default"/>
        </w:rPr>
        <w:t>4,490,861,600</w:t>
      </w:r>
      <w:r>
        <w:rPr/>
        <w:t>股，于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日实施完毕。 公司近三年（包括本报告期）普通股现金分红情况表</w:t>
      </w:r>
    </w:p>
    <w:p>
      <w:pPr>
        <w:pStyle w:val="BodyText"/>
        <w:spacing w:line="240" w:lineRule="auto" w:before="41"/>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113,455,312.64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141,227,739.68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112,271,540.00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120,046,277.26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54" w:right="1122"/>
        <w:jc w:val="left"/>
      </w:pPr>
      <w:r>
        <w:rPr/>
        <w:t>公司报告期内盈利且母公司可供普通股股东分配利润为正但未提出普通股现金红利分配预案</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46"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1651"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7"/>
              <w:jc w:val="both"/>
              <w:rPr>
                <w:rFonts w:ascii="宋体" w:hAnsi="宋体" w:cs="宋体" w:eastAsia="宋体" w:hint="default"/>
                <w:sz w:val="18"/>
                <w:szCs w:val="18"/>
              </w:rPr>
            </w:pPr>
            <w:r>
              <w:rPr>
                <w:rFonts w:ascii="宋体" w:hAnsi="宋体" w:cs="宋体" w:eastAsia="宋体" w:hint="default"/>
                <w:sz w:val="18"/>
                <w:szCs w:val="18"/>
              </w:rPr>
              <w:t>公司最近三年利润分配情况符合《公司章程》的相关规定， 基于公司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年度经营发展需要，为了提高公司财务的稳 健性，实现公司持续、稳定、健康发展，更好地维护全体股 东的长远利益，从公司实际出发，</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年度公司不进行利润 分配，也不进行资本公积金转增股本。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69"/>
              <w:jc w:val="left"/>
              <w:rPr>
                <w:rFonts w:ascii="宋体" w:hAnsi="宋体" w:cs="宋体" w:eastAsia="宋体" w:hint="default"/>
                <w:sz w:val="18"/>
                <w:szCs w:val="18"/>
              </w:rPr>
            </w:pPr>
            <w:r>
              <w:rPr>
                <w:rFonts w:ascii="宋体" w:hAnsi="宋体" w:cs="宋体" w:eastAsia="宋体" w:hint="default"/>
                <w:sz w:val="18"/>
                <w:szCs w:val="18"/>
              </w:rPr>
              <w:t>公司未分配的利润将继续留存公司用于支持业务的经营发展 及投资需要。</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公司计划年度不派发现金红利，不送红股，不以公积金转增股本。</w:t>
      </w:r>
    </w:p>
    <w:p>
      <w:pPr>
        <w:spacing w:line="240" w:lineRule="auto" w:before="13"/>
        <w:rPr>
          <w:rFonts w:ascii="宋体" w:hAnsi="宋体" w:cs="宋体" w:eastAsia="宋体" w:hint="default"/>
          <w:sz w:val="24"/>
          <w:szCs w:val="24"/>
        </w:rPr>
      </w:pPr>
    </w:p>
    <w:p>
      <w:pPr>
        <w:pStyle w:val="Heading2"/>
        <w:spacing w:line="240" w:lineRule="auto"/>
        <w:ind w:right="1122"/>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9" w:lineRule="auto"/>
        <w:ind w:right="1122"/>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3"/>
        </w:rPr>
        <w:t> </w:t>
      </w:r>
      <w:r>
        <w:rPr>
          <w:spacing w:val="-73"/>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61"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26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2" w:right="61"/>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2"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8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2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承诺时间</w:t>
            </w:r>
          </w:p>
        </w:tc>
        <w:tc>
          <w:tcPr>
            <w:tcW w:w="9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496" w:type="dxa"/>
            <w:vMerge/>
            <w:tcBorders>
              <w:left w:val="single" w:sz="4" w:space="0" w:color="000000"/>
              <w:right w:val="single" w:sz="4" w:space="0" w:color="000000"/>
            </w:tcBorders>
            <w:shd w:val="clear" w:color="auto" w:fill="D2D2D2"/>
          </w:tcPr>
          <w:p>
            <w:pPr/>
          </w:p>
        </w:tc>
      </w:tr>
      <w:tr>
        <w:trPr>
          <w:trHeight w:val="161" w:hRule="exact"/>
        </w:trPr>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26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96"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702"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收购报告书或 权益变动报告 书中所作承诺</w:t>
            </w:r>
          </w:p>
        </w:tc>
        <w:tc>
          <w:tcPr>
            <w:tcW w:w="1702" w:type="dxa"/>
            <w:tcBorders>
              <w:top w:val="single" w:sz="4" w:space="0" w:color="000000"/>
              <w:left w:val="single" w:sz="13" w:space="0" w:color="D2D2D2"/>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4242" w:hRule="exact"/>
        </w:trPr>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04" w:lineRule="auto"/>
              <w:ind w:left="17" w:right="47"/>
              <w:jc w:val="left"/>
              <w:rPr>
                <w:rFonts w:ascii="宋体" w:hAnsi="宋体" w:cs="宋体" w:eastAsia="宋体" w:hint="default"/>
                <w:sz w:val="18"/>
                <w:szCs w:val="18"/>
              </w:rPr>
            </w:pPr>
            <w:r>
              <w:rPr>
                <w:rFonts w:ascii="宋体" w:hAnsi="宋体" w:cs="宋体" w:eastAsia="宋体" w:hint="default"/>
                <w:sz w:val="18"/>
                <w:szCs w:val="18"/>
              </w:rPr>
              <w:t>爱康国际控股有限公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苏州度 金股权投资管理中心</w:t>
            </w:r>
          </w:p>
          <w:p>
            <w:pPr>
              <w:pStyle w:val="TableParagraph"/>
              <w:spacing w:line="300" w:lineRule="auto" w:before="28"/>
              <w:ind w:left="17" w:right="20"/>
              <w:jc w:val="left"/>
              <w:rPr>
                <w:rFonts w:ascii="宋体" w:hAnsi="宋体" w:cs="宋体" w:eastAsia="宋体"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天地国</w:t>
            </w:r>
            <w:r>
              <w:rPr>
                <w:rFonts w:ascii="宋体" w:hAnsi="宋体" w:cs="宋体" w:eastAsia="宋体" w:hint="default"/>
                <w:spacing w:val="-86"/>
                <w:sz w:val="18"/>
                <w:szCs w:val="18"/>
              </w:rPr>
              <w:t> </w:t>
            </w:r>
            <w:r>
              <w:rPr>
                <w:rFonts w:ascii="宋体" w:hAnsi="宋体" w:cs="宋体" w:eastAsia="宋体" w:hint="default"/>
                <w:sz w:val="18"/>
                <w:szCs w:val="18"/>
              </w:rPr>
              <w:t>际发展有限公司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钨 业研究中心有限公司</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261" w:type="dxa"/>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爱康科技收购苏州爱康光电科技有限公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股权，交易对方爱康实业、爱康 </w:t>
            </w:r>
            <w:r>
              <w:rPr>
                <w:rFonts w:ascii="宋体" w:hAnsi="宋体" w:cs="宋体" w:eastAsia="宋体" w:hint="default"/>
                <w:spacing w:val="-2"/>
                <w:sz w:val="18"/>
                <w:szCs w:val="18"/>
              </w:rPr>
              <w:t>国际、苏州度金、天地国际及钨业研究承</w:t>
            </w:r>
            <w:r>
              <w:rPr>
                <w:rFonts w:ascii="宋体" w:hAnsi="宋体" w:cs="宋体" w:eastAsia="宋体" w:hint="default"/>
                <w:sz w:val="18"/>
                <w:szCs w:val="18"/>
              </w:rPr>
              <w:t> </w:t>
            </w:r>
            <w:r>
              <w:rPr>
                <w:rFonts w:ascii="宋体" w:hAnsi="宋体" w:cs="宋体" w:eastAsia="宋体" w:hint="default"/>
                <w:spacing w:val="-7"/>
                <w:sz w:val="18"/>
                <w:szCs w:val="18"/>
              </w:rPr>
              <w:t>诺：</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、爱康光电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年度、</w:t>
            </w:r>
            <w:r>
              <w:rPr>
                <w:rFonts w:ascii="Times New Roman" w:hAnsi="Times New Roman" w:cs="Times New Roman" w:eastAsia="Times New Roman" w:hint="default"/>
                <w:spacing w:val="-4"/>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年度承诺经审计扣除非经常性损益</w:t>
            </w:r>
          </w:p>
          <w:p>
            <w:pPr>
              <w:pStyle w:val="TableParagraph"/>
              <w:spacing w:line="316" w:lineRule="auto" w:before="5"/>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（依法取得的财政补贴除外）后归属于母</w:t>
            </w:r>
            <w:r>
              <w:rPr>
                <w:rFonts w:ascii="宋体" w:hAnsi="宋体" w:cs="宋体" w:eastAsia="宋体" w:hint="default"/>
                <w:sz w:val="18"/>
                <w:szCs w:val="18"/>
              </w:rPr>
              <w:t> 公司股东的净利润数分别为人民币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9,000</w:t>
            </w:r>
          </w:p>
          <w:p>
            <w:pPr>
              <w:pStyle w:val="TableParagraph"/>
              <w:spacing w:line="249" w:lineRule="exact"/>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万元</w:t>
            </w:r>
            <w:r>
              <w:rPr>
                <w:rFonts w:ascii="宋体" w:hAnsi="宋体" w:cs="宋体" w:eastAsia="宋体" w:hint="default"/>
                <w:spacing w:val="-75"/>
                <w:sz w:val="18"/>
                <w:szCs w:val="18"/>
              </w:rPr>
              <w:t>、</w:t>
            </w: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万元和人民币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12,500</w:t>
            </w:r>
          </w:p>
          <w:p>
            <w:pPr>
              <w:pStyle w:val="TableParagraph"/>
              <w:spacing w:line="309" w:lineRule="auto" w:before="63"/>
              <w:ind w:left="22" w:right="22"/>
              <w:jc w:val="both"/>
              <w:rPr>
                <w:rFonts w:ascii="宋体" w:hAnsi="宋体" w:cs="宋体" w:eastAsia="宋体" w:hint="default"/>
                <w:sz w:val="18"/>
                <w:szCs w:val="18"/>
              </w:rPr>
            </w:pPr>
            <w:r>
              <w:rPr>
                <w:rFonts w:ascii="宋体" w:hAnsi="宋体" w:cs="宋体" w:eastAsia="宋体" w:hint="default"/>
                <w:sz w:val="18"/>
                <w:szCs w:val="18"/>
              </w:rPr>
              <w:t>万元。如本次重组于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之后实施完成，业绩承诺期和利润补偿期</w:t>
            </w:r>
            <w:r>
              <w:rPr>
                <w:rFonts w:ascii="宋体" w:hAnsi="宋体" w:cs="宋体" w:eastAsia="宋体" w:hint="default"/>
                <w:sz w:val="18"/>
                <w:szCs w:val="18"/>
              </w:rPr>
              <w:t> 往后顺延，</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年度的承诺 </w:t>
            </w:r>
            <w:r>
              <w:rPr>
                <w:rFonts w:ascii="宋体" w:hAnsi="宋体" w:cs="宋体" w:eastAsia="宋体" w:hint="default"/>
                <w:spacing w:val="-2"/>
                <w:sz w:val="18"/>
                <w:szCs w:val="18"/>
              </w:rPr>
              <w:t>经审计扣除非经常性损益（依法取得的财</w:t>
            </w:r>
            <w:r>
              <w:rPr>
                <w:rFonts w:ascii="宋体" w:hAnsi="宋体" w:cs="宋体" w:eastAsia="宋体" w:hint="default"/>
                <w:sz w:val="18"/>
                <w:szCs w:val="18"/>
              </w:rPr>
              <w:t> 政补贴除外）后的净利润以本次交易之</w:t>
            </w:r>
          </w:p>
          <w:p>
            <w:pPr>
              <w:pStyle w:val="TableParagraph"/>
              <w:spacing w:line="316" w:lineRule="auto" w:before="24"/>
              <w:ind w:left="22" w:right="22"/>
              <w:jc w:val="left"/>
              <w:rPr>
                <w:rFonts w:ascii="宋体" w:hAnsi="宋体" w:cs="宋体" w:eastAsia="宋体" w:hint="default"/>
                <w:sz w:val="18"/>
                <w:szCs w:val="18"/>
              </w:rPr>
            </w:pPr>
            <w:r>
              <w:rPr>
                <w:rFonts w:ascii="宋体" w:hAnsi="宋体" w:cs="宋体" w:eastAsia="宋体" w:hint="default"/>
                <w:spacing w:val="-2"/>
                <w:sz w:val="18"/>
                <w:szCs w:val="18"/>
              </w:rPr>
              <w:t>《资产评估报告》确定的净利润预测数为</w:t>
            </w:r>
            <w:r>
              <w:rPr>
                <w:rFonts w:ascii="宋体" w:hAnsi="宋体" w:cs="宋体" w:eastAsia="宋体" w:hint="default"/>
                <w:sz w:val="18"/>
                <w:szCs w:val="18"/>
              </w:rPr>
              <w:t> </w:t>
            </w:r>
            <w:r>
              <w:rPr>
                <w:rFonts w:ascii="宋体" w:hAnsi="宋体" w:cs="宋体" w:eastAsia="宋体" w:hint="default"/>
                <w:spacing w:val="-5"/>
                <w:sz w:val="18"/>
                <w:szCs w:val="18"/>
              </w:rPr>
              <w:t>准。对于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pacing w:val="-3"/>
                <w:sz w:val="18"/>
                <w:szCs w:val="18"/>
              </w:rPr>
              <w:t>日（即评估基准</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日）的应收账款，截至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年度审计报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告出具之日</w:t>
            </w:r>
            <w:r>
              <w:rPr>
                <w:rFonts w:ascii="宋体" w:hAnsi="宋体" w:cs="宋体" w:eastAsia="宋体" w:hint="default"/>
                <w:spacing w:val="-81"/>
                <w:sz w:val="18"/>
                <w:szCs w:val="18"/>
              </w:rPr>
              <w:t>，</w:t>
            </w:r>
            <w:r>
              <w:rPr>
                <w:rFonts w:ascii="宋体" w:hAnsi="宋体" w:cs="宋体" w:eastAsia="宋体" w:hint="default"/>
                <w:spacing w:val="-2"/>
                <w:sz w:val="18"/>
                <w:szCs w:val="18"/>
              </w:rPr>
              <w:t>若</w:t>
            </w:r>
            <w:r>
              <w:rPr>
                <w:rFonts w:ascii="宋体" w:hAnsi="宋体" w:cs="宋体" w:eastAsia="宋体" w:hint="default"/>
                <w:sz w:val="18"/>
                <w:szCs w:val="18"/>
              </w:rPr>
              <w:t>实际未收回金额超过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日的累计坏账计提金额，即</w:t>
            </w:r>
          </w:p>
          <w:p>
            <w:pPr>
              <w:pStyle w:val="TableParagraph"/>
              <w:spacing w:line="309" w:lineRule="auto" w:before="63"/>
              <w:ind w:left="22" w:right="32"/>
              <w:jc w:val="left"/>
              <w:rPr>
                <w:rFonts w:ascii="宋体" w:hAnsi="宋体" w:cs="宋体" w:eastAsia="宋体" w:hint="default"/>
                <w:sz w:val="18"/>
                <w:szCs w:val="18"/>
              </w:rPr>
            </w:pPr>
            <w:r>
              <w:rPr>
                <w:rFonts w:ascii="Times New Roman" w:hAnsi="Times New Roman" w:cs="Times New Roman" w:eastAsia="Times New Roman" w:hint="default"/>
                <w:sz w:val="18"/>
                <w:szCs w:val="18"/>
              </w:rPr>
              <w:t>2,521.41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万元，超过部分将由转让方分别 就其目前的持股比例以现金补足给上市 公司。</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Times New Roman" w:hAnsi="Times New Roman" w:cs="Times New Roman" w:eastAsia="Times New Roman" w:hint="default"/>
                <w:sz w:val="18"/>
                <w:szCs w:val="18"/>
              </w:rPr>
            </w:pPr>
            <w:r>
              <w:rPr>
                <w:rFonts w:ascii="Times New Roman"/>
                <w:sz w:val="18"/>
              </w:rPr>
              <w:t>2016-09-20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3" w:right="0"/>
              <w:jc w:val="left"/>
              <w:rPr>
                <w:rFonts w:ascii="Times New Roman" w:hAnsi="Times New Roman" w:cs="Times New Roman" w:eastAsia="Times New Roman" w:hint="default"/>
                <w:sz w:val="18"/>
                <w:szCs w:val="18"/>
              </w:rPr>
            </w:pPr>
            <w:r>
              <w:rPr>
                <w:rFonts w:ascii="Times New Roman"/>
                <w:sz w:val="18"/>
              </w:rPr>
              <w:t>2018-12-31</w:t>
            </w:r>
          </w:p>
        </w:tc>
        <w:tc>
          <w:tcPr>
            <w:tcW w:w="4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703" w:hRule="exact"/>
        </w:trPr>
        <w:tc>
          <w:tcPr>
            <w:tcW w:w="12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1702" w:type="dxa"/>
            <w:vMerge/>
            <w:tcBorders>
              <w:left w:val="single" w:sz="9"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3261"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96" w:type="dxa"/>
            <w:vMerge/>
            <w:tcBorders>
              <w:left w:val="single" w:sz="4" w:space="0" w:color="000000"/>
              <w:right w:val="single" w:sz="4" w:space="0" w:color="000000"/>
            </w:tcBorders>
          </w:tcPr>
          <w:p>
            <w:pPr/>
          </w:p>
        </w:tc>
      </w:tr>
      <w:tr>
        <w:trPr>
          <w:trHeight w:val="1697" w:hRule="exact"/>
        </w:trPr>
        <w:tc>
          <w:tcPr>
            <w:tcW w:w="1276" w:type="dxa"/>
            <w:vMerge w:val="restart"/>
            <w:tcBorders>
              <w:top w:val="nil" w:sz="6" w:space="0" w:color="auto"/>
              <w:left w:val="single" w:sz="4" w:space="0" w:color="000000"/>
              <w:right w:val="single" w:sz="4" w:space="0" w:color="000000"/>
            </w:tcBorders>
            <w:shd w:val="clear" w:color="auto" w:fill="D2D2D2"/>
          </w:tcPr>
          <w:p>
            <w:pPr/>
          </w:p>
        </w:tc>
        <w:tc>
          <w:tcPr>
            <w:tcW w:w="1702" w:type="dxa"/>
            <w:vMerge/>
            <w:tcBorders>
              <w:left w:val="single" w:sz="9"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261"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96" w:type="dxa"/>
            <w:vMerge/>
            <w:tcBorders>
              <w:left w:val="single" w:sz="4" w:space="0" w:color="000000"/>
              <w:bottom w:val="single" w:sz="4" w:space="0" w:color="000000"/>
              <w:right w:val="single" w:sz="4" w:space="0" w:color="000000"/>
            </w:tcBorders>
          </w:tcPr>
          <w:p>
            <w:pPr/>
          </w:p>
        </w:tc>
      </w:tr>
      <w:tr>
        <w:trPr>
          <w:trHeight w:val="254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09" w:lineRule="auto"/>
              <w:ind w:left="23" w:right="47"/>
              <w:jc w:val="left"/>
              <w:rPr>
                <w:rFonts w:ascii="宋体" w:hAnsi="宋体" w:cs="宋体" w:eastAsia="宋体" w:hint="default"/>
                <w:sz w:val="18"/>
                <w:szCs w:val="18"/>
              </w:rPr>
            </w:pPr>
            <w:r>
              <w:rPr>
                <w:rFonts w:ascii="宋体" w:hAnsi="宋体" w:cs="宋体" w:eastAsia="宋体" w:hint="default"/>
                <w:sz w:val="18"/>
                <w:szCs w:val="18"/>
              </w:rPr>
              <w:t>爱康国际控股有限公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邹承慧、江苏爱康实业集团有限公司、 爱康国际控股有限公司出具关于避免同 业竞争的承诺：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、截至本承诺函出具之 日，本人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本公司控制的企 业未从事与爱康光电及其控股子公司所 从事的业务有直接利益冲突的竞争性经 营活动。</w:t>
            </w:r>
            <w:r>
              <w:rPr>
                <w:rFonts w:ascii="Times New Roman" w:hAnsi="Times New Roman" w:cs="Times New Roman" w:eastAsia="Times New Roman" w:hint="default"/>
                <w:sz w:val="18"/>
                <w:szCs w:val="18"/>
              </w:rPr>
              <w:t>2</w:t>
            </w:r>
            <w:r>
              <w:rPr>
                <w:rFonts w:ascii="宋体" w:hAnsi="宋体" w:cs="宋体" w:eastAsia="宋体" w:hint="default"/>
                <w:sz w:val="18"/>
                <w:szCs w:val="18"/>
              </w:rPr>
              <w:t>、本次支付现金购买资产事宜 </w:t>
            </w:r>
            <w:r>
              <w:rPr>
                <w:rFonts w:ascii="宋体" w:hAnsi="宋体" w:cs="宋体" w:eastAsia="宋体" w:hint="default"/>
                <w:spacing w:val="-2"/>
                <w:sz w:val="18"/>
                <w:szCs w:val="18"/>
              </w:rPr>
              <w:t>实施完毕后，除上市公司及其控股子公司</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2016-09-20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16"/>
              <w:jc w:val="right"/>
              <w:rPr>
                <w:rFonts w:ascii="Times New Roman" w:hAnsi="Times New Roman" w:cs="Times New Roman" w:eastAsia="Times New Roman" w:hint="default"/>
                <w:sz w:val="18"/>
                <w:szCs w:val="18"/>
              </w:rPr>
            </w:pPr>
            <w:r>
              <w:rPr>
                <w:rFonts w:ascii="Times New Roman"/>
                <w:sz w:val="18"/>
              </w:rPr>
              <w:t>9999-09-30</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0013pt;margin-top:72.47998pt;width:49.1pt;height:626.1pt;mso-position-horizontal-relative:page;mso-position-vertical-relative:page;z-index:-1651072" coordorigin="8228,1450" coordsize="982,12522">
            <v:shape style="position:absolute;left:8228;top:1450;width:982;height:12522" coordorigin="8228,1450" coordsize="982,12522" path="m8228,13971l9210,13971,9210,1450,8228,1450,8228,139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253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5"/>
                <w:sz w:val="18"/>
                <w:szCs w:val="18"/>
              </w:rPr>
              <w:t>（包括爱康光电）外，本人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本公司及本人</w:t>
            </w:r>
          </w:p>
          <w:p>
            <w:pPr>
              <w:pStyle w:val="TableParagraph"/>
              <w:spacing w:line="300" w:lineRule="auto" w:before="63"/>
              <w:ind w:left="22"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本公司控制的其他企业不会直接或间接 从事或发展与上市公司及其控股子公司</w:t>
            </w:r>
          </w:p>
          <w:p>
            <w:pPr>
              <w:pStyle w:val="TableParagraph"/>
              <w:spacing w:line="312" w:lineRule="auto" w:before="31"/>
              <w:ind w:left="22" w:right="21"/>
              <w:jc w:val="both"/>
              <w:rPr>
                <w:rFonts w:ascii="宋体" w:hAnsi="宋体" w:cs="宋体" w:eastAsia="宋体" w:hint="default"/>
                <w:sz w:val="18"/>
                <w:szCs w:val="18"/>
              </w:rPr>
            </w:pPr>
            <w:r>
              <w:rPr>
                <w:rFonts w:ascii="宋体" w:hAnsi="宋体" w:cs="宋体" w:eastAsia="宋体" w:hint="default"/>
                <w:spacing w:val="-2"/>
                <w:sz w:val="18"/>
                <w:szCs w:val="18"/>
              </w:rPr>
              <w:t>（包括爱康光电）经营范围相同或相类似</w:t>
            </w:r>
            <w:r>
              <w:rPr>
                <w:rFonts w:ascii="宋体" w:hAnsi="宋体" w:cs="宋体" w:eastAsia="宋体" w:hint="default"/>
                <w:sz w:val="18"/>
                <w:szCs w:val="18"/>
              </w:rPr>
              <w:t> </w:t>
            </w:r>
            <w:r>
              <w:rPr>
                <w:rFonts w:ascii="宋体" w:hAnsi="宋体" w:cs="宋体" w:eastAsia="宋体" w:hint="default"/>
                <w:spacing w:val="-5"/>
                <w:sz w:val="18"/>
                <w:szCs w:val="18"/>
              </w:rPr>
              <w:t>的业务或项目，也不为本人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本公司或代表</w:t>
            </w:r>
            <w:r>
              <w:rPr>
                <w:rFonts w:ascii="宋体" w:hAnsi="宋体" w:cs="宋体" w:eastAsia="宋体" w:hint="default"/>
                <w:spacing w:val="-82"/>
                <w:sz w:val="18"/>
                <w:szCs w:val="18"/>
              </w:rPr>
              <w:t> </w:t>
            </w:r>
            <w:r>
              <w:rPr>
                <w:rFonts w:ascii="宋体" w:hAnsi="宋体" w:cs="宋体" w:eastAsia="宋体" w:hint="default"/>
                <w:spacing w:val="-3"/>
                <w:sz w:val="18"/>
                <w:szCs w:val="18"/>
              </w:rPr>
              <w:t>任何第三方成立、发展、投资、参与、协</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助任何企业与上市公司及其控股子公司</w:t>
            </w:r>
          </w:p>
          <w:p>
            <w:pPr>
              <w:pStyle w:val="TableParagraph"/>
              <w:spacing w:line="314" w:lineRule="auto" w:before="22"/>
              <w:ind w:left="22" w:right="-12"/>
              <w:jc w:val="left"/>
              <w:rPr>
                <w:rFonts w:ascii="宋体" w:hAnsi="宋体" w:cs="宋体" w:eastAsia="宋体" w:hint="default"/>
                <w:sz w:val="18"/>
                <w:szCs w:val="18"/>
              </w:rPr>
            </w:pPr>
            <w:r>
              <w:rPr>
                <w:rFonts w:ascii="宋体" w:hAnsi="宋体" w:cs="宋体" w:eastAsia="宋体" w:hint="default"/>
                <w:sz w:val="18"/>
                <w:szCs w:val="18"/>
              </w:rPr>
              <w:t>（包括爱康光电）进行直接或间接的竞 </w:t>
            </w:r>
            <w:r>
              <w:rPr>
                <w:rFonts w:ascii="宋体" w:hAnsi="宋体" w:cs="宋体" w:eastAsia="宋体" w:hint="default"/>
                <w:spacing w:val="-2"/>
                <w:sz w:val="18"/>
                <w:szCs w:val="18"/>
              </w:rPr>
              <w:t>争。若违反上述承诺，将承担因此而给爱</w:t>
            </w:r>
            <w:r>
              <w:rPr>
                <w:rFonts w:ascii="宋体" w:hAnsi="宋体" w:cs="宋体" w:eastAsia="宋体" w:hint="default"/>
                <w:sz w:val="18"/>
                <w:szCs w:val="18"/>
              </w:rPr>
              <w:t> 康科技和爱康光电及其控制的其他公司、 企业或者其他经济组织造成的一切损失。 </w:t>
            </w:r>
            <w:r>
              <w:rPr>
                <w:rFonts w:ascii="宋体" w:hAnsi="宋体" w:cs="宋体" w:eastAsia="宋体" w:hint="default"/>
                <w:spacing w:val="-2"/>
                <w:sz w:val="18"/>
                <w:szCs w:val="18"/>
              </w:rPr>
              <w:t>邹承慧、江苏爱康实业集团有限公司、爱</w:t>
            </w:r>
            <w:r>
              <w:rPr>
                <w:rFonts w:ascii="宋体" w:hAnsi="宋体" w:cs="宋体" w:eastAsia="宋体" w:hint="default"/>
                <w:sz w:val="18"/>
                <w:szCs w:val="18"/>
              </w:rPr>
              <w:t> 康国际控股有限公司出具关于关于减少 和规范关联交易的承诺：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 在作为爱康科技的实际控制人</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本公司控制的其他公 </w:t>
            </w:r>
            <w:r>
              <w:rPr>
                <w:rFonts w:ascii="宋体" w:hAnsi="宋体" w:cs="宋体" w:eastAsia="宋体" w:hint="default"/>
                <w:spacing w:val="-2"/>
                <w:sz w:val="18"/>
                <w:szCs w:val="18"/>
              </w:rPr>
              <w:t>司、企业或者其他经济组织将尽量减少并</w:t>
            </w:r>
            <w:r>
              <w:rPr>
                <w:rFonts w:ascii="宋体" w:hAnsi="宋体" w:cs="宋体" w:eastAsia="宋体" w:hint="default"/>
                <w:sz w:val="18"/>
                <w:szCs w:val="18"/>
              </w:rPr>
              <w:t> 规范与爱康科技或爱康光电及其控制的 其他公司、 企业或者其他经济组织之间 的关联交易。</w:t>
            </w:r>
            <w:r>
              <w:rPr>
                <w:rFonts w:ascii="Times New Roman" w:hAnsi="Times New Roman" w:cs="Times New Roman" w:eastAsia="Times New Roman" w:hint="default"/>
                <w:sz w:val="18"/>
                <w:szCs w:val="18"/>
              </w:rPr>
              <w:t>2</w:t>
            </w:r>
            <w:r>
              <w:rPr>
                <w:rFonts w:ascii="宋体" w:hAnsi="宋体" w:cs="宋体" w:eastAsia="宋体" w:hint="default"/>
                <w:sz w:val="18"/>
                <w:szCs w:val="18"/>
              </w:rPr>
              <w:t>．本次重组完成后，本人</w:t>
            </w:r>
            <w:r>
              <w:rPr>
                <w:rFonts w:ascii="Times New Roman" w:hAnsi="Times New Roman" w:cs="Times New Roman" w:eastAsia="Times New Roman" w:hint="default"/>
                <w:sz w:val="18"/>
                <w:szCs w:val="18"/>
              </w:rPr>
              <w:t>/ </w:t>
            </w:r>
            <w:r>
              <w:rPr>
                <w:rFonts w:ascii="宋体" w:hAnsi="宋体" w:cs="宋体" w:eastAsia="宋体" w:hint="default"/>
                <w:sz w:val="18"/>
                <w:szCs w:val="18"/>
              </w:rPr>
              <w:t>本公司对于无法避免或有合理原因而发 生的与爱康科技或目标公司之间的关联 交易，本人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本公司控制的 </w:t>
            </w:r>
            <w:r>
              <w:rPr>
                <w:rFonts w:ascii="宋体" w:hAnsi="宋体" w:cs="宋体" w:eastAsia="宋体" w:hint="default"/>
                <w:spacing w:val="-2"/>
                <w:sz w:val="18"/>
                <w:szCs w:val="18"/>
              </w:rPr>
              <w:t>其他公司、企业或者其他经济组织将遵循</w:t>
            </w:r>
            <w:r>
              <w:rPr>
                <w:rFonts w:ascii="宋体" w:hAnsi="宋体" w:cs="宋体" w:eastAsia="宋体" w:hint="default"/>
                <w:sz w:val="18"/>
                <w:szCs w:val="18"/>
              </w:rPr>
              <w:t> 市场原则以公允、合理的市场价格进行， </w:t>
            </w:r>
            <w:r>
              <w:rPr>
                <w:rFonts w:ascii="宋体" w:hAnsi="宋体" w:cs="宋体" w:eastAsia="宋体" w:hint="default"/>
                <w:spacing w:val="-2"/>
                <w:sz w:val="18"/>
                <w:szCs w:val="18"/>
              </w:rPr>
              <w:t>根据有关法律、法规及规范性文件的规定</w:t>
            </w:r>
            <w:r>
              <w:rPr>
                <w:rFonts w:ascii="宋体" w:hAnsi="宋体" w:cs="宋体" w:eastAsia="宋体" w:hint="default"/>
                <w:sz w:val="18"/>
                <w:szCs w:val="18"/>
              </w:rPr>
              <w:t> </w:t>
            </w:r>
            <w:r>
              <w:rPr>
                <w:rFonts w:ascii="宋体" w:hAnsi="宋体" w:cs="宋体" w:eastAsia="宋体" w:hint="default"/>
                <w:spacing w:val="-2"/>
                <w:sz w:val="18"/>
                <w:szCs w:val="18"/>
              </w:rPr>
              <w:t>履行关联交易决策程序，依法履行信息披</w:t>
            </w:r>
            <w:r>
              <w:rPr>
                <w:rFonts w:ascii="宋体" w:hAnsi="宋体" w:cs="宋体" w:eastAsia="宋体" w:hint="default"/>
                <w:sz w:val="18"/>
                <w:szCs w:val="18"/>
              </w:rPr>
              <w:t> </w:t>
            </w:r>
            <w:r>
              <w:rPr>
                <w:rFonts w:ascii="宋体" w:hAnsi="宋体" w:cs="宋体" w:eastAsia="宋体" w:hint="default"/>
                <w:spacing w:val="-2"/>
                <w:sz w:val="18"/>
                <w:szCs w:val="18"/>
              </w:rPr>
              <w:t>露义务和办理有关报批程序，不利用实际</w:t>
            </w:r>
            <w:r>
              <w:rPr>
                <w:rFonts w:ascii="宋体" w:hAnsi="宋体" w:cs="宋体" w:eastAsia="宋体" w:hint="default"/>
                <w:sz w:val="18"/>
                <w:szCs w:val="18"/>
              </w:rPr>
              <w:t> 控制人优势地位损害爱康科技及其他股 东的合法权益。</w:t>
            </w:r>
            <w:r>
              <w:rPr>
                <w:rFonts w:ascii="Times New Roman" w:hAnsi="Times New Roman" w:cs="Times New Roman" w:eastAsia="Times New Roman" w:hint="default"/>
                <w:sz w:val="18"/>
                <w:szCs w:val="18"/>
              </w:rPr>
              <w:t>3</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本公司及本人</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本公司控制的其他公司、企业或者其他经</w:t>
            </w:r>
            <w:r>
              <w:rPr>
                <w:rFonts w:ascii="宋体" w:hAnsi="宋体" w:cs="宋体" w:eastAsia="宋体" w:hint="default"/>
                <w:sz w:val="18"/>
                <w:szCs w:val="18"/>
              </w:rPr>
              <w:t> 济组织不会利用拥有的上市公司实际控 </w:t>
            </w:r>
            <w:r>
              <w:rPr>
                <w:rFonts w:ascii="宋体" w:hAnsi="宋体" w:cs="宋体" w:eastAsia="宋体" w:hint="default"/>
                <w:spacing w:val="-2"/>
                <w:sz w:val="18"/>
                <w:szCs w:val="18"/>
              </w:rPr>
              <w:t>制能力操纵、指使上市公司或者上市公司</w:t>
            </w:r>
            <w:r>
              <w:rPr>
                <w:rFonts w:ascii="宋体" w:hAnsi="宋体" w:cs="宋体" w:eastAsia="宋体" w:hint="default"/>
                <w:sz w:val="18"/>
                <w:szCs w:val="18"/>
              </w:rPr>
              <w:t> </w:t>
            </w:r>
            <w:r>
              <w:rPr>
                <w:rFonts w:ascii="宋体" w:hAnsi="宋体" w:cs="宋体" w:eastAsia="宋体" w:hint="default"/>
                <w:spacing w:val="-3"/>
                <w:sz w:val="18"/>
                <w:szCs w:val="18"/>
              </w:rPr>
              <w:t>董事、监事、高级管理人员，使得上市公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司以不公平的条件，提供或者接受资金、 </w:t>
            </w:r>
            <w:r>
              <w:rPr>
                <w:rFonts w:ascii="宋体" w:hAnsi="宋体" w:cs="宋体" w:eastAsia="宋体" w:hint="default"/>
                <w:spacing w:val="-2"/>
                <w:sz w:val="18"/>
                <w:szCs w:val="18"/>
              </w:rPr>
              <w:t>商品、服务或者其他资产，或从事任何损</w:t>
            </w:r>
            <w:r>
              <w:rPr>
                <w:rFonts w:ascii="宋体" w:hAnsi="宋体" w:cs="宋体" w:eastAsia="宋体" w:hint="default"/>
                <w:sz w:val="18"/>
                <w:szCs w:val="18"/>
              </w:rPr>
              <w:t> </w:t>
            </w:r>
            <w:r>
              <w:rPr>
                <w:rFonts w:ascii="宋体" w:hAnsi="宋体" w:cs="宋体" w:eastAsia="宋体" w:hint="default"/>
                <w:spacing w:val="-5"/>
                <w:sz w:val="18"/>
                <w:szCs w:val="18"/>
              </w:rPr>
              <w:t>害上市公司利益的行为。本人</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本公司若违</w:t>
            </w:r>
            <w:r>
              <w:rPr>
                <w:rFonts w:ascii="宋体" w:hAnsi="宋体" w:cs="宋体" w:eastAsia="宋体" w:hint="default"/>
                <w:spacing w:val="-82"/>
                <w:sz w:val="18"/>
                <w:szCs w:val="18"/>
              </w:rPr>
              <w:t> </w:t>
            </w:r>
            <w:r>
              <w:rPr>
                <w:rFonts w:ascii="宋体" w:hAnsi="宋体" w:cs="宋体" w:eastAsia="宋体" w:hint="default"/>
                <w:spacing w:val="-2"/>
                <w:sz w:val="18"/>
                <w:szCs w:val="18"/>
              </w:rPr>
              <w:t>反上述承诺，将承担因此而给爱康科技和</w:t>
            </w:r>
            <w:r>
              <w:rPr>
                <w:rFonts w:ascii="宋体" w:hAnsi="宋体" w:cs="宋体" w:eastAsia="宋体" w:hint="default"/>
                <w:sz w:val="18"/>
                <w:szCs w:val="18"/>
              </w:rPr>
              <w:t> </w:t>
            </w:r>
            <w:r>
              <w:rPr>
                <w:rFonts w:ascii="宋体" w:hAnsi="宋体" w:cs="宋体" w:eastAsia="宋体" w:hint="default"/>
                <w:spacing w:val="-2"/>
                <w:sz w:val="18"/>
                <w:szCs w:val="18"/>
              </w:rPr>
              <w:t>爱康光电及其控制的其他公司、企业或者</w:t>
            </w:r>
            <w:r>
              <w:rPr>
                <w:rFonts w:ascii="宋体" w:hAnsi="宋体" w:cs="宋体" w:eastAsia="宋体" w:hint="default"/>
                <w:sz w:val="18"/>
                <w:szCs w:val="18"/>
              </w:rPr>
              <w:t> 其他经济组织造成的一切损失。</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首次公开发行 或再融资时所 作承诺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7"/>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江苏爱康实业集团有限公司所认购的 </w:t>
            </w:r>
            <w:r>
              <w:rPr>
                <w:rFonts w:ascii="Times New Roman" w:hAnsi="Times New Roman" w:cs="Times New Roman" w:eastAsia="Times New Roman" w:hint="default"/>
                <w:sz w:val="18"/>
                <w:szCs w:val="18"/>
              </w:rPr>
              <w:t>39,771,500 </w:t>
            </w:r>
            <w:r>
              <w:rPr>
                <w:rFonts w:ascii="宋体" w:hAnsi="宋体" w:cs="宋体" w:eastAsia="宋体" w:hint="default"/>
                <w:sz w:val="18"/>
                <w:szCs w:val="18"/>
              </w:rPr>
              <w:t>股股份自发行结束之日起</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个月内不得转让</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2019-3-23</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8"/>
      </w:tblGrid>
      <w:tr>
        <w:trPr>
          <w:trHeight w:val="102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7"/>
              <w:jc w:val="both"/>
              <w:rPr>
                <w:rFonts w:ascii="宋体" w:hAnsi="宋体" w:cs="宋体" w:eastAsia="宋体" w:hint="default"/>
                <w:sz w:val="18"/>
                <w:szCs w:val="18"/>
              </w:rPr>
            </w:pPr>
            <w:r>
              <w:rPr>
                <w:rFonts w:ascii="宋体" w:hAnsi="宋体" w:cs="宋体" w:eastAsia="宋体" w:hint="default"/>
                <w:sz w:val="18"/>
                <w:szCs w:val="18"/>
              </w:rPr>
              <w:t>深圳天风天成资产管 理有限公司－天成定 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6"/>
              <w:jc w:val="left"/>
              <w:rPr>
                <w:rFonts w:ascii="宋体" w:hAnsi="宋体" w:cs="宋体" w:eastAsia="宋体" w:hint="default"/>
                <w:sz w:val="18"/>
                <w:szCs w:val="18"/>
              </w:rPr>
            </w:pPr>
            <w:r>
              <w:rPr>
                <w:rFonts w:ascii="宋体" w:hAnsi="宋体" w:cs="宋体" w:eastAsia="宋体" w:hint="default"/>
                <w:sz w:val="18"/>
                <w:szCs w:val="18"/>
              </w:rPr>
              <w:t>深圳天风天成资产管理有限公司所认购 的股份自发行结束之日起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个月内不得 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2016-03-23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2017-03-22</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03"/>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1257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0"/>
              <w:ind w:left="23" w:right="47"/>
              <w:jc w:val="left"/>
              <w:rPr>
                <w:rFonts w:ascii="宋体" w:hAnsi="宋体" w:cs="宋体" w:eastAsia="宋体" w:hint="default"/>
                <w:sz w:val="18"/>
                <w:szCs w:val="18"/>
              </w:rPr>
            </w:pPr>
            <w:r>
              <w:rPr>
                <w:rFonts w:ascii="宋体" w:hAnsi="宋体" w:cs="宋体" w:eastAsia="宋体" w:hint="default"/>
                <w:sz w:val="18"/>
                <w:szCs w:val="18"/>
              </w:rPr>
              <w:t>爱康国际控股有限公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 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江阴爱 康投资有限公司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邹 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319" w:lineRule="auto"/>
              <w:ind w:left="22" w:right="96"/>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控股股东江苏爱康实业集团有限公司、 </w:t>
            </w:r>
            <w:r>
              <w:rPr>
                <w:rFonts w:ascii="宋体" w:hAnsi="宋体" w:cs="宋体" w:eastAsia="宋体" w:hint="default"/>
                <w:spacing w:val="-2"/>
                <w:sz w:val="18"/>
                <w:szCs w:val="18"/>
              </w:rPr>
              <w:t>爱康国际控股有限公司、江阴爱康投资有</w:t>
            </w:r>
            <w:r>
              <w:rPr>
                <w:rFonts w:ascii="宋体" w:hAnsi="宋体" w:cs="宋体" w:eastAsia="宋体" w:hint="default"/>
                <w:sz w:val="18"/>
                <w:szCs w:val="18"/>
              </w:rPr>
              <w:t> </w:t>
            </w:r>
            <w:r>
              <w:rPr>
                <w:rFonts w:ascii="宋体" w:hAnsi="宋体" w:cs="宋体" w:eastAsia="宋体" w:hint="default"/>
                <w:spacing w:val="-2"/>
                <w:sz w:val="18"/>
                <w:szCs w:val="18"/>
              </w:rPr>
              <w:t>限公司、实际控制人邹承慧分别向本公司</w:t>
            </w:r>
            <w:r>
              <w:rPr>
                <w:rFonts w:ascii="宋体" w:hAnsi="宋体" w:cs="宋体" w:eastAsia="宋体" w:hint="default"/>
                <w:sz w:val="18"/>
                <w:szCs w:val="18"/>
              </w:rPr>
              <w:t> </w:t>
            </w:r>
            <w:r>
              <w:rPr>
                <w:rFonts w:ascii="宋体" w:hAnsi="宋体" w:cs="宋体" w:eastAsia="宋体" w:hint="default"/>
                <w:spacing w:val="-5"/>
                <w:sz w:val="18"/>
                <w:szCs w:val="18"/>
              </w:rPr>
              <w:t>出具了《避免同业竞争承诺函》，承诺：</w:t>
            </w:r>
            <w:r>
              <w:rPr>
                <w:rFonts w:ascii="宋体" w:hAnsi="宋体" w:cs="宋体" w:eastAsia="宋体" w:hint="default"/>
                <w:sz w:val="18"/>
                <w:szCs w:val="18"/>
              </w:rPr>
              <w:t> </w:t>
            </w:r>
            <w:r>
              <w:rPr>
                <w:rFonts w:ascii="宋体" w:hAnsi="宋体" w:cs="宋体" w:eastAsia="宋体" w:hint="default"/>
                <w:spacing w:val="-3"/>
                <w:sz w:val="18"/>
                <w:szCs w:val="18"/>
              </w:rPr>
              <w:t>本公司（本人）将尽职、勤勉地履行《公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0"/>
                <w:sz w:val="18"/>
                <w:szCs w:val="18"/>
              </w:rPr>
              <w:t>司法》、《公司章程》所规定的股东职责，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不利用股份公司的股东地位损害股份公 </w:t>
            </w:r>
            <w:r>
              <w:rPr>
                <w:rFonts w:ascii="宋体" w:hAnsi="宋体" w:cs="宋体" w:eastAsia="宋体" w:hint="default"/>
                <w:spacing w:val="-2"/>
                <w:sz w:val="18"/>
                <w:szCs w:val="18"/>
              </w:rPr>
              <w:t>司及股份公司其他股东、债权人的合法权</w:t>
            </w:r>
            <w:r>
              <w:rPr>
                <w:rFonts w:ascii="宋体" w:hAnsi="宋体" w:cs="宋体" w:eastAsia="宋体" w:hint="default"/>
                <w:sz w:val="18"/>
                <w:szCs w:val="18"/>
              </w:rPr>
              <w:t> </w:t>
            </w:r>
            <w:r>
              <w:rPr>
                <w:rFonts w:ascii="宋体" w:hAnsi="宋体" w:cs="宋体" w:eastAsia="宋体" w:hint="default"/>
                <w:spacing w:val="-3"/>
                <w:sz w:val="18"/>
                <w:szCs w:val="18"/>
              </w:rPr>
              <w:t>益。在本承诺书签署之日，本公司、本公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司（或本人）控制的其他企业均未生产、 </w:t>
            </w:r>
            <w:r>
              <w:rPr>
                <w:rFonts w:ascii="宋体" w:hAnsi="宋体" w:cs="宋体" w:eastAsia="宋体" w:hint="default"/>
                <w:spacing w:val="-2"/>
                <w:sz w:val="18"/>
                <w:szCs w:val="18"/>
              </w:rPr>
              <w:t>开发任何与股份公司生产、开发的产品构</w:t>
            </w:r>
            <w:r>
              <w:rPr>
                <w:rFonts w:ascii="宋体" w:hAnsi="宋体" w:cs="宋体" w:eastAsia="宋体" w:hint="default"/>
                <w:sz w:val="18"/>
                <w:szCs w:val="18"/>
              </w:rPr>
              <w:t> </w:t>
            </w:r>
            <w:r>
              <w:rPr>
                <w:rFonts w:ascii="宋体" w:hAnsi="宋体" w:cs="宋体" w:eastAsia="宋体" w:hint="default"/>
                <w:spacing w:val="-2"/>
                <w:sz w:val="18"/>
                <w:szCs w:val="18"/>
              </w:rPr>
              <w:t>成竞争或可能构成竞争的产品，未直接或</w:t>
            </w:r>
            <w:r>
              <w:rPr>
                <w:rFonts w:ascii="宋体" w:hAnsi="宋体" w:cs="宋体" w:eastAsia="宋体" w:hint="default"/>
                <w:sz w:val="18"/>
                <w:szCs w:val="18"/>
              </w:rPr>
              <w:t> 间接经营任何与股份公司经营的业务构 </w:t>
            </w:r>
            <w:r>
              <w:rPr>
                <w:rFonts w:ascii="宋体" w:hAnsi="宋体" w:cs="宋体" w:eastAsia="宋体" w:hint="default"/>
                <w:spacing w:val="-2"/>
                <w:sz w:val="18"/>
                <w:szCs w:val="18"/>
              </w:rPr>
              <w:t>成竞争或可能构成竞争的业务，也未参与</w:t>
            </w:r>
            <w:r>
              <w:rPr>
                <w:rFonts w:ascii="宋体" w:hAnsi="宋体" w:cs="宋体" w:eastAsia="宋体" w:hint="default"/>
                <w:sz w:val="18"/>
                <w:szCs w:val="18"/>
              </w:rPr>
              <w:t> </w:t>
            </w:r>
            <w:r>
              <w:rPr>
                <w:rFonts w:ascii="宋体" w:hAnsi="宋体" w:cs="宋体" w:eastAsia="宋体" w:hint="default"/>
                <w:spacing w:val="-2"/>
                <w:sz w:val="18"/>
                <w:szCs w:val="18"/>
              </w:rPr>
              <w:t>投资任何与股份公司生产、开发的产品或</w:t>
            </w:r>
            <w:r>
              <w:rPr>
                <w:rFonts w:ascii="宋体" w:hAnsi="宋体" w:cs="宋体" w:eastAsia="宋体" w:hint="default"/>
                <w:sz w:val="18"/>
                <w:szCs w:val="18"/>
              </w:rPr>
              <w:t> 经营的业务构成竞争或可能构成竞争的 </w:t>
            </w:r>
            <w:r>
              <w:rPr>
                <w:rFonts w:ascii="宋体" w:hAnsi="宋体" w:cs="宋体" w:eastAsia="宋体" w:hint="default"/>
                <w:spacing w:val="-3"/>
                <w:sz w:val="18"/>
                <w:szCs w:val="18"/>
              </w:rPr>
              <w:t>其他公司、企业或其他组织、机构。自本</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承诺书签署之日起，本公司、本公司（或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本人）控制的其他企业将不生产、开发任</w:t>
            </w:r>
            <w:r>
              <w:rPr>
                <w:rFonts w:ascii="宋体" w:hAnsi="宋体" w:cs="宋体" w:eastAsia="宋体" w:hint="default"/>
                <w:sz w:val="18"/>
                <w:szCs w:val="18"/>
              </w:rPr>
              <w:t> </w:t>
            </w:r>
            <w:r>
              <w:rPr>
                <w:rFonts w:ascii="宋体" w:hAnsi="宋体" w:cs="宋体" w:eastAsia="宋体" w:hint="default"/>
                <w:spacing w:val="-2"/>
                <w:sz w:val="18"/>
                <w:szCs w:val="18"/>
              </w:rPr>
              <w:t>何与股份公司生产、开发的产品构成竞争</w:t>
            </w:r>
            <w:r>
              <w:rPr>
                <w:rFonts w:ascii="宋体" w:hAnsi="宋体" w:cs="宋体" w:eastAsia="宋体" w:hint="default"/>
                <w:sz w:val="18"/>
                <w:szCs w:val="18"/>
              </w:rPr>
              <w:t> </w:t>
            </w:r>
            <w:r>
              <w:rPr>
                <w:rFonts w:ascii="宋体" w:hAnsi="宋体" w:cs="宋体" w:eastAsia="宋体" w:hint="default"/>
                <w:spacing w:val="-2"/>
                <w:sz w:val="18"/>
                <w:szCs w:val="18"/>
              </w:rPr>
              <w:t>或可能构成竞争的产品，不直接或间接经</w:t>
            </w:r>
            <w:r>
              <w:rPr>
                <w:rFonts w:ascii="宋体" w:hAnsi="宋体" w:cs="宋体" w:eastAsia="宋体" w:hint="default"/>
                <w:sz w:val="18"/>
                <w:szCs w:val="18"/>
              </w:rPr>
              <w:t> 营任何与股份公司经营的业务构成竞争 </w:t>
            </w:r>
            <w:r>
              <w:rPr>
                <w:rFonts w:ascii="宋体" w:hAnsi="宋体" w:cs="宋体" w:eastAsia="宋体" w:hint="default"/>
                <w:spacing w:val="-2"/>
                <w:sz w:val="18"/>
                <w:szCs w:val="18"/>
              </w:rPr>
              <w:t>或可能构成竞争的业务，也不参与投资任</w:t>
            </w:r>
            <w:r>
              <w:rPr>
                <w:rFonts w:ascii="宋体" w:hAnsi="宋体" w:cs="宋体" w:eastAsia="宋体" w:hint="default"/>
                <w:sz w:val="18"/>
                <w:szCs w:val="18"/>
              </w:rPr>
              <w:t> 何与股份公司生产的产品或经营的业务 </w:t>
            </w:r>
            <w:r>
              <w:rPr>
                <w:rFonts w:ascii="宋体" w:hAnsi="宋体" w:cs="宋体" w:eastAsia="宋体" w:hint="default"/>
                <w:spacing w:val="-2"/>
                <w:sz w:val="18"/>
                <w:szCs w:val="18"/>
              </w:rPr>
              <w:t>构成竞争或可能构成竞争的其他企业。自</w:t>
            </w:r>
            <w:r>
              <w:rPr>
                <w:rFonts w:ascii="宋体" w:hAnsi="宋体" w:cs="宋体" w:eastAsia="宋体" w:hint="default"/>
                <w:sz w:val="18"/>
                <w:szCs w:val="18"/>
              </w:rPr>
              <w:t> </w:t>
            </w:r>
            <w:r>
              <w:rPr>
                <w:rFonts w:ascii="宋体" w:hAnsi="宋体" w:cs="宋体" w:eastAsia="宋体" w:hint="default"/>
                <w:spacing w:val="-2"/>
                <w:sz w:val="18"/>
                <w:szCs w:val="18"/>
              </w:rPr>
              <w:t>本承诺书签署之日起，如本公司、本公司</w:t>
            </w:r>
          </w:p>
          <w:p>
            <w:pPr>
              <w:pStyle w:val="TableParagraph"/>
              <w:spacing w:line="319" w:lineRule="auto" w:before="19"/>
              <w:ind w:left="22" w:right="-1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（或本人）控制的其他企业进一步拓展产</w:t>
            </w:r>
            <w:r>
              <w:rPr>
                <w:rFonts w:ascii="宋体" w:hAnsi="宋体" w:cs="宋体" w:eastAsia="宋体" w:hint="default"/>
                <w:sz w:val="18"/>
                <w:szCs w:val="18"/>
              </w:rPr>
              <w:t> </w:t>
            </w:r>
            <w:r>
              <w:rPr>
                <w:rFonts w:ascii="宋体" w:hAnsi="宋体" w:cs="宋体" w:eastAsia="宋体" w:hint="default"/>
                <w:spacing w:val="-2"/>
                <w:sz w:val="18"/>
                <w:szCs w:val="18"/>
              </w:rPr>
              <w:t>品和业务范围，或股份公司进一步拓展产</w:t>
            </w:r>
            <w:r>
              <w:rPr>
                <w:rFonts w:ascii="宋体" w:hAnsi="宋体" w:cs="宋体" w:eastAsia="宋体" w:hint="default"/>
                <w:sz w:val="18"/>
                <w:szCs w:val="18"/>
              </w:rPr>
              <w:t> </w:t>
            </w:r>
            <w:r>
              <w:rPr>
                <w:rFonts w:ascii="宋体" w:hAnsi="宋体" w:cs="宋体" w:eastAsia="宋体" w:hint="default"/>
                <w:spacing w:val="-2"/>
                <w:sz w:val="18"/>
                <w:szCs w:val="18"/>
              </w:rPr>
              <w:t>品和业务范围，本公司或本公司控制的其</w:t>
            </w:r>
            <w:r>
              <w:rPr>
                <w:rFonts w:ascii="宋体" w:hAnsi="宋体" w:cs="宋体" w:eastAsia="宋体" w:hint="default"/>
                <w:sz w:val="18"/>
                <w:szCs w:val="18"/>
              </w:rPr>
              <w:t> 他企业将不与股份公司现有或拓展后的 </w:t>
            </w:r>
            <w:r>
              <w:rPr>
                <w:rFonts w:ascii="宋体" w:hAnsi="宋体" w:cs="宋体" w:eastAsia="宋体" w:hint="default"/>
                <w:spacing w:val="-2"/>
                <w:sz w:val="18"/>
                <w:szCs w:val="18"/>
              </w:rPr>
              <w:t>产品或业务相竞争；若与股份公司及其下</w:t>
            </w:r>
            <w:r>
              <w:rPr>
                <w:rFonts w:ascii="宋体" w:hAnsi="宋体" w:cs="宋体" w:eastAsia="宋体" w:hint="default"/>
                <w:sz w:val="18"/>
                <w:szCs w:val="18"/>
              </w:rPr>
              <w:t> 属子公司拓展后的产品或业务产生竞争， 则本公司或本公司控制的其他企业将停 </w:t>
            </w:r>
            <w:r>
              <w:rPr>
                <w:rFonts w:ascii="宋体" w:hAnsi="宋体" w:cs="宋体" w:eastAsia="宋体" w:hint="default"/>
                <w:spacing w:val="-2"/>
                <w:sz w:val="18"/>
                <w:szCs w:val="18"/>
              </w:rPr>
              <w:t>止生产或经营相竞争的业务或产品，或者</w:t>
            </w:r>
            <w:r>
              <w:rPr>
                <w:rFonts w:ascii="宋体" w:hAnsi="宋体" w:cs="宋体" w:eastAsia="宋体" w:hint="default"/>
                <w:sz w:val="18"/>
                <w:szCs w:val="18"/>
              </w:rPr>
              <w:t> 将相竞争的业务或产品纳入到股份公司 </w:t>
            </w:r>
            <w:r>
              <w:rPr>
                <w:rFonts w:ascii="宋体" w:hAnsi="宋体" w:cs="宋体" w:eastAsia="宋体" w:hint="default"/>
                <w:spacing w:val="-2"/>
                <w:sz w:val="18"/>
                <w:szCs w:val="18"/>
              </w:rPr>
              <w:t>经营，或者将相竞争的业务或产品转让给</w:t>
            </w:r>
            <w:r>
              <w:rPr>
                <w:rFonts w:ascii="宋体" w:hAnsi="宋体" w:cs="宋体" w:eastAsia="宋体" w:hint="default"/>
                <w:sz w:val="18"/>
                <w:szCs w:val="18"/>
              </w:rPr>
              <w:t> 无关联关系的第三方的方式避免同业竞 </w:t>
            </w:r>
            <w:r>
              <w:rPr>
                <w:rFonts w:ascii="宋体" w:hAnsi="宋体" w:cs="宋体" w:eastAsia="宋体" w:hint="default"/>
                <w:spacing w:val="-3"/>
                <w:sz w:val="18"/>
                <w:szCs w:val="18"/>
              </w:rPr>
              <w:t>争。发行人、发行人控股股东、发行人实</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际控制人分别出具承诺函，承诺不发生关</w:t>
            </w:r>
            <w:r>
              <w:rPr>
                <w:rFonts w:ascii="宋体" w:hAnsi="宋体" w:cs="宋体" w:eastAsia="宋体" w:hint="default"/>
                <w:sz w:val="18"/>
                <w:szCs w:val="18"/>
              </w:rPr>
              <w:t> 联方资金拆借行为。</w:t>
            </w:r>
            <w:r>
              <w:rPr>
                <w:rFonts w:ascii="Times New Roman" w:hAnsi="Times New Roman" w:cs="Times New Roman" w:eastAsia="Times New Roman"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2010-12-29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9" w:lineRule="auto"/>
              <w:ind w:left="22" w:right="103"/>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51.222992pt;margin-top:72.47998pt;width:109.3pt;height:31.2pt;mso-position-horizontal-relative:page;mso-position-vertical-relative:page;z-index:-16510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股票上市完成。</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650"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6"/>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日，公司非公开发行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6,250 </w:t>
            </w:r>
            <w:r>
              <w:rPr>
                <w:rFonts w:ascii="宋体" w:hAnsi="宋体" w:cs="宋体" w:eastAsia="宋体" w:hint="default"/>
                <w:spacing w:val="-8"/>
                <w:w w:val="99"/>
                <w:sz w:val="18"/>
                <w:szCs w:val="18"/>
              </w:rPr>
              <w:t>万股人民币普通股（</w:t>
            </w:r>
            <w:r>
              <w:rPr>
                <w:rFonts w:ascii="Times New Roman" w:hAnsi="Times New Roman" w:cs="Times New Roman" w:eastAsia="Times New Roman" w:hint="default"/>
                <w:spacing w:val="-8"/>
                <w:w w:val="99"/>
                <w:sz w:val="18"/>
                <w:szCs w:val="18"/>
              </w:rPr>
              <w:t>A</w:t>
            </w:r>
            <w:r>
              <w:rPr>
                <w:rFonts w:ascii="Times New Roman" w:hAnsi="Times New Roman" w:cs="Times New Roman" w:eastAsia="Times New Roman" w:hint="default"/>
                <w:spacing w:val="35"/>
                <w:w w:val="99"/>
                <w:sz w:val="18"/>
                <w:szCs w:val="18"/>
              </w:rPr>
              <w:t> </w:t>
            </w:r>
            <w:r>
              <w:rPr>
                <w:rFonts w:ascii="宋体" w:hAnsi="宋体" w:cs="宋体" w:eastAsia="宋体" w:hint="default"/>
                <w:sz w:val="18"/>
                <w:szCs w:val="18"/>
              </w:rPr>
              <w:t>股） 公司实际控制人邹承慧先生认购</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640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万股 </w:t>
            </w:r>
            <w:r>
              <w:rPr>
                <w:rFonts w:ascii="宋体" w:hAnsi="宋体" w:cs="宋体" w:eastAsia="宋体" w:hint="default"/>
                <w:spacing w:val="-2"/>
                <w:sz w:val="18"/>
                <w:szCs w:val="18"/>
              </w:rPr>
              <w:t>并承诺自发行结束之日起，三十六个月内</w:t>
            </w:r>
            <w:r>
              <w:rPr>
                <w:rFonts w:ascii="宋体" w:hAnsi="宋体" w:cs="宋体" w:eastAsia="宋体" w:hint="default"/>
                <w:sz w:val="18"/>
                <w:szCs w:val="18"/>
              </w:rPr>
              <w:t> 不转让。</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624"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pict>
                <v:group style="width:49.1pt;height:31.2pt;mso-position-horizontal-relative:char;mso-position-vertical-relative:line" coordorigin="0,0" coordsize="982,624">
                  <v:group style="position:absolute;left:0;top:0;width:982;height:624" coordorigin="0,0" coordsize="982,624">
                    <v:shape style="position:absolute;left:0;top:0;width:982;height:624" coordorigin="0,0" coordsize="982,624" path="m0,624l982,624,982,0,0,0,0,624xe" filled="true" fillcolor="#ffffff" stroked="false">
                      <v:path arrowok="t"/>
                      <v:fill type="solid"/>
                    </v:shape>
                  </v:group>
                </v:group>
              </w:pict>
            </w:r>
            <w:r>
              <w:rPr>
                <w:rFonts w:ascii="Times New Roman" w:hAnsi="Times New Roman" w:cs="Times New Roman" w:eastAsia="Times New Roman" w:hint="default"/>
                <w:position w:val="-11"/>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2014-09-24</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2"/>
                <w:szCs w:val="22"/>
              </w:rPr>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2017-09-24</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40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70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7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邹承慧先生针对爱康光电对外担保事项 </w:t>
            </w:r>
            <w:r>
              <w:rPr>
                <w:rFonts w:ascii="宋体" w:hAnsi="宋体" w:cs="宋体" w:eastAsia="宋体" w:hint="default"/>
                <w:spacing w:val="-2"/>
                <w:sz w:val="18"/>
                <w:szCs w:val="18"/>
              </w:rPr>
              <w:t>出具承诺，若爱康光电为本次交易前的对</w:t>
            </w:r>
            <w:r>
              <w:rPr>
                <w:rFonts w:ascii="宋体" w:hAnsi="宋体" w:cs="宋体" w:eastAsia="宋体" w:hint="default"/>
                <w:sz w:val="18"/>
                <w:szCs w:val="18"/>
              </w:rPr>
              <w:t> 外担保所对应银行借款未来存在逾期等 </w:t>
            </w:r>
            <w:r>
              <w:rPr>
                <w:rFonts w:ascii="宋体" w:hAnsi="宋体" w:cs="宋体" w:eastAsia="宋体" w:hint="default"/>
                <w:spacing w:val="-2"/>
                <w:sz w:val="18"/>
                <w:szCs w:val="18"/>
              </w:rPr>
              <w:t>需执行担保义务的事项，将全额承担相关</w:t>
            </w:r>
            <w:r>
              <w:rPr>
                <w:rFonts w:ascii="宋体" w:hAnsi="宋体" w:cs="宋体" w:eastAsia="宋体" w:hint="default"/>
                <w:sz w:val="18"/>
                <w:szCs w:val="18"/>
              </w:rPr>
              <w:t> 担保义务。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2016-09-04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962" w:hRule="exact"/>
        </w:trPr>
        <w:tc>
          <w:tcPr>
            <w:tcW w:w="1276"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47"/>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96"/>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赣州发展融资租赁有限责任公司管理层 预测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z w:val="18"/>
                <w:szCs w:val="18"/>
              </w:rPr>
              <w:t> </w:t>
            </w:r>
            <w:r>
              <w:rPr>
                <w:rFonts w:ascii="宋体" w:hAnsi="宋体" w:cs="宋体" w:eastAsia="宋体" w:hint="default"/>
                <w:sz w:val="18"/>
                <w:szCs w:val="18"/>
              </w:rPr>
              <w:t>年实现净利 润分别为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4689.48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6890.59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8817.03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万元，爱康实业承诺若上述年度 该公司经审计净利润低于管理层预测数， 将以现金方式向爱康科技补足；</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2016-04-08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2019-04-07</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2586" w:hRule="exact"/>
        </w:trPr>
        <w:tc>
          <w:tcPr>
            <w:tcW w:w="1276"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75"/>
              <w:jc w:val="center"/>
              <w:rPr>
                <w:rFonts w:ascii="宋体" w:hAnsi="宋体" w:cs="宋体" w:eastAsia="宋体" w:hint="default"/>
                <w:sz w:val="18"/>
                <w:szCs w:val="18"/>
              </w:rPr>
            </w:pPr>
            <w:r>
              <w:rPr>
                <w:rFonts w:ascii="宋体" w:hAnsi="宋体" w:cs="宋体" w:eastAsia="宋体" w:hint="default"/>
                <w:sz w:val="18"/>
                <w:szCs w:val="18"/>
              </w:rPr>
              <w:t>其他承诺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日期间，爱康</w:t>
            </w:r>
            <w:r>
              <w:rPr>
                <w:rFonts w:ascii="宋体" w:hAnsi="宋体" w:cs="宋体" w:eastAsia="宋体" w:hint="default"/>
                <w:sz w:val="18"/>
                <w:szCs w:val="18"/>
              </w:rPr>
              <w:t> </w:t>
            </w:r>
            <w:r>
              <w:rPr>
                <w:rFonts w:ascii="宋体" w:hAnsi="宋体" w:cs="宋体" w:eastAsia="宋体" w:hint="default"/>
                <w:spacing w:val="-2"/>
                <w:sz w:val="18"/>
                <w:szCs w:val="18"/>
              </w:rPr>
              <w:t>科技及其全资或控股子公司、孙公司，及</w:t>
            </w:r>
            <w:r>
              <w:rPr>
                <w:rFonts w:ascii="宋体" w:hAnsi="宋体" w:cs="宋体" w:eastAsia="宋体" w:hint="default"/>
                <w:sz w:val="18"/>
                <w:szCs w:val="18"/>
              </w:rPr>
              <w:t> 控股股东一致行动人下属企业的全体在 </w:t>
            </w:r>
            <w:r>
              <w:rPr>
                <w:rFonts w:ascii="宋体" w:hAnsi="宋体" w:cs="宋体" w:eastAsia="宋体" w:hint="default"/>
                <w:spacing w:val="-5"/>
                <w:w w:val="100"/>
                <w:sz w:val="18"/>
                <w:szCs w:val="18"/>
              </w:rPr>
              <w:t>职员工（以上统称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爱康集团</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），通过二</w:t>
            </w:r>
            <w:r>
              <w:rPr>
                <w:rFonts w:ascii="宋体" w:hAnsi="宋体" w:cs="宋体" w:eastAsia="宋体" w:hint="default"/>
                <w:spacing w:val="-86"/>
                <w:w w:val="100"/>
                <w:sz w:val="18"/>
                <w:szCs w:val="18"/>
              </w:rPr>
              <w:t> </w:t>
            </w:r>
            <w:r>
              <w:rPr>
                <w:rFonts w:ascii="宋体" w:hAnsi="宋体" w:cs="宋体" w:eastAsia="宋体" w:hint="default"/>
                <w:spacing w:val="-86"/>
                <w:w w:val="100"/>
                <w:sz w:val="18"/>
                <w:szCs w:val="18"/>
              </w:rPr>
            </w:r>
            <w:r>
              <w:rPr>
                <w:rFonts w:ascii="宋体" w:hAnsi="宋体" w:cs="宋体" w:eastAsia="宋体" w:hint="default"/>
                <w:sz w:val="18"/>
                <w:szCs w:val="18"/>
              </w:rPr>
              <w:t>级市场买入爱康科技股票，连续持有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2"/>
                <w:sz w:val="18"/>
                <w:szCs w:val="18"/>
              </w:rPr>
              <w:t>个月以上并且在职，若因增持爱康科技股</w:t>
            </w:r>
            <w:r>
              <w:rPr>
                <w:rFonts w:ascii="宋体" w:hAnsi="宋体" w:cs="宋体" w:eastAsia="宋体" w:hint="default"/>
                <w:sz w:val="18"/>
                <w:szCs w:val="18"/>
              </w:rPr>
              <w:t> 票产生的亏损，由邹承慧先生予以补偿； 收益则归员工个人所有。</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2016-02-04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2017-2-28</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9"/>
              <w:ind w:left="22" w:right="101"/>
              <w:jc w:val="left"/>
              <w:rPr>
                <w:rFonts w:ascii="宋体" w:hAnsi="宋体" w:cs="宋体" w:eastAsia="宋体" w:hint="default"/>
                <w:sz w:val="18"/>
                <w:szCs w:val="18"/>
              </w:rPr>
            </w:pPr>
            <w:r>
              <w:rPr>
                <w:rFonts w:ascii="宋体" w:hAnsi="宋体" w:cs="宋体" w:eastAsia="宋体" w:hint="default"/>
                <w:sz w:val="18"/>
                <w:szCs w:val="18"/>
              </w:rPr>
              <w:t>履行 完毕</w:t>
            </w:r>
          </w:p>
        </w:tc>
      </w:tr>
      <w:tr>
        <w:trPr>
          <w:trHeight w:val="2274" w:hRule="exact"/>
        </w:trPr>
        <w:tc>
          <w:tcPr>
            <w:tcW w:w="1276"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ZHANG</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JING;</w:t>
            </w:r>
            <w:r>
              <w:rPr>
                <w:rFonts w:ascii="宋体" w:hAnsi="宋体" w:cs="宋体" w:eastAsia="宋体" w:hint="default"/>
                <w:sz w:val="18"/>
                <w:szCs w:val="18"/>
              </w:rPr>
              <w:t>何前</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2"/>
                <w:sz w:val="18"/>
                <w:szCs w:val="18"/>
              </w:rPr>
              <w:t>本人在担任发行人董事期间，每年转让的</w:t>
            </w:r>
            <w:r>
              <w:rPr>
                <w:rFonts w:ascii="宋体" w:hAnsi="宋体" w:cs="宋体" w:eastAsia="宋体" w:hint="default"/>
                <w:sz w:val="18"/>
                <w:szCs w:val="18"/>
              </w:rPr>
              <w:t> 股份不超过本人直接或间接持有公司股 </w:t>
            </w:r>
            <w:r>
              <w:rPr>
                <w:rFonts w:ascii="宋体" w:hAnsi="宋体" w:cs="宋体" w:eastAsia="宋体" w:hint="default"/>
                <w:spacing w:val="-2"/>
                <w:sz w:val="18"/>
                <w:szCs w:val="18"/>
              </w:rPr>
              <w:t>份总数的百分之二十五；自申报离任六个</w:t>
            </w:r>
            <w:r>
              <w:rPr>
                <w:rFonts w:ascii="宋体" w:hAnsi="宋体" w:cs="宋体" w:eastAsia="宋体" w:hint="default"/>
                <w:sz w:val="18"/>
                <w:szCs w:val="18"/>
              </w:rPr>
              <w:t> 月后的十二个月内通过证券交易所挂牌 交易出售本公司股票数量占其所持有本 </w:t>
            </w:r>
            <w:r>
              <w:rPr>
                <w:rFonts w:ascii="宋体" w:hAnsi="宋体" w:cs="宋体" w:eastAsia="宋体" w:hint="default"/>
                <w:spacing w:val="-2"/>
                <w:sz w:val="18"/>
                <w:szCs w:val="18"/>
              </w:rPr>
              <w:t>公司股票总数（包括有限售条件和无限售</w:t>
            </w:r>
            <w:r>
              <w:rPr>
                <w:rFonts w:ascii="宋体" w:hAnsi="宋体" w:cs="宋体" w:eastAsia="宋体" w:hint="default"/>
                <w:sz w:val="18"/>
                <w:szCs w:val="18"/>
              </w:rPr>
              <w:t> 条件的股份）的比例不超过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2016-05-26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2274" w:hRule="exact"/>
        </w:trPr>
        <w:tc>
          <w:tcPr>
            <w:tcW w:w="1276" w:type="dxa"/>
            <w:vMerge/>
            <w:tcBorders>
              <w:left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丁惠华</w:t>
            </w:r>
            <w:r>
              <w:rPr>
                <w:rFonts w:ascii="Times New Roman" w:hAnsi="Times New Roman" w:cs="Times New Roman" w:eastAsia="Times New Roman" w:hint="default"/>
                <w:sz w:val="18"/>
                <w:szCs w:val="18"/>
              </w:rPr>
              <w:t>;</w:t>
            </w:r>
            <w:r>
              <w:rPr>
                <w:rFonts w:ascii="宋体" w:hAnsi="宋体" w:cs="宋体" w:eastAsia="宋体" w:hint="default"/>
                <w:sz w:val="18"/>
                <w:szCs w:val="18"/>
              </w:rPr>
              <w:t>李光华</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本人在担任发行人监事期间，每年转让的</w:t>
            </w:r>
            <w:r>
              <w:rPr>
                <w:rFonts w:ascii="宋体" w:hAnsi="宋体" w:cs="宋体" w:eastAsia="宋体" w:hint="default"/>
                <w:sz w:val="18"/>
                <w:szCs w:val="18"/>
              </w:rPr>
              <w:t> 股份不超过本人直接或间接持有公司股 </w:t>
            </w:r>
            <w:r>
              <w:rPr>
                <w:rFonts w:ascii="宋体" w:hAnsi="宋体" w:cs="宋体" w:eastAsia="宋体" w:hint="default"/>
                <w:spacing w:val="-2"/>
                <w:sz w:val="18"/>
                <w:szCs w:val="18"/>
              </w:rPr>
              <w:t>份总数的百分之二十五；自申报离任六个</w:t>
            </w:r>
            <w:r>
              <w:rPr>
                <w:rFonts w:ascii="宋体" w:hAnsi="宋体" w:cs="宋体" w:eastAsia="宋体" w:hint="default"/>
                <w:sz w:val="18"/>
                <w:szCs w:val="18"/>
              </w:rPr>
              <w:t> 月后的十二个月内通过证券交易所挂牌 交易出售本公司股票数量占其所持有本 </w:t>
            </w:r>
            <w:r>
              <w:rPr>
                <w:rFonts w:ascii="宋体" w:hAnsi="宋体" w:cs="宋体" w:eastAsia="宋体" w:hint="default"/>
                <w:spacing w:val="-2"/>
                <w:sz w:val="18"/>
                <w:szCs w:val="18"/>
              </w:rPr>
              <w:t>公司股票总数（包括有限售条件和无限售</w:t>
            </w:r>
            <w:r>
              <w:rPr>
                <w:rFonts w:ascii="宋体" w:hAnsi="宋体" w:cs="宋体" w:eastAsia="宋体" w:hint="default"/>
                <w:sz w:val="18"/>
                <w:szCs w:val="18"/>
              </w:rPr>
              <w:t> 条件的股份）的比例不超过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2015-07-09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102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1"/>
              <w:ind w:left="23" w:right="27"/>
              <w:jc w:val="left"/>
              <w:rPr>
                <w:rFonts w:ascii="Times New Roman" w:hAnsi="Times New Roman" w:cs="Times New Roman" w:eastAsia="Times New Roman" w:hint="default"/>
                <w:sz w:val="18"/>
                <w:szCs w:val="18"/>
              </w:rPr>
            </w:pPr>
            <w:r>
              <w:rPr>
                <w:rFonts w:ascii="宋体" w:hAnsi="宋体" w:cs="宋体" w:eastAsia="宋体" w:hint="default"/>
                <w:sz w:val="18"/>
                <w:szCs w:val="18"/>
              </w:rPr>
              <w:t>丁韶华</w:t>
            </w:r>
            <w:r>
              <w:rPr>
                <w:rFonts w:ascii="Times New Roman" w:hAnsi="Times New Roman" w:cs="Times New Roman" w:eastAsia="Times New Roman" w:hint="default"/>
                <w:sz w:val="18"/>
                <w:szCs w:val="18"/>
              </w:rPr>
              <w:t>;</w:t>
            </w:r>
            <w:r>
              <w:rPr>
                <w:rFonts w:ascii="宋体" w:hAnsi="宋体" w:cs="宋体" w:eastAsia="宋体" w:hint="default"/>
                <w:sz w:val="18"/>
                <w:szCs w:val="18"/>
              </w:rPr>
              <w:t>季海瑜</w:t>
            </w:r>
            <w:r>
              <w:rPr>
                <w:rFonts w:ascii="Times New Roman" w:hAnsi="Times New Roman" w:cs="Times New Roman" w:eastAsia="Times New Roman" w:hint="default"/>
                <w:sz w:val="18"/>
                <w:szCs w:val="18"/>
              </w:rPr>
              <w:t>;</w:t>
            </w:r>
            <w:r>
              <w:rPr>
                <w:rFonts w:ascii="宋体" w:hAnsi="宋体" w:cs="宋体" w:eastAsia="宋体" w:hint="default"/>
                <w:sz w:val="18"/>
                <w:szCs w:val="18"/>
              </w:rPr>
              <w:t>刘丹 萍</w:t>
            </w:r>
            <w:r>
              <w:rPr>
                <w:rFonts w:ascii="Times New Roman" w:hAnsi="Times New Roman" w:cs="Times New Roman" w:eastAsia="Times New Roman" w:hint="default"/>
                <w:sz w:val="18"/>
                <w:szCs w:val="18"/>
              </w:rPr>
              <w:t>;</w:t>
            </w:r>
            <w:r>
              <w:rPr>
                <w:rFonts w:ascii="宋体" w:hAnsi="宋体" w:cs="宋体" w:eastAsia="宋体" w:hint="default"/>
                <w:sz w:val="18"/>
                <w:szCs w:val="18"/>
              </w:rPr>
              <w:t>吕学强</w:t>
            </w:r>
            <w:r>
              <w:rPr>
                <w:rFonts w:ascii="Times New Roman" w:hAnsi="Times New Roman" w:cs="Times New Roman" w:eastAsia="Times New Roman" w:hint="default"/>
                <w:sz w:val="18"/>
                <w:szCs w:val="18"/>
              </w:rPr>
              <w:t>;</w:t>
            </w:r>
            <w:r>
              <w:rPr>
                <w:rFonts w:ascii="宋体" w:hAnsi="宋体" w:cs="宋体" w:eastAsia="宋体" w:hint="default"/>
                <w:sz w:val="18"/>
                <w:szCs w:val="18"/>
              </w:rPr>
              <w:t>史强</w:t>
            </w:r>
            <w:r>
              <w:rPr>
                <w:rFonts w:ascii="Times New Roman" w:hAnsi="Times New Roman" w:cs="Times New Roman" w:eastAsia="Times New Roman" w:hint="default"/>
                <w:sz w:val="18"/>
                <w:szCs w:val="18"/>
              </w:rPr>
              <w:t>;</w:t>
            </w:r>
            <w:r>
              <w:rPr>
                <w:rFonts w:ascii="宋体" w:hAnsi="宋体" w:cs="宋体" w:eastAsia="宋体" w:hint="default"/>
                <w:sz w:val="18"/>
                <w:szCs w:val="18"/>
              </w:rPr>
              <w:t>汤勇</w:t>
            </w:r>
            <w:r>
              <w:rPr>
                <w:rFonts w:ascii="Times New Roman" w:hAnsi="Times New Roman" w:cs="Times New Roman" w:eastAsia="Times New Roman" w:hint="default"/>
                <w:sz w:val="18"/>
                <w:szCs w:val="18"/>
              </w:rPr>
              <w:t>; </w:t>
            </w:r>
            <w:r>
              <w:rPr>
                <w:rFonts w:ascii="宋体" w:hAnsi="宋体" w:cs="宋体" w:eastAsia="宋体" w:hint="default"/>
                <w:sz w:val="18"/>
                <w:szCs w:val="18"/>
              </w:rPr>
              <w:t>徐国辉</w:t>
            </w:r>
            <w:r>
              <w:rPr>
                <w:rFonts w:ascii="Times New Roman" w:hAnsi="Times New Roman" w:cs="Times New Roman" w:eastAsia="Times New Roman" w:hint="default"/>
                <w:sz w:val="18"/>
                <w:szCs w:val="18"/>
              </w:rPr>
              <w:t>;</w:t>
            </w:r>
            <w:r>
              <w:rPr>
                <w:rFonts w:ascii="宋体" w:hAnsi="宋体" w:cs="宋体" w:eastAsia="宋体" w:hint="default"/>
                <w:sz w:val="18"/>
                <w:szCs w:val="18"/>
              </w:rPr>
              <w:t>易美怀</w:t>
            </w:r>
            <w:r>
              <w:rPr>
                <w:rFonts w:ascii="Times New Roman" w:hAnsi="Times New Roman" w:cs="Times New Roman" w:eastAsia="Times New Roman" w:hint="default"/>
                <w:sz w:val="18"/>
                <w:szCs w:val="18"/>
              </w:rPr>
              <w:t>;</w:t>
            </w:r>
            <w:r>
              <w:rPr>
                <w:rFonts w:ascii="宋体" w:hAnsi="宋体" w:cs="宋体" w:eastAsia="宋体" w:hint="default"/>
                <w:sz w:val="18"/>
                <w:szCs w:val="18"/>
              </w:rPr>
              <w:t>袁淳</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96"/>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22"/>
              <w:jc w:val="both"/>
              <w:rPr>
                <w:rFonts w:ascii="宋体" w:hAnsi="宋体" w:cs="宋体" w:eastAsia="宋体" w:hint="default"/>
                <w:sz w:val="18"/>
                <w:szCs w:val="18"/>
              </w:rPr>
            </w:pPr>
            <w:r>
              <w:rPr>
                <w:rFonts w:ascii="宋体" w:hAnsi="宋体" w:cs="宋体" w:eastAsia="宋体" w:hint="default"/>
                <w:spacing w:val="-2"/>
                <w:sz w:val="18"/>
                <w:szCs w:val="18"/>
              </w:rPr>
              <w:t>公司全体董事、监事承诺：本人在担任发</w:t>
            </w:r>
            <w:r>
              <w:rPr>
                <w:rFonts w:ascii="宋体" w:hAnsi="宋体" w:cs="宋体" w:eastAsia="宋体" w:hint="default"/>
                <w:sz w:val="18"/>
                <w:szCs w:val="18"/>
              </w:rPr>
              <w:t> </w:t>
            </w:r>
            <w:r>
              <w:rPr>
                <w:rFonts w:ascii="宋体" w:hAnsi="宋体" w:cs="宋体" w:eastAsia="宋体" w:hint="default"/>
                <w:spacing w:val="-2"/>
                <w:sz w:val="18"/>
                <w:szCs w:val="18"/>
              </w:rPr>
              <w:t>行人董事期间，每年转让的股份不超过本</w:t>
            </w:r>
            <w:r>
              <w:rPr>
                <w:rFonts w:ascii="宋体" w:hAnsi="宋体" w:cs="宋体" w:eastAsia="宋体" w:hint="default"/>
                <w:sz w:val="18"/>
                <w:szCs w:val="18"/>
              </w:rPr>
              <w:t> 人直接或间接持有公司股份总数的百分</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2013-09-16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9999-12-31</w:t>
            </w:r>
          </w:p>
        </w:tc>
        <w:tc>
          <w:tcPr>
            <w:tcW w:w="4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both"/>
              <w:rPr>
                <w:rFonts w:ascii="宋体" w:hAnsi="宋体" w:cs="宋体" w:eastAsia="宋体" w:hint="default"/>
                <w:sz w:val="18"/>
                <w:szCs w:val="18"/>
              </w:rPr>
            </w:pPr>
            <w:r>
              <w:rPr>
                <w:rFonts w:ascii="宋体" w:hAnsi="宋体" w:cs="宋体" w:eastAsia="宋体" w:hint="default"/>
                <w:sz w:val="18"/>
                <w:szCs w:val="18"/>
              </w:rPr>
              <w:t>严格 履行 中</w:t>
            </w:r>
          </w:p>
        </w:tc>
      </w:tr>
    </w:tbl>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1702"/>
        <w:gridCol w:w="851"/>
        <w:gridCol w:w="3261"/>
        <w:gridCol w:w="991"/>
        <w:gridCol w:w="992"/>
        <w:gridCol w:w="496"/>
      </w:tblGrid>
      <w:tr>
        <w:trPr>
          <w:trHeight w:val="161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袁源</w:t>
            </w:r>
            <w:r>
              <w:rPr>
                <w:rFonts w:ascii="Times New Roman" w:hAnsi="Times New Roman" w:cs="Times New Roman" w:eastAsia="Times New Roman" w:hint="default"/>
                <w:sz w:val="18"/>
                <w:szCs w:val="18"/>
              </w:rPr>
              <w:t>;</w:t>
            </w:r>
            <w:r>
              <w:rPr>
                <w:rFonts w:ascii="宋体" w:hAnsi="宋体" w:cs="宋体" w:eastAsia="宋体" w:hint="default"/>
                <w:sz w:val="18"/>
                <w:szCs w:val="18"/>
              </w:rPr>
              <w:t>赵剑</w:t>
            </w:r>
            <w:r>
              <w:rPr>
                <w:rFonts w:ascii="Times New Roman" w:hAnsi="Times New Roman" w:cs="Times New Roman" w:eastAsia="Times New Roman" w:hint="default"/>
                <w:sz w:val="18"/>
                <w:szCs w:val="18"/>
              </w:rPr>
              <w:t>;</w:t>
            </w:r>
            <w:r>
              <w:rPr>
                <w:rFonts w:ascii="宋体" w:hAnsi="宋体" w:cs="宋体" w:eastAsia="宋体" w:hint="default"/>
                <w:sz w:val="18"/>
                <w:szCs w:val="18"/>
              </w:rPr>
              <w:t>邹承慧</w:t>
            </w:r>
          </w:p>
        </w:tc>
        <w:tc>
          <w:tcPr>
            <w:tcW w:w="851" w:type="dxa"/>
            <w:tcBorders>
              <w:top w:val="single" w:sz="4" w:space="0" w:color="000000"/>
              <w:left w:val="single" w:sz="4" w:space="0" w:color="000000"/>
              <w:bottom w:val="single" w:sz="4" w:space="0" w:color="000000"/>
              <w:right w:val="single" w:sz="4" w:space="0" w:color="000000"/>
            </w:tcBorders>
          </w:tcPr>
          <w:p>
            <w:pP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2"/>
                <w:sz w:val="18"/>
                <w:szCs w:val="18"/>
              </w:rPr>
              <w:t>之二十五；自申报离任六个月后的十二个</w:t>
            </w:r>
            <w:r>
              <w:rPr>
                <w:rFonts w:ascii="宋体" w:hAnsi="宋体" w:cs="宋体" w:eastAsia="宋体" w:hint="default"/>
                <w:sz w:val="18"/>
                <w:szCs w:val="18"/>
              </w:rPr>
              <w:t> 月内通过证券交易所挂牌交易出售本公 司股票数量占其所持有本公司股票总数</w:t>
            </w:r>
          </w:p>
          <w:p>
            <w:pPr>
              <w:pStyle w:val="TableParagraph"/>
              <w:spacing w:line="319"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（包括有限售条件和无限售条件的股份） 的比例不超过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2"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当详细说明未 完成履行的具 体原因及下一 步的工作计划</w:t>
            </w:r>
          </w:p>
        </w:tc>
        <w:tc>
          <w:tcPr>
            <w:tcW w:w="829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left="154" w:right="1122"/>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7"/>
        </w:rPr>
        <w:t> </w:t>
      </w:r>
      <w:r>
        <w:rPr>
          <w:spacing w:val="-67"/>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485"/>
        <w:gridCol w:w="573"/>
        <w:gridCol w:w="571"/>
        <w:gridCol w:w="850"/>
        <w:gridCol w:w="848"/>
        <w:gridCol w:w="4972"/>
        <w:gridCol w:w="571"/>
        <w:gridCol w:w="824"/>
      </w:tblGrid>
      <w:tr>
        <w:trPr>
          <w:trHeight w:val="1962" w:hRule="exact"/>
        </w:trPr>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6" w:right="56"/>
              <w:jc w:val="both"/>
              <w:rPr>
                <w:rFonts w:ascii="宋体" w:hAnsi="宋体" w:cs="宋体" w:eastAsia="宋体" w:hint="default"/>
                <w:sz w:val="18"/>
                <w:szCs w:val="18"/>
              </w:rPr>
            </w:pPr>
            <w:r>
              <w:rPr>
                <w:rFonts w:ascii="宋体" w:hAnsi="宋体" w:cs="宋体" w:eastAsia="宋体" w:hint="default"/>
                <w:sz w:val="18"/>
                <w:szCs w:val="18"/>
              </w:rPr>
              <w:t>盈利 预测 资产 或项 目名 称</w:t>
            </w:r>
          </w:p>
        </w:tc>
        <w:tc>
          <w:tcPr>
            <w:tcW w:w="5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01" w:right="101"/>
              <w:jc w:val="both"/>
              <w:rPr>
                <w:rFonts w:ascii="宋体" w:hAnsi="宋体" w:cs="宋体" w:eastAsia="宋体" w:hint="default"/>
                <w:sz w:val="18"/>
                <w:szCs w:val="18"/>
              </w:rPr>
            </w:pPr>
            <w:r>
              <w:rPr>
                <w:rFonts w:ascii="宋体" w:hAnsi="宋体" w:cs="宋体" w:eastAsia="宋体" w:hint="default"/>
                <w:sz w:val="18"/>
                <w:szCs w:val="18"/>
              </w:rPr>
              <w:t>预测 起始 时间</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100" w:right="98"/>
              <w:jc w:val="both"/>
              <w:rPr>
                <w:rFonts w:ascii="宋体" w:hAnsi="宋体" w:cs="宋体" w:eastAsia="宋体" w:hint="default"/>
                <w:sz w:val="18"/>
                <w:szCs w:val="18"/>
              </w:rPr>
            </w:pPr>
            <w:r>
              <w:rPr>
                <w:rFonts w:ascii="宋体" w:hAnsi="宋体" w:cs="宋体" w:eastAsia="宋体" w:hint="default"/>
                <w:sz w:val="18"/>
                <w:szCs w:val="18"/>
              </w:rPr>
              <w:t>预测 终止 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58" w:right="59"/>
              <w:jc w:val="center"/>
              <w:rPr>
                <w:rFonts w:ascii="宋体" w:hAnsi="宋体" w:cs="宋体" w:eastAsia="宋体" w:hint="default"/>
                <w:sz w:val="18"/>
                <w:szCs w:val="18"/>
              </w:rPr>
            </w:pPr>
            <w:r>
              <w:rPr>
                <w:rFonts w:ascii="宋体" w:hAnsi="宋体" w:cs="宋体" w:eastAsia="宋体" w:hint="default"/>
                <w:sz w:val="18"/>
                <w:szCs w:val="18"/>
              </w:rPr>
              <w:t>当期预测 业绩（万 元）</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58" w:right="59"/>
              <w:jc w:val="center"/>
              <w:rPr>
                <w:rFonts w:ascii="宋体" w:hAnsi="宋体" w:cs="宋体" w:eastAsia="宋体" w:hint="default"/>
                <w:sz w:val="18"/>
                <w:szCs w:val="18"/>
              </w:rPr>
            </w:pPr>
            <w:r>
              <w:rPr>
                <w:rFonts w:ascii="宋体" w:hAnsi="宋体" w:cs="宋体" w:eastAsia="宋体" w:hint="default"/>
                <w:sz w:val="18"/>
                <w:szCs w:val="18"/>
              </w:rPr>
              <w:t>当期实际 业绩（万 元）</w:t>
            </w:r>
          </w:p>
        </w:tc>
        <w:tc>
          <w:tcPr>
            <w:tcW w:w="4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0" w:right="0"/>
              <w:jc w:val="left"/>
              <w:rPr>
                <w:rFonts w:ascii="宋体" w:hAnsi="宋体" w:cs="宋体" w:eastAsia="宋体" w:hint="default"/>
                <w:sz w:val="18"/>
                <w:szCs w:val="18"/>
              </w:rPr>
            </w:pPr>
            <w:r>
              <w:rPr>
                <w:rFonts w:ascii="宋体" w:hAnsi="宋体" w:cs="宋体" w:eastAsia="宋体" w:hint="default"/>
                <w:sz w:val="18"/>
                <w:szCs w:val="18"/>
              </w:rPr>
              <w:t>未达预测的原因（如适用）</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00" w:right="98"/>
              <w:jc w:val="both"/>
              <w:rPr>
                <w:rFonts w:ascii="宋体" w:hAnsi="宋体" w:cs="宋体" w:eastAsia="宋体" w:hint="default"/>
                <w:sz w:val="18"/>
                <w:szCs w:val="18"/>
              </w:rPr>
            </w:pPr>
            <w:r>
              <w:rPr>
                <w:rFonts w:ascii="宋体" w:hAnsi="宋体" w:cs="宋体" w:eastAsia="宋体" w:hint="default"/>
                <w:sz w:val="18"/>
                <w:szCs w:val="18"/>
              </w:rPr>
              <w:t>原预 测披 露日 期</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37" w:right="44" w:hanging="90"/>
              <w:jc w:val="left"/>
              <w:rPr>
                <w:rFonts w:ascii="宋体" w:hAnsi="宋体" w:cs="宋体" w:eastAsia="宋体" w:hint="default"/>
                <w:sz w:val="18"/>
                <w:szCs w:val="18"/>
              </w:rPr>
            </w:pPr>
            <w:r>
              <w:rPr>
                <w:rFonts w:ascii="宋体" w:hAnsi="宋体" w:cs="宋体" w:eastAsia="宋体" w:hint="default"/>
                <w:sz w:val="18"/>
                <w:szCs w:val="18"/>
              </w:rPr>
              <w:t>原预测披 露索引</w:t>
            </w:r>
          </w:p>
        </w:tc>
      </w:tr>
      <w:tr>
        <w:trPr>
          <w:trHeight w:val="4458" w:hRule="exact"/>
        </w:trPr>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90"/>
              <w:jc w:val="left"/>
              <w:rPr>
                <w:rFonts w:ascii="宋体" w:hAnsi="宋体" w:cs="宋体" w:eastAsia="宋体" w:hint="default"/>
                <w:sz w:val="18"/>
                <w:szCs w:val="18"/>
              </w:rPr>
            </w:pPr>
            <w:r>
              <w:rPr>
                <w:rFonts w:ascii="宋体" w:hAnsi="宋体" w:cs="宋体" w:eastAsia="宋体" w:hint="default"/>
                <w:sz w:val="18"/>
                <w:szCs w:val="18"/>
              </w:rPr>
              <w:t>赣发 租赁</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6,890.59</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5,947.85</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32"/>
              <w:jc w:val="both"/>
              <w:rPr>
                <w:rFonts w:ascii="宋体" w:hAnsi="宋体" w:cs="宋体" w:eastAsia="宋体" w:hint="default"/>
                <w:sz w:val="18"/>
                <w:szCs w:val="18"/>
              </w:rPr>
            </w:pPr>
            <w:r>
              <w:rPr>
                <w:rFonts w:ascii="宋体" w:hAnsi="宋体" w:cs="宋体" w:eastAsia="宋体" w:hint="default"/>
                <w:sz w:val="18"/>
                <w:szCs w:val="18"/>
              </w:rPr>
              <w:t>一、市场融资环境急剧变化。由于国内融资市场环境的变化， 导致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年下半年银行等金融机构资金规模收紧，公司有近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亿元已经获批的银行额度因此未能实现提款。</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年金融机构 融资实现提款金额为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亿元，较</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17.1154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亿元减少</w:t>
            </w:r>
          </w:p>
          <w:p>
            <w:pPr>
              <w:pStyle w:val="TableParagraph"/>
              <w:spacing w:line="300" w:lineRule="auto" w:before="9"/>
              <w:ind w:left="22" w:right="21"/>
              <w:jc w:val="left"/>
              <w:rPr>
                <w:rFonts w:ascii="宋体" w:hAnsi="宋体" w:cs="宋体" w:eastAsia="宋体" w:hint="default"/>
                <w:sz w:val="18"/>
                <w:szCs w:val="18"/>
              </w:rPr>
            </w:pPr>
            <w:r>
              <w:rPr>
                <w:rFonts w:ascii="宋体" w:hAnsi="宋体" w:cs="宋体" w:eastAsia="宋体" w:hint="default"/>
                <w:sz w:val="18"/>
                <w:szCs w:val="18"/>
              </w:rPr>
              <w:t>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8.5154 </w:t>
            </w:r>
            <w:r>
              <w:rPr>
                <w:rFonts w:ascii="宋体" w:hAnsi="宋体" w:cs="宋体" w:eastAsia="宋体" w:hint="default"/>
                <w:sz w:val="18"/>
                <w:szCs w:val="18"/>
              </w:rPr>
              <w:t>亿元。二、融资成本快速攀升。随着资金市场额度的 收紧，融资成本也水涨船高，</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年公司的平均融资成本为 </w:t>
            </w:r>
            <w:r>
              <w:rPr>
                <w:rFonts w:ascii="Times New Roman" w:hAnsi="Times New Roman" w:cs="Times New Roman" w:eastAsia="Times New Roman" w:hint="default"/>
                <w:sz w:val="18"/>
                <w:szCs w:val="18"/>
              </w:rPr>
              <w:t>5.7%</w:t>
            </w:r>
            <w:r>
              <w:rPr>
                <w:rFonts w:ascii="宋体" w:hAnsi="宋体" w:cs="宋体" w:eastAsia="宋体" w:hint="default"/>
                <w:sz w:val="18"/>
                <w:szCs w:val="18"/>
              </w:rPr>
              <w:t>，而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年下半年融资成本已经攀升到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w:t>
            </w:r>
            <w:r>
              <w:rPr>
                <w:rFonts w:ascii="宋体" w:hAnsi="宋体" w:cs="宋体" w:eastAsia="宋体" w:hint="default"/>
                <w:sz w:val="18"/>
                <w:szCs w:val="18"/>
              </w:rPr>
              <w:t>左右，提高 了约</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BP</w:t>
            </w:r>
            <w:r>
              <w:rPr>
                <w:rFonts w:ascii="宋体" w:hAnsi="宋体" w:cs="宋体" w:eastAsia="宋体" w:hint="default"/>
                <w:sz w:val="18"/>
                <w:szCs w:val="18"/>
              </w:rPr>
              <w:t>，直接增加了公司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年的营业成本。三、政策</w:t>
            </w:r>
          </w:p>
          <w:p>
            <w:pPr>
              <w:pStyle w:val="TableParagraph"/>
              <w:spacing w:line="304" w:lineRule="auto" w:before="13"/>
              <w:ind w:left="22" w:right="23"/>
              <w:jc w:val="left"/>
              <w:rPr>
                <w:rFonts w:ascii="宋体" w:hAnsi="宋体" w:cs="宋体" w:eastAsia="宋体" w:hint="default"/>
                <w:sz w:val="18"/>
                <w:szCs w:val="18"/>
              </w:rPr>
            </w:pPr>
            <w:r>
              <w:rPr>
                <w:rFonts w:ascii="宋体" w:hAnsi="宋体" w:cs="宋体" w:eastAsia="宋体" w:hint="default"/>
                <w:sz w:val="18"/>
                <w:szCs w:val="18"/>
              </w:rPr>
              <w:t>调整影响业务投放。</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日，财政部等六部委联合发 </w:t>
            </w:r>
            <w:r>
              <w:rPr>
                <w:rFonts w:ascii="宋体" w:hAnsi="宋体" w:cs="宋体" w:eastAsia="宋体" w:hint="default"/>
                <w:spacing w:val="-4"/>
                <w:sz w:val="18"/>
                <w:szCs w:val="18"/>
              </w:rPr>
              <w:t>布的《关于进一步规范地方政府举债融资行为的通知》（财预</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Times New Roman" w:hAnsi="Times New Roman" w:cs="Times New Roman" w:eastAsia="Times New Roman" w:hint="default"/>
                <w:sz w:val="18"/>
                <w:szCs w:val="18"/>
              </w:rPr>
              <w:t>[2017]50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号）对政府举债行为提出更为严格的政策约束，导致 公司在</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月份储备的部分政府平台类项目直接被叫停，公司 原计划投放的约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亿元政府平台类项目未能实现落地，直接影</w:t>
            </w:r>
          </w:p>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年主营业务收入。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68"/>
              <w:jc w:val="left"/>
              <w:rPr>
                <w:rFonts w:ascii="宋体" w:hAnsi="宋体" w:cs="宋体" w:eastAsia="宋体" w:hint="default"/>
                <w:sz w:val="18"/>
                <w:szCs w:val="18"/>
              </w:rPr>
            </w:pPr>
            <w:r>
              <w:rPr>
                <w:rFonts w:ascii="宋体" w:hAnsi="宋体" w:cs="宋体" w:eastAsia="宋体" w:hint="default"/>
                <w:sz w:val="18"/>
                <w:szCs w:val="18"/>
              </w:rPr>
              <w:t>巨潮咨询 网：</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2016-31</w:t>
            </w:r>
          </w:p>
        </w:tc>
      </w:tr>
      <w:tr>
        <w:trPr>
          <w:trHeight w:val="1340" w:hRule="exact"/>
        </w:trPr>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90"/>
              <w:jc w:val="left"/>
              <w:rPr>
                <w:rFonts w:ascii="宋体" w:hAnsi="宋体" w:cs="宋体" w:eastAsia="宋体" w:hint="default"/>
                <w:sz w:val="18"/>
                <w:szCs w:val="18"/>
              </w:rPr>
            </w:pPr>
            <w:r>
              <w:rPr>
                <w:rFonts w:ascii="宋体" w:hAnsi="宋体" w:cs="宋体" w:eastAsia="宋体" w:hint="default"/>
                <w:sz w:val="18"/>
                <w:szCs w:val="18"/>
              </w:rPr>
              <w:t>爱康 光电</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21,570.4</w:t>
            </w:r>
          </w:p>
        </w:tc>
        <w:tc>
          <w:tcPr>
            <w:tcW w:w="4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3" w:right="68"/>
              <w:jc w:val="left"/>
              <w:rPr>
                <w:rFonts w:ascii="宋体" w:hAnsi="宋体" w:cs="宋体" w:eastAsia="宋体" w:hint="default"/>
                <w:sz w:val="18"/>
                <w:szCs w:val="18"/>
              </w:rPr>
            </w:pPr>
            <w:r>
              <w:rPr>
                <w:rFonts w:ascii="宋体" w:hAnsi="宋体" w:cs="宋体" w:eastAsia="宋体" w:hint="default"/>
                <w:sz w:val="18"/>
                <w:szCs w:val="18"/>
              </w:rPr>
              <w:t>巨潮咨询 网：</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2016-138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485"/>
        <w:gridCol w:w="573"/>
        <w:gridCol w:w="571"/>
        <w:gridCol w:w="850"/>
        <w:gridCol w:w="848"/>
        <w:gridCol w:w="4984"/>
        <w:gridCol w:w="560"/>
        <w:gridCol w:w="824"/>
      </w:tblGrid>
      <w:tr>
        <w:trPr>
          <w:trHeight w:val="1650" w:hRule="exact"/>
        </w:trPr>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90"/>
              <w:jc w:val="left"/>
              <w:rPr>
                <w:rFonts w:ascii="宋体" w:hAnsi="宋体" w:cs="宋体" w:eastAsia="宋体" w:hint="default"/>
                <w:sz w:val="18"/>
                <w:szCs w:val="18"/>
              </w:rPr>
            </w:pPr>
            <w:r>
              <w:rPr>
                <w:rFonts w:ascii="宋体" w:hAnsi="宋体" w:cs="宋体" w:eastAsia="宋体" w:hint="default"/>
                <w:sz w:val="18"/>
                <w:szCs w:val="18"/>
              </w:rPr>
              <w:t>能源 工程</w:t>
            </w:r>
          </w:p>
        </w:tc>
        <w:tc>
          <w:tcPr>
            <w:tcW w:w="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18,751.47</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16,046.76</w:t>
            </w:r>
          </w:p>
        </w:tc>
        <w:tc>
          <w:tcPr>
            <w:tcW w:w="4984" w:type="dxa"/>
            <w:tcBorders>
              <w:top w:val="single" w:sz="4" w:space="0" w:color="000000"/>
              <w:left w:val="single" w:sz="4" w:space="0" w:color="000000"/>
              <w:bottom w:val="single" w:sz="4" w:space="0" w:color="000000"/>
              <w:right w:val="single" w:sz="9" w:space="0" w:color="FFFFFF"/>
            </w:tcBorders>
          </w:tcPr>
          <w:p>
            <w:pPr>
              <w:pStyle w:val="TableParagraph"/>
              <w:spacing w:line="304"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市场转换和风险控制的需要。国内光伏市场政策不明朗，能源</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工程选择了做利润率高且风险低的项目，有效地降低经营风险；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同时，按照公司规划，着力布局国外市场开拓。</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执行严格的会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计准则，寿光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和海城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光伏电站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项目因部分 交割手续不完全未确认收入。</w:t>
            </w:r>
          </w:p>
        </w:tc>
        <w:tc>
          <w:tcPr>
            <w:tcW w:w="560"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5"/>
              <w:ind w:left="4"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p>
          <w:p>
            <w:pPr>
              <w:pStyle w:val="TableParagraph"/>
              <w:spacing w:line="240"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68"/>
              <w:jc w:val="left"/>
              <w:rPr>
                <w:rFonts w:ascii="宋体" w:hAnsi="宋体" w:cs="宋体" w:eastAsia="宋体" w:hint="default"/>
                <w:sz w:val="18"/>
                <w:szCs w:val="18"/>
              </w:rPr>
            </w:pPr>
            <w:r>
              <w:rPr>
                <w:rFonts w:ascii="宋体" w:hAnsi="宋体" w:cs="宋体" w:eastAsia="宋体" w:hint="default"/>
                <w:sz w:val="18"/>
                <w:szCs w:val="18"/>
              </w:rPr>
              <w:t>巨潮咨询 网：</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sz w:val="18"/>
              </w:rPr>
              <w:t>2017-120</w:t>
            </w:r>
          </w:p>
        </w:tc>
      </w:tr>
    </w:tbl>
    <w:p>
      <w:pPr>
        <w:pStyle w:val="BodyText"/>
        <w:spacing w:line="240" w:lineRule="auto" w:before="51"/>
        <w:ind w:left="154" w:right="0"/>
        <w:jc w:val="both"/>
      </w:pPr>
      <w:r>
        <w:rPr/>
        <w:pict>
          <v:group style="position:absolute;margin-left:471.660004pt;margin-top:-66.938255pt;width:25.8pt;height:17.650pt;mso-position-horizontal-relative:page;mso-position-vertical-relative:paragraph;z-index:-1651000" coordorigin="9433,-1339" coordsize="516,353">
            <v:shape style="position:absolute;left:9433;top:-1339;width:516;height:353" coordorigin="9433,-1339" coordsize="516,353" path="m9433,-986l9949,-986,9949,-1339,9433,-1339,9433,-986xe" filled="true" fillcolor="#ffffff" stroked="false">
              <v:path arrowok="t"/>
              <v:fill type="solid"/>
            </v:shape>
            <w10:wrap type="none"/>
          </v:group>
        </w:pict>
      </w:r>
      <w:r>
        <w:rPr/>
        <w:t>公司股东、交易对手方在报告年度经营业绩做出的承诺情况</w:t>
      </w:r>
    </w:p>
    <w:p>
      <w:pPr>
        <w:pStyle w:val="BodyText"/>
        <w:spacing w:line="240" w:lineRule="auto" w:before="117"/>
        <w:ind w:left="15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0"/>
        <w:jc w:val="both"/>
      </w:pPr>
      <w:r>
        <w:rPr>
          <w:rFonts w:ascii="Times New Roman" w:hAnsi="Times New Roman" w:cs="Times New Roman" w:eastAsia="Times New Roman" w:hint="default"/>
          <w:spacing w:val="-3"/>
        </w:rPr>
        <w:t>1</w:t>
      </w:r>
      <w:r>
        <w:rPr>
          <w:spacing w:val="-3"/>
        </w:rPr>
        <w:t>、公司于</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5</w:t>
      </w:r>
      <w:r>
        <w:rPr>
          <w:spacing w:val="-3"/>
        </w:rPr>
        <w:t>月以现金方式向控股股东爱康实业收购了其持有的赣发租赁</w:t>
      </w:r>
      <w:r>
        <w:rPr>
          <w:rFonts w:ascii="Times New Roman" w:hAnsi="Times New Roman" w:cs="Times New Roman" w:eastAsia="Times New Roman" w:hint="default"/>
          <w:spacing w:val="-3"/>
        </w:rPr>
        <w:t>40%</w:t>
      </w:r>
      <w:r>
        <w:rPr>
          <w:spacing w:val="-3"/>
        </w:rPr>
        <w:t>的股权。赣发租赁预测 </w:t>
      </w:r>
      <w:r>
        <w:rPr>
          <w:rFonts w:ascii="Times New Roman" w:hAnsi="Times New Roman" w:cs="Times New Roman" w:eastAsia="Times New Roman" w:hint="default"/>
        </w:rPr>
        <w:t>2016  </w:t>
      </w:r>
      <w:r>
        <w:rPr>
          <w:spacing w:val="-10"/>
        </w:rPr>
        <w:t>年、</w:t>
      </w:r>
      <w:r>
        <w:rPr>
          <w:rFonts w:ascii="Times New Roman" w:hAnsi="Times New Roman" w:cs="Times New Roman" w:eastAsia="Times New Roman" w:hint="default"/>
          <w:spacing w:val="-10"/>
        </w:rPr>
        <w:t>2017  </w:t>
      </w:r>
      <w:r>
        <w:rPr/>
        <w:t>年、</w:t>
      </w:r>
    </w:p>
    <w:p>
      <w:pPr>
        <w:pStyle w:val="BodyText"/>
        <w:spacing w:line="300" w:lineRule="auto" w:before="63"/>
        <w:ind w:right="1130"/>
        <w:jc w:val="both"/>
      </w:pPr>
      <w:r>
        <w:rPr>
          <w:rFonts w:ascii="Times New Roman" w:hAnsi="Times New Roman" w:cs="Times New Roman" w:eastAsia="Times New Roman" w:hint="default"/>
        </w:rPr>
        <w:t>2018 </w:t>
      </w:r>
      <w:r>
        <w:rPr/>
        <w:t>年实现净利润分别为 </w:t>
      </w:r>
      <w:r>
        <w:rPr>
          <w:rFonts w:ascii="Times New Roman" w:hAnsi="Times New Roman" w:cs="Times New Roman" w:eastAsia="Times New Roman" w:hint="default"/>
        </w:rPr>
        <w:t>4,689.48</w:t>
      </w:r>
      <w:r>
        <w:rPr/>
        <w:t>万元、</w:t>
      </w:r>
      <w:r>
        <w:rPr>
          <w:rFonts w:ascii="Times New Roman" w:hAnsi="Times New Roman" w:cs="Times New Roman" w:eastAsia="Times New Roman" w:hint="default"/>
        </w:rPr>
        <w:t>6,890.59 </w:t>
      </w:r>
      <w:r>
        <w:rPr/>
        <w:t>万元、</w:t>
      </w:r>
      <w:r>
        <w:rPr>
          <w:rFonts w:ascii="Times New Roman" w:hAnsi="Times New Roman" w:cs="Times New Roman" w:eastAsia="Times New Roman" w:hint="default"/>
        </w:rPr>
        <w:t>8,817.03</w:t>
      </w:r>
      <w:r>
        <w:rPr>
          <w:rFonts w:ascii="Times New Roman" w:hAnsi="Times New Roman" w:cs="Times New Roman" w:eastAsia="Times New Roman" w:hint="default"/>
          <w:spacing w:val="14"/>
        </w:rPr>
        <w:t> </w:t>
      </w:r>
      <w:r>
        <w:rPr/>
        <w:t>万元（经审计，以扣除非经常性损益前后归属于母公司 的净利润孰低者为计算依据）。爱康实业承诺若</w:t>
      </w:r>
      <w:r>
        <w:rPr>
          <w:rFonts w:ascii="Times New Roman" w:hAnsi="Times New Roman" w:cs="Times New Roman" w:eastAsia="Times New Roman" w:hint="default"/>
        </w:rPr>
        <w:t>2016 </w:t>
      </w:r>
      <w:r>
        <w:rPr/>
        <w:t>年、</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年赣发租赁经审计净利润低于管理层预测数，将 以现金方式向本公司补足，具体补偿金额计算公式为：（承诺业绩</w:t>
      </w:r>
      <w:r>
        <w:rPr>
          <w:rFonts w:ascii="Times New Roman" w:hAnsi="Times New Roman" w:cs="Times New Roman" w:eastAsia="Times New Roman" w:hint="default"/>
        </w:rPr>
        <w:t>-</w:t>
      </w:r>
      <w:r>
        <w:rPr/>
        <w:t>当年实际净利润）</w:t>
      </w:r>
      <w:r>
        <w:rPr>
          <w:rFonts w:ascii="Times New Roman" w:hAnsi="Times New Roman" w:cs="Times New Roman" w:eastAsia="Times New Roman" w:hint="default"/>
        </w:rPr>
        <w:t>*40%</w:t>
      </w:r>
      <w:r>
        <w:rPr/>
        <w:t>。。</w:t>
      </w:r>
    </w:p>
    <w:p>
      <w:pPr>
        <w:pStyle w:val="BodyText"/>
        <w:spacing w:line="300" w:lineRule="auto" w:before="53"/>
        <w:ind w:right="1129"/>
        <w:jc w:val="both"/>
      </w:pPr>
      <w:r>
        <w:rPr>
          <w:rFonts w:ascii="Times New Roman" w:hAnsi="Times New Roman" w:cs="Times New Roman" w:eastAsia="Times New Roman" w:hint="default"/>
          <w:spacing w:val="-1"/>
        </w:rPr>
        <w:t>2</w:t>
      </w:r>
      <w:r>
        <w:rPr>
          <w:spacing w:val="-1"/>
        </w:rPr>
        <w:t>、公司以支付现金的方式购买爱康光电</w:t>
      </w:r>
      <w:r>
        <w:rPr>
          <w:rFonts w:ascii="Times New Roman" w:hAnsi="Times New Roman" w:cs="Times New Roman" w:eastAsia="Times New Roman" w:hint="default"/>
          <w:spacing w:val="-1"/>
        </w:rPr>
        <w:t>100%</w:t>
      </w:r>
      <w:r>
        <w:rPr>
          <w:spacing w:val="-1"/>
        </w:rPr>
        <w:t>的股权，已经公司第二届董事会第五十六次临时会议、</w:t>
      </w:r>
      <w:r>
        <w:rPr>
          <w:rFonts w:ascii="Times New Roman" w:hAnsi="Times New Roman" w:cs="Times New Roman" w:eastAsia="Times New Roman" w:hint="default"/>
          <w:spacing w:val="-1"/>
        </w:rPr>
        <w:t>2016</w:t>
      </w:r>
      <w:r>
        <w:rPr>
          <w:spacing w:val="-1"/>
        </w:rPr>
        <w:t>年第六次临时股东</w:t>
      </w:r>
      <w:r>
        <w:rPr>
          <w:spacing w:val="-84"/>
        </w:rPr>
        <w:t> </w:t>
      </w:r>
      <w:r>
        <w:rPr>
          <w:spacing w:val="-2"/>
        </w:rPr>
        <w:t>大会审议通过。交易对手方承诺爱康光电</w:t>
      </w:r>
      <w:r>
        <w:rPr>
          <w:rFonts w:ascii="Times New Roman" w:hAnsi="Times New Roman" w:cs="Times New Roman" w:eastAsia="Times New Roman" w:hint="default"/>
          <w:spacing w:val="-2"/>
        </w:rPr>
        <w:t>2016</w:t>
      </w:r>
      <w:r>
        <w:rPr>
          <w:spacing w:val="-2"/>
        </w:rPr>
        <w:t>年度、</w:t>
      </w:r>
      <w:r>
        <w:rPr>
          <w:rFonts w:ascii="Times New Roman" w:hAnsi="Times New Roman" w:cs="Times New Roman" w:eastAsia="Times New Roman" w:hint="default"/>
          <w:spacing w:val="-2"/>
        </w:rPr>
        <w:t>2017</w:t>
      </w:r>
      <w:r>
        <w:rPr>
          <w:spacing w:val="-2"/>
        </w:rPr>
        <w:t>年度和</w:t>
      </w:r>
      <w:r>
        <w:rPr>
          <w:rFonts w:ascii="Times New Roman" w:hAnsi="Times New Roman" w:cs="Times New Roman" w:eastAsia="Times New Roman" w:hint="default"/>
          <w:spacing w:val="-2"/>
        </w:rPr>
        <w:t>2018</w:t>
      </w:r>
      <w:r>
        <w:rPr>
          <w:spacing w:val="-2"/>
        </w:rPr>
        <w:t>年度经审计扣除非经常性损益（依法取得的财政补贴除</w:t>
      </w:r>
      <w:r>
        <w:rPr>
          <w:spacing w:val="-54"/>
        </w:rPr>
        <w:t> </w:t>
      </w:r>
      <w:r>
        <w:rPr>
          <w:spacing w:val="-54"/>
        </w:rPr>
      </w:r>
      <w:r>
        <w:rPr/>
        <w:t>外）后归属于母公司股东的净利润数分别为人民币</w:t>
      </w:r>
      <w:r>
        <w:rPr>
          <w:rFonts w:ascii="Times New Roman" w:hAnsi="Times New Roman" w:cs="Times New Roman" w:eastAsia="Times New Roman" w:hint="default"/>
        </w:rPr>
        <w:t>9,000</w:t>
      </w:r>
      <w:r>
        <w:rPr/>
        <w:t>万元、人民币</w:t>
      </w:r>
      <w:r>
        <w:rPr>
          <w:rFonts w:ascii="Times New Roman" w:hAnsi="Times New Roman" w:cs="Times New Roman" w:eastAsia="Times New Roman" w:hint="default"/>
        </w:rPr>
        <w:t>11,000</w:t>
      </w:r>
      <w:r>
        <w:rPr/>
        <w:t>万元和人民币</w:t>
      </w:r>
      <w:r>
        <w:rPr>
          <w:rFonts w:ascii="Times New Roman" w:hAnsi="Times New Roman" w:cs="Times New Roman" w:eastAsia="Times New Roman" w:hint="default"/>
        </w:rPr>
        <w:t>12,500</w:t>
      </w:r>
      <w:r>
        <w:rPr/>
        <w:t>万元。对于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w:t>
      </w:r>
    </w:p>
    <w:p>
      <w:pPr>
        <w:pStyle w:val="BodyText"/>
        <w:spacing w:line="302" w:lineRule="auto" w:before="13"/>
        <w:ind w:right="1123"/>
        <w:jc w:val="left"/>
      </w:pPr>
      <w:r>
        <w:rPr/>
        <w:t>（即评估基准日）的应收账款，截至</w:t>
      </w:r>
      <w:r>
        <w:rPr>
          <w:rFonts w:ascii="Times New Roman" w:hAnsi="Times New Roman" w:cs="Times New Roman" w:eastAsia="Times New Roman" w:hint="default"/>
        </w:rPr>
        <w:t>2018</w:t>
      </w:r>
      <w:r>
        <w:rPr/>
        <w:t>年度审计报告出具之日，若实际未收回金额超过</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日的累计坏账计提金</w:t>
      </w:r>
      <w:r>
        <w:rPr>
          <w:spacing w:val="-82"/>
        </w:rPr>
        <w:t> </w:t>
      </w:r>
      <w:r>
        <w:rPr>
          <w:spacing w:val="-82"/>
        </w:rPr>
      </w:r>
      <w:r>
        <w:rPr/>
        <w:t>额，即</w:t>
      </w:r>
      <w:r>
        <w:rPr>
          <w:rFonts w:ascii="Times New Roman" w:hAnsi="Times New Roman" w:cs="Times New Roman" w:eastAsia="Times New Roman" w:hint="default"/>
        </w:rPr>
        <w:t>2,521.41</w:t>
      </w:r>
      <w:r>
        <w:rPr/>
        <w:t>万元，超过部分将由转让方分别就其目前的持股比例以现金补足给上市公司。</w:t>
      </w:r>
    </w:p>
    <w:p>
      <w:pPr>
        <w:spacing w:line="240" w:lineRule="auto" w:before="13"/>
        <w:rPr>
          <w:rFonts w:ascii="宋体" w:hAnsi="宋体" w:cs="宋体" w:eastAsia="宋体" w:hint="default"/>
          <w:sz w:val="19"/>
          <w:szCs w:val="19"/>
        </w:rPr>
      </w:pPr>
    </w:p>
    <w:p>
      <w:pPr>
        <w:pStyle w:val="Heading2"/>
        <w:spacing w:line="240" w:lineRule="auto"/>
        <w:ind w:right="0"/>
        <w:jc w:val="both"/>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9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公司报告期不存在控股股东及其关联方对上市公司的非经营性占用资金。</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49"/>
        </w:rPr>
        <w:t> </w:t>
      </w:r>
      <w:r>
        <w:rPr>
          <w:rFonts w:ascii="Times New Roman" w:hAnsi="Times New Roman" w:cs="Times New Roman" w:eastAsia="Times New Roman" w:hint="default"/>
        </w:rPr>
        <w:t>28</w:t>
      </w:r>
      <w:r>
        <w:rPr>
          <w:rFonts w:ascii="Times New Roman" w:hAnsi="Times New Roman" w:cs="Times New Roman" w:eastAsia="Times New Roman" w:hint="default"/>
          <w:spacing w:val="-4"/>
        </w:rPr>
        <w:t> </w:t>
      </w:r>
      <w:r>
        <w:rPr/>
        <w:t>日，财政部以财会</w:t>
      </w:r>
      <w:r>
        <w:rPr>
          <w:rFonts w:ascii="Times New Roman" w:hAnsi="Times New Roman" w:cs="Times New Roman" w:eastAsia="Times New Roman" w:hint="default"/>
        </w:rPr>
        <w:t>[2017]13</w:t>
      </w:r>
      <w:r>
        <w:rPr>
          <w:rFonts w:ascii="Times New Roman" w:hAnsi="Times New Roman" w:cs="Times New Roman" w:eastAsia="Times New Roman" w:hint="default"/>
          <w:spacing w:val="-4"/>
        </w:rPr>
        <w:t> </w:t>
      </w:r>
      <w:r>
        <w:rPr/>
        <w:t>号发布了《企业会计准则第</w:t>
      </w:r>
      <w:r>
        <w:rPr>
          <w:spacing w:val="-49"/>
        </w:rPr>
        <w:t> </w:t>
      </w:r>
      <w:r>
        <w:rPr>
          <w:rFonts w:ascii="Times New Roman" w:hAnsi="Times New Roman" w:cs="Times New Roman" w:eastAsia="Times New Roman" w:hint="default"/>
        </w:rPr>
        <w:t>42</w:t>
      </w:r>
      <w:r>
        <w:rPr>
          <w:rFonts w:ascii="Times New Roman" w:hAnsi="Times New Roman" w:cs="Times New Roman" w:eastAsia="Times New Roman" w:hint="default"/>
          <w:spacing w:val="-4"/>
        </w:rPr>
        <w:t> </w:t>
      </w:r>
      <w:r>
        <w:rPr/>
        <w:t>号</w:t>
      </w:r>
      <w:r>
        <w:rPr>
          <w:rFonts w:ascii="Times New Roman" w:hAnsi="Times New Roman" w:cs="Times New Roman" w:eastAsia="Times New Roman" w:hint="default"/>
        </w:rPr>
        <w:t>——</w:t>
      </w:r>
      <w:r>
        <w:rPr/>
        <w:t>持有待售的非流动资产、处置组和终止</w:t>
      </w:r>
    </w:p>
    <w:p>
      <w:pPr>
        <w:pStyle w:val="BodyText"/>
        <w:spacing w:line="240" w:lineRule="auto" w:before="63"/>
        <w:ind w:right="0"/>
        <w:jc w:val="both"/>
      </w:pPr>
      <w:r>
        <w:rPr/>
        <w:t>经营</w:t>
      </w:r>
      <w:r>
        <w:rPr>
          <w:spacing w:val="-90"/>
        </w:rPr>
        <w:t>》</w:t>
      </w:r>
      <w:r>
        <w:rPr>
          <w:spacing w:val="-6"/>
        </w:rPr>
        <w:t>，</w:t>
      </w:r>
      <w:r>
        <w:rPr/>
        <w:t>自</w:t>
      </w:r>
      <w:r>
        <w:rPr>
          <w:spacing w:val="-46"/>
        </w:rPr>
        <w:t> </w:t>
      </w:r>
      <w:r>
        <w:rPr>
          <w:rFonts w:ascii="Times New Roman" w:hAnsi="Times New Roman" w:cs="Times New Roman" w:eastAsia="Times New Roman" w:hint="default"/>
        </w:rPr>
        <w:t>20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5 </w:t>
      </w:r>
      <w:r>
        <w:rPr/>
        <w:t>月</w:t>
      </w:r>
      <w:r>
        <w:rPr>
          <w:spacing w:val="-46"/>
        </w:rPr>
        <w:t> </w:t>
      </w:r>
      <w:r>
        <w:rPr>
          <w:rFonts w:ascii="Times New Roman" w:hAnsi="Times New Roman" w:cs="Times New Roman" w:eastAsia="Times New Roman" w:hint="default"/>
        </w:rPr>
        <w:t>28</w:t>
      </w:r>
      <w:r>
        <w:rPr>
          <w:rFonts w:ascii="Times New Roman" w:hAnsi="Times New Roman" w:cs="Times New Roman" w:eastAsia="Times New Roman" w:hint="default"/>
          <w:spacing w:val="-1"/>
        </w:rPr>
        <w:t> </w:t>
      </w:r>
      <w:r>
        <w:rPr>
          <w:spacing w:val="1"/>
        </w:rPr>
        <w:t>日</w:t>
      </w:r>
      <w:r>
        <w:rPr/>
        <w:t>起实施</w:t>
      </w:r>
      <w:r>
        <w:rPr>
          <w:spacing w:val="-6"/>
        </w:rPr>
        <w:t>。</w:t>
      </w:r>
      <w:r>
        <w:rPr>
          <w:rFonts w:ascii="Times New Roman" w:hAnsi="Times New Roman" w:cs="Times New Roman" w:eastAsia="Times New Roman" w:hint="default"/>
        </w:rPr>
        <w:t>2017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w:t>
      </w:r>
      <w:r>
        <w:rPr>
          <w:spacing w:val="-5"/>
        </w:rPr>
        <w:t>，</w:t>
      </w:r>
      <w:r>
        <w:rPr/>
        <w:t>财政部以财会</w:t>
      </w:r>
      <w:r>
        <w:rPr>
          <w:rFonts w:ascii="Times New Roman" w:hAnsi="Times New Roman" w:cs="Times New Roman" w:eastAsia="Times New Roman" w:hint="default"/>
        </w:rPr>
        <w:t>[2017</w:t>
      </w:r>
      <w:r>
        <w:rPr>
          <w:rFonts w:ascii="Times New Roman" w:hAnsi="Times New Roman" w:cs="Times New Roman" w:eastAsia="Times New Roman" w:hint="default"/>
          <w:spacing w:val="-2"/>
        </w:rPr>
        <w:t>]</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号发</w:t>
      </w:r>
      <w:r>
        <w:rPr>
          <w:spacing w:val="1"/>
        </w:rPr>
        <w:t>布</w:t>
      </w:r>
      <w:r>
        <w:rPr>
          <w:spacing w:val="-6"/>
        </w:rPr>
        <w:t>了</w:t>
      </w:r>
      <w:r>
        <w:rPr/>
        <w:t>《企业会计准则第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spacing w:val="1"/>
        </w:rPr>
        <w:t>—</w:t>
      </w:r>
      <w:r>
        <w:rPr>
          <w:rFonts w:ascii="Times New Roman" w:hAnsi="Times New Roman" w:cs="Times New Roman" w:eastAsia="Times New Roman" w:hint="default"/>
        </w:rPr>
        <w:t>—</w:t>
      </w:r>
      <w:r>
        <w:rPr>
          <w:spacing w:val="1"/>
        </w:rPr>
        <w:t>政府</w:t>
      </w:r>
      <w:r>
        <w:rPr/>
      </w:r>
    </w:p>
    <w:p>
      <w:pPr>
        <w:pStyle w:val="BodyText"/>
        <w:spacing w:line="319" w:lineRule="auto" w:before="64"/>
        <w:ind w:right="1119"/>
        <w:jc w:val="left"/>
      </w:pPr>
      <w:r>
        <w:rPr/>
        <w:t>补助（</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w:t>
      </w:r>
      <w:r>
        <w:rPr>
          <w:spacing w:val="-90"/>
        </w:rPr>
        <w:t>）》</w:t>
      </w:r>
      <w:r>
        <w:rPr/>
        <w:t>，自</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6 </w:t>
      </w:r>
      <w:r>
        <w:rPr/>
        <w:t>月</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
        </w:rPr>
        <w:t>日</w:t>
      </w:r>
      <w:r>
        <w:rPr/>
        <w:t>起实施。本公司按照财政部的要求时间开始执行前述两项会计准则。</w:t>
      </w:r>
      <w:r>
        <w:rPr/>
        <w:t> </w:t>
      </w:r>
      <w:r>
        <w:rPr>
          <w:rFonts w:ascii="Times New Roman" w:hAnsi="Times New Roman" w:cs="Times New Roman" w:eastAsia="Times New Roman" w:hint="default"/>
        </w:rPr>
        <w:t>2</w:t>
      </w:r>
      <w:r>
        <w:rPr>
          <w:spacing w:val="-5"/>
        </w:rPr>
        <w:t>、</w:t>
      </w:r>
      <w:r>
        <w:rPr/>
        <w:t>执</w:t>
      </w:r>
      <w:r>
        <w:rPr>
          <w:spacing w:val="-5"/>
        </w:rPr>
        <w:t>行</w:t>
      </w:r>
      <w:r>
        <w:rPr/>
        <w:t>《企</w:t>
      </w:r>
      <w:r>
        <w:rPr>
          <w:spacing w:val="-2"/>
        </w:rPr>
        <w:t>业</w:t>
      </w:r>
      <w:r>
        <w:rPr/>
        <w:t>会计准则第</w:t>
      </w:r>
      <w:r>
        <w:rPr>
          <w:spacing w:val="-46"/>
        </w:rPr>
        <w:t> </w:t>
      </w:r>
      <w:r>
        <w:rPr>
          <w:rFonts w:ascii="Times New Roman" w:hAnsi="Times New Roman" w:cs="Times New Roman" w:eastAsia="Times New Roman" w:hint="default"/>
        </w:rPr>
        <w:t>16 </w:t>
      </w:r>
      <w:r>
        <w:rPr/>
        <w:t>号</w:t>
      </w:r>
      <w:r>
        <w:rPr>
          <w:rFonts w:ascii="Times New Roman" w:hAnsi="Times New Roman" w:cs="Times New Roman" w:eastAsia="Times New Roman" w:hint="default"/>
        </w:rPr>
        <w:t>——</w:t>
      </w:r>
      <w:r>
        <w:rPr/>
        <w:t>政府补</w:t>
      </w:r>
      <w:r>
        <w:rPr>
          <w:spacing w:val="-5"/>
        </w:rPr>
        <w:t>助</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年修订</w:t>
      </w:r>
      <w:r>
        <w:rPr>
          <w:spacing w:val="-90"/>
        </w:rPr>
        <w:t>）</w:t>
      </w:r>
      <w:r>
        <w:rPr>
          <w:spacing w:val="-5"/>
        </w:rPr>
        <w:t>》</w:t>
      </w:r>
      <w:r>
        <w:rPr/>
        <w:t>之前</w:t>
      </w:r>
      <w:r>
        <w:rPr>
          <w:spacing w:val="-5"/>
        </w:rPr>
        <w:t>，</w:t>
      </w:r>
      <w:r>
        <w:rPr>
          <w:spacing w:val="-2"/>
        </w:rPr>
        <w:t>本</w:t>
      </w:r>
      <w:r>
        <w:rPr/>
        <w:t>公司将取得的政府补助计入营业外收入</w:t>
      </w:r>
      <w:r>
        <w:rPr>
          <w:spacing w:val="-5"/>
        </w:rPr>
        <w:t>。</w:t>
      </w:r>
      <w:r>
        <w:rPr/>
        <w:t>执</w:t>
      </w:r>
      <w:r>
        <w:rPr>
          <w:spacing w:val="-5"/>
        </w:rPr>
        <w:t>行</w:t>
      </w:r>
      <w:r>
        <w:rPr/>
        <w:t>《企</w:t>
      </w:r>
      <w:r>
        <w:rPr/>
        <w:t> 业会计准则第</w:t>
      </w:r>
      <w:r>
        <w:rPr>
          <w:spacing w:val="-46"/>
        </w:rPr>
        <w:t> </w:t>
      </w:r>
      <w:r>
        <w:rPr>
          <w:rFonts w:ascii="Times New Roman" w:hAnsi="Times New Roman" w:cs="Times New Roman" w:eastAsia="Times New Roman" w:hint="default"/>
        </w:rPr>
        <w:t>16</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政府补</w:t>
      </w:r>
      <w:r>
        <w:rPr>
          <w:spacing w:val="-10"/>
        </w:rPr>
        <w:t>助</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1"/>
        </w:rPr>
        <w:t>修</w:t>
      </w:r>
      <w:r>
        <w:rPr/>
        <w:t>订</w:t>
      </w:r>
      <w:r>
        <w:rPr>
          <w:spacing w:val="-90"/>
        </w:rPr>
        <w:t>）</w:t>
      </w:r>
      <w:r>
        <w:rPr>
          <w:spacing w:val="-10"/>
        </w:rPr>
        <w:t>》</w:t>
      </w:r>
      <w:r>
        <w:rPr/>
        <w:t>之后</w:t>
      </w:r>
      <w:r>
        <w:rPr>
          <w:spacing w:val="-10"/>
        </w:rPr>
        <w:t>，</w:t>
      </w:r>
      <w:r>
        <w:rPr/>
        <w:t>对</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 </w:t>
      </w:r>
      <w:r>
        <w:rPr/>
        <w:t>月</w:t>
      </w:r>
      <w:r>
        <w:rPr>
          <w:spacing w:val="-46"/>
        </w:rPr>
        <w:t> </w:t>
      </w:r>
      <w:r>
        <w:rPr>
          <w:rFonts w:ascii="Times New Roman" w:hAnsi="Times New Roman" w:cs="Times New Roman" w:eastAsia="Times New Roman" w:hint="default"/>
        </w:rPr>
        <w:t>1 </w:t>
      </w:r>
      <w:r>
        <w:rPr/>
        <w:t>日之后发生的与日常活动相关的政府补助</w:t>
      </w:r>
      <w:r>
        <w:rPr>
          <w:spacing w:val="-10"/>
        </w:rPr>
        <w:t>，</w:t>
      </w:r>
      <w:r>
        <w:rPr>
          <w:spacing w:val="1"/>
        </w:rPr>
        <w:t>计</w:t>
      </w:r>
      <w:r>
        <w:rPr/>
        <w:t>入</w:t>
      </w:r>
    </w:p>
    <w:p>
      <w:pPr>
        <w:pStyle w:val="BodyText"/>
        <w:spacing w:line="234" w:lineRule="exact"/>
        <w:ind w:right="0"/>
        <w:jc w:val="both"/>
      </w:pPr>
      <w:r>
        <w:rPr/>
        <w:t>其他收益；与日常活动无关的政府补助，计入营业外收支。</w:t>
      </w:r>
    </w:p>
    <w:p>
      <w:pPr>
        <w:pStyle w:val="BodyText"/>
        <w:spacing w:line="309" w:lineRule="auto" w:before="115"/>
        <w:ind w:left="154" w:right="1130"/>
        <w:jc w:val="both"/>
      </w:pPr>
      <w:r>
        <w:rPr>
          <w:rFonts w:ascii="Times New Roman" w:hAnsi="Times New Roman" w:cs="Times New Roman" w:eastAsia="Times New Roman" w:hint="default"/>
        </w:rPr>
        <w:t>3</w:t>
      </w:r>
      <w:r>
        <w:rPr/>
        <w:t>、本公司编制</w:t>
      </w:r>
      <w:r>
        <w:rPr>
          <w:spacing w:val="-6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t>年度报表执行《财政部关于修订印发一般企业财务报表格式的通知》</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30</w:t>
      </w:r>
      <w:r>
        <w:rPr>
          <w:rFonts w:ascii="Times New Roman" w:hAnsi="Times New Roman" w:cs="Times New Roman" w:eastAsia="Times New Roman" w:hint="default"/>
          <w:spacing w:val="-22"/>
        </w:rPr>
        <w:t> </w:t>
      </w:r>
      <w:r>
        <w:rPr/>
        <w:t>号</w:t>
      </w:r>
      <w:r>
        <w:rPr>
          <w:rFonts w:ascii="Times New Roman" w:hAnsi="Times New Roman" w:cs="Times New Roman" w:eastAsia="Times New Roman" w:hint="default"/>
        </w:rPr>
        <w:t>)</w:t>
      </w:r>
      <w:r>
        <w:rPr/>
        <w:t>，将原列报于 </w:t>
      </w:r>
      <w:r>
        <w:rPr>
          <w:spacing w:val="-2"/>
        </w:rPr>
        <w:t>“营业外收入”和“营业外支出”的非流动资产处置利得和损失和非货币性资产交换利得和损失变更为列报于“资产处置收</w:t>
      </w:r>
      <w:r>
        <w:rPr>
          <w:spacing w:val="-66"/>
        </w:rPr>
        <w:t> </w:t>
      </w:r>
      <w:r>
        <w:rPr>
          <w:spacing w:val="-66"/>
        </w:rPr>
      </w:r>
      <w:r>
        <w:rPr>
          <w:spacing w:val="-5"/>
        </w:rPr>
        <w:t>益”。该项会计政策变更采用追溯调整法。</w:t>
      </w:r>
    </w:p>
    <w:p>
      <w:pPr>
        <w:spacing w:line="240" w:lineRule="auto" w:before="1"/>
        <w:rPr>
          <w:rFonts w:ascii="宋体" w:hAnsi="宋体" w:cs="宋体" w:eastAsia="宋体" w:hint="default"/>
          <w:sz w:val="21"/>
          <w:szCs w:val="21"/>
        </w:rPr>
      </w:pPr>
    </w:p>
    <w:p>
      <w:pPr>
        <w:pStyle w:val="Heading2"/>
        <w:spacing w:line="240" w:lineRule="auto"/>
        <w:ind w:left="154" w:right="0"/>
        <w:jc w:val="both"/>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公司报告期无重大会计差错更正需追溯重述的情况。</w:t>
      </w:r>
    </w:p>
    <w:p>
      <w:pPr>
        <w:spacing w:after="0" w:line="3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122"/>
        <w:jc w:val="left"/>
      </w:pPr>
      <w:r>
        <w:rPr>
          <w:rFonts w:ascii="Times New Roman" w:hAnsi="Times New Roman" w:cs="Times New Roman" w:eastAsia="Times New Roman" w:hint="default"/>
        </w:rPr>
        <w:t>1.</w:t>
      </w:r>
      <w:r>
        <w:rPr/>
        <w:t>本年新纳入合并范围的子公司、特殊目的主体、通过受托经营或承租等方式形成控制权的经营实体</w:t>
      </w:r>
    </w:p>
    <w:p>
      <w:pPr>
        <w:spacing w:line="240" w:lineRule="auto" w:before="5"/>
        <w:rPr>
          <w:rFonts w:ascii="宋体" w:hAnsi="宋体" w:cs="宋体" w:eastAsia="宋体" w:hint="default"/>
          <w:sz w:val="5"/>
          <w:szCs w:val="5"/>
        </w:rPr>
      </w:pPr>
    </w:p>
    <w:tbl>
      <w:tblPr>
        <w:tblW w:w="0" w:type="auto"/>
        <w:jc w:val="left"/>
        <w:tblInd w:w="137" w:type="dxa"/>
        <w:tblLayout w:type="fixed"/>
        <w:tblCellMar>
          <w:top w:w="0" w:type="dxa"/>
          <w:left w:w="0" w:type="dxa"/>
          <w:bottom w:w="0" w:type="dxa"/>
          <w:right w:w="0" w:type="dxa"/>
        </w:tblCellMar>
        <w:tblLook w:val="01E0"/>
      </w:tblPr>
      <w:tblGrid>
        <w:gridCol w:w="2936"/>
        <w:gridCol w:w="996"/>
        <w:gridCol w:w="607"/>
        <w:gridCol w:w="1381"/>
        <w:gridCol w:w="1775"/>
        <w:gridCol w:w="1963"/>
      </w:tblGrid>
      <w:tr>
        <w:trPr>
          <w:trHeight w:val="330" w:hRule="exact"/>
        </w:trPr>
        <w:tc>
          <w:tcPr>
            <w:tcW w:w="293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9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60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8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6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
              <w:ind w:right="0"/>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center"/>
              <w:rPr>
                <w:rFonts w:ascii="Times New Roman" w:hAnsi="Times New Roman" w:cs="Times New Roman" w:eastAsia="Times New Roman" w:hint="default"/>
                <w:sz w:val="18"/>
                <w:szCs w:val="18"/>
              </w:rPr>
            </w:pPr>
            <w:r>
              <w:rPr>
                <w:rFonts w:ascii="Times New Roman"/>
                <w:sz w:val="18"/>
              </w:rPr>
              <w:t>68</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同一控制下企业合并</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无棣隆康电力开发有限公司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无棣县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无棣县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上海慧喆信息技术有限公司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北京爱康新能电力科技有限公司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75</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安徽爱康新能电力有限公司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张北爱康兴业能源有限公司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蒸汽</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赣州</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51</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陕西爱康新能电力有限公司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广东爱康电力有限公司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湖北爱康新能电力有限公司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浙江爱康电力有限公司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浙江</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云南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云南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贵州</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贵州</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辽宁</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福建</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西安爱康智慧能源管理有限公司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85</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湖南</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2936"/>
        <w:gridCol w:w="996"/>
        <w:gridCol w:w="607"/>
        <w:gridCol w:w="1381"/>
        <w:gridCol w:w="1775"/>
        <w:gridCol w:w="1963"/>
      </w:tblGrid>
      <w:tr>
        <w:trPr>
          <w:trHeight w:val="347"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西安爱康信能电力有限公司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8" w:hRule="exact"/>
        </w:trPr>
        <w:tc>
          <w:tcPr>
            <w:tcW w:w="29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阳泉爱康智慧电力科技有限公司</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售电</w:t>
            </w:r>
          </w:p>
        </w:tc>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w:t>
            </w:r>
          </w:p>
        </w:tc>
        <w:tc>
          <w:tcPr>
            <w:tcW w:w="1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3"/>
        <w:rPr>
          <w:rFonts w:ascii="宋体" w:hAnsi="宋体" w:cs="宋体" w:eastAsia="宋体" w:hint="default"/>
          <w:sz w:val="21"/>
          <w:szCs w:val="21"/>
        </w:rPr>
      </w:pPr>
    </w:p>
    <w:p>
      <w:pPr>
        <w:pStyle w:val="BodyText"/>
        <w:spacing w:line="240" w:lineRule="auto" w:before="44"/>
        <w:ind w:left="154" w:right="1122"/>
        <w:jc w:val="left"/>
      </w:pPr>
      <w:r>
        <w:rPr>
          <w:rFonts w:ascii="Times New Roman" w:hAnsi="Times New Roman" w:cs="Times New Roman" w:eastAsia="Times New Roman" w:hint="default"/>
        </w:rPr>
        <w:t>2.</w:t>
      </w:r>
      <w:r>
        <w:rPr/>
        <w:t>本年不再纳入合并范围的公司、特殊目的主体、通过受托经营或承租等方式形成控制权的经营实体</w:t>
      </w:r>
    </w:p>
    <w:p>
      <w:pPr>
        <w:spacing w:line="240" w:lineRule="auto" w:before="13"/>
        <w:rPr>
          <w:rFonts w:ascii="宋体" w:hAnsi="宋体" w:cs="宋体" w:eastAsia="宋体" w:hint="default"/>
          <w:sz w:val="3"/>
          <w:szCs w:val="3"/>
        </w:rPr>
      </w:pPr>
    </w:p>
    <w:tbl>
      <w:tblPr>
        <w:tblW w:w="0" w:type="auto"/>
        <w:jc w:val="left"/>
        <w:tblInd w:w="137" w:type="dxa"/>
        <w:tblLayout w:type="fixed"/>
        <w:tblCellMar>
          <w:top w:w="0" w:type="dxa"/>
          <w:left w:w="0" w:type="dxa"/>
          <w:bottom w:w="0" w:type="dxa"/>
          <w:right w:w="0" w:type="dxa"/>
        </w:tblCellMar>
        <w:tblLook w:val="01E0"/>
      </w:tblPr>
      <w:tblGrid>
        <w:gridCol w:w="3940"/>
        <w:gridCol w:w="958"/>
        <w:gridCol w:w="768"/>
        <w:gridCol w:w="1326"/>
        <w:gridCol w:w="1709"/>
        <w:gridCol w:w="958"/>
      </w:tblGrid>
      <w:tr>
        <w:trPr>
          <w:trHeight w:val="347" w:hRule="exact"/>
        </w:trPr>
        <w:tc>
          <w:tcPr>
            <w:tcW w:w="394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主要经营地</w:t>
            </w:r>
          </w:p>
        </w:tc>
        <w:tc>
          <w:tcPr>
            <w:tcW w:w="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3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70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股权取得比例（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不纳入原因</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青海西宁</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青海西宁</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青海共和</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青海共和</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制造业</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80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广东</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博州</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博州</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技术咨询、开发</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陕西渭南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陕西渭南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碳金库（北京）投资管理有限公司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投资咨询</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北京碳诺信科技有限公司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技术开发咨询</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甘肃金昌</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合同公司阳光产业园</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转让</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盛能国际贸易（上海）有限公司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销售</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黑龙江省九三农垦昱辉太阳能发电有限公司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黑龙江</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黑龙江</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山东烟台</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山东烟台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山东沾化</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山东沾化</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围场满族蒙古族自治县爱康太阳能发电有限公司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泗水鑫阳新能源电力有限公司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西吉县中康电力开发有限公司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宁夏</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宁夏</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乌兰察布爱康新能源发电有限公司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布拖县中康电力开发有限公司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四川</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鄂尔多斯市爱康兴兆新能源有限公司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昌江爱康电力开发有限公司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海南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元氏县爱康新能源开发有限公司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镇赉县爱康电力有限公司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吉林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沭阳爱康新能源开发有限公司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巴林左旗爱康电力开发有限公司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巴彦淖尔市爱康新能源有限公司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内蒙古</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海兴宏润华夏能源有限公司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95</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芜湖爱康电力开发有限公司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安徽</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康保县爱康新能源开发有限公司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莘县爱康新能源有限公司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山东聊城</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山东聊城</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韩城市爱康电力开发有限公司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正定县爱康新能源开发有限公司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大同市爱康新能源有限公司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山西</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承德县爱康太阳能发电有限公司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河北</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隆尧县瑜康新能源科技有限公司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河北邢台</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7" w:type="dxa"/>
        <w:tblLayout w:type="fixed"/>
        <w:tblCellMar>
          <w:top w:w="0" w:type="dxa"/>
          <w:left w:w="0" w:type="dxa"/>
          <w:bottom w:w="0" w:type="dxa"/>
          <w:right w:w="0" w:type="dxa"/>
        </w:tblCellMar>
        <w:tblLook w:val="01E0"/>
      </w:tblPr>
      <w:tblGrid>
        <w:gridCol w:w="3940"/>
        <w:gridCol w:w="958"/>
        <w:gridCol w:w="768"/>
        <w:gridCol w:w="1326"/>
        <w:gridCol w:w="1709"/>
        <w:gridCol w:w="958"/>
      </w:tblGrid>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定边中康光伏发电有限公司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陕西定边</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陕西定边</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白山中康电力开发有限公司</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吉林省</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吉林省</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7"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第三合同会社</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8" w:hRule="exact"/>
        </w:trPr>
        <w:tc>
          <w:tcPr>
            <w:tcW w:w="39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第四合同会社</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日本</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94"/>
              <w:jc w:val="right"/>
              <w:rPr>
                <w:rFonts w:ascii="宋体" w:hAnsi="宋体" w:cs="宋体" w:eastAsia="宋体" w:hint="default"/>
                <w:sz w:val="18"/>
                <w:szCs w:val="18"/>
              </w:rPr>
            </w:pPr>
            <w:r>
              <w:rPr>
                <w:rFonts w:ascii="宋体" w:hAnsi="宋体" w:cs="宋体" w:eastAsia="宋体" w:hint="default"/>
                <w:sz w:val="18"/>
                <w:szCs w:val="18"/>
              </w:rPr>
              <w:t>光伏发电</w:t>
            </w:r>
          </w:p>
        </w:tc>
        <w:tc>
          <w:tcPr>
            <w:tcW w:w="1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徐殷鹏，洪烨</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left="154" w:right="1122"/>
        <w:jc w:val="left"/>
      </w:pPr>
      <w:r>
        <w:rPr/>
        <w:t>当期是否改聘会计师事务所</w:t>
      </w:r>
    </w:p>
    <w:p>
      <w:pPr>
        <w:pStyle w:val="BodyText"/>
        <w:spacing w:line="338" w:lineRule="auto" w:before="117"/>
        <w:ind w:right="62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240" w:lineRule="auto" w:before="42"/>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2"/>
        <w:jc w:val="left"/>
      </w:pPr>
      <w:r>
        <w:rPr>
          <w:rFonts w:ascii="Times New Roman" w:hAnsi="Times New Roman" w:cs="Times New Roman" w:eastAsia="Times New Roman" w:hint="default"/>
        </w:rPr>
        <w:t>2017</w:t>
      </w:r>
      <w:r>
        <w:rPr/>
        <w:t>年，聘请瑞华会计师事务所（特殊普通合伙）为内部控制审计。</w:t>
      </w:r>
    </w:p>
    <w:p>
      <w:pPr>
        <w:spacing w:line="240" w:lineRule="auto" w:before="1"/>
        <w:rPr>
          <w:rFonts w:ascii="宋体" w:hAnsi="宋体" w:cs="宋体" w:eastAsia="宋体" w:hint="default"/>
          <w:sz w:val="24"/>
          <w:szCs w:val="24"/>
        </w:rPr>
      </w:pPr>
    </w:p>
    <w:p>
      <w:pPr>
        <w:pStyle w:val="Heading2"/>
        <w:spacing w:line="240" w:lineRule="auto"/>
        <w:ind w:right="1122"/>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本报告期公司无重大诉讼、仲裁事项。</w:t>
      </w:r>
    </w:p>
    <w:p>
      <w:pPr>
        <w:spacing w:after="0" w:line="338"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22"/>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87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left="513" w:right="1027"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3"/>
        </w:rPr>
        <w:t>公司《关于回购公司股份以实施股权激励计划的议案》于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日召开的公司</w:t>
      </w:r>
      <w:r>
        <w:rPr>
          <w:rFonts w:ascii="Times New Roman" w:hAnsi="Times New Roman" w:cs="Times New Roman" w:eastAsia="Times New Roman" w:hint="default"/>
          <w:spacing w:val="-3"/>
        </w:rPr>
        <w:t>2017</w:t>
      </w:r>
      <w:r>
        <w:rPr>
          <w:spacing w:val="-3"/>
        </w:rPr>
        <w:t>年第一次临时股东大会审议通过。</w:t>
      </w:r>
      <w:r>
        <w:rPr/>
        <w:t>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日公告了《江苏爱康科技股份有限公司回购股份报告书》（详见公司刊登在《上海证券报》、《证</w:t>
      </w:r>
    </w:p>
    <w:p>
      <w:pPr>
        <w:pStyle w:val="BodyText"/>
        <w:spacing w:line="246" w:lineRule="exact"/>
        <w:ind w:left="154" w:right="1122"/>
        <w:jc w:val="left"/>
      </w:pPr>
      <w:r>
        <w:rPr/>
        <w:t>券时报》、《中国证券报》、《证券日报》和巨潮资讯网（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2017-17</w:t>
      </w:r>
      <w:r>
        <w:rPr/>
        <w:t>）。</w:t>
      </w:r>
    </w:p>
    <w:p>
      <w:pPr>
        <w:pStyle w:val="BodyText"/>
        <w:spacing w:line="309" w:lineRule="auto" w:before="63"/>
        <w:ind w:left="154" w:right="113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日，公司首次实施了回购股份的方案，于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日公告了《江苏爱康科技股份有限公司关于首次实施</w:t>
      </w:r>
      <w:r>
        <w:rPr/>
        <w:t> </w:t>
      </w:r>
      <w:r>
        <w:rPr>
          <w:spacing w:val="-2"/>
        </w:rPr>
        <w:t>回购部分社会公众股份的公告》（详见公司刊登在《上海证券报》、《证券时报》、《中国证券报》、《证券日报》和巨潮</w:t>
      </w:r>
      <w:r>
        <w:rPr>
          <w:spacing w:val="-72"/>
        </w:rPr>
        <w:t> </w:t>
      </w:r>
      <w:r>
        <w:rPr>
          <w:spacing w:val="-72"/>
        </w:rPr>
      </w:r>
      <w:r>
        <w:rPr/>
        <w:t>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2017-35</w:t>
      </w:r>
      <w:r>
        <w:rPr/>
        <w:t>）。</w:t>
      </w:r>
    </w:p>
    <w:p>
      <w:pPr>
        <w:pStyle w:val="BodyText"/>
        <w:spacing w:line="300" w:lineRule="auto" w:before="5"/>
        <w:ind w:left="516" w:right="1030"/>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日，公司股份回购已完成，本次股份回购实际购买公司股票</w:t>
      </w:r>
      <w:r>
        <w:rPr>
          <w:rFonts w:ascii="Times New Roman" w:hAnsi="Times New Roman" w:cs="Times New Roman" w:eastAsia="Times New Roman" w:hint="default"/>
          <w:spacing w:val="-2"/>
        </w:rPr>
        <w:t>16,900,000</w:t>
      </w:r>
      <w:r>
        <w:rPr>
          <w:spacing w:val="-2"/>
        </w:rPr>
        <w:t>股，约占公司股本总额的</w:t>
      </w:r>
      <w:r>
        <w:rPr>
          <w:rFonts w:ascii="Times New Roman" w:hAnsi="Times New Roman" w:cs="Times New Roman" w:eastAsia="Times New Roman" w:hint="default"/>
          <w:spacing w:val="-2"/>
        </w:rPr>
        <w:t>0.38%</w:t>
      </w:r>
      <w:r>
        <w:rPr>
          <w:spacing w:val="-2"/>
        </w:rPr>
        <w:t>。</w:t>
      </w:r>
      <w:r>
        <w:rPr>
          <w:spacing w:val="-68"/>
        </w:rPr>
        <w:t> </w:t>
      </w:r>
      <w:r>
        <w:rPr/>
        <w:t>本次回购的股份存放于公司证券回购专户，根据公司本次回购股份的用途，公司将尽快制定股权激励计划并予以实施，</w:t>
      </w:r>
    </w:p>
    <w:p>
      <w:pPr>
        <w:pStyle w:val="BodyText"/>
        <w:spacing w:line="316" w:lineRule="auto" w:before="31"/>
        <w:ind w:right="1122"/>
        <w:jc w:val="left"/>
      </w:pPr>
      <w:r>
        <w:rPr>
          <w:spacing w:val="-2"/>
        </w:rPr>
        <w:t>在回购股份授予给后续的股权激励计划之前，回购股份不享有利润分配、公积金转增股本、增发新股和配股、质押、股东大</w:t>
      </w:r>
      <w:r>
        <w:rPr>
          <w:spacing w:val="-66"/>
        </w:rPr>
        <w:t> </w:t>
      </w:r>
      <w:r>
        <w:rPr>
          <w:spacing w:val="-66"/>
        </w:rPr>
      </w:r>
      <w:r>
        <w:rPr/>
        <w:t>会表决权等相关权利。</w:t>
      </w:r>
    </w:p>
    <w:p>
      <w:pPr>
        <w:pStyle w:val="BodyText"/>
        <w:spacing w:line="300" w:lineRule="auto" w:before="19"/>
        <w:ind w:right="1129" w:firstLine="42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日召开第三届董事会第二十九次临时会议、第三届监事会第十六次临时会议和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 的</w:t>
      </w:r>
      <w:r>
        <w:rPr>
          <w:rFonts w:ascii="Times New Roman" w:hAnsi="Times New Roman" w:cs="Times New Roman" w:eastAsia="Times New Roman" w:hint="default"/>
        </w:rPr>
        <w:t>2018</w:t>
      </w:r>
      <w:r>
        <w:rPr/>
        <w:t>年第四次临时股东大会审议通过了《关于</w:t>
      </w:r>
      <w:r>
        <w:rPr>
          <w:rFonts w:ascii="Times New Roman" w:hAnsi="Times New Roman" w:cs="Times New Roman" w:eastAsia="Times New Roman" w:hint="default"/>
        </w:rPr>
        <w:t>&lt;</w:t>
      </w:r>
      <w:r>
        <w:rPr/>
        <w:t>江苏爱康科技股份有限公司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w:t>
      </w:r>
      <w:r>
        <w:rPr>
          <w:spacing w:val="-22"/>
        </w:rPr>
        <w:t> </w:t>
      </w:r>
      <w:r>
        <w:rPr>
          <w:spacing w:val="-2"/>
        </w:rPr>
        <w:t>要的议案》等议案，并于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日，公司召开的三届董事会第三十次临时会议、第三届监事会第十八次临时会议审议通</w:t>
      </w:r>
      <w:r>
        <w:rPr>
          <w:spacing w:val="-60"/>
        </w:rPr>
        <w:t> </w:t>
      </w:r>
      <w:r>
        <w:rPr>
          <w:spacing w:val="-60"/>
        </w:rPr>
      </w:r>
      <w:r>
        <w:rPr>
          <w:spacing w:val="-2"/>
        </w:rPr>
        <w:t>过了《关于调整</w:t>
      </w:r>
      <w:r>
        <w:rPr>
          <w:rFonts w:ascii="Times New Roman" w:hAnsi="Times New Roman" w:cs="Times New Roman" w:eastAsia="Times New Roman" w:hint="default"/>
          <w:spacing w:val="-2"/>
        </w:rPr>
        <w:t>2018</w:t>
      </w:r>
      <w:r>
        <w:rPr>
          <w:spacing w:val="-2"/>
        </w:rPr>
        <w:t>年限制性股票激励计划激励对象及授予数量的议案》、《关于向激励对象授予限制性股票的议案》。公</w:t>
      </w:r>
      <w:r>
        <w:rPr>
          <w:spacing w:val="-63"/>
        </w:rPr>
        <w:t> </w:t>
      </w:r>
      <w:r>
        <w:rPr>
          <w:spacing w:val="-63"/>
        </w:rPr>
      </w:r>
      <w:r>
        <w:rPr/>
        <w:t>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月完成了向</w:t>
      </w:r>
      <w:r>
        <w:rPr>
          <w:rFonts w:ascii="Times New Roman" w:hAnsi="Times New Roman" w:cs="Times New Roman" w:eastAsia="Times New Roman" w:hint="default"/>
        </w:rPr>
        <w:t>170</w:t>
      </w:r>
      <w:r>
        <w:rPr/>
        <w:t>名激励对象授予</w:t>
      </w:r>
      <w:r>
        <w:rPr>
          <w:rFonts w:ascii="Times New Roman" w:hAnsi="Times New Roman" w:cs="Times New Roman" w:eastAsia="Times New Roman" w:hint="default"/>
        </w:rPr>
        <w:t>1,642.4581</w:t>
      </w:r>
      <w:r>
        <w:rPr/>
        <w:t>万股限制性股票。（详见公司刊登在《证券时报》、《中国证券报》</w:t>
      </w:r>
      <w:r>
        <w:rPr>
          <w:spacing w:val="-85"/>
        </w:rPr>
        <w:t> </w:t>
      </w:r>
      <w:r>
        <w:rPr>
          <w:spacing w:val="-85"/>
        </w:rPr>
      </w:r>
      <w:r>
        <w:rPr/>
        <w:t>和巨潮资讯网（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2018-25</w:t>
      </w:r>
      <w:r>
        <w:rPr/>
        <w:t>、</w:t>
      </w:r>
      <w:r>
        <w:rPr>
          <w:rFonts w:ascii="Times New Roman" w:hAnsi="Times New Roman" w:cs="Times New Roman" w:eastAsia="Times New Roman" w:hint="default"/>
        </w:rPr>
        <w:t>2018-36</w:t>
      </w:r>
      <w:r>
        <w:rPr/>
        <w:t>、</w:t>
      </w:r>
      <w:r>
        <w:rPr>
          <w:rFonts w:ascii="Times New Roman" w:hAnsi="Times New Roman" w:cs="Times New Roman" w:eastAsia="Times New Roman" w:hint="default"/>
        </w:rPr>
        <w:t>2018-37</w:t>
      </w:r>
      <w:r>
        <w:rPr/>
        <w:t>）</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1122"/>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21" w:type="dxa"/>
        <w:tblLayout w:type="fixed"/>
        <w:tblCellMar>
          <w:top w:w="0" w:type="dxa"/>
          <w:left w:w="0" w:type="dxa"/>
          <w:bottom w:w="0" w:type="dxa"/>
          <w:right w:w="0" w:type="dxa"/>
        </w:tblCellMar>
        <w:tblLook w:val="01E0"/>
      </w:tblPr>
      <w:tblGrid>
        <w:gridCol w:w="824"/>
        <w:gridCol w:w="510"/>
        <w:gridCol w:w="770"/>
        <w:gridCol w:w="742"/>
        <w:gridCol w:w="510"/>
        <w:gridCol w:w="432"/>
        <w:gridCol w:w="1012"/>
        <w:gridCol w:w="589"/>
        <w:gridCol w:w="946"/>
        <w:gridCol w:w="510"/>
        <w:gridCol w:w="510"/>
        <w:gridCol w:w="589"/>
        <w:gridCol w:w="661"/>
        <w:gridCol w:w="1090"/>
      </w:tblGrid>
      <w:tr>
        <w:trPr>
          <w:trHeight w:val="1650" w:hRule="exact"/>
        </w:trPr>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316" w:right="45"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70" w:right="67"/>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10" w:right="108"/>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9" w:right="30"/>
              <w:jc w:val="both"/>
              <w:rPr>
                <w:rFonts w:ascii="宋体" w:hAnsi="宋体" w:cs="宋体" w:eastAsia="宋体" w:hint="default"/>
                <w:sz w:val="18"/>
                <w:szCs w:val="18"/>
              </w:rPr>
            </w:pPr>
            <w:r>
              <w:rPr>
                <w:rFonts w:ascii="宋体" w:hAnsi="宋体" w:cs="宋体" w:eastAsia="宋体" w:hint="default"/>
                <w:sz w:val="18"/>
                <w:szCs w:val="18"/>
              </w:rPr>
              <w:t>关联 交易 价格</w:t>
            </w:r>
          </w:p>
        </w:tc>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关联交易金 额（万元）</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8"/>
              <w:jc w:val="both"/>
              <w:rPr>
                <w:rFonts w:ascii="宋体" w:hAnsi="宋体" w:cs="宋体" w:eastAsia="宋体" w:hint="default"/>
                <w:sz w:val="18"/>
                <w:szCs w:val="18"/>
              </w:rPr>
            </w:pPr>
            <w:r>
              <w:rPr>
                <w:rFonts w:ascii="宋体" w:hAnsi="宋体" w:cs="宋体" w:eastAsia="宋体" w:hint="default"/>
                <w:sz w:val="18"/>
                <w:szCs w:val="18"/>
              </w:rPr>
              <w:t>占同 类交 易金 额的 比例</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 w:hanging="1"/>
              <w:jc w:val="center"/>
              <w:rPr>
                <w:rFonts w:ascii="宋体" w:hAnsi="宋体" w:cs="宋体" w:eastAsia="宋体" w:hint="default"/>
                <w:sz w:val="18"/>
                <w:szCs w:val="18"/>
              </w:rPr>
            </w:pPr>
            <w:r>
              <w:rPr>
                <w:rFonts w:ascii="宋体" w:hAnsi="宋体" w:cs="宋体" w:eastAsia="宋体" w:hint="default"/>
                <w:sz w:val="18"/>
                <w:szCs w:val="18"/>
              </w:rPr>
              <w:t>获批的交 </w:t>
            </w:r>
            <w:r>
              <w:rPr>
                <w:rFonts w:ascii="宋体" w:hAnsi="宋体" w:cs="宋体" w:eastAsia="宋体" w:hint="default"/>
                <w:spacing w:val="-2"/>
                <w:sz w:val="18"/>
                <w:szCs w:val="18"/>
              </w:rPr>
              <w:t>易额度（万</w:t>
            </w:r>
            <w:r>
              <w:rPr>
                <w:rFonts w:ascii="宋体" w:hAnsi="宋体" w:cs="宋体" w:eastAsia="宋体" w:hint="default"/>
                <w:sz w:val="18"/>
                <w:szCs w:val="18"/>
              </w:rPr>
              <w:t> 元）</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是否 超过 获批 额度</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9" w:right="108"/>
              <w:jc w:val="both"/>
              <w:rPr>
                <w:rFonts w:ascii="宋体" w:hAnsi="宋体" w:cs="宋体" w:eastAsia="宋体" w:hint="default"/>
                <w:sz w:val="18"/>
                <w:szCs w:val="18"/>
              </w:rPr>
            </w:pPr>
            <w:r>
              <w:rPr>
                <w:rFonts w:ascii="宋体" w:hAnsi="宋体" w:cs="宋体" w:eastAsia="宋体" w:hint="default"/>
                <w:sz w:val="18"/>
                <w:szCs w:val="18"/>
              </w:rPr>
              <w:t>可获 得的 同类 交易 市价</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35" w:right="54"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9" w:hRule="exact"/>
        </w:trPr>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9"/>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14"/>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向关联 方采购 产品、商 品</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9" w:lineRule="auto"/>
              <w:ind w:left="22" w:right="22"/>
              <w:jc w:val="left"/>
              <w:rPr>
                <w:rFonts w:ascii="宋体" w:hAnsi="宋体" w:cs="宋体" w:eastAsia="宋体" w:hint="default"/>
                <w:sz w:val="18"/>
                <w:szCs w:val="18"/>
              </w:rPr>
            </w:pPr>
            <w:r>
              <w:rPr>
                <w:rFonts w:ascii="宋体" w:hAnsi="宋体" w:cs="宋体" w:eastAsia="宋体" w:hint="default"/>
                <w:sz w:val="18"/>
                <w:szCs w:val="18"/>
              </w:rPr>
              <w:t>工程承 </w:t>
            </w:r>
            <w:r>
              <w:rPr>
                <w:rFonts w:ascii="宋体" w:hAnsi="宋体" w:cs="宋体" w:eastAsia="宋体" w:hint="default"/>
                <w:spacing w:val="-17"/>
                <w:sz w:val="18"/>
                <w:szCs w:val="18"/>
              </w:rPr>
              <w:t>包，组件</w:t>
            </w:r>
            <w:r>
              <w:rPr>
                <w:rFonts w:ascii="Times New Roman" w:hAnsi="Times New Roman" w:cs="Times New Roman" w:eastAsia="Times New Roman" w:hint="default"/>
                <w:spacing w:val="-1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服务等</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1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9"/>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54,307.34</w:t>
            </w:r>
          </w:p>
        </w:tc>
        <w:tc>
          <w:tcPr>
            <w:tcW w:w="5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80,000</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94"/>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巨潮咨询网， 披露编号： </w:t>
            </w:r>
            <w:r>
              <w:rPr>
                <w:rFonts w:ascii="Times New Roman" w:hAnsi="Times New Roman" w:cs="Times New Roman" w:eastAsia="Times New Roman" w:hint="default"/>
                <w:sz w:val="18"/>
                <w:szCs w:val="18"/>
              </w:rPr>
              <w:t>2017-49</w:t>
            </w:r>
          </w:p>
        </w:tc>
      </w:tr>
    </w:tbl>
    <w:p>
      <w:pPr>
        <w:spacing w:after="0" w:line="338"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3" w:type="dxa"/>
        <w:tblLayout w:type="fixed"/>
        <w:tblCellMar>
          <w:top w:w="0" w:type="dxa"/>
          <w:left w:w="0" w:type="dxa"/>
          <w:bottom w:w="0" w:type="dxa"/>
          <w:right w:w="0" w:type="dxa"/>
        </w:tblCellMar>
        <w:tblLook w:val="01E0"/>
      </w:tblPr>
      <w:tblGrid>
        <w:gridCol w:w="812"/>
        <w:gridCol w:w="510"/>
        <w:gridCol w:w="770"/>
        <w:gridCol w:w="742"/>
        <w:gridCol w:w="510"/>
        <w:gridCol w:w="432"/>
        <w:gridCol w:w="1012"/>
        <w:gridCol w:w="589"/>
        <w:gridCol w:w="946"/>
        <w:gridCol w:w="510"/>
        <w:gridCol w:w="510"/>
        <w:gridCol w:w="589"/>
        <w:gridCol w:w="661"/>
        <w:gridCol w:w="1090"/>
      </w:tblGrid>
      <w:tr>
        <w:trPr>
          <w:trHeight w:val="1338"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1" w:right="69"/>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14"/>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向关联 方销售 产品、商 品</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1"/>
              <w:jc w:val="left"/>
              <w:rPr>
                <w:rFonts w:ascii="宋体" w:hAnsi="宋体" w:cs="宋体" w:eastAsia="宋体" w:hint="default"/>
                <w:sz w:val="18"/>
                <w:szCs w:val="18"/>
              </w:rPr>
            </w:pPr>
            <w:r>
              <w:rPr>
                <w:rFonts w:ascii="宋体" w:hAnsi="宋体" w:cs="宋体" w:eastAsia="宋体" w:hint="default"/>
                <w:spacing w:val="-9"/>
                <w:sz w:val="18"/>
                <w:szCs w:val="18"/>
              </w:rPr>
              <w:t>支架，组</w:t>
            </w:r>
            <w:r>
              <w:rPr>
                <w:rFonts w:ascii="宋体" w:hAnsi="宋体" w:cs="宋体" w:eastAsia="宋体" w:hint="default"/>
                <w:sz w:val="18"/>
                <w:szCs w:val="18"/>
              </w:rPr>
              <w:t> 件等</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15"/>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39"/>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39,160.71</w:t>
            </w:r>
          </w:p>
        </w:tc>
        <w:tc>
          <w:tcPr>
            <w:tcW w:w="589"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5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合同 约定 结算 方式</w:t>
            </w: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94"/>
              <w:jc w:val="left"/>
              <w:rPr>
                <w:rFonts w:ascii="宋体" w:hAnsi="宋体" w:cs="宋体" w:eastAsia="宋体" w:hint="default"/>
                <w:sz w:val="18"/>
                <w:szCs w:val="18"/>
              </w:rPr>
            </w:pPr>
            <w:r>
              <w:rPr>
                <w:rFonts w:ascii="宋体" w:hAnsi="宋体" w:cs="宋体" w:eastAsia="宋体" w:hint="default"/>
                <w:sz w:val="18"/>
                <w:szCs w:val="18"/>
              </w:rPr>
              <w:t>市场 定价</w:t>
            </w:r>
          </w:p>
        </w:tc>
        <w:tc>
          <w:tcPr>
            <w:tcW w:w="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巨潮咨询网， 披露编号： </w:t>
            </w:r>
            <w:r>
              <w:rPr>
                <w:rFonts w:ascii="Times New Roman" w:hAnsi="Times New Roman" w:cs="Times New Roman" w:eastAsia="Times New Roman" w:hint="default"/>
                <w:sz w:val="18"/>
                <w:szCs w:val="18"/>
              </w:rPr>
              <w:t>2017-49</w:t>
            </w:r>
          </w:p>
        </w:tc>
      </w:tr>
      <w:tr>
        <w:trPr>
          <w:trHeight w:val="402" w:hRule="exact"/>
        </w:trPr>
        <w:tc>
          <w:tcPr>
            <w:tcW w:w="28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2" w:type="dxa"/>
            <w:tcBorders>
              <w:top w:val="single" w:sz="4" w:space="0" w:color="000000"/>
              <w:left w:val="single" w:sz="14"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93,468.05</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4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160,000</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84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不适应</w:t>
            </w:r>
          </w:p>
        </w:tc>
      </w:tr>
      <w:tr>
        <w:trPr>
          <w:trHeight w:val="1026" w:hRule="exact"/>
        </w:trPr>
        <w:tc>
          <w:tcPr>
            <w:tcW w:w="283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1"/>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 易进行总金额预计的，在报告期内 的实际履行情况（如有）</w:t>
            </w:r>
          </w:p>
        </w:tc>
        <w:tc>
          <w:tcPr>
            <w:tcW w:w="684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 w:right="0"/>
              <w:jc w:val="left"/>
              <w:rPr>
                <w:rFonts w:ascii="宋体" w:hAnsi="宋体" w:cs="宋体" w:eastAsia="宋体" w:hint="default"/>
                <w:sz w:val="18"/>
                <w:szCs w:val="18"/>
              </w:rPr>
            </w:pPr>
            <w:r>
              <w:rPr>
                <w:rFonts w:ascii="宋体" w:hAnsi="宋体" w:cs="宋体" w:eastAsia="宋体" w:hint="default"/>
                <w:sz w:val="18"/>
                <w:szCs w:val="18"/>
              </w:rPr>
              <w:t>不适应</w:t>
            </w:r>
          </w:p>
        </w:tc>
      </w:tr>
      <w:tr>
        <w:trPr>
          <w:trHeight w:val="161" w:hRule="exact"/>
        </w:trPr>
        <w:tc>
          <w:tcPr>
            <w:tcW w:w="2834"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849" w:type="dxa"/>
            <w:gridSpan w:val="10"/>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年日常关联交易预测的公告》及《关于调整日常关联交易预测的公告》分</w:t>
            </w:r>
          </w:p>
          <w:p>
            <w:pPr>
              <w:pStyle w:val="TableParagraph"/>
              <w:spacing w:line="240" w:lineRule="auto" w:before="63"/>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别详见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日和</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日在巨潮资讯网披露的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49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和</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2017-162</w:t>
            </w:r>
          </w:p>
          <w:p>
            <w:pPr>
              <w:pStyle w:val="TableParagraph"/>
              <w:spacing w:line="240" w:lineRule="auto" w:before="64"/>
              <w:ind w:left="1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号公告</w:t>
            </w:r>
            <w:r>
              <w:rPr>
                <w:rFonts w:ascii="Times New Roman" w:hAnsi="Times New Roman" w:cs="Times New Roman" w:eastAsia="Times New Roman" w:hint="default"/>
                <w:sz w:val="18"/>
                <w:szCs w:val="18"/>
              </w:rPr>
              <w:t>.</w:t>
            </w:r>
          </w:p>
        </w:tc>
      </w:tr>
      <w:tr>
        <w:trPr>
          <w:trHeight w:val="704" w:hRule="exact"/>
        </w:trPr>
        <w:tc>
          <w:tcPr>
            <w:tcW w:w="2834"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111"/>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849" w:type="dxa"/>
            <w:gridSpan w:val="10"/>
            <w:vMerge/>
            <w:tcBorders>
              <w:left w:val="single" w:sz="9" w:space="0" w:color="D2D2D2"/>
              <w:right w:val="single" w:sz="4" w:space="0" w:color="000000"/>
            </w:tcBorders>
          </w:tcPr>
          <w:p>
            <w:pPr/>
          </w:p>
        </w:tc>
      </w:tr>
      <w:tr>
        <w:trPr>
          <w:trHeight w:val="161" w:hRule="exact"/>
        </w:trPr>
        <w:tc>
          <w:tcPr>
            <w:tcW w:w="2834"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849" w:type="dxa"/>
            <w:gridSpan w:val="10"/>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0"/>
          <w:szCs w:val="20"/>
        </w:rPr>
      </w:pPr>
    </w:p>
    <w:p>
      <w:pPr>
        <w:pStyle w:val="BodyText"/>
        <w:spacing w:line="240" w:lineRule="auto" w:before="44"/>
        <w:ind w:right="1041"/>
        <w:jc w:val="right"/>
      </w:pPr>
      <w:r>
        <w:rPr/>
        <w:pict>
          <v:shape style="position:absolute;margin-left:55.080002pt;margin-top:-165.808289pt;width:485.5pt;height:397.85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5"/>
                    <w:gridCol w:w="512"/>
                    <w:gridCol w:w="468"/>
                    <w:gridCol w:w="1154"/>
                    <w:gridCol w:w="508"/>
                    <w:gridCol w:w="879"/>
                    <w:gridCol w:w="844"/>
                    <w:gridCol w:w="684"/>
                    <w:gridCol w:w="508"/>
                    <w:gridCol w:w="684"/>
                    <w:gridCol w:w="659"/>
                    <w:gridCol w:w="1980"/>
                  </w:tblGrid>
                  <w:tr>
                    <w:trPr>
                      <w:trHeight w:val="1338" w:hRule="exact"/>
                    </w:trPr>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3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0" w:right="71"/>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9" w:right="47"/>
                          <w:jc w:val="both"/>
                          <w:rPr>
                            <w:rFonts w:ascii="宋体" w:hAnsi="宋体" w:cs="宋体" w:eastAsia="宋体" w:hint="default"/>
                            <w:sz w:val="18"/>
                            <w:szCs w:val="18"/>
                          </w:rPr>
                        </w:pPr>
                        <w:r>
                          <w:rPr>
                            <w:rFonts w:ascii="宋体" w:hAnsi="宋体" w:cs="宋体" w:eastAsia="宋体" w:hint="default"/>
                            <w:sz w:val="18"/>
                            <w:szCs w:val="18"/>
                          </w:rPr>
                          <w:t>关联 交易 类型</w:t>
                        </w:r>
                      </w:p>
                    </w:tc>
                    <w:tc>
                      <w:tcPr>
                        <w:tcW w:w="1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7"/>
                          <w:jc w:val="both"/>
                          <w:rPr>
                            <w:rFonts w:ascii="宋体" w:hAnsi="宋体" w:cs="宋体" w:eastAsia="宋体" w:hint="default"/>
                            <w:sz w:val="18"/>
                            <w:szCs w:val="18"/>
                          </w:rPr>
                        </w:pPr>
                        <w:r>
                          <w:rPr>
                            <w:rFonts w:ascii="宋体" w:hAnsi="宋体" w:cs="宋体" w:eastAsia="宋体" w:hint="default"/>
                            <w:sz w:val="18"/>
                            <w:szCs w:val="18"/>
                          </w:rPr>
                          <w:t>关联 交易 定价 原则</w:t>
                        </w:r>
                      </w:p>
                    </w:tc>
                    <w:tc>
                      <w:tcPr>
                        <w:tcW w:w="8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33" w:firstLine="50"/>
                          <w:jc w:val="both"/>
                          <w:rPr>
                            <w:rFonts w:ascii="宋体" w:hAnsi="宋体" w:cs="宋体" w:eastAsia="宋体" w:hint="default"/>
                            <w:sz w:val="18"/>
                            <w:szCs w:val="18"/>
                          </w:rPr>
                        </w:pPr>
                        <w:r>
                          <w:rPr>
                            <w:rFonts w:ascii="宋体" w:hAnsi="宋体" w:cs="宋体" w:eastAsia="宋体" w:hint="default"/>
                            <w:sz w:val="18"/>
                            <w:szCs w:val="18"/>
                          </w:rPr>
                          <w:t>转让资产 的账面价 </w:t>
                        </w:r>
                        <w:r>
                          <w:rPr>
                            <w:rFonts w:ascii="宋体" w:hAnsi="宋体" w:cs="宋体" w:eastAsia="宋体" w:hint="default"/>
                            <w:spacing w:val="-5"/>
                            <w:sz w:val="18"/>
                            <w:szCs w:val="18"/>
                          </w:rPr>
                          <w:t>值（万元）</w:t>
                        </w:r>
                        <w:r>
                          <w:rPr>
                            <w:rFonts w:ascii="宋体" w:hAnsi="宋体" w:cs="宋体" w:eastAsia="宋体" w:hint="default"/>
                            <w:sz w:val="18"/>
                            <w:szCs w:val="18"/>
                          </w:rPr>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5" w:firstLine="33"/>
                          <w:jc w:val="both"/>
                          <w:rPr>
                            <w:rFonts w:ascii="宋体" w:hAnsi="宋体" w:cs="宋体" w:eastAsia="宋体" w:hint="default"/>
                            <w:sz w:val="18"/>
                            <w:szCs w:val="18"/>
                          </w:rPr>
                        </w:pPr>
                        <w:r>
                          <w:rPr>
                            <w:rFonts w:ascii="宋体" w:hAnsi="宋体" w:cs="宋体" w:eastAsia="宋体" w:hint="default"/>
                            <w:sz w:val="18"/>
                            <w:szCs w:val="18"/>
                          </w:rPr>
                          <w:t>转让资产 的评估价 </w:t>
                        </w:r>
                        <w:r>
                          <w:rPr>
                            <w:rFonts w:ascii="宋体" w:hAnsi="宋体" w:cs="宋体" w:eastAsia="宋体" w:hint="default"/>
                            <w:spacing w:val="-6"/>
                            <w:sz w:val="18"/>
                            <w:szCs w:val="18"/>
                          </w:rPr>
                          <w:t>值（万元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6"/>
                          <w:jc w:val="left"/>
                          <w:rPr>
                            <w:rFonts w:ascii="宋体" w:hAnsi="宋体" w:cs="宋体" w:eastAsia="宋体" w:hint="default"/>
                            <w:sz w:val="18"/>
                            <w:szCs w:val="18"/>
                          </w:rPr>
                        </w:pPr>
                        <w:r>
                          <w:rPr>
                            <w:rFonts w:ascii="宋体" w:hAnsi="宋体" w:cs="宋体" w:eastAsia="宋体" w:hint="default"/>
                            <w:sz w:val="18"/>
                            <w:szCs w:val="18"/>
                          </w:rPr>
                          <w:t>转让价 格（万</w:t>
                        </w:r>
                      </w:p>
                      <w:p>
                        <w:pPr>
                          <w:pStyle w:val="TableParagraph"/>
                          <w:spacing w:line="240" w:lineRule="auto" w:before="20"/>
                          <w:ind w:left="-124"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9"/>
                            <w:sz w:val="18"/>
                            <w:szCs w:val="18"/>
                          </w:rPr>
                          <w:t> </w:t>
                        </w:r>
                        <w:r>
                          <w:rPr>
                            <w:rFonts w:ascii="宋体" w:hAnsi="宋体" w:cs="宋体" w:eastAsia="宋体" w:hint="default"/>
                            <w:sz w:val="18"/>
                            <w:szCs w:val="18"/>
                          </w:rPr>
                          <w:t>元）</w:t>
                        </w:r>
                      </w:p>
                    </w:tc>
                    <w:tc>
                      <w:tcPr>
                        <w:tcW w:w="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7"/>
                          <w:jc w:val="both"/>
                          <w:rPr>
                            <w:rFonts w:ascii="宋体" w:hAnsi="宋体" w:cs="宋体" w:eastAsia="宋体" w:hint="default"/>
                            <w:sz w:val="18"/>
                            <w:szCs w:val="18"/>
                          </w:rPr>
                        </w:pPr>
                        <w:r>
                          <w:rPr>
                            <w:rFonts w:ascii="宋体" w:hAnsi="宋体" w:cs="宋体" w:eastAsia="宋体" w:hint="default"/>
                            <w:sz w:val="18"/>
                            <w:szCs w:val="18"/>
                          </w:rPr>
                          <w:t>关联 交易 结算 方式</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5" w:right="66"/>
                          <w:jc w:val="both"/>
                          <w:rPr>
                            <w:rFonts w:ascii="宋体" w:hAnsi="宋体" w:cs="宋体" w:eastAsia="宋体" w:hint="default"/>
                            <w:sz w:val="18"/>
                            <w:szCs w:val="18"/>
                          </w:rPr>
                        </w:pPr>
                        <w:r>
                          <w:rPr>
                            <w:rFonts w:ascii="宋体" w:hAnsi="宋体" w:cs="宋体" w:eastAsia="宋体" w:hint="default"/>
                            <w:sz w:val="18"/>
                            <w:szCs w:val="18"/>
                          </w:rPr>
                          <w:t>交易损 益（万 元）</w:t>
                        </w:r>
                      </w:p>
                    </w:tc>
                    <w:tc>
                      <w:tcPr>
                        <w:tcW w:w="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3" w:right="5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2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338"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江苏爱康 实业集团 有限公司</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19"/>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向关 联方 购股 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购买江苏爱康 能源研究院有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净资 产作 价</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88.94</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88.94</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合同 约定 方式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70.69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pacing w:val="-9"/>
                            <w:sz w:val="18"/>
                            <w:szCs w:val="18"/>
                          </w:rPr>
                          <w:t>巨潮咨询网：《第三届董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事会第十六次临时会议 </w:t>
                        </w:r>
                        <w:r>
                          <w:rPr>
                            <w:rFonts w:ascii="宋体" w:hAnsi="宋体" w:cs="宋体" w:eastAsia="宋体" w:hint="default"/>
                            <w:spacing w:val="-9"/>
                            <w:sz w:val="18"/>
                            <w:szCs w:val="18"/>
                          </w:rPr>
                          <w:t>决议公告》，公告编号：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2017-94</w:t>
                        </w:r>
                      </w:p>
                    </w:tc>
                  </w:tr>
                  <w:tr>
                    <w:trPr>
                      <w:trHeight w:val="1338"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同受 控股 股东 控制</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3"/>
                          <w:jc w:val="both"/>
                          <w:rPr>
                            <w:rFonts w:ascii="宋体" w:hAnsi="宋体" w:cs="宋体" w:eastAsia="宋体" w:hint="default"/>
                            <w:sz w:val="18"/>
                            <w:szCs w:val="18"/>
                          </w:rPr>
                        </w:pPr>
                        <w:r>
                          <w:rPr>
                            <w:rFonts w:ascii="宋体" w:hAnsi="宋体" w:cs="宋体" w:eastAsia="宋体" w:hint="default"/>
                            <w:sz w:val="18"/>
                            <w:szCs w:val="18"/>
                          </w:rPr>
                          <w:t>向关 联方 购股 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38"/>
                          <w:jc w:val="left"/>
                          <w:rPr>
                            <w:rFonts w:ascii="宋体" w:hAnsi="宋体" w:cs="宋体" w:eastAsia="宋体" w:hint="default"/>
                            <w:sz w:val="18"/>
                            <w:szCs w:val="18"/>
                          </w:rPr>
                        </w:pPr>
                        <w:r>
                          <w:rPr>
                            <w:rFonts w:ascii="宋体" w:hAnsi="宋体" w:cs="宋体" w:eastAsia="宋体" w:hint="default"/>
                            <w:sz w:val="18"/>
                            <w:szCs w:val="18"/>
                          </w:rPr>
                          <w:t>购买阳泉爱康 太阳能发电有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净资 产作 价</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3"/>
                          <w:jc w:val="both"/>
                          <w:rPr>
                            <w:rFonts w:ascii="宋体" w:hAnsi="宋体" w:cs="宋体" w:eastAsia="宋体" w:hint="default"/>
                            <w:sz w:val="18"/>
                            <w:szCs w:val="18"/>
                          </w:rPr>
                        </w:pPr>
                        <w:r>
                          <w:rPr>
                            <w:rFonts w:ascii="宋体" w:hAnsi="宋体" w:cs="宋体" w:eastAsia="宋体" w:hint="default"/>
                            <w:sz w:val="18"/>
                            <w:szCs w:val="18"/>
                          </w:rPr>
                          <w:t>合同 约定 方式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5"/>
                          <w:jc w:val="left"/>
                          <w:rPr>
                            <w:rFonts w:ascii="宋体" w:hAnsi="宋体" w:cs="宋体" w:eastAsia="宋体" w:hint="default"/>
                            <w:sz w:val="18"/>
                            <w:szCs w:val="18"/>
                          </w:rPr>
                        </w:pPr>
                        <w:r>
                          <w:rPr>
                            <w:rFonts w:ascii="宋体" w:hAnsi="宋体" w:cs="宋体" w:eastAsia="宋体" w:hint="default"/>
                            <w:spacing w:val="-9"/>
                            <w:sz w:val="18"/>
                            <w:szCs w:val="18"/>
                          </w:rPr>
                          <w:t>巨潮咨询网：《第三届董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事会第二十四次临时会 </w:t>
                        </w:r>
                        <w:r>
                          <w:rPr>
                            <w:rFonts w:ascii="宋体" w:hAnsi="宋体" w:cs="宋体" w:eastAsia="宋体" w:hint="default"/>
                            <w:spacing w:val="-14"/>
                            <w:sz w:val="18"/>
                            <w:szCs w:val="18"/>
                          </w:rPr>
                          <w:t>议决议公告》，公告编号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2017-148</w:t>
                        </w:r>
                      </w:p>
                    </w:tc>
                  </w:tr>
                  <w:tr>
                    <w:trPr>
                      <w:trHeight w:val="1789" w:hRule="exact"/>
                    </w:trPr>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2" w:right="60"/>
                          <w:jc w:val="both"/>
                          <w:rPr>
                            <w:rFonts w:ascii="宋体" w:hAnsi="宋体" w:cs="宋体" w:eastAsia="宋体" w:hint="default"/>
                            <w:sz w:val="18"/>
                            <w:szCs w:val="18"/>
                          </w:rPr>
                        </w:pPr>
                        <w:r>
                          <w:rPr>
                            <w:rFonts w:ascii="宋体" w:hAnsi="宋体" w:cs="宋体" w:eastAsia="宋体" w:hint="default"/>
                            <w:sz w:val="18"/>
                            <w:szCs w:val="18"/>
                          </w:rPr>
                          <w:t>爱康国际 控股有限 公司</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18"/>
                          <w:ind w:left="22" w:right="119"/>
                          <w:jc w:val="left"/>
                          <w:rPr>
                            <w:rFonts w:ascii="宋体" w:hAnsi="宋体" w:cs="宋体" w:eastAsia="宋体" w:hint="default"/>
                            <w:sz w:val="18"/>
                            <w:szCs w:val="18"/>
                          </w:rPr>
                        </w:pPr>
                        <w:r>
                          <w:rPr>
                            <w:rFonts w:ascii="宋体" w:hAnsi="宋体" w:cs="宋体" w:eastAsia="宋体" w:hint="default"/>
                            <w:sz w:val="18"/>
                            <w:szCs w:val="18"/>
                          </w:rPr>
                          <w:t>控股 股东</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319" w:lineRule="auto"/>
                          <w:ind w:left="22" w:right="73"/>
                          <w:jc w:val="both"/>
                          <w:rPr>
                            <w:rFonts w:ascii="宋体" w:hAnsi="宋体" w:cs="宋体" w:eastAsia="宋体" w:hint="default"/>
                            <w:sz w:val="18"/>
                            <w:szCs w:val="18"/>
                          </w:rPr>
                        </w:pPr>
                        <w:r>
                          <w:rPr>
                            <w:rFonts w:ascii="宋体" w:hAnsi="宋体" w:cs="宋体" w:eastAsia="宋体" w:hint="default"/>
                            <w:sz w:val="18"/>
                            <w:szCs w:val="18"/>
                          </w:rPr>
                          <w:t>向关 联方 购股 权</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393" w:lineRule="auto" w:before="143"/>
                          <w:ind w:left="23" w:right="149"/>
                          <w:jc w:val="left"/>
                          <w:rPr>
                            <w:rFonts w:ascii="Arial" w:hAnsi="Arial" w:cs="Arial" w:eastAsia="Arial" w:hint="default"/>
                            <w:sz w:val="18"/>
                            <w:szCs w:val="18"/>
                          </w:rPr>
                        </w:pPr>
                        <w:r>
                          <w:rPr>
                            <w:rFonts w:ascii="Arial"/>
                            <w:sz w:val="18"/>
                          </w:rPr>
                          <w:t>MAKI</w:t>
                        </w:r>
                        <w:r>
                          <w:rPr>
                            <w:rFonts w:ascii="Arial"/>
                            <w:w w:val="100"/>
                            <w:sz w:val="18"/>
                          </w:rPr>
                          <w:t> </w:t>
                        </w:r>
                        <w:r>
                          <w:rPr>
                            <w:rFonts w:ascii="Arial"/>
                            <w:sz w:val="18"/>
                          </w:rPr>
                          <w:t>SUNCOME</w:t>
                        </w:r>
                        <w:r>
                          <w:rPr>
                            <w:rFonts w:ascii="Arial"/>
                            <w:sz w:val="18"/>
                          </w:rPr>
                          <w:t> SOLAR</w:t>
                        </w:r>
                      </w:p>
                      <w:p>
                        <w:pPr>
                          <w:pStyle w:val="TableParagraph"/>
                          <w:spacing w:line="348" w:lineRule="auto" w:before="4"/>
                          <w:ind w:left="23" w:right="149"/>
                          <w:jc w:val="left"/>
                          <w:rPr>
                            <w:rFonts w:ascii="宋体" w:hAnsi="宋体" w:cs="宋体" w:eastAsia="宋体" w:hint="default"/>
                            <w:sz w:val="18"/>
                            <w:szCs w:val="18"/>
                          </w:rPr>
                        </w:pPr>
                        <w:r>
                          <w:rPr>
                            <w:rFonts w:ascii="Arial" w:hAnsi="Arial" w:cs="Arial" w:eastAsia="Arial" w:hint="default"/>
                            <w:sz w:val="18"/>
                            <w:szCs w:val="18"/>
                          </w:rPr>
                          <w:t>CO.,LTD</w:t>
                        </w:r>
                        <w:r>
                          <w:rPr>
                            <w:rFonts w:ascii="Arial" w:hAnsi="Arial" w:cs="Arial" w:eastAsia="Arial" w:hint="default"/>
                            <w:w w:val="99"/>
                            <w:sz w:val="18"/>
                            <w:szCs w:val="18"/>
                          </w:rPr>
                          <w:t> </w:t>
                        </w:r>
                        <w:r>
                          <w:rPr>
                            <w:rFonts w:ascii="Arial" w:hAnsi="Arial" w:cs="Arial" w:eastAsia="Arial" w:hint="default"/>
                            <w:sz w:val="18"/>
                            <w:szCs w:val="18"/>
                          </w:rPr>
                          <w:t>49.18%</w:t>
                        </w:r>
                        <w:r>
                          <w:rPr>
                            <w:rFonts w:ascii="宋体" w:hAnsi="宋体" w:cs="宋体" w:eastAsia="宋体" w:hint="default"/>
                            <w:sz w:val="18"/>
                            <w:szCs w:val="18"/>
                          </w:rPr>
                          <w:t>股权</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净资 产作 价</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253.87</w:t>
                        </w:r>
                      </w:p>
                    </w:tc>
                    <w:tc>
                      <w:tcPr>
                        <w:tcW w:w="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253.87</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合同 约定 方式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3"/>
                            <w:szCs w:val="2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5"/>
                            <w:szCs w:val="15"/>
                          </w:rPr>
                        </w:pPr>
                      </w:p>
                      <w:p>
                        <w:pPr>
                          <w:pStyle w:val="TableParagraph"/>
                          <w:spacing w:line="309" w:lineRule="auto"/>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《关于收购真木盛康 </w:t>
                        </w:r>
                        <w:r>
                          <w:rPr>
                            <w:rFonts w:ascii="Times New Roman" w:hAnsi="Times New Roman" w:cs="Times New Roman" w:eastAsia="Times New Roman" w:hint="default"/>
                            <w:spacing w:val="-7"/>
                            <w:sz w:val="18"/>
                            <w:szCs w:val="18"/>
                          </w:rPr>
                          <w:t>49.18%</w:t>
                        </w:r>
                        <w:r>
                          <w:rPr>
                            <w:rFonts w:ascii="宋体" w:hAnsi="宋体" w:cs="宋体" w:eastAsia="宋体" w:hint="default"/>
                            <w:spacing w:val="-7"/>
                            <w:sz w:val="18"/>
                            <w:szCs w:val="18"/>
                          </w:rPr>
                          <w:t>股权的议案》，公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2017-75</w:t>
                        </w:r>
                      </w:p>
                    </w:tc>
                  </w:tr>
                  <w:tr>
                    <w:trPr>
                      <w:trHeight w:val="714" w:hRule="exact"/>
                    </w:trPr>
                    <w:tc>
                      <w:tcPr>
                        <w:tcW w:w="29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7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9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 况</w:t>
                        </w:r>
                      </w:p>
                    </w:tc>
                    <w:tc>
                      <w:tcPr>
                        <w:tcW w:w="6745" w:type="dxa"/>
                        <w:gridSpan w:val="8"/>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收购研究院，为公司搭建产业技术联盟，使公司能源互联网业务发展获得核心技术支 </w:t>
                        </w:r>
                        <w:r>
                          <w:rPr>
                            <w:rFonts w:ascii="宋体" w:hAnsi="宋体" w:cs="宋体" w:eastAsia="宋体" w:hint="default"/>
                            <w:spacing w:val="-2"/>
                            <w:sz w:val="18"/>
                            <w:szCs w:val="18"/>
                          </w:rPr>
                          <w:t>撑；收购阳泉发电，为优化产业结构，布局分布式电站市场，提升上市公司盈利能力</w:t>
                        </w:r>
                      </w:p>
                    </w:tc>
                  </w:tr>
                  <w:tr>
                    <w:trPr>
                      <w:trHeight w:val="715" w:hRule="exact"/>
                    </w:trPr>
                    <w:tc>
                      <w:tcPr>
                        <w:tcW w:w="295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如相关交易涉及业绩约定的，报告期 内的业绩实现情况</w:t>
                        </w:r>
                      </w:p>
                    </w:tc>
                    <w:tc>
                      <w:tcPr>
                        <w:tcW w:w="6745"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BodyText"/>
        <w:spacing w:line="240" w:lineRule="auto" w:before="44"/>
        <w:ind w:right="1043"/>
        <w:jc w:val="right"/>
      </w:pPr>
      <w:r>
        <w:rPr/>
        <w:t>。</w:t>
      </w:r>
    </w:p>
    <w:p>
      <w:pPr>
        <w:spacing w:after="0" w:line="240" w:lineRule="auto"/>
        <w:jc w:val="righ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71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12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873"/>
        <w:jc w:val="left"/>
      </w:pPr>
      <w:r>
        <w:rPr>
          <w:rFonts w:ascii="Times New Roman" w:hAnsi="Times New Roman" w:cs="Times New Roman" w:eastAsia="Times New Roman" w:hint="default"/>
        </w:rPr>
        <w:t>□ </w:t>
      </w:r>
      <w:r>
        <w:rPr/>
        <w:t>适用</w:t>
      </w:r>
      <w:r>
        <w:rPr>
          <w:spacing w:val="-1"/>
        </w:rPr>
        <w:t> </w:t>
      </w:r>
      <w:r>
        <w:rPr>
          <w:rFonts w:ascii="Times New Roman" w:hAnsi="Times New Roman" w:cs="Times New Roman" w:eastAsia="Times New Roman" w:hint="default"/>
        </w:rPr>
        <w:t>√</w:t>
      </w:r>
      <w:r>
        <w:rPr/>
        <w:t>不适用 是否存在非经营性关联债权债务往来</w:t>
      </w:r>
    </w:p>
    <w:p>
      <w:pPr>
        <w:pStyle w:val="BodyText"/>
        <w:spacing w:line="338" w:lineRule="auto" w:before="40"/>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公司报告期不存在非经营性关联债权债务往来。</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1122"/>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租赁情况说明</w:t>
      </w:r>
    </w:p>
    <w:p>
      <w:pPr>
        <w:pStyle w:val="BodyText"/>
        <w:spacing w:line="240" w:lineRule="auto" w:before="42"/>
        <w:ind w:left="634" w:right="1122"/>
        <w:jc w:val="left"/>
      </w:pPr>
      <w:r>
        <w:rPr/>
        <w:t>本公司为改善公司融资结构，采用固定资产售后回租融资租赁业务方式进行融资，具体情况如下：</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772"/>
        <w:gridCol w:w="740"/>
        <w:gridCol w:w="530"/>
        <w:gridCol w:w="1111"/>
        <w:gridCol w:w="821"/>
        <w:gridCol w:w="5684"/>
      </w:tblGrid>
      <w:tr>
        <w:trPr>
          <w:trHeight w:val="653" w:hRule="exact"/>
        </w:trPr>
        <w:tc>
          <w:tcPr>
            <w:tcW w:w="7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出租方</w:t>
            </w:r>
          </w:p>
        </w:tc>
        <w:tc>
          <w:tcPr>
            <w:tcW w:w="7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5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80"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1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8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还款方式</w:t>
            </w:r>
          </w:p>
        </w:tc>
        <w:tc>
          <w:tcPr>
            <w:tcW w:w="568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抵押担保说明</w:t>
            </w:r>
          </w:p>
        </w:tc>
      </w:tr>
      <w:tr>
        <w:trPr>
          <w:trHeight w:val="1279"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20" w:right="21"/>
              <w:jc w:val="center"/>
              <w:rPr>
                <w:rFonts w:ascii="宋体" w:hAnsi="宋体" w:cs="宋体" w:eastAsia="宋体" w:hint="default"/>
                <w:sz w:val="18"/>
                <w:szCs w:val="18"/>
              </w:rPr>
            </w:pPr>
            <w:r>
              <w:rPr>
                <w:rFonts w:ascii="宋体" w:hAnsi="宋体" w:cs="宋体" w:eastAsia="宋体" w:hint="default"/>
                <w:sz w:val="18"/>
                <w:szCs w:val="18"/>
              </w:rPr>
              <w:t>华能天成 融资租赁 股份有限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7.40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2015-12-9</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2023-12-9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00" w:lineRule="auto"/>
              <w:ind w:left="38" w:right="38"/>
              <w:jc w:val="center"/>
              <w:rPr>
                <w:rFonts w:ascii="宋体" w:hAnsi="宋体" w:cs="宋体" w:eastAsia="宋体" w:hint="default"/>
                <w:sz w:val="18"/>
                <w:szCs w:val="18"/>
              </w:rPr>
            </w:pPr>
            <w:r>
              <w:rPr>
                <w:rFonts w:ascii="宋体" w:hAnsi="宋体" w:cs="宋体" w:eastAsia="宋体" w:hint="default"/>
                <w:sz w:val="18"/>
                <w:szCs w:val="18"/>
              </w:rPr>
              <w:t>以孝义太子能源</w:t>
            </w:r>
            <w:r>
              <w:rPr>
                <w:rFonts w:ascii="Times New Roman" w:hAnsi="Times New Roman" w:cs="Times New Roman" w:eastAsia="Times New Roman" w:hint="default"/>
                <w:sz w:val="18"/>
                <w:szCs w:val="18"/>
              </w:rPr>
              <w:t>30MW</w:t>
            </w:r>
            <w:r>
              <w:rPr>
                <w:rFonts w:ascii="宋体" w:hAnsi="宋体" w:cs="宋体" w:eastAsia="宋体" w:hint="default"/>
                <w:sz w:val="18"/>
                <w:szCs w:val="18"/>
              </w:rPr>
              <w:t>光伏并网发电设备作为抵押并以其电费收费权作 为质押</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本公司以其持有的对孝义能源</w:t>
            </w:r>
            <w:r>
              <w:rPr>
                <w:rFonts w:ascii="Times New Roman" w:hAnsi="Times New Roman" w:cs="Times New Roman" w:eastAsia="Times New Roman" w:hint="default"/>
                <w:sz w:val="18"/>
                <w:szCs w:val="18"/>
              </w:rPr>
              <w:t>95%</w:t>
            </w:r>
            <w:r>
              <w:rPr>
                <w:rFonts w:ascii="宋体" w:hAnsi="宋体" w:cs="宋体" w:eastAsia="宋体" w:hint="default"/>
                <w:sz w:val="18"/>
                <w:szCs w:val="18"/>
              </w:rPr>
              <w:t>的股权作为质押物进行质押担 保</w:t>
            </w:r>
          </w:p>
        </w:tc>
      </w:tr>
      <w:tr>
        <w:trPr>
          <w:trHeight w:val="342"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上海电气</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18,000.00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Times New Roman"/>
                <w:sz w:val="18"/>
              </w:rPr>
              <w:t>5.46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2015-12-2</w:t>
            </w:r>
            <w:r>
              <w:rPr>
                <w:rFonts w:ascii="宋体" w:hAnsi="宋体" w:cs="宋体" w:eastAsia="宋体" w:hint="default"/>
                <w:sz w:val="18"/>
                <w:szCs w:val="18"/>
              </w:rPr>
              <w:t>至</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分季度还</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pacing w:val="-3"/>
                <w:sz w:val="18"/>
                <w:szCs w:val="18"/>
              </w:rPr>
              <w:t>公司以伊阳能源</w:t>
            </w:r>
            <w:r>
              <w:rPr>
                <w:rFonts w:ascii="Times New Roman" w:hAnsi="Times New Roman" w:cs="Times New Roman" w:eastAsia="Times New Roman" w:hint="default"/>
                <w:spacing w:val="-3"/>
                <w:sz w:val="18"/>
                <w:szCs w:val="18"/>
              </w:rPr>
              <w:t>30MW</w:t>
            </w:r>
            <w:r>
              <w:rPr>
                <w:rFonts w:ascii="宋体" w:hAnsi="宋体" w:cs="宋体" w:eastAsia="宋体" w:hint="default"/>
                <w:spacing w:val="-3"/>
                <w:sz w:val="18"/>
                <w:szCs w:val="18"/>
              </w:rPr>
              <w:t>光伏并网发电设备作为抵押，本公司以其持有的对</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772"/>
        <w:gridCol w:w="740"/>
        <w:gridCol w:w="530"/>
        <w:gridCol w:w="1111"/>
        <w:gridCol w:w="821"/>
        <w:gridCol w:w="5684"/>
      </w:tblGrid>
      <w:tr>
        <w:trPr>
          <w:trHeight w:val="65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0" w:right="21" w:hanging="180"/>
              <w:jc w:val="left"/>
              <w:rPr>
                <w:rFonts w:ascii="宋体" w:hAnsi="宋体" w:cs="宋体" w:eastAsia="宋体" w:hint="default"/>
                <w:sz w:val="18"/>
                <w:szCs w:val="18"/>
              </w:rPr>
            </w:pPr>
            <w:r>
              <w:rPr>
                <w:rFonts w:ascii="宋体" w:hAnsi="宋体" w:cs="宋体" w:eastAsia="宋体" w:hint="default"/>
                <w:sz w:val="18"/>
                <w:szCs w:val="18"/>
              </w:rPr>
              <w:t>租赁有限 公司</w:t>
            </w:r>
          </w:p>
        </w:tc>
        <w:tc>
          <w:tcPr>
            <w:tcW w:w="7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75" w:right="0"/>
              <w:jc w:val="left"/>
              <w:rPr>
                <w:rFonts w:ascii="Times New Roman" w:hAnsi="Times New Roman" w:cs="Times New Roman" w:eastAsia="Times New Roman" w:hint="default"/>
                <w:sz w:val="18"/>
                <w:szCs w:val="18"/>
              </w:rPr>
            </w:pPr>
            <w:r>
              <w:rPr>
                <w:rFonts w:ascii="Times New Roman"/>
                <w:sz w:val="18"/>
              </w:rPr>
              <w:t>2028-12-1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5" w:right="0"/>
              <w:jc w:val="left"/>
              <w:rPr>
                <w:rFonts w:ascii="宋体" w:hAnsi="宋体" w:cs="宋体" w:eastAsia="宋体" w:hint="default"/>
                <w:sz w:val="18"/>
                <w:szCs w:val="18"/>
              </w:rPr>
            </w:pPr>
            <w:r>
              <w:rPr>
                <w:rFonts w:ascii="宋体" w:hAnsi="宋体" w:cs="宋体" w:eastAsia="宋体" w:hint="default"/>
                <w:sz w:val="18"/>
                <w:szCs w:val="18"/>
              </w:rPr>
              <w:t>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伊阳能源</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的股权作为质押物进行质押担保。</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3,000.00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7.50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宋体" w:hAnsi="宋体" w:cs="宋体" w:eastAsia="宋体" w:hint="default"/>
                <w:sz w:val="18"/>
                <w:szCs w:val="18"/>
              </w:rPr>
              <w:t>至</w:t>
            </w:r>
          </w:p>
          <w:p>
            <w:pPr>
              <w:pStyle w:val="TableParagraph"/>
              <w:spacing w:line="240" w:lineRule="auto" w:before="103"/>
              <w:ind w:left="175" w:right="0"/>
              <w:jc w:val="left"/>
              <w:rPr>
                <w:rFonts w:ascii="Times New Roman" w:hAnsi="Times New Roman" w:cs="Times New Roman" w:eastAsia="Times New Roman" w:hint="default"/>
                <w:sz w:val="18"/>
                <w:szCs w:val="18"/>
              </w:rPr>
            </w:pPr>
            <w:r>
              <w:rPr>
                <w:rFonts w:ascii="Times New Roman"/>
                <w:sz w:val="18"/>
              </w:rPr>
              <w:t>2018-8-23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9" w:lineRule="auto"/>
              <w:ind w:left="45" w:right="45"/>
              <w:jc w:val="both"/>
              <w:rPr>
                <w:rFonts w:ascii="宋体" w:hAnsi="宋体" w:cs="宋体" w:eastAsia="宋体" w:hint="default"/>
                <w:sz w:val="18"/>
                <w:szCs w:val="18"/>
              </w:rPr>
            </w:pPr>
            <w:r>
              <w:rPr>
                <w:rFonts w:ascii="宋体" w:hAnsi="宋体" w:cs="宋体" w:eastAsia="宋体" w:hint="default"/>
                <w:sz w:val="18"/>
                <w:szCs w:val="18"/>
              </w:rPr>
              <w:t>分月支付 利息、分 季付本金</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公司以青海昱辉一期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电站设备作为抵押。</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16,000.00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8.00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2016-6-1</w:t>
            </w:r>
            <w:r>
              <w:rPr>
                <w:rFonts w:ascii="宋体" w:hAnsi="宋体" w:cs="宋体" w:eastAsia="宋体" w:hint="default"/>
                <w:sz w:val="18"/>
                <w:szCs w:val="18"/>
              </w:rPr>
              <w:t>至</w:t>
            </w:r>
          </w:p>
          <w:p>
            <w:pPr>
              <w:pStyle w:val="TableParagraph"/>
              <w:spacing w:line="240" w:lineRule="auto" w:before="102"/>
              <w:ind w:left="219" w:right="0"/>
              <w:jc w:val="left"/>
              <w:rPr>
                <w:rFonts w:ascii="Times New Roman" w:hAnsi="Times New Roman" w:cs="Times New Roman" w:eastAsia="Times New Roman" w:hint="default"/>
                <w:sz w:val="18"/>
                <w:szCs w:val="18"/>
              </w:rPr>
            </w:pPr>
            <w:r>
              <w:rPr>
                <w:rFonts w:ascii="Times New Roman"/>
                <w:sz w:val="18"/>
              </w:rPr>
              <w:t>2019-6-1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25" w:right="45" w:hanging="180"/>
              <w:jc w:val="left"/>
              <w:rPr>
                <w:rFonts w:ascii="宋体" w:hAnsi="宋体" w:cs="宋体" w:eastAsia="宋体" w:hint="default"/>
                <w:sz w:val="18"/>
                <w:szCs w:val="18"/>
              </w:rPr>
            </w:pPr>
            <w:r>
              <w:rPr>
                <w:rFonts w:ascii="宋体" w:hAnsi="宋体" w:cs="宋体" w:eastAsia="宋体" w:hint="default"/>
                <w:sz w:val="18"/>
                <w:szCs w:val="18"/>
              </w:rPr>
              <w:t>分季还本 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765" w:right="46" w:hanging="720"/>
              <w:jc w:val="left"/>
              <w:rPr>
                <w:rFonts w:ascii="宋体" w:hAnsi="宋体" w:cs="宋体" w:eastAsia="宋体" w:hint="default"/>
                <w:sz w:val="18"/>
                <w:szCs w:val="18"/>
              </w:rPr>
            </w:pPr>
            <w:r>
              <w:rPr>
                <w:rFonts w:ascii="宋体" w:hAnsi="宋体" w:cs="宋体" w:eastAsia="宋体" w:hint="default"/>
                <w:sz w:val="18"/>
                <w:szCs w:val="18"/>
              </w:rPr>
              <w:t>九州方园新能源股份有限公司为本借款提供担保，公司以九州博乐电站 六期光伏设备作为抵押并以其电费收费权作为质押。</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4,000.00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8.00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2016-7-28</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2018-7-28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45" w:right="45"/>
              <w:jc w:val="left"/>
              <w:rPr>
                <w:rFonts w:ascii="宋体" w:hAnsi="宋体" w:cs="宋体" w:eastAsia="宋体" w:hint="default"/>
                <w:sz w:val="18"/>
                <w:szCs w:val="18"/>
              </w:rPr>
            </w:pPr>
            <w:r>
              <w:rPr>
                <w:rFonts w:ascii="宋体" w:hAnsi="宋体" w:cs="宋体" w:eastAsia="宋体" w:hint="default"/>
                <w:sz w:val="18"/>
                <w:szCs w:val="18"/>
              </w:rPr>
              <w:t>到期一次 还本付息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765" w:right="46" w:hanging="720"/>
              <w:jc w:val="left"/>
              <w:rPr>
                <w:rFonts w:ascii="宋体" w:hAnsi="宋体" w:cs="宋体" w:eastAsia="宋体" w:hint="default"/>
                <w:sz w:val="18"/>
                <w:szCs w:val="18"/>
              </w:rPr>
            </w:pPr>
            <w:r>
              <w:rPr>
                <w:rFonts w:ascii="宋体" w:hAnsi="宋体" w:cs="宋体" w:eastAsia="宋体" w:hint="default"/>
                <w:sz w:val="18"/>
                <w:szCs w:val="18"/>
              </w:rPr>
              <w:t>九州方园新能源股份有限公司为本借款提供担保，公司以九州博乐电站 六期光伏设备作为抵押并以其电费收费权作为质押。</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3,000.00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7.50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2018-8-23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45" w:right="45"/>
              <w:jc w:val="both"/>
              <w:rPr>
                <w:rFonts w:ascii="宋体" w:hAnsi="宋体" w:cs="宋体" w:eastAsia="宋体" w:hint="default"/>
                <w:sz w:val="18"/>
                <w:szCs w:val="18"/>
              </w:rPr>
            </w:pPr>
            <w:r>
              <w:rPr>
                <w:rFonts w:ascii="宋体" w:hAnsi="宋体" w:cs="宋体" w:eastAsia="宋体" w:hint="default"/>
                <w:sz w:val="18"/>
                <w:szCs w:val="18"/>
              </w:rPr>
              <w:t>分月支付 利息、分 季付本金</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公司以精河电厂一期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电站设备做抵押。</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赣州发展 融资租赁 有限责任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935.83</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5.70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2017-7-5</w:t>
            </w:r>
            <w:r>
              <w:rPr>
                <w:rFonts w:ascii="宋体" w:hAnsi="宋体" w:cs="宋体" w:eastAsia="宋体" w:hint="default"/>
                <w:sz w:val="18"/>
                <w:szCs w:val="18"/>
              </w:rPr>
              <w:t>至</w:t>
            </w:r>
          </w:p>
          <w:p>
            <w:pPr>
              <w:pStyle w:val="TableParagraph"/>
              <w:spacing w:line="240" w:lineRule="auto" w:before="102"/>
              <w:ind w:left="219" w:right="0"/>
              <w:jc w:val="left"/>
              <w:rPr>
                <w:rFonts w:ascii="Times New Roman" w:hAnsi="Times New Roman" w:cs="Times New Roman" w:eastAsia="Times New Roman" w:hint="default"/>
                <w:sz w:val="18"/>
                <w:szCs w:val="18"/>
              </w:rPr>
            </w:pPr>
            <w:r>
              <w:rPr>
                <w:rFonts w:ascii="Times New Roman"/>
                <w:sz w:val="18"/>
              </w:rPr>
              <w:t>2022-7-4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公司以丹阳</w:t>
            </w:r>
            <w:r>
              <w:rPr>
                <w:rFonts w:ascii="Times New Roman" w:hAnsi="Times New Roman" w:cs="Times New Roman" w:eastAsia="Times New Roman" w:hint="default"/>
                <w:sz w:val="18"/>
                <w:szCs w:val="18"/>
              </w:rPr>
              <w:t>3.5MW</w:t>
            </w:r>
            <w:r>
              <w:rPr>
                <w:rFonts w:ascii="宋体" w:hAnsi="宋体" w:cs="宋体" w:eastAsia="宋体" w:hint="default"/>
                <w:sz w:val="18"/>
                <w:szCs w:val="18"/>
              </w:rPr>
              <w:t>屋顶电站光伏设备作为抵押。</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both"/>
              <w:rPr>
                <w:rFonts w:ascii="宋体" w:hAnsi="宋体" w:cs="宋体" w:eastAsia="宋体" w:hint="default"/>
                <w:sz w:val="18"/>
                <w:szCs w:val="18"/>
              </w:rPr>
            </w:pPr>
            <w:r>
              <w:rPr>
                <w:rFonts w:ascii="宋体" w:hAnsi="宋体" w:cs="宋体" w:eastAsia="宋体" w:hint="default"/>
                <w:sz w:val="18"/>
                <w:szCs w:val="18"/>
              </w:rPr>
              <w:t>苏银金融 租赁股份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2016-4-28</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2021-4-28</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15" w:right="16"/>
              <w:jc w:val="center"/>
              <w:rPr>
                <w:rFonts w:ascii="宋体" w:hAnsi="宋体" w:cs="宋体" w:eastAsia="宋体" w:hint="default"/>
                <w:sz w:val="18"/>
                <w:szCs w:val="18"/>
              </w:rPr>
            </w:pPr>
            <w:r>
              <w:rPr>
                <w:rFonts w:ascii="宋体" w:hAnsi="宋体" w:cs="宋体" w:eastAsia="宋体" w:hint="default"/>
                <w:sz w:val="18"/>
                <w:szCs w:val="18"/>
              </w:rPr>
              <w:t>本公司以其持有的对凤庆爱康的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的股权作为质押物进行质押担保， 公司以凤庆爱康一期</w:t>
            </w:r>
            <w:r>
              <w:rPr>
                <w:rFonts w:ascii="Times New Roman" w:hAnsi="Times New Roman" w:cs="Times New Roman" w:eastAsia="Times New Roman" w:hint="default"/>
                <w:sz w:val="18"/>
                <w:szCs w:val="18"/>
              </w:rPr>
              <w:t>22MW</w:t>
            </w:r>
            <w:r>
              <w:rPr>
                <w:rFonts w:ascii="宋体" w:hAnsi="宋体" w:cs="宋体" w:eastAsia="宋体" w:hint="default"/>
                <w:sz w:val="18"/>
                <w:szCs w:val="18"/>
              </w:rPr>
              <w:t>光伏电站设备做抵押并以其电费收费权作为 质押。</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both"/>
              <w:rPr>
                <w:rFonts w:ascii="宋体" w:hAnsi="宋体" w:cs="宋体" w:eastAsia="宋体" w:hint="default"/>
                <w:sz w:val="18"/>
                <w:szCs w:val="18"/>
              </w:rPr>
            </w:pPr>
            <w:r>
              <w:rPr>
                <w:rFonts w:ascii="宋体" w:hAnsi="宋体" w:cs="宋体" w:eastAsia="宋体" w:hint="default"/>
                <w:sz w:val="18"/>
                <w:szCs w:val="18"/>
              </w:rPr>
              <w:t>苏银金融 租赁股份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2016-6-29</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2021-6-29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的股权作为质押物进行质押担保。</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both"/>
              <w:rPr>
                <w:rFonts w:ascii="宋体" w:hAnsi="宋体" w:cs="宋体" w:eastAsia="宋体" w:hint="default"/>
                <w:sz w:val="18"/>
                <w:szCs w:val="18"/>
              </w:rPr>
            </w:pPr>
            <w:r>
              <w:rPr>
                <w:rFonts w:ascii="宋体" w:hAnsi="宋体" w:cs="宋体" w:eastAsia="宋体" w:hint="default"/>
                <w:sz w:val="18"/>
                <w:szCs w:val="18"/>
              </w:rPr>
              <w:t>苏州金融 租赁股份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2016-3-20</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2021-3-20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25" w:right="45" w:hanging="180"/>
              <w:jc w:val="left"/>
              <w:rPr>
                <w:rFonts w:ascii="宋体" w:hAnsi="宋体" w:cs="宋体" w:eastAsia="宋体" w:hint="default"/>
                <w:sz w:val="18"/>
                <w:szCs w:val="18"/>
              </w:rPr>
            </w:pPr>
            <w:r>
              <w:rPr>
                <w:rFonts w:ascii="宋体" w:hAnsi="宋体" w:cs="宋体" w:eastAsia="宋体" w:hint="default"/>
                <w:sz w:val="18"/>
                <w:szCs w:val="18"/>
              </w:rPr>
              <w:t>分季还本 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15" w:right="17"/>
              <w:jc w:val="center"/>
              <w:rPr>
                <w:rFonts w:ascii="宋体" w:hAnsi="宋体" w:cs="宋体" w:eastAsia="宋体" w:hint="default"/>
                <w:sz w:val="18"/>
                <w:szCs w:val="18"/>
              </w:rPr>
            </w:pPr>
            <w:r>
              <w:rPr>
                <w:rFonts w:ascii="宋体" w:hAnsi="宋体" w:cs="宋体" w:eastAsia="宋体" w:hint="default"/>
                <w:sz w:val="18"/>
                <w:szCs w:val="18"/>
              </w:rPr>
              <w:t>公司以朝阳爱康</w:t>
            </w:r>
            <w:r>
              <w:rPr>
                <w:rFonts w:ascii="Times New Roman" w:hAnsi="Times New Roman" w:cs="Times New Roman" w:eastAsia="Times New Roman" w:hint="default"/>
                <w:sz w:val="18"/>
                <w:szCs w:val="18"/>
              </w:rPr>
              <w:t>10MW</w:t>
            </w:r>
            <w:r>
              <w:rPr>
                <w:rFonts w:ascii="宋体" w:hAnsi="宋体" w:cs="宋体" w:eastAsia="宋体" w:hint="default"/>
                <w:sz w:val="18"/>
                <w:szCs w:val="18"/>
              </w:rPr>
              <w:t>电站设备做抵押并以其光伏并网发电项目电费收 费权作为质押，本公司以其持有的对朝阳爱康</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 行质押担保。</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both"/>
              <w:rPr>
                <w:rFonts w:ascii="宋体" w:hAnsi="宋体" w:cs="宋体" w:eastAsia="宋体" w:hint="default"/>
                <w:sz w:val="18"/>
                <w:szCs w:val="18"/>
              </w:rPr>
            </w:pPr>
            <w:r>
              <w:rPr>
                <w:rFonts w:ascii="宋体" w:hAnsi="宋体" w:cs="宋体" w:eastAsia="宋体" w:hint="default"/>
                <w:sz w:val="18"/>
                <w:szCs w:val="18"/>
              </w:rPr>
              <w:t>苏州金融 租赁股份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2016-7-20</w:t>
            </w:r>
            <w:r>
              <w:rPr>
                <w:rFonts w:ascii="宋体" w:hAnsi="宋体" w:cs="宋体" w:eastAsia="宋体" w:hint="default"/>
                <w:sz w:val="18"/>
                <w:szCs w:val="18"/>
              </w:rPr>
              <w:t>至</w:t>
            </w:r>
          </w:p>
          <w:p>
            <w:pPr>
              <w:pStyle w:val="TableParagraph"/>
              <w:spacing w:line="240" w:lineRule="auto" w:before="102"/>
              <w:ind w:left="175" w:right="0"/>
              <w:jc w:val="left"/>
              <w:rPr>
                <w:rFonts w:ascii="Times New Roman" w:hAnsi="Times New Roman" w:cs="Times New Roman" w:eastAsia="Times New Roman" w:hint="default"/>
                <w:sz w:val="18"/>
                <w:szCs w:val="18"/>
              </w:rPr>
            </w:pPr>
            <w:r>
              <w:rPr>
                <w:rFonts w:ascii="Times New Roman"/>
                <w:sz w:val="18"/>
              </w:rPr>
              <w:t>2022-4-20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光伏电站的收益权和苏州中康持有的大安爱康</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的股权作为质押担保</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永赢金融 租赁有限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5.36</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2016-5-6</w:t>
            </w:r>
            <w:r>
              <w:rPr>
                <w:rFonts w:ascii="宋体" w:hAnsi="宋体" w:cs="宋体" w:eastAsia="宋体" w:hint="default"/>
                <w:sz w:val="18"/>
                <w:szCs w:val="18"/>
              </w:rPr>
              <w:t>至</w:t>
            </w:r>
          </w:p>
          <w:p>
            <w:pPr>
              <w:pStyle w:val="TableParagraph"/>
              <w:spacing w:line="240" w:lineRule="auto" w:before="102"/>
              <w:ind w:left="219" w:right="0"/>
              <w:jc w:val="left"/>
              <w:rPr>
                <w:rFonts w:ascii="Times New Roman" w:hAnsi="Times New Roman" w:cs="Times New Roman" w:eastAsia="Times New Roman" w:hint="default"/>
                <w:sz w:val="18"/>
                <w:szCs w:val="18"/>
              </w:rPr>
            </w:pPr>
            <w:r>
              <w:rPr>
                <w:rFonts w:ascii="Times New Roman"/>
                <w:sz w:val="18"/>
              </w:rPr>
              <w:t>2021-5-6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公司以其持有的对禄劝爱康的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的股权作为质押物进行质押担保。</w:t>
            </w:r>
          </w:p>
        </w:tc>
      </w:tr>
      <w:tr>
        <w:trPr>
          <w:trHeight w:val="1278"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中广核国 际融资租 赁有限公 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36,000.00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浮动</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2015-11-10</w:t>
            </w:r>
            <w:r>
              <w:rPr>
                <w:rFonts w:ascii="宋体" w:hAnsi="宋体" w:cs="宋体" w:eastAsia="宋体" w:hint="default"/>
                <w:sz w:val="18"/>
                <w:szCs w:val="18"/>
              </w:rPr>
              <w:t>至</w:t>
            </w:r>
          </w:p>
          <w:p>
            <w:pPr>
              <w:pStyle w:val="TableParagraph"/>
              <w:spacing w:line="240" w:lineRule="auto" w:before="103"/>
              <w:ind w:left="129" w:right="0"/>
              <w:jc w:val="left"/>
              <w:rPr>
                <w:rFonts w:ascii="Times New Roman" w:hAnsi="Times New Roman" w:cs="Times New Roman" w:eastAsia="Times New Roman" w:hint="default"/>
                <w:sz w:val="18"/>
                <w:szCs w:val="18"/>
              </w:rPr>
            </w:pPr>
            <w:r>
              <w:rPr>
                <w:rFonts w:ascii="Times New Roman"/>
                <w:sz w:val="18"/>
              </w:rPr>
              <w:t>2024-11-10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6"/>
              <w:ind w:left="225" w:right="45" w:hanging="180"/>
              <w:jc w:val="left"/>
              <w:rPr>
                <w:rFonts w:ascii="宋体" w:hAnsi="宋体" w:cs="宋体" w:eastAsia="宋体" w:hint="default"/>
                <w:sz w:val="18"/>
                <w:szCs w:val="18"/>
              </w:rPr>
            </w:pPr>
            <w:r>
              <w:rPr>
                <w:rFonts w:ascii="宋体" w:hAnsi="宋体" w:cs="宋体" w:eastAsia="宋体" w:hint="default"/>
                <w:sz w:val="18"/>
                <w:szCs w:val="18"/>
              </w:rPr>
              <w:t>分季还本 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4" w:right="4" w:hanging="1"/>
              <w:jc w:val="center"/>
              <w:rPr>
                <w:rFonts w:ascii="宋体" w:hAnsi="宋体" w:cs="宋体" w:eastAsia="宋体" w:hint="default"/>
                <w:sz w:val="18"/>
                <w:szCs w:val="18"/>
              </w:rPr>
            </w:pPr>
            <w:r>
              <w:rPr>
                <w:rFonts w:ascii="宋体" w:hAnsi="宋体" w:cs="宋体" w:eastAsia="宋体" w:hint="default"/>
                <w:sz w:val="18"/>
                <w:szCs w:val="18"/>
              </w:rPr>
              <w:t>本公司和九州方园新能源股份有限公司以其持有的对九州方园博乐市新 能源有限公司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的股权质押给中广核国际租赁有限公司，公司以九州 </w:t>
            </w:r>
            <w:r>
              <w:rPr>
                <w:rFonts w:ascii="宋体" w:hAnsi="宋体" w:cs="宋体" w:eastAsia="宋体" w:hint="default"/>
                <w:spacing w:val="-3"/>
                <w:sz w:val="18"/>
                <w:szCs w:val="18"/>
              </w:rPr>
              <w:t>方园博乐六期</w:t>
            </w:r>
            <w:r>
              <w:rPr>
                <w:rFonts w:ascii="Times New Roman" w:hAnsi="Times New Roman" w:cs="Times New Roman" w:eastAsia="Times New Roman" w:hint="default"/>
                <w:spacing w:val="-3"/>
                <w:sz w:val="18"/>
                <w:szCs w:val="18"/>
              </w:rPr>
              <w:t>60MW</w:t>
            </w:r>
            <w:r>
              <w:rPr>
                <w:rFonts w:ascii="宋体" w:hAnsi="宋体" w:cs="宋体" w:eastAsia="宋体" w:hint="default"/>
                <w:spacing w:val="-3"/>
                <w:sz w:val="18"/>
                <w:szCs w:val="18"/>
              </w:rPr>
              <w:t>光伏电站电费收益权作为质押。本项拟提前还款，已</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签订补充协议。</w:t>
            </w:r>
          </w:p>
        </w:tc>
      </w:tr>
      <w:tr>
        <w:trPr>
          <w:trHeight w:val="65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left"/>
              <w:rPr>
                <w:rFonts w:ascii="宋体" w:hAnsi="宋体" w:cs="宋体" w:eastAsia="宋体" w:hint="default"/>
                <w:sz w:val="18"/>
                <w:szCs w:val="18"/>
              </w:rPr>
            </w:pPr>
            <w:r>
              <w:rPr>
                <w:rFonts w:ascii="宋体" w:hAnsi="宋体" w:cs="宋体" w:eastAsia="宋体" w:hint="default"/>
                <w:sz w:val="18"/>
                <w:szCs w:val="18"/>
              </w:rPr>
              <w:t>中建投租 赁有限责</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4.9875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2016-5-9</w:t>
            </w:r>
            <w:r>
              <w:rPr>
                <w:rFonts w:ascii="宋体" w:hAnsi="宋体" w:cs="宋体" w:eastAsia="宋体" w:hint="default"/>
                <w:sz w:val="18"/>
                <w:szCs w:val="18"/>
              </w:rPr>
              <w:t>至</w:t>
            </w:r>
          </w:p>
          <w:p>
            <w:pPr>
              <w:pStyle w:val="TableParagraph"/>
              <w:spacing w:line="240" w:lineRule="auto" w:before="102"/>
              <w:ind w:left="219" w:right="0"/>
              <w:jc w:val="left"/>
              <w:rPr>
                <w:rFonts w:ascii="Times New Roman" w:hAnsi="Times New Roman" w:cs="Times New Roman" w:eastAsia="Times New Roman" w:hint="default"/>
                <w:sz w:val="18"/>
                <w:szCs w:val="18"/>
              </w:rPr>
            </w:pPr>
            <w:r>
              <w:rPr>
                <w:rFonts w:ascii="Times New Roman"/>
                <w:sz w:val="18"/>
              </w:rPr>
              <w:t>2021-5-9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25" w:right="45" w:hanging="180"/>
              <w:jc w:val="left"/>
              <w:rPr>
                <w:rFonts w:ascii="宋体" w:hAnsi="宋体" w:cs="宋体" w:eastAsia="宋体" w:hint="default"/>
                <w:sz w:val="18"/>
                <w:szCs w:val="18"/>
              </w:rPr>
            </w:pPr>
            <w:r>
              <w:rPr>
                <w:rFonts w:ascii="宋体" w:hAnsi="宋体" w:cs="宋体" w:eastAsia="宋体" w:hint="default"/>
                <w:sz w:val="18"/>
                <w:szCs w:val="18"/>
              </w:rPr>
              <w:t>分季还本 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1" w:right="17" w:hanging="46"/>
              <w:jc w:val="left"/>
              <w:rPr>
                <w:rFonts w:ascii="宋体" w:hAnsi="宋体" w:cs="宋体" w:eastAsia="宋体" w:hint="default"/>
                <w:sz w:val="18"/>
                <w:szCs w:val="18"/>
              </w:rPr>
            </w:pPr>
            <w:r>
              <w:rPr>
                <w:rFonts w:ascii="宋体" w:hAnsi="宋体" w:cs="宋体" w:eastAsia="宋体" w:hint="default"/>
                <w:sz w:val="18"/>
                <w:szCs w:val="18"/>
              </w:rPr>
              <w:t>公司以其持有的宿州恒康新能源有限公司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的股权作为质押，公司以 宿州恒康新能源一期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光伏电站设备做抵押并以其电费收费权作为</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39" w:type="dxa"/>
        <w:tblLayout w:type="fixed"/>
        <w:tblCellMar>
          <w:top w:w="0" w:type="dxa"/>
          <w:left w:w="0" w:type="dxa"/>
          <w:bottom w:w="0" w:type="dxa"/>
          <w:right w:w="0" w:type="dxa"/>
        </w:tblCellMar>
        <w:tblLook w:val="01E0"/>
      </w:tblPr>
      <w:tblGrid>
        <w:gridCol w:w="772"/>
        <w:gridCol w:w="740"/>
        <w:gridCol w:w="530"/>
        <w:gridCol w:w="1111"/>
        <w:gridCol w:w="821"/>
        <w:gridCol w:w="5684"/>
      </w:tblGrid>
      <w:tr>
        <w:trPr>
          <w:trHeight w:val="342"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10"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740"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821" w:type="dxa"/>
            <w:tcBorders>
              <w:top w:val="single" w:sz="4" w:space="0" w:color="000000"/>
              <w:left w:val="single" w:sz="4" w:space="0" w:color="000000"/>
              <w:bottom w:val="single" w:sz="4" w:space="0" w:color="000000"/>
              <w:right w:val="single" w:sz="4" w:space="0" w:color="000000"/>
            </w:tcBorders>
          </w:tcPr>
          <w:p>
            <w:pP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质押。</w:t>
            </w:r>
          </w:p>
        </w:tc>
      </w:tr>
      <w:tr>
        <w:trPr>
          <w:trHeight w:val="654"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left"/>
              <w:rPr>
                <w:rFonts w:ascii="宋体" w:hAnsi="宋体" w:cs="宋体" w:eastAsia="宋体" w:hint="default"/>
                <w:sz w:val="18"/>
                <w:szCs w:val="18"/>
              </w:rPr>
            </w:pPr>
            <w:r>
              <w:rPr>
                <w:rFonts w:ascii="宋体" w:hAnsi="宋体" w:cs="宋体" w:eastAsia="宋体" w:hint="default"/>
                <w:sz w:val="18"/>
                <w:szCs w:val="18"/>
              </w:rPr>
              <w:t>华润租赁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5,530.68</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4.90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2016-12-29</w:t>
            </w:r>
            <w:r>
              <w:rPr>
                <w:rFonts w:ascii="宋体" w:hAnsi="宋体" w:cs="宋体" w:eastAsia="宋体" w:hint="default"/>
                <w:sz w:val="18"/>
                <w:szCs w:val="18"/>
              </w:rPr>
              <w:t>至</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2026-12-29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1395" w:right="30" w:hanging="1365"/>
              <w:jc w:val="left"/>
              <w:rPr>
                <w:rFonts w:ascii="宋体" w:hAnsi="宋体" w:cs="宋体" w:eastAsia="宋体" w:hint="default"/>
                <w:sz w:val="18"/>
                <w:szCs w:val="18"/>
              </w:rPr>
            </w:pPr>
            <w:r>
              <w:rPr>
                <w:rFonts w:ascii="宋体" w:hAnsi="宋体" w:cs="宋体" w:eastAsia="宋体" w:hint="default"/>
                <w:sz w:val="18"/>
                <w:szCs w:val="18"/>
              </w:rPr>
              <w:t>质押担保物为明光爱康</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股权，公司以明光爱康</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 做抵押并以其电费收费权作为质押。</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0" w:right="21"/>
              <w:jc w:val="both"/>
              <w:rPr>
                <w:rFonts w:ascii="宋体" w:hAnsi="宋体" w:cs="宋体" w:eastAsia="宋体" w:hint="default"/>
                <w:sz w:val="18"/>
                <w:szCs w:val="18"/>
              </w:rPr>
            </w:pPr>
            <w:r>
              <w:rPr>
                <w:rFonts w:ascii="宋体" w:hAnsi="宋体" w:cs="宋体" w:eastAsia="宋体" w:hint="default"/>
                <w:sz w:val="18"/>
                <w:szCs w:val="18"/>
              </w:rPr>
              <w:t>华融金融 租赁股份 有限公司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49" w:right="0"/>
              <w:jc w:val="left"/>
              <w:rPr>
                <w:rFonts w:ascii="Times New Roman" w:hAnsi="Times New Roman" w:cs="Times New Roman" w:eastAsia="Times New Roman" w:hint="default"/>
                <w:sz w:val="18"/>
                <w:szCs w:val="18"/>
              </w:rPr>
            </w:pPr>
            <w:r>
              <w:rPr>
                <w:rFonts w:ascii="Times New Roman"/>
                <w:sz w:val="18"/>
              </w:rPr>
              <w:t>4,368.60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5.28</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2016-10-10</w:t>
            </w:r>
            <w:r>
              <w:rPr>
                <w:rFonts w:ascii="宋体" w:hAnsi="宋体" w:cs="宋体" w:eastAsia="宋体" w:hint="default"/>
                <w:sz w:val="18"/>
                <w:szCs w:val="18"/>
              </w:rPr>
              <w:t>至</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2018-7-10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0" w:lineRule="auto"/>
              <w:ind w:left="2745" w:right="4" w:hanging="2741"/>
              <w:jc w:val="left"/>
              <w:rPr>
                <w:rFonts w:ascii="宋体" w:hAnsi="宋体" w:cs="宋体" w:eastAsia="宋体" w:hint="default"/>
                <w:sz w:val="18"/>
                <w:szCs w:val="18"/>
              </w:rPr>
            </w:pPr>
            <w:r>
              <w:rPr>
                <w:rFonts w:ascii="宋体" w:hAnsi="宋体" w:cs="宋体" w:eastAsia="宋体" w:hint="default"/>
                <w:spacing w:val="-2"/>
                <w:sz w:val="18"/>
                <w:szCs w:val="18"/>
              </w:rPr>
              <w:t>公司以持有莒南鑫</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万做质押，以莒南鑫</w:t>
            </w:r>
            <w:r>
              <w:rPr>
                <w:rFonts w:ascii="Times New Roman" w:hAnsi="Times New Roman" w:cs="Times New Roman" w:eastAsia="Times New Roman" w:hint="default"/>
                <w:spacing w:val="-2"/>
                <w:sz w:val="18"/>
                <w:szCs w:val="18"/>
              </w:rPr>
              <w:t>10MW</w:t>
            </w:r>
            <w:r>
              <w:rPr>
                <w:rFonts w:ascii="宋体" w:hAnsi="宋体" w:cs="宋体" w:eastAsia="宋体" w:hint="default"/>
                <w:spacing w:val="-2"/>
                <w:sz w:val="18"/>
                <w:szCs w:val="18"/>
              </w:rPr>
              <w:t>电站设备做抵</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押</w:t>
            </w:r>
          </w:p>
        </w:tc>
      </w:tr>
      <w:tr>
        <w:trPr>
          <w:trHeight w:val="966" w:hRule="exact"/>
        </w:trPr>
        <w:tc>
          <w:tcPr>
            <w:tcW w:w="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0" w:right="21"/>
              <w:jc w:val="center"/>
              <w:rPr>
                <w:rFonts w:ascii="宋体" w:hAnsi="宋体" w:cs="宋体" w:eastAsia="宋体" w:hint="default"/>
                <w:sz w:val="18"/>
                <w:szCs w:val="18"/>
              </w:rPr>
            </w:pPr>
            <w:r>
              <w:rPr>
                <w:rFonts w:ascii="宋体" w:hAnsi="宋体" w:cs="宋体" w:eastAsia="宋体" w:hint="default"/>
                <w:sz w:val="18"/>
                <w:szCs w:val="18"/>
              </w:rPr>
              <w:t>华夏金融 租赁有限 公司</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4" w:right="0"/>
              <w:jc w:val="left"/>
              <w:rPr>
                <w:rFonts w:ascii="Times New Roman" w:hAnsi="Times New Roman" w:cs="Times New Roman" w:eastAsia="Times New Roman" w:hint="default"/>
                <w:sz w:val="18"/>
                <w:szCs w:val="18"/>
              </w:rPr>
            </w:pPr>
            <w:r>
              <w:rPr>
                <w:rFonts w:ascii="Times New Roman"/>
                <w:sz w:val="18"/>
              </w:rPr>
              <w:t>12,000.00</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6.125</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2017-12-22</w:t>
            </w:r>
            <w:r>
              <w:rPr>
                <w:rFonts w:ascii="宋体" w:hAnsi="宋体" w:cs="宋体" w:eastAsia="宋体" w:hint="default"/>
                <w:sz w:val="18"/>
                <w:szCs w:val="18"/>
              </w:rPr>
              <w:t>至</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2027-12-22</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135" w:right="45" w:hanging="90"/>
              <w:jc w:val="left"/>
              <w:rPr>
                <w:rFonts w:ascii="宋体" w:hAnsi="宋体" w:cs="宋体" w:eastAsia="宋体" w:hint="default"/>
                <w:sz w:val="18"/>
                <w:szCs w:val="18"/>
              </w:rPr>
            </w:pPr>
            <w:r>
              <w:rPr>
                <w:rFonts w:ascii="宋体" w:hAnsi="宋体" w:cs="宋体" w:eastAsia="宋体" w:hint="default"/>
                <w:sz w:val="18"/>
                <w:szCs w:val="18"/>
              </w:rPr>
              <w:t>分季度还 本付息</w:t>
            </w:r>
          </w:p>
        </w:tc>
        <w:tc>
          <w:tcPr>
            <w:tcW w:w="5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00" w:lineRule="auto"/>
              <w:ind w:left="225" w:right="30" w:hanging="195"/>
              <w:jc w:val="left"/>
              <w:rPr>
                <w:rFonts w:ascii="宋体" w:hAnsi="宋体" w:cs="宋体" w:eastAsia="宋体" w:hint="default"/>
                <w:sz w:val="18"/>
                <w:szCs w:val="18"/>
              </w:rPr>
            </w:pPr>
            <w:r>
              <w:rPr>
                <w:rFonts w:ascii="宋体" w:hAnsi="宋体" w:cs="宋体" w:eastAsia="宋体" w:hint="default"/>
                <w:sz w:val="18"/>
                <w:szCs w:val="18"/>
              </w:rPr>
              <w:t>公司以持有的四子王旗神光</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股权做质押，以四子王旗</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电站相 关电费收费权及基于电费收费权产生的应收账款及相关权益质押。</w:t>
            </w:r>
          </w:p>
        </w:tc>
      </w:tr>
    </w:tbl>
    <w:p>
      <w:pPr>
        <w:pStyle w:val="BodyText"/>
        <w:spacing w:line="240" w:lineRule="auto" w:before="51"/>
        <w:ind w:left="154" w:right="1122"/>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22"/>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1）担保情况" w:id="93"/>
      <w:bookmarkEnd w:id="93"/>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40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9"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08"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苏州爱康薄膜新材料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2,627.78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苏州爱康薄膜新材料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4,999.5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江苏爱康实业集团有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30"/>
        <w:gridCol w:w="920"/>
        <w:gridCol w:w="1296"/>
        <w:gridCol w:w="1063"/>
        <w:gridCol w:w="1034"/>
        <w:gridCol w:w="1053"/>
        <w:gridCol w:w="788"/>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2,275.83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苏州爱康能源工程技 术有限公司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829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汤阴爱康能源电力有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宁阳腾源新能源有限 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3,392.35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五河县爱康新能源有 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3,016.29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寻乌爱康新能源科技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海城爱康电力有限公 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崇仁县爱康新能源科 技有限公司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上海爱康富罗纳融资 租赁有限公司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江西慧谷供应链管理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江西慧谷供应链管理 有限公司</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7"/>
        <w:gridCol w:w="923"/>
        <w:gridCol w:w="1296"/>
        <w:gridCol w:w="1063"/>
        <w:gridCol w:w="1034"/>
        <w:gridCol w:w="1049"/>
        <w:gridCol w:w="792"/>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江西慧谷供应链管理 有限公司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赣州发展融资租赁有 限责任公司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江阴东华铝材科技有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江阴科玛金属制品有 限公司</w:t>
            </w:r>
          </w:p>
        </w:tc>
        <w:tc>
          <w:tcPr>
            <w:tcW w:w="927" w:type="dxa"/>
            <w:tcBorders>
              <w:top w:val="single" w:sz="4" w:space="0" w:color="000000"/>
              <w:left w:val="single" w:sz="4" w:space="0" w:color="000000"/>
              <w:bottom w:val="single" w:sz="4" w:space="0" w:color="000000"/>
              <w:right w:val="single" w:sz="5"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358,000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251,400</w:t>
            </w:r>
          </w:p>
        </w:tc>
      </w:tr>
      <w:tr>
        <w:trPr>
          <w:trHeight w:val="719" w:hRule="exact"/>
        </w:trPr>
        <w:tc>
          <w:tcPr>
            <w:tcW w:w="263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358,000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264,740.75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9" w:type="dxa"/>
            <w:vMerge w:val="restart"/>
            <w:tcBorders>
              <w:top w:val="single" w:sz="4" w:space="0" w:color="000000"/>
              <w:left w:val="single" w:sz="4" w:space="0" w:color="000000"/>
              <w:right w:val="single" w:sz="4" w:space="0" w:color="000000"/>
            </w:tcBorders>
            <w:shd w:val="clear" w:color="auto" w:fill="D2D2D2"/>
          </w:tcPr>
          <w:p>
            <w:pPr/>
          </w:p>
        </w:tc>
        <w:tc>
          <w:tcPr>
            <w:tcW w:w="92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96" w:right="99"/>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vMerge w:val="restart"/>
            <w:tcBorders>
              <w:top w:val="single" w:sz="4" w:space="0" w:color="000000"/>
              <w:left w:val="single" w:sz="4" w:space="0" w:color="000000"/>
              <w:right w:val="single" w:sz="4" w:space="0" w:color="FFFFFF"/>
            </w:tcBorders>
            <w:shd w:val="clear" w:color="auto" w:fill="D2D2D2"/>
          </w:tcPr>
          <w:p>
            <w:pPr/>
          </w:p>
        </w:tc>
        <w:tc>
          <w:tcPr>
            <w:tcW w:w="1296" w:type="dxa"/>
            <w:tcBorders>
              <w:top w:val="single" w:sz="4" w:space="0" w:color="000000"/>
              <w:left w:val="single" w:sz="4" w:space="0" w:color="FFFFFF"/>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49" w:type="dxa"/>
            <w:vMerge w:val="restart"/>
            <w:tcBorders>
              <w:top w:val="single" w:sz="4" w:space="0" w:color="000000"/>
              <w:left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9" w:type="dxa"/>
            <w:vMerge/>
            <w:tcBorders>
              <w:left w:val="single" w:sz="4" w:space="0" w:color="000000"/>
              <w:bottom w:val="nil" w:sz="6" w:space="0" w:color="auto"/>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tcBorders>
              <w:left w:val="single" w:sz="4" w:space="0" w:color="000000"/>
              <w:bottom w:val="nil" w:sz="6" w:space="0" w:color="auto"/>
              <w:right w:val="single" w:sz="4" w:space="0" w:color="FFFFFF"/>
            </w:tcBorders>
            <w:shd w:val="clear" w:color="auto" w:fill="D2D2D2"/>
          </w:tcPr>
          <w:p>
            <w:pPr/>
          </w:p>
        </w:tc>
        <w:tc>
          <w:tcPr>
            <w:tcW w:w="1296"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49" w:type="dxa"/>
            <w:vMerge/>
            <w:tcBorders>
              <w:left w:val="single" w:sz="4" w:space="0" w:color="000000"/>
              <w:bottom w:val="nil" w:sz="6" w:space="0" w:color="auto"/>
              <w:right w:val="single" w:sz="4" w:space="0" w:color="000000"/>
            </w:tcBorders>
            <w:shd w:val="clear" w:color="auto" w:fill="D2D2D2"/>
          </w:tcPr>
          <w:p>
            <w:pP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7" w:type="dxa"/>
            <w:vMerge/>
            <w:tcBorders>
              <w:left w:val="single" w:sz="4" w:space="0" w:color="000000"/>
              <w:right w:val="single" w:sz="4" w:space="0" w:color="000000"/>
            </w:tcBorders>
            <w:shd w:val="clear" w:color="auto" w:fill="D2D2D2"/>
          </w:tcPr>
          <w:p>
            <w:pPr/>
          </w:p>
        </w:tc>
        <w:tc>
          <w:tcPr>
            <w:tcW w:w="923" w:type="dxa"/>
            <w:tcBorders>
              <w:top w:val="nil" w:sz="6" w:space="0" w:color="auto"/>
              <w:left w:val="single" w:sz="4" w:space="0" w:color="000000"/>
              <w:bottom w:val="nil" w:sz="6" w:space="0" w:color="auto"/>
              <w:right w:val="single" w:sz="4" w:space="0" w:color="FFFFFF"/>
            </w:tcBorders>
            <w:shd w:val="clear" w:color="auto" w:fill="D2D2D2"/>
          </w:tcPr>
          <w:p>
            <w:pPr>
              <w:pStyle w:val="TableParagraph"/>
              <w:spacing w:line="240" w:lineRule="auto" w:before="51"/>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vMerge/>
            <w:tcBorders>
              <w:left w:val="single" w:sz="4" w:space="0" w:color="FFFFFF"/>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56" w:hRule="exact"/>
        </w:trPr>
        <w:tc>
          <w:tcPr>
            <w:tcW w:w="1709" w:type="dxa"/>
            <w:vMerge w:val="restart"/>
            <w:tcBorders>
              <w:top w:val="nil" w:sz="6" w:space="0" w:color="auto"/>
              <w:left w:val="single" w:sz="4" w:space="0" w:color="000000"/>
              <w:right w:val="single" w:sz="4" w:space="0" w:color="000000"/>
            </w:tcBorders>
            <w:shd w:val="clear" w:color="auto" w:fill="D2D2D2"/>
          </w:tcPr>
          <w:p>
            <w:pPr/>
          </w:p>
        </w:tc>
        <w:tc>
          <w:tcPr>
            <w:tcW w:w="927" w:type="dxa"/>
            <w:vMerge/>
            <w:tcBorders>
              <w:left w:val="single" w:sz="4" w:space="0" w:color="000000"/>
              <w:right w:val="single" w:sz="4" w:space="0" w:color="000000"/>
            </w:tcBorders>
            <w:shd w:val="clear" w:color="auto" w:fill="D2D2D2"/>
          </w:tcPr>
          <w:p>
            <w:pPr/>
          </w:p>
        </w:tc>
        <w:tc>
          <w:tcPr>
            <w:tcW w:w="923" w:type="dxa"/>
            <w:vMerge w:val="restart"/>
            <w:tcBorders>
              <w:top w:val="nil" w:sz="6" w:space="0" w:color="auto"/>
              <w:left w:val="single" w:sz="4" w:space="0" w:color="000000"/>
              <w:right w:val="single" w:sz="4" w:space="0" w:color="FFFFFF"/>
            </w:tcBorders>
            <w:shd w:val="clear" w:color="auto" w:fill="D2D2D2"/>
          </w:tcPr>
          <w:p>
            <w:pPr/>
          </w:p>
        </w:tc>
        <w:tc>
          <w:tcPr>
            <w:tcW w:w="1296" w:type="dxa"/>
            <w:vMerge/>
            <w:tcBorders>
              <w:left w:val="single" w:sz="4" w:space="0" w:color="FFFFFF"/>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49" w:type="dxa"/>
            <w:vMerge w:val="restart"/>
            <w:tcBorders>
              <w:top w:val="nil" w:sz="6" w:space="0" w:color="auto"/>
              <w:left w:val="single" w:sz="4" w:space="0" w:color="000000"/>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c>
          <w:tcPr>
            <w:tcW w:w="78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9" w:type="dxa"/>
            <w:vMerge/>
            <w:tcBorders>
              <w:left w:val="single" w:sz="4" w:space="0" w:color="000000"/>
              <w:bottom w:val="single" w:sz="4" w:space="0" w:color="000000"/>
              <w:right w:val="single" w:sz="4" w:space="0" w:color="000000"/>
            </w:tcBorders>
            <w:shd w:val="clear" w:color="auto" w:fill="D2D2D2"/>
          </w:tcPr>
          <w:p>
            <w:pPr/>
          </w:p>
        </w:tc>
        <w:tc>
          <w:tcPr>
            <w:tcW w:w="927" w:type="dxa"/>
            <w:vMerge/>
            <w:tcBorders>
              <w:left w:val="single" w:sz="4" w:space="0" w:color="000000"/>
              <w:bottom w:val="single" w:sz="4" w:space="0" w:color="000000"/>
              <w:right w:val="single" w:sz="4" w:space="0" w:color="000000"/>
            </w:tcBorders>
            <w:shd w:val="clear" w:color="auto" w:fill="D2D2D2"/>
          </w:tcPr>
          <w:p>
            <w:pPr/>
          </w:p>
        </w:tc>
        <w:tc>
          <w:tcPr>
            <w:tcW w:w="923" w:type="dxa"/>
            <w:vMerge/>
            <w:tcBorders>
              <w:left w:val="single" w:sz="4" w:space="0" w:color="000000"/>
              <w:bottom w:val="single" w:sz="4" w:space="0" w:color="000000"/>
              <w:right w:val="single" w:sz="4" w:space="0" w:color="FFFFFF"/>
            </w:tcBorders>
            <w:shd w:val="clear" w:color="auto" w:fill="D2D2D2"/>
          </w:tcPr>
          <w:p>
            <w:pPr/>
          </w:p>
        </w:tc>
        <w:tc>
          <w:tcPr>
            <w:tcW w:w="1296" w:type="dxa"/>
            <w:tcBorders>
              <w:top w:val="nil" w:sz="6" w:space="0" w:color="auto"/>
              <w:left w:val="single" w:sz="4" w:space="0" w:color="FFFFFF"/>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49"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南通爱康金属科技有 限公司</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3"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832.89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4,080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赣州爱康光电科技有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4,687.5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特克斯昱辉新能源有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新疆聚阳能源科技有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新疆聚阳能源科技有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孝义市太子可再生能 源科技有限公司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14,304.08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23"/>
        <w:gridCol w:w="928"/>
        <w:gridCol w:w="1296"/>
        <w:gridCol w:w="1063"/>
        <w:gridCol w:w="1034"/>
        <w:gridCol w:w="1046"/>
        <w:gridCol w:w="796"/>
        <w:gridCol w:w="780"/>
      </w:tblGrid>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新疆伊阳能源科技有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5,666.67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无棣爱康电力开发有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无棣爱康电力开发有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4,260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浙江瑞旭投资有限公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17,550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浙江瑞旭投资有限公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浙江瑞旭投资有限公 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朝阳爱康电力新能源 开发有限公司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3,718.03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禄劝县爱康能源电力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6,740.05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宿州恒康新能源有限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8,706.78</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九州方园博乐市新能 源有限公司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9,791.82</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九州方园博乐市新能 源有限公司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九州方园博乐市新能 源有限公司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20,698.43</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九州方园博州市新能 源有限公司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68,310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南召中机国能电力有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23,520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南召中机国能电力有 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14,119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凤庆县爱康电力有限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8,730.87</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凤庆县爱康电力有限 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6,920.59</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莒南鑫顺风光电科技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3,161.05</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4"/>
              <w:jc w:val="left"/>
              <w:rPr>
                <w:rFonts w:ascii="宋体" w:hAnsi="宋体" w:cs="宋体" w:eastAsia="宋体" w:hint="default"/>
                <w:sz w:val="18"/>
                <w:szCs w:val="18"/>
              </w:rPr>
            </w:pPr>
            <w:r>
              <w:rPr>
                <w:rFonts w:ascii="宋体" w:hAnsi="宋体" w:cs="宋体" w:eastAsia="宋体" w:hint="default"/>
                <w:sz w:val="18"/>
                <w:szCs w:val="18"/>
              </w:rPr>
              <w:t>大安市爱康新能源开 发有限公司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5,012.91</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15"/>
        <w:gridCol w:w="907"/>
        <w:gridCol w:w="935"/>
        <w:gridCol w:w="1299"/>
        <w:gridCol w:w="1048"/>
        <w:gridCol w:w="1046"/>
        <w:gridCol w:w="1055"/>
        <w:gridCol w:w="785"/>
        <w:gridCol w:w="785"/>
      </w:tblGrid>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金昌清能电力有限公 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48,500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明光爱康电力开发有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5,525.75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锦州中康电力开发有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9,496.74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丹阳中康电力开发有 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935.83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内蒙古四子王旗神光 能源发展有限公司</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850,000</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z w:val="18"/>
              </w:rPr>
              <w:t>12,000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38" w:right="96"/>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209,085.83</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850,000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531,099.01</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0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86" w:right="9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5" w:type="dxa"/>
            <w:vMerge w:val="restart"/>
            <w:tcBorders>
              <w:top w:val="single" w:sz="4" w:space="0" w:color="000000"/>
              <w:left w:val="single" w:sz="4" w:space="0" w:color="000000"/>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c>
          <w:tcPr>
            <w:tcW w:w="7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26" w:right="71"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5" w:type="dxa"/>
            <w:vMerge/>
            <w:tcBorders>
              <w:left w:val="single" w:sz="4" w:space="0" w:color="000000"/>
              <w:bottom w:val="nil" w:sz="6" w:space="0" w:color="auto"/>
              <w:right w:val="single" w:sz="4" w:space="0" w:color="000000"/>
            </w:tcBorders>
            <w:shd w:val="clear" w:color="auto" w:fill="D2D2D2"/>
          </w:tcPr>
          <w:p>
            <w:pP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01"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07" w:type="dxa"/>
            <w:vMerge/>
            <w:tcBorders>
              <w:left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07"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5" w:type="dxa"/>
            <w:vMerge w:val="restart"/>
            <w:tcBorders>
              <w:top w:val="nil" w:sz="6" w:space="0" w:color="auto"/>
              <w:left w:val="single" w:sz="4" w:space="0" w:color="000000"/>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c>
          <w:tcPr>
            <w:tcW w:w="785"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07"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5" w:type="dxa"/>
            <w:vMerge/>
            <w:tcBorders>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c>
          <w:tcPr>
            <w:tcW w:w="7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
              <w:jc w:val="right"/>
              <w:rPr>
                <w:rFonts w:ascii="Times New Roman" w:hAnsi="Times New Roman" w:cs="Times New Roman" w:eastAsia="Times New Roman" w:hint="default"/>
                <w:sz w:val="18"/>
                <w:szCs w:val="18"/>
              </w:rPr>
            </w:pPr>
            <w:r>
              <w:rPr>
                <w:rFonts w:ascii="Times New Roman"/>
                <w:sz w:val="18"/>
              </w:rPr>
              <w:t>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1,208,000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6"/>
              <w:ind w:left="22" w:right="79"/>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460,485.83</w:t>
            </w:r>
          </w:p>
        </w:tc>
      </w:tr>
      <w:tr>
        <w:trPr>
          <w:trHeight w:val="714" w:hRule="exact"/>
        </w:trPr>
        <w:tc>
          <w:tcPr>
            <w:tcW w:w="26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4"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1,208,000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795,839.76</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139.25%</w:t>
            </w:r>
          </w:p>
        </w:tc>
      </w:tr>
      <w:tr>
        <w:trPr>
          <w:trHeight w:val="392" w:hRule="exact"/>
        </w:trPr>
        <w:tc>
          <w:tcPr>
            <w:tcW w:w="9575"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230,440.75</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513,848.27</w:t>
            </w:r>
          </w:p>
        </w:tc>
      </w:tr>
    </w:tbl>
    <w:p>
      <w:pPr>
        <w:pStyle w:val="BodyText"/>
        <w:spacing w:line="240" w:lineRule="auto" w:before="51"/>
        <w:ind w:left="154" w:right="1122"/>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2）违规对外担保情况" w:id="94"/>
      <w:bookmarkEnd w:id="94"/>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公司报告期无违规对外担保情况。</w:t>
      </w:r>
    </w:p>
    <w:p>
      <w:pPr>
        <w:spacing w:after="0" w:line="338"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3、委托他人进行现金资产管理情况" w:id="95"/>
      <w:bookmarkEnd w:id="95"/>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委托理财情况" w:id="96"/>
      <w:bookmarkEnd w:id="96"/>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2）委托贷款情况" w:id="97"/>
      <w:bookmarkEnd w:id="97"/>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bookmarkStart w:name="4、其他重大合同" w:id="98"/>
      <w:bookmarkEnd w:id="98"/>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八、社会责任情况" w:id="99"/>
      <w:bookmarkEnd w:id="99"/>
      <w:r>
        <w:rPr>
          <w:b w:val="0"/>
          <w:bCs w:val="0"/>
        </w:rPr>
      </w: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履行社会责任情况" w:id="100"/>
      <w:bookmarkEnd w:id="100"/>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3" w:firstLine="420"/>
        <w:jc w:val="both"/>
      </w:pPr>
      <w:r>
        <w:rPr/>
        <w:t>报告期内，公司积极承担社会责任，履行企业公民应尽的义务，建立健全法人治理结构、规范企业运作，保障股东权 </w:t>
      </w:r>
      <w:r>
        <w:rPr>
          <w:spacing w:val="-2"/>
        </w:rPr>
        <w:t>益，坚持做到经济效益、社会效益并重。公司在不断为股东创造价值的同时，充分尊重和维护相关利益者的合法权益，积极</w:t>
      </w:r>
      <w:r>
        <w:rPr>
          <w:spacing w:val="-66"/>
        </w:rPr>
        <w:t> </w:t>
      </w:r>
      <w:r>
        <w:rPr>
          <w:spacing w:val="-66"/>
        </w:rPr>
      </w:r>
      <w:r>
        <w:rPr/>
        <w:t>承担股东、员工、社会等各方利益相关者的责任，共同推动公司持续、稳定、健康的发展。</w:t>
      </w:r>
    </w:p>
    <w:p>
      <w:pPr>
        <w:pStyle w:val="BodyText"/>
        <w:spacing w:line="300" w:lineRule="auto" w:before="17"/>
        <w:ind w:left="574" w:right="1122"/>
        <w:jc w:val="left"/>
      </w:pPr>
      <w:r>
        <w:rPr>
          <w:rFonts w:ascii="Times New Roman" w:hAnsi="Times New Roman" w:cs="Times New Roman" w:eastAsia="Times New Roman" w:hint="default"/>
        </w:rPr>
        <w:t>1</w:t>
      </w:r>
      <w:r>
        <w:rPr/>
        <w:t>、股东 公司建立了较为完善的公司治理结构，制订了完整的内控制度，形成了以股东大会、董事会、监事会及管理层为主体</w:t>
      </w:r>
    </w:p>
    <w:p>
      <w:pPr>
        <w:pStyle w:val="BodyText"/>
        <w:spacing w:line="316" w:lineRule="auto" w:before="31"/>
        <w:ind w:right="1131"/>
        <w:jc w:val="both"/>
      </w:pPr>
      <w:r>
        <w:rPr/>
        <w:t>结构的决策与经营体系，切实保障全体股东及债权人的权益。严格按照相关法律法规的要 求，及时、真实、准确、完整地</w:t>
      </w:r>
      <w:r>
        <w:rPr>
          <w:spacing w:val="-87"/>
        </w:rPr>
        <w:t> </w:t>
      </w:r>
      <w:r>
        <w:rPr>
          <w:spacing w:val="-87"/>
        </w:rPr>
      </w:r>
      <w:r>
        <w:rPr>
          <w:spacing w:val="-2"/>
        </w:rPr>
        <w:t>进行信息披露，确保公司所有股东能够以平等的机会获得公司信息，保障全体股东的合法权益。公司通过现场接待、网上业</w:t>
      </w:r>
      <w:r>
        <w:rPr>
          <w:spacing w:val="-66"/>
        </w:rPr>
        <w:t> </w:t>
      </w:r>
      <w:r>
        <w:rPr>
          <w:spacing w:val="-66"/>
        </w:rPr>
      </w:r>
      <w:r>
        <w:rPr>
          <w:spacing w:val="-2"/>
        </w:rPr>
        <w:t>绩说明会、电话、传真、邮件和投资者关系互动平台等多种方式与投资者进行沟通交流，提高了公司的透明度和诚信度。在</w:t>
      </w:r>
      <w:r>
        <w:rPr>
          <w:spacing w:val="-66"/>
        </w:rPr>
        <w:t> </w:t>
      </w:r>
      <w:r>
        <w:rPr>
          <w:spacing w:val="-66"/>
        </w:rPr>
      </w:r>
      <w:r>
        <w:rPr/>
        <w:t>正常经营和持续发展的前提下，公司采取积极方式回报投资者。</w:t>
      </w:r>
    </w:p>
    <w:p>
      <w:pPr>
        <w:pStyle w:val="BodyText"/>
        <w:spacing w:line="300" w:lineRule="auto" w:before="19"/>
        <w:ind w:left="574" w:right="1122"/>
        <w:jc w:val="left"/>
      </w:pPr>
      <w:r>
        <w:rPr>
          <w:rFonts w:ascii="Times New Roman" w:hAnsi="Times New Roman" w:cs="Times New Roman" w:eastAsia="Times New Roman" w:hint="default"/>
        </w:rPr>
        <w:t>2</w:t>
      </w:r>
      <w:r>
        <w:rPr/>
        <w:t>、员工 公司始终坚持以人为本的核心价值观，关心员工的工作、生活、健康、安全，切实保护员工的各项权益，提升企业的</w:t>
      </w:r>
    </w:p>
    <w:p>
      <w:pPr>
        <w:pStyle w:val="BodyText"/>
        <w:spacing w:line="316" w:lineRule="auto" w:before="31"/>
        <w:ind w:left="154" w:right="0"/>
        <w:jc w:val="left"/>
      </w:pPr>
      <w:r>
        <w:rPr>
          <w:spacing w:val="-2"/>
        </w:rPr>
        <w:t>凝聚力，实现员工与企业的共同成长。公司按照《中华人民共和国劳动合同法》和有关劳动法律法规的规定，严格执行国家</w:t>
      </w:r>
      <w:r>
        <w:rPr>
          <w:spacing w:val="-66"/>
        </w:rPr>
        <w:t> </w:t>
      </w:r>
      <w:r>
        <w:rPr>
          <w:spacing w:val="-66"/>
        </w:rPr>
      </w:r>
      <w:r>
        <w:rPr>
          <w:spacing w:val="-4"/>
        </w:rPr>
        <w:t>用工制度、劳动保护制度、社会保障制度和医疗保障制度，按照国家及主管部门的规定、要求，为企业员工缴纳医疗保险金、</w:t>
      </w:r>
      <w:r>
        <w:rPr>
          <w:spacing w:val="-44"/>
        </w:rPr>
        <w:t> </w:t>
      </w:r>
      <w:r>
        <w:rPr>
          <w:spacing w:val="-44"/>
        </w:rPr>
      </w:r>
      <w:r>
        <w:rPr>
          <w:spacing w:val="-2"/>
        </w:rPr>
        <w:t>养老保险金、失业保险金、工伤保险金、生育保险金和住房公积金，同时安排全员健康体检。公司建立了较为完善的培训体</w:t>
      </w:r>
      <w:r>
        <w:rPr>
          <w:spacing w:val="-66"/>
        </w:rPr>
        <w:t> </w:t>
      </w:r>
      <w:r>
        <w:rPr>
          <w:spacing w:val="-66"/>
        </w:rPr>
      </w:r>
      <w:r>
        <w:rPr>
          <w:spacing w:val="-2"/>
        </w:rPr>
        <w:t>系，不定期组织员工进行培训学习，同时成立各类文化社团和义工组织，定期组织活动，丰富了员工的生活，增强了公司凝</w:t>
      </w:r>
      <w:r>
        <w:rPr>
          <w:spacing w:val="-66"/>
        </w:rPr>
        <w:t> </w:t>
      </w:r>
      <w:r>
        <w:rPr>
          <w:spacing w:val="-66"/>
        </w:rPr>
      </w:r>
      <w:r>
        <w:rPr/>
        <w:t>聚力和向心力。</w:t>
      </w:r>
    </w:p>
    <w:p>
      <w:pPr>
        <w:pStyle w:val="BodyText"/>
        <w:spacing w:line="300" w:lineRule="auto" w:before="19"/>
        <w:ind w:left="574" w:right="1122"/>
        <w:jc w:val="left"/>
      </w:pPr>
      <w:r>
        <w:rPr>
          <w:rFonts w:ascii="Times New Roman" w:hAnsi="Times New Roman" w:cs="Times New Roman" w:eastAsia="Times New Roman" w:hint="default"/>
        </w:rPr>
        <w:t>3</w:t>
      </w:r>
      <w:r>
        <w:rPr/>
        <w:t>、供应商、客户 公司坚持诚信守法的经营理念，严格规范经营运作，遵守相关合同及制度，充分维护供应商和客户的合法权益，与供</w:t>
      </w:r>
    </w:p>
    <w:p>
      <w:pPr>
        <w:pStyle w:val="BodyText"/>
        <w:spacing w:line="319" w:lineRule="auto" w:before="31"/>
        <w:ind w:left="154" w:right="1130"/>
        <w:jc w:val="both"/>
      </w:pPr>
      <w:r>
        <w:rPr>
          <w:spacing w:val="-2"/>
        </w:rPr>
        <w:t>应商和客户建立良好关系，为客户提供合格产品，完善售后服务，实现共赢。公司充分尊重供应商、客户和银行等其他利益</w:t>
      </w:r>
      <w:r>
        <w:rPr>
          <w:spacing w:val="-66"/>
        </w:rPr>
        <w:t> </w:t>
      </w:r>
      <w:r>
        <w:rPr>
          <w:spacing w:val="-66"/>
        </w:rPr>
      </w:r>
      <w:r>
        <w:rPr>
          <w:spacing w:val="-2"/>
        </w:rPr>
        <w:t>相关者的合法权益，在经济活动中秉承诚实守信、公平公正的原则，树立良好的企业形象，促进公司能够平稳持续地健康发</w:t>
      </w:r>
      <w:r>
        <w:rPr>
          <w:spacing w:val="-66"/>
        </w:rPr>
        <w:t> </w:t>
      </w:r>
      <w:r>
        <w:rPr>
          <w:spacing w:val="-66"/>
        </w:rPr>
      </w:r>
      <w:r>
        <w:rPr>
          <w:spacing w:val="-2"/>
        </w:rPr>
        <w:t>展。公司在重大项目的采购过程中，采用招标模式，与供应商、建设商均签署廉洁协议，严格防控项目建设过程中的腐败行</w:t>
      </w:r>
      <w:r>
        <w:rPr>
          <w:spacing w:val="-66"/>
        </w:rPr>
        <w:t> </w:t>
      </w:r>
      <w:r>
        <w:rPr>
          <w:spacing w:val="-66"/>
        </w:rPr>
      </w:r>
      <w:r>
        <w:rPr>
          <w:spacing w:val="-2"/>
        </w:rPr>
        <w:t>为；公司立足为客户创造价值，紧紧围绕客户建设、运营、维护业务全过程的需求和困难，从解决方案入手，满足客户的需</w:t>
      </w:r>
      <w:r>
        <w:rPr>
          <w:spacing w:val="-68"/>
        </w:rPr>
        <w:t> </w:t>
      </w:r>
      <w:r>
        <w:rPr>
          <w:spacing w:val="-68"/>
        </w:rPr>
      </w:r>
      <w:r>
        <w:rPr>
          <w:spacing w:val="-2"/>
        </w:rPr>
        <w:t>求；公司商业信用良好，银行资信状况良好，与各大银行均保持良好的合作，不存在重大违法违规或不诚信行为。公司为客</w:t>
      </w:r>
    </w:p>
    <w:p>
      <w:pPr>
        <w:spacing w:after="0" w:line="319"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jc w:val="left"/>
      </w:pPr>
      <w:r>
        <w:rPr/>
        <w:t>户提供优质产品与服务的同时，通过自身的发展，为配套商提供了更多的就业机会，服务社会。公司严格把控产品质量关， 注重生产安全和产品安全，为客户提供优质安全的产品，公司的产品和服务赢得了用户的广泛信赖。</w:t>
      </w:r>
    </w:p>
    <w:p>
      <w:pPr>
        <w:pStyle w:val="BodyText"/>
        <w:spacing w:line="300" w:lineRule="auto" w:before="19"/>
        <w:ind w:left="573" w:right="1025"/>
        <w:jc w:val="left"/>
      </w:pPr>
      <w:r>
        <w:rPr>
          <w:rFonts w:ascii="Times New Roman" w:hAnsi="Times New Roman" w:cs="Times New Roman" w:eastAsia="Times New Roman" w:hint="default"/>
        </w:rPr>
        <w:t>4</w:t>
      </w:r>
      <w:r>
        <w:rPr/>
        <w:t>、环境保护 </w:t>
      </w:r>
      <w:r>
        <w:rPr>
          <w:spacing w:val="-1"/>
        </w:rPr>
        <w:t>作为一家新能源企业，公司深知绿色环保、节能减排对于美丽中国和美好家园建设的深刻意义，致力于低碳环保事业，</w:t>
      </w:r>
    </w:p>
    <w:p>
      <w:pPr>
        <w:pStyle w:val="BodyText"/>
        <w:spacing w:line="316" w:lineRule="auto" w:before="32"/>
        <w:ind w:right="1122"/>
        <w:jc w:val="left"/>
      </w:pPr>
      <w:r>
        <w:rPr>
          <w:spacing w:val="-2"/>
        </w:rPr>
        <w:t>为天更蓝、地更绿而凝聚力量。公司开发运营光伏电站，为人类建设更多的绿色能源，并热切期盼有更多的同行者能和我们</w:t>
      </w:r>
      <w:r>
        <w:rPr>
          <w:spacing w:val="-66"/>
        </w:rPr>
        <w:t> </w:t>
      </w:r>
      <w:r>
        <w:rPr>
          <w:spacing w:val="-66"/>
        </w:rPr>
      </w:r>
      <w:r>
        <w:rPr/>
        <w:t>一起呵护这绿荫葱葱的地球。</w:t>
      </w:r>
    </w:p>
    <w:p>
      <w:pPr>
        <w:spacing w:line="240" w:lineRule="auto" w:before="7"/>
        <w:rPr>
          <w:rFonts w:ascii="宋体" w:hAnsi="宋体" w:cs="宋体" w:eastAsia="宋体" w:hint="default"/>
          <w:sz w:val="22"/>
          <w:szCs w:val="22"/>
        </w:rPr>
      </w:pPr>
    </w:p>
    <w:p>
      <w:pPr>
        <w:pStyle w:val="Heading3"/>
        <w:spacing w:line="240" w:lineRule="auto"/>
        <w:ind w:left="154" w:right="1122"/>
        <w:jc w:val="left"/>
        <w:rPr>
          <w:b w:val="0"/>
          <w:bCs w:val="0"/>
        </w:rPr>
      </w:pPr>
      <w:bookmarkStart w:name="2、履行精准扶贫社会责任情况" w:id="101"/>
      <w:bookmarkEnd w:id="101"/>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t>公司报告年度暂未开展精准扶贫工作，也暂无后续精准扶贫计划。</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环境保护相关的情况" w:id="102"/>
      <w:bookmarkEnd w:id="102"/>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5712"/>
        <w:jc w:val="left"/>
      </w:pPr>
      <w:r>
        <w:rPr/>
        <w:t>上市公司及其子公司是否属于环境保护部门公布的重点排污单位 否</w:t>
      </w:r>
    </w:p>
    <w:p>
      <w:pPr>
        <w:pStyle w:val="BodyText"/>
        <w:spacing w:line="316" w:lineRule="auto" w:before="28"/>
        <w:ind w:left="154" w:right="1122"/>
        <w:jc w:val="left"/>
      </w:pPr>
      <w:r>
        <w:rPr>
          <w:spacing w:val="-2"/>
        </w:rPr>
        <w:t>公司及其子公司不属于环境保护部门公布的重点排污单位。公司及子公司在日常生产经营中认真执行《中华人民共和国环境</w:t>
      </w:r>
      <w:r>
        <w:rPr>
          <w:spacing w:val="-64"/>
        </w:rPr>
        <w:t> </w:t>
      </w:r>
      <w:r>
        <w:rPr>
          <w:spacing w:val="-64"/>
        </w:rPr>
      </w:r>
      <w:r>
        <w:rPr>
          <w:spacing w:val="-12"/>
        </w:rPr>
        <w:t>保护法》、《中华人民共和国水污染防治法》、《中华人民共和国大气污染防治法》、《中华人民共和国环境噪声污染防治法》、</w:t>
      </w:r>
    </w:p>
    <w:p>
      <w:pPr>
        <w:pStyle w:val="BodyText"/>
        <w:spacing w:line="240" w:lineRule="auto" w:before="20"/>
        <w:ind w:left="154" w:right="1122"/>
        <w:jc w:val="left"/>
      </w:pPr>
      <w:r>
        <w:rPr/>
        <w:t>《中华人民共和国固体废物污染防治法》等环保方面的法律法规，报告期内未出现因违法违规而受到处罚的情况。</w:t>
      </w:r>
    </w:p>
    <w:p>
      <w:pPr>
        <w:spacing w:line="240" w:lineRule="auto" w:before="13"/>
        <w:rPr>
          <w:rFonts w:ascii="宋体" w:hAnsi="宋体" w:cs="宋体" w:eastAsia="宋体" w:hint="default"/>
          <w:sz w:val="24"/>
          <w:szCs w:val="24"/>
        </w:rPr>
      </w:pPr>
    </w:p>
    <w:p>
      <w:pPr>
        <w:pStyle w:val="Heading2"/>
        <w:spacing w:line="240" w:lineRule="auto"/>
        <w:ind w:right="1122"/>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3" w:right="1027" w:hanging="360"/>
        <w:jc w:val="left"/>
      </w:pPr>
      <w:r>
        <w:rPr>
          <w:rFonts w:ascii="Times New Roman" w:hAnsi="Times New Roman" w:cs="Times New Roman" w:eastAsia="Times New Roman" w:hint="default"/>
          <w:b/>
          <w:bCs/>
        </w:rPr>
        <w:t>1</w:t>
      </w:r>
      <w:r>
        <w:rPr>
          <w:rFonts w:ascii="宋体" w:hAnsi="宋体" w:cs="宋体" w:eastAsia="宋体" w:hint="default"/>
          <w:b/>
          <w:bCs/>
        </w:rPr>
        <w:t>、回购公司股份以实施股权激励计划</w:t>
      </w:r>
      <w:r>
        <w:rPr>
          <w:rFonts w:ascii="宋体" w:hAnsi="宋体" w:cs="宋体" w:eastAsia="宋体" w:hint="default"/>
          <w:b/>
          <w:bCs/>
          <w:w w:val="99"/>
        </w:rPr>
        <w:t> </w:t>
      </w:r>
      <w:r>
        <w:rPr>
          <w:spacing w:val="-3"/>
        </w:rPr>
        <w:t>公司《关于回购公司股份以实施股权激励计划的议案》于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6</w:t>
      </w:r>
      <w:r>
        <w:rPr>
          <w:spacing w:val="-3"/>
        </w:rPr>
        <w:t>日召开的公司</w:t>
      </w:r>
      <w:r>
        <w:rPr>
          <w:rFonts w:ascii="Times New Roman" w:hAnsi="Times New Roman" w:cs="Times New Roman" w:eastAsia="Times New Roman" w:hint="default"/>
          <w:spacing w:val="-3"/>
        </w:rPr>
        <w:t>2017</w:t>
      </w:r>
      <w:r>
        <w:rPr>
          <w:spacing w:val="-3"/>
        </w:rPr>
        <w:t>年第一次临时股东大会审议通过。</w:t>
      </w:r>
      <w:r>
        <w:rPr/>
        <w:t> 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日公告了《江苏爱康科技股份有限公司回购股份报告书》（详见公司刊登在《上海证券报》、《证</w:t>
      </w:r>
    </w:p>
    <w:p>
      <w:pPr>
        <w:pStyle w:val="BodyText"/>
        <w:spacing w:line="240" w:lineRule="auto" w:before="13"/>
        <w:ind w:left="154" w:right="1122"/>
        <w:jc w:val="left"/>
      </w:pPr>
      <w:r>
        <w:rPr/>
        <w:t>券时报》、《中国证券报》、《证券日报》和巨潮资讯网（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2017-17</w:t>
      </w:r>
      <w:r>
        <w:rPr/>
        <w:t>）。</w:t>
      </w:r>
    </w:p>
    <w:p>
      <w:pPr>
        <w:pStyle w:val="BodyText"/>
        <w:spacing w:line="309" w:lineRule="auto" w:before="63"/>
        <w:ind w:left="154" w:right="1132" w:firstLine="36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23</w:t>
      </w:r>
      <w:r>
        <w:rPr>
          <w:spacing w:val="-2"/>
        </w:rPr>
        <w:t>日，公司首次实施了回购股份的方案，于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日公告了《江苏爱康科技股份有限公司关于首次实施</w:t>
      </w:r>
      <w:r>
        <w:rPr/>
        <w:t> </w:t>
      </w:r>
      <w:r>
        <w:rPr>
          <w:spacing w:val="-2"/>
        </w:rPr>
        <w:t>回购部分社会公众股份的公告》（详见公司刊登在《上海证券报》、《证券时报》、《中国证券报》、《证券日报》和巨潮</w:t>
      </w:r>
      <w:r>
        <w:rPr>
          <w:spacing w:val="-72"/>
        </w:rPr>
        <w:t> </w:t>
      </w:r>
      <w:r>
        <w:rPr>
          <w:spacing w:val="-72"/>
        </w:rPr>
      </w:r>
      <w:r>
        <w:rPr/>
        <w:t>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2017-35</w:t>
      </w:r>
      <w:r>
        <w:rPr/>
        <w:t>）。</w:t>
      </w:r>
    </w:p>
    <w:p>
      <w:pPr>
        <w:pStyle w:val="BodyText"/>
        <w:spacing w:line="300" w:lineRule="auto" w:before="5"/>
        <w:ind w:left="516" w:right="1030"/>
        <w:jc w:val="left"/>
      </w:pP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24</w:t>
      </w:r>
      <w:r>
        <w:rPr>
          <w:spacing w:val="-2"/>
        </w:rPr>
        <w:t>日，公司股份回购已完成，本次股份回购实际购买公司股票</w:t>
      </w:r>
      <w:r>
        <w:rPr>
          <w:rFonts w:ascii="Times New Roman" w:hAnsi="Times New Roman" w:cs="Times New Roman" w:eastAsia="Times New Roman" w:hint="default"/>
          <w:spacing w:val="-2"/>
        </w:rPr>
        <w:t>16,900,000</w:t>
      </w:r>
      <w:r>
        <w:rPr>
          <w:spacing w:val="-2"/>
        </w:rPr>
        <w:t>股，约占公司股本总额的</w:t>
      </w:r>
      <w:r>
        <w:rPr>
          <w:rFonts w:ascii="Times New Roman" w:hAnsi="Times New Roman" w:cs="Times New Roman" w:eastAsia="Times New Roman" w:hint="default"/>
          <w:spacing w:val="-2"/>
        </w:rPr>
        <w:t>0.38%</w:t>
      </w:r>
      <w:r>
        <w:rPr>
          <w:spacing w:val="-2"/>
        </w:rPr>
        <w:t>。</w:t>
      </w:r>
      <w:r>
        <w:rPr>
          <w:spacing w:val="-68"/>
        </w:rPr>
        <w:t> </w:t>
      </w:r>
      <w:r>
        <w:rPr/>
        <w:t>本次回购的股份存放于公司证券回购专户，根据公司本次回购股份的用途，公司将尽快制定股权激励计划并予以实施，</w:t>
      </w:r>
    </w:p>
    <w:p>
      <w:pPr>
        <w:pStyle w:val="BodyText"/>
        <w:spacing w:line="316" w:lineRule="auto" w:before="31"/>
        <w:ind w:right="1122"/>
        <w:jc w:val="left"/>
      </w:pPr>
      <w:r>
        <w:rPr>
          <w:spacing w:val="-2"/>
        </w:rPr>
        <w:t>在回购股份授予给后续的股权激励计划之前，回购股份不享有利润分配、公积金转增股本、增发新股和配股、质押、股东大</w:t>
      </w:r>
      <w:r>
        <w:rPr>
          <w:spacing w:val="-66"/>
        </w:rPr>
        <w:t> </w:t>
      </w:r>
      <w:r>
        <w:rPr>
          <w:spacing w:val="-66"/>
        </w:rPr>
      </w:r>
      <w:r>
        <w:rPr/>
        <w:t>会表决权等相关权利。</w:t>
      </w:r>
    </w:p>
    <w:p>
      <w:pPr>
        <w:pStyle w:val="BodyText"/>
        <w:spacing w:line="300" w:lineRule="auto" w:before="19"/>
        <w:ind w:right="1129" w:firstLine="420"/>
        <w:jc w:val="both"/>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日召开第三届董事会第二十九次临时会议、第三届监事会第十六次临时会议和</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日召开 的</w:t>
      </w:r>
      <w:r>
        <w:rPr>
          <w:rFonts w:ascii="Times New Roman" w:hAnsi="Times New Roman" w:cs="Times New Roman" w:eastAsia="Times New Roman" w:hint="default"/>
        </w:rPr>
        <w:t>2018</w:t>
      </w:r>
      <w:r>
        <w:rPr/>
        <w:t>年第四次临时股东大会审议通过了《关于</w:t>
      </w:r>
      <w:r>
        <w:rPr>
          <w:rFonts w:ascii="Times New Roman" w:hAnsi="Times New Roman" w:cs="Times New Roman" w:eastAsia="Times New Roman" w:hint="default"/>
        </w:rPr>
        <w:t>&lt;</w:t>
      </w:r>
      <w:r>
        <w:rPr/>
        <w:t>江苏爱康科技股份有限公司</w:t>
      </w:r>
      <w:r>
        <w:rPr>
          <w:rFonts w:ascii="Times New Roman" w:hAnsi="Times New Roman" w:cs="Times New Roman" w:eastAsia="Times New Roman" w:hint="default"/>
        </w:rPr>
        <w:t>2018</w:t>
      </w:r>
      <w:r>
        <w:rPr/>
        <w:t>年限制性股票激励计划（草案）</w:t>
      </w:r>
      <w:r>
        <w:rPr>
          <w:rFonts w:ascii="Times New Roman" w:hAnsi="Times New Roman" w:cs="Times New Roman" w:eastAsia="Times New Roman" w:hint="default"/>
        </w:rPr>
        <w:t>&gt;</w:t>
      </w:r>
      <w:r>
        <w:rPr/>
        <w:t>及其摘</w:t>
      </w:r>
      <w:r>
        <w:rPr>
          <w:spacing w:val="-22"/>
        </w:rPr>
        <w:t> </w:t>
      </w:r>
      <w:r>
        <w:rPr>
          <w:spacing w:val="-2"/>
        </w:rPr>
        <w:t>要的议案》等议案，并于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日，公司召开的三届董事会第三十次临时会议、第三届监事会第十八次临时会议审议通</w:t>
      </w:r>
      <w:r>
        <w:rPr>
          <w:spacing w:val="-60"/>
        </w:rPr>
        <w:t> </w:t>
      </w:r>
      <w:r>
        <w:rPr>
          <w:spacing w:val="-60"/>
        </w:rPr>
      </w:r>
      <w:r>
        <w:rPr>
          <w:spacing w:val="-2"/>
        </w:rPr>
        <w:t>过了《关于调整</w:t>
      </w:r>
      <w:r>
        <w:rPr>
          <w:rFonts w:ascii="Times New Roman" w:hAnsi="Times New Roman" w:cs="Times New Roman" w:eastAsia="Times New Roman" w:hint="default"/>
          <w:spacing w:val="-2"/>
        </w:rPr>
        <w:t>2018</w:t>
      </w:r>
      <w:r>
        <w:rPr>
          <w:spacing w:val="-2"/>
        </w:rPr>
        <w:t>年限制性股票激励计划激励对象及授予数量的议案》、《关于向激励对象授予限制性股票的议案》。公</w:t>
      </w:r>
      <w:r>
        <w:rPr>
          <w:spacing w:val="-63"/>
        </w:rPr>
        <w:t> </w:t>
      </w:r>
      <w:r>
        <w:rPr>
          <w:spacing w:val="-63"/>
        </w:rPr>
      </w:r>
      <w:r>
        <w:rPr/>
        <w:t>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月完成了向</w:t>
      </w:r>
      <w:r>
        <w:rPr>
          <w:rFonts w:ascii="Times New Roman" w:hAnsi="Times New Roman" w:cs="Times New Roman" w:eastAsia="Times New Roman" w:hint="default"/>
        </w:rPr>
        <w:t>170</w:t>
      </w:r>
      <w:r>
        <w:rPr/>
        <w:t>名激励对象授予</w:t>
      </w:r>
      <w:r>
        <w:rPr>
          <w:rFonts w:ascii="Times New Roman" w:hAnsi="Times New Roman" w:cs="Times New Roman" w:eastAsia="Times New Roman" w:hint="default"/>
        </w:rPr>
        <w:t>1,642.4581</w:t>
      </w:r>
      <w:r>
        <w:rPr/>
        <w:t>万股限制性股票。（详见公司刊登在《证券时报》、《中国证券报》</w:t>
      </w:r>
      <w:r>
        <w:rPr>
          <w:spacing w:val="-85"/>
        </w:rPr>
        <w:t> </w:t>
      </w:r>
      <w:r>
        <w:rPr>
          <w:spacing w:val="-85"/>
        </w:rPr>
      </w:r>
      <w:r>
        <w:rPr/>
        <w:t>和巨潮资讯网（</w:t>
      </w:r>
      <w:hyperlink r:id="rId11">
        <w:r>
          <w:rPr>
            <w:rFonts w:ascii="Times New Roman" w:hAnsi="Times New Roman" w:cs="Times New Roman" w:eastAsia="Times New Roman" w:hint="default"/>
          </w:rPr>
          <w:t>www.cninfo.com.cn</w:t>
        </w:r>
      </w:hyperlink>
      <w:r>
        <w:rPr/>
        <w:t>）上的公告，公告编号：</w:t>
      </w:r>
      <w:r>
        <w:rPr>
          <w:rFonts w:ascii="Times New Roman" w:hAnsi="Times New Roman" w:cs="Times New Roman" w:eastAsia="Times New Roman" w:hint="default"/>
        </w:rPr>
        <w:t>2018-25</w:t>
      </w:r>
      <w:r>
        <w:rPr/>
        <w:t>、</w:t>
      </w:r>
      <w:r>
        <w:rPr>
          <w:rFonts w:ascii="Times New Roman" w:hAnsi="Times New Roman" w:cs="Times New Roman" w:eastAsia="Times New Roman" w:hint="default"/>
        </w:rPr>
        <w:t>2018-36</w:t>
      </w:r>
      <w:r>
        <w:rPr/>
        <w:t>、</w:t>
      </w:r>
      <w:r>
        <w:rPr>
          <w:rFonts w:ascii="Times New Roman" w:hAnsi="Times New Roman" w:cs="Times New Roman" w:eastAsia="Times New Roman" w:hint="default"/>
        </w:rPr>
        <w:t>2018-37</w:t>
      </w:r>
      <w:r>
        <w:rPr/>
        <w:t>）</w:t>
      </w:r>
    </w:p>
    <w:p>
      <w:pPr>
        <w:spacing w:line="240" w:lineRule="auto" w:before="11"/>
        <w:rPr>
          <w:rFonts w:ascii="宋体" w:hAnsi="宋体" w:cs="宋体" w:eastAsia="宋体" w:hint="default"/>
          <w:sz w:val="24"/>
          <w:szCs w:val="24"/>
        </w:rPr>
      </w:pPr>
    </w:p>
    <w:p>
      <w:pPr>
        <w:pStyle w:val="Heading4"/>
        <w:spacing w:line="240" w:lineRule="auto"/>
        <w:ind w:left="153" w:right="1122"/>
        <w:jc w:val="left"/>
        <w:rPr>
          <w:b w:val="0"/>
          <w:bCs w:val="0"/>
        </w:rPr>
      </w:pPr>
      <w:r>
        <w:rPr>
          <w:rFonts w:ascii="Times New Roman" w:hAnsi="Times New Roman" w:cs="Times New Roman" w:eastAsia="Times New Roman" w:hint="default"/>
        </w:rPr>
        <w:t>2</w:t>
      </w:r>
      <w:r>
        <w:rPr/>
        <w:t>、全面推进能源互联网业务的战略发展规划</w:t>
      </w:r>
      <w:r>
        <w:rPr>
          <w:b w:val="0"/>
          <w:bCs w:val="0"/>
        </w:rPr>
      </w:r>
    </w:p>
    <w:p>
      <w:pPr>
        <w:pStyle w:val="BodyText"/>
        <w:spacing w:line="300" w:lineRule="auto" w:before="63"/>
        <w:ind w:right="1129" w:firstLine="360"/>
        <w:jc w:val="both"/>
      </w:pPr>
      <w:r>
        <w:rPr/>
        <w:t>在能源革命、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、电力体制改革和创新驱动等国家战略的背景下</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在多年光伏电站开发、运维中积累的经验和 </w:t>
      </w:r>
      <w:r>
        <w:rPr>
          <w:spacing w:val="-2"/>
        </w:rPr>
        <w:t>资源基础上，公司开始搭建以卓越的能源生产商为体，以新能源服务和新能源金融为翼的</w:t>
      </w:r>
      <w:r>
        <w:rPr>
          <w:rFonts w:ascii="Times New Roman" w:hAnsi="Times New Roman" w:cs="Times New Roman" w:eastAsia="Times New Roman" w:hint="default"/>
          <w:spacing w:val="-2"/>
        </w:rPr>
        <w:t>“</w:t>
      </w:r>
      <w:r>
        <w:rPr>
          <w:spacing w:val="-2"/>
        </w:rPr>
        <w:t>一体两翼</w:t>
      </w:r>
      <w:r>
        <w:rPr>
          <w:rFonts w:ascii="Times New Roman" w:hAnsi="Times New Roman" w:cs="Times New Roman" w:eastAsia="Times New Roman" w:hint="default"/>
          <w:spacing w:val="-2"/>
        </w:rPr>
        <w:t>”</w:t>
      </w:r>
      <w:r>
        <w:rPr>
          <w:spacing w:val="-2"/>
        </w:rPr>
        <w:t>的业务格局。为增强公</w:t>
      </w:r>
      <w:r>
        <w:rPr>
          <w:spacing w:val="-44"/>
        </w:rPr>
        <w:t> </w:t>
      </w:r>
      <w:r>
        <w:rPr>
          <w:spacing w:val="-44"/>
        </w:rPr>
      </w:r>
      <w:r>
        <w:rPr>
          <w:spacing w:val="-2"/>
        </w:rPr>
        <w:t>司可持续发展能力，培植发展后劲，充分发掘现有产业优势，抓住电力体制改革带来的巨大商机，公司董事会战略委员会审</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0"/>
        <w:jc w:val="both"/>
      </w:pPr>
      <w:r>
        <w:rPr>
          <w:spacing w:val="-3"/>
        </w:rPr>
        <w:t>议通过了《关于全面推进能源互联网业务的战略发展规划》的议案（详见公司于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w:t>
      </w:r>
      <w:r>
        <w:rPr>
          <w:spacing w:val="-3"/>
        </w:rPr>
        <w:t>月</w:t>
      </w:r>
      <w:r>
        <w:rPr>
          <w:rFonts w:ascii="Times New Roman" w:hAnsi="Times New Roman" w:cs="Times New Roman" w:eastAsia="Times New Roman" w:hint="default"/>
          <w:spacing w:val="-3"/>
        </w:rPr>
        <w:t>23</w:t>
      </w:r>
      <w:r>
        <w:rPr>
          <w:spacing w:val="-3"/>
        </w:rPr>
        <w:t>日刊登在《上海证券报》、《证</w:t>
      </w:r>
      <w:r>
        <w:rPr/>
        <w:t> </w:t>
      </w:r>
      <w:r>
        <w:rPr>
          <w:spacing w:val="-1"/>
        </w:rPr>
        <w:t>券时报》、《中国证券报》、《证券日报》和巨潮资讯网（</w:t>
      </w:r>
      <w:hyperlink r:id="rId11">
        <w:r>
          <w:rPr>
            <w:rFonts w:ascii="Times New Roman" w:hAnsi="Times New Roman" w:cs="Times New Roman" w:eastAsia="Times New Roman" w:hint="default"/>
            <w:spacing w:val="-1"/>
          </w:rPr>
          <w:t>www.cninfo.com.cn</w:t>
        </w:r>
      </w:hyperlink>
      <w:r>
        <w:rPr>
          <w:spacing w:val="-1"/>
        </w:rPr>
        <w:t>）上的公告</w:t>
      </w:r>
      <w:r>
        <w:rPr>
          <w:rFonts w:ascii="Times New Roman" w:hAnsi="Times New Roman" w:cs="Times New Roman" w:eastAsia="Times New Roman" w:hint="default"/>
          <w:spacing w:val="-1"/>
        </w:rPr>
        <w:t>“</w:t>
      </w:r>
      <w:r>
        <w:rPr>
          <w:spacing w:val="-1"/>
        </w:rPr>
        <w:t>关于全面推进能源互联网业务的</w:t>
      </w:r>
      <w:r>
        <w:rPr>
          <w:spacing w:val="-44"/>
        </w:rPr>
        <w:t> </w:t>
      </w:r>
      <w:r>
        <w:rPr>
          <w:spacing w:val="-44"/>
        </w:rPr>
      </w:r>
      <w:r>
        <w:rPr/>
        <w:t>战略发展规划的公告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2017-18</w:t>
      </w:r>
      <w:r>
        <w:rPr/>
        <w:t>），摘要如下：</w:t>
      </w:r>
    </w:p>
    <w:p>
      <w:pPr>
        <w:pStyle w:val="BodyText"/>
        <w:spacing w:line="319" w:lineRule="auto" w:before="13"/>
        <w:ind w:right="1033" w:firstLine="360"/>
        <w:jc w:val="left"/>
      </w:pPr>
      <w:r>
        <w:rPr/>
        <w:t>公司将开启能源互联网时代，拟出售部分并网电站，轻资产运营，致力成为国际清洁能源服务商、能源互联网运营商。 </w:t>
      </w:r>
      <w:r>
        <w:rPr>
          <w:spacing w:val="-2"/>
        </w:rPr>
        <w:t>推动能源生产和消费方式变革，运用互联网、大数据和金融结算，为社会、企业和终端用户提供创新的新能源解决方案，打</w:t>
      </w:r>
      <w:r>
        <w:rPr>
          <w:spacing w:val="-66"/>
        </w:rPr>
        <w:t> </w:t>
      </w:r>
      <w:r>
        <w:rPr>
          <w:spacing w:val="-66"/>
        </w:rPr>
      </w:r>
      <w:r>
        <w:rPr>
          <w:spacing w:val="-2"/>
        </w:rPr>
        <w:t>造智能的绿色能源生态系统，为社会的可持续发展做贡献。公司将努力建设发、配、售一体化的综合能源服务机构，实现大</w:t>
      </w:r>
      <w:r>
        <w:rPr>
          <w:spacing w:val="-66"/>
        </w:rPr>
        <w:t> </w:t>
      </w:r>
      <w:r>
        <w:rPr>
          <w:spacing w:val="-66"/>
        </w:rPr>
      </w:r>
      <w:r>
        <w:rPr>
          <w:spacing w:val="-2"/>
        </w:rPr>
        <w:t>规模绿色电力的智能化生产运营，构建以分布式能源为主的多能协同供应的区域能源综合运营网络，结合信息技术与金融手</w:t>
      </w:r>
      <w:r>
        <w:rPr>
          <w:spacing w:val="-64"/>
        </w:rPr>
        <w:t> </w:t>
      </w:r>
      <w:r>
        <w:rPr>
          <w:spacing w:val="-64"/>
        </w:rPr>
      </w:r>
      <w:r>
        <w:rPr/>
        <w:t>段为广泛的电力客户提供创新的智慧能源解决方案与增值服务，推动能源生产和消费方式的变革。</w:t>
      </w:r>
    </w:p>
    <w:p>
      <w:pPr>
        <w:pStyle w:val="BodyText"/>
        <w:spacing w:line="300" w:lineRule="auto" w:before="17"/>
        <w:ind w:right="1053" w:firstLine="360"/>
        <w:jc w:val="left"/>
      </w:pPr>
      <w:r>
        <w:rPr/>
        <w:t>公司能源互联网业务布局的总体思路是：贯彻国家</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战略，自公司所在地江苏出发，沿丝绸之路经济带布局、 布点，直至新疆边境口岸。</w:t>
      </w:r>
    </w:p>
    <w:p>
      <w:pPr>
        <w:spacing w:line="240" w:lineRule="auto" w:before="3"/>
        <w:rPr>
          <w:rFonts w:ascii="宋体" w:hAnsi="宋体" w:cs="宋体" w:eastAsia="宋体" w:hint="default"/>
          <w:sz w:val="26"/>
          <w:szCs w:val="26"/>
        </w:rPr>
      </w:pPr>
    </w:p>
    <w:p>
      <w:pPr>
        <w:spacing w:line="300" w:lineRule="auto" w:before="0"/>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年面向合格投资者公开发行公司债券</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日召开的第三届董事会第十次临时会议审议通过了《关于公司符合面向合格投资者公开发行公司债</w:t>
      </w:r>
    </w:p>
    <w:p>
      <w:pPr>
        <w:pStyle w:val="BodyText"/>
        <w:spacing w:line="307" w:lineRule="auto" w:before="13"/>
        <w:ind w:right="1129"/>
        <w:jc w:val="both"/>
      </w:pPr>
      <w:r>
        <w:rPr>
          <w:spacing w:val="-2"/>
        </w:rPr>
        <w:t>券条件的议案》、《关于公司面向合格投资者公开发行公司债券方案的议案》和《关于提请股东大会授权董事会及其授权人</w:t>
      </w:r>
      <w:r>
        <w:rPr>
          <w:spacing w:val="-65"/>
        </w:rPr>
        <w:t> </w:t>
      </w:r>
      <w:r>
        <w:rPr>
          <w:spacing w:val="-65"/>
        </w:rPr>
      </w:r>
      <w:r>
        <w:rPr/>
        <w:t>士全权办理本次</w:t>
      </w:r>
      <w:r>
        <w:rPr>
          <w:rFonts w:ascii="Times New Roman" w:hAnsi="Times New Roman" w:cs="Times New Roman" w:eastAsia="Times New Roman" w:hint="default"/>
        </w:rPr>
        <w:t>2017</w:t>
      </w:r>
      <w:r>
        <w:rPr/>
        <w:t>年面向合格投资者公开发行公司债券相关事项的议案》，拟面向合格投资者公开发行不超过人民币</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亿元（含</w:t>
      </w:r>
      <w:r>
        <w:rPr>
          <w:rFonts w:ascii="Times New Roman" w:hAnsi="Times New Roman" w:cs="Times New Roman" w:eastAsia="Times New Roman" w:hint="default"/>
        </w:rPr>
        <w:t>12</w:t>
      </w:r>
      <w:r>
        <w:rPr/>
        <w:t>亿元）的公司债券（详见公司于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日刊登在《上海证券报》、《证券时报》、《中国证券报》、《证</w:t>
      </w:r>
      <w:r>
        <w:rPr>
          <w:spacing w:val="-83"/>
        </w:rPr>
        <w:t> </w:t>
      </w:r>
      <w:r>
        <w:rPr>
          <w:spacing w:val="-83"/>
        </w:rPr>
      </w:r>
      <w:r>
        <w:rPr/>
        <w:t>券日报》和巨潮资讯网（</w:t>
      </w:r>
      <w:hyperlink r:id="rId11">
        <w:r>
          <w:rPr>
            <w:rFonts w:ascii="Times New Roman" w:hAnsi="Times New Roman" w:cs="Times New Roman" w:eastAsia="Times New Roman" w:hint="default"/>
          </w:rPr>
          <w:t>www.cninfo.com.cn</w:t>
        </w:r>
      </w:hyperlink>
      <w:r>
        <w:rPr/>
        <w:t>）上的公告</w:t>
      </w:r>
      <w:r>
        <w:rPr>
          <w:rFonts w:ascii="Times New Roman" w:hAnsi="Times New Roman" w:cs="Times New Roman" w:eastAsia="Times New Roman" w:hint="default"/>
        </w:rPr>
        <w:t>“</w:t>
      </w:r>
      <w:r>
        <w:rPr/>
        <w:t>公司债券发行预案的公告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2017-30</w:t>
      </w:r>
      <w:r>
        <w:rPr/>
        <w:t>）。</w:t>
      </w:r>
    </w:p>
    <w:p>
      <w:pPr>
        <w:pStyle w:val="BodyText"/>
        <w:spacing w:line="309" w:lineRule="auto" w:before="7"/>
        <w:ind w:right="1049" w:firstLine="360"/>
        <w:jc w:val="both"/>
      </w:pP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2017</w:t>
      </w:r>
      <w:r>
        <w:rPr>
          <w:spacing w:val="-2"/>
        </w:rPr>
        <w:t>年第二次临时股东大会审议通过了《关于公司符合面向合格投资者公开发行公司债券条</w:t>
      </w:r>
      <w:r>
        <w:rPr/>
        <w:t> </w:t>
      </w:r>
      <w:r>
        <w:rPr>
          <w:spacing w:val="-2"/>
        </w:rPr>
        <w:t>件的议案》、《关于公司面向合格投资者公开发行公司债券方案的议案》和《关于提请股东大会授权董事会及其授权人士全</w:t>
      </w:r>
      <w:r>
        <w:rPr>
          <w:spacing w:val="-65"/>
        </w:rPr>
        <w:t> </w:t>
      </w:r>
      <w:r>
        <w:rPr>
          <w:spacing w:val="-65"/>
        </w:rPr>
      </w:r>
      <w:r>
        <w:rPr/>
        <w:t>权办理本次</w:t>
      </w:r>
      <w:r>
        <w:rPr>
          <w:rFonts w:ascii="Times New Roman" w:hAnsi="Times New Roman" w:cs="Times New Roman" w:eastAsia="Times New Roman" w:hint="default"/>
        </w:rPr>
        <w:t>2017</w:t>
      </w:r>
      <w:r>
        <w:rPr/>
        <w:t>年面向合格投资者公开发行公司债券相关事项的议案》（详见公司于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7</w:t>
      </w:r>
      <w:r>
        <w:rPr/>
        <w:t>日刊登在《上海证券报》、</w:t>
      </w:r>
    </w:p>
    <w:p>
      <w:pPr>
        <w:pStyle w:val="BodyText"/>
        <w:spacing w:line="300" w:lineRule="auto" w:before="5"/>
        <w:ind w:right="1132"/>
        <w:jc w:val="both"/>
      </w:pPr>
      <w:r>
        <w:rPr>
          <w:spacing w:val="-1"/>
        </w:rPr>
        <w:t>《证券时报》、《中国证券报》、《证券日报》和巨潮资讯网（</w:t>
      </w:r>
      <w:hyperlink r:id="rId11">
        <w:r>
          <w:rPr>
            <w:rFonts w:ascii="Times New Roman" w:hAnsi="Times New Roman" w:cs="Times New Roman" w:eastAsia="Times New Roman" w:hint="default"/>
            <w:spacing w:val="-1"/>
          </w:rPr>
          <w:t>www.cninfo.com.cn</w:t>
        </w:r>
      </w:hyperlink>
      <w:r>
        <w:rPr>
          <w:spacing w:val="-1"/>
        </w:rPr>
        <w:t>）上的公告</w:t>
      </w:r>
      <w:r>
        <w:rPr>
          <w:rFonts w:ascii="Times New Roman" w:hAnsi="Times New Roman" w:cs="Times New Roman" w:eastAsia="Times New Roman" w:hint="default"/>
          <w:spacing w:val="-1"/>
        </w:rPr>
        <w:t>“2017</w:t>
      </w:r>
      <w:r>
        <w:rPr>
          <w:spacing w:val="-1"/>
        </w:rPr>
        <w:t>年第二次临时股东大会</w:t>
      </w:r>
      <w:r>
        <w:rPr>
          <w:spacing w:val="-40"/>
        </w:rPr>
        <w:t> </w:t>
      </w:r>
      <w:r>
        <w:rPr/>
        <w:t>决议公告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2017-40</w:t>
      </w:r>
      <w:r>
        <w:rPr/>
        <w:t>）。</w:t>
      </w:r>
    </w:p>
    <w:p>
      <w:pPr>
        <w:pStyle w:val="BodyText"/>
        <w:spacing w:line="300" w:lineRule="auto" w:before="13"/>
        <w:ind w:left="154" w:right="1122" w:firstLine="360"/>
        <w:jc w:val="left"/>
      </w:pPr>
      <w:r>
        <w:rPr>
          <w:spacing w:val="-2"/>
        </w:rPr>
        <w:t>公司已于</w:t>
      </w:r>
      <w:r>
        <w:rPr>
          <w:rFonts w:ascii="Times New Roman" w:hAnsi="Times New Roman" w:cs="Times New Roman" w:eastAsia="Times New Roman" w:hint="default"/>
          <w:spacing w:val="-2"/>
        </w:rPr>
        <w:t>2018</w:t>
      </w:r>
      <w:r>
        <w:rPr>
          <w:spacing w:val="-2"/>
        </w:rPr>
        <w:t>年年初取得了中国证券监督管理委员会出具的《中国证监会关于核准江苏爱康科技股份有限公司向合格投</w:t>
      </w:r>
      <w:r>
        <w:rPr/>
        <w:t> 资者公开发行公司债券的批复》（证监许可〔</w:t>
      </w:r>
      <w:r>
        <w:rPr>
          <w:rFonts w:ascii="Times New Roman" w:hAnsi="Times New Roman" w:cs="Times New Roman" w:eastAsia="Times New Roman" w:hint="default"/>
        </w:rPr>
        <w:t>2018</w:t>
      </w:r>
      <w:r>
        <w:rPr/>
        <w:t>〕</w:t>
      </w:r>
      <w:r>
        <w:rPr>
          <w:rFonts w:ascii="Times New Roman" w:hAnsi="Times New Roman" w:cs="Times New Roman" w:eastAsia="Times New Roman" w:hint="default"/>
        </w:rPr>
        <w:t>50</w:t>
      </w:r>
      <w:r>
        <w:rPr/>
        <w:t>号）。</w:t>
      </w:r>
    </w:p>
    <w:p>
      <w:pPr>
        <w:spacing w:line="240" w:lineRule="auto" w:before="11"/>
        <w:rPr>
          <w:rFonts w:ascii="宋体" w:hAnsi="宋体" w:cs="宋体" w:eastAsia="宋体" w:hint="default"/>
          <w:sz w:val="24"/>
          <w:szCs w:val="24"/>
        </w:rPr>
      </w:pPr>
    </w:p>
    <w:p>
      <w:pPr>
        <w:spacing w:line="300" w:lineRule="auto" w:before="0"/>
        <w:ind w:left="573" w:right="0" w:hanging="42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、筹划发行股份购买资产停牌事项</w:t>
      </w:r>
      <w:r>
        <w:rPr>
          <w:rFonts w:ascii="宋体" w:hAnsi="宋体" w:cs="宋体" w:eastAsia="宋体" w:hint="default"/>
          <w:b/>
          <w:bCs/>
          <w:w w:val="99"/>
          <w:sz w:val="18"/>
          <w:szCs w:val="18"/>
        </w:rPr>
        <w:t> </w:t>
      </w:r>
      <w:r>
        <w:rPr>
          <w:rFonts w:ascii="宋体" w:hAnsi="宋体" w:cs="宋体" w:eastAsia="宋体" w:hint="default"/>
          <w:spacing w:val="-2"/>
          <w:sz w:val="18"/>
          <w:szCs w:val="18"/>
        </w:rPr>
        <w:t>公司因筹划发行股份购买资产事项，为避免造成公司股价异常波动，经向深圳证券交易所申请，公司股票（股票简称：</w:t>
      </w:r>
    </w:p>
    <w:p>
      <w:pPr>
        <w:pStyle w:val="BodyText"/>
        <w:spacing w:line="240" w:lineRule="auto" w:before="31"/>
        <w:ind w:right="0"/>
        <w:jc w:val="both"/>
      </w:pPr>
      <w:r>
        <w:rPr>
          <w:spacing w:val="-3"/>
        </w:rPr>
        <w:t>爱康科技，股票代码：</w:t>
      </w:r>
      <w:r>
        <w:rPr>
          <w:rFonts w:ascii="Times New Roman" w:hAnsi="Times New Roman" w:cs="Times New Roman" w:eastAsia="Times New Roman" w:hint="default"/>
          <w:spacing w:val="-3"/>
        </w:rPr>
        <w:t>002610</w:t>
      </w:r>
      <w:r>
        <w:rPr>
          <w:spacing w:val="-3"/>
        </w:rPr>
        <w:t>）自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日（星期五）开市起停牌。（详见</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12</w:t>
      </w:r>
      <w:r>
        <w:rPr>
          <w:spacing w:val="-3"/>
        </w:rPr>
        <w:t>日公司刊登在《上海证券报》、</w:t>
      </w:r>
    </w:p>
    <w:p>
      <w:pPr>
        <w:pStyle w:val="BodyText"/>
        <w:spacing w:line="300" w:lineRule="auto" w:before="63"/>
        <w:ind w:right="1132"/>
        <w:jc w:val="both"/>
      </w:pPr>
      <w:r>
        <w:rPr/>
        <w:t>《证券时报》、《中国证券报》、《证券日报》和巨潮资讯网（</w:t>
      </w:r>
      <w:hyperlink r:id="rId11">
        <w:r>
          <w:rPr>
            <w:rFonts w:ascii="Times New Roman" w:hAnsi="Times New Roman" w:cs="Times New Roman" w:eastAsia="Times New Roman" w:hint="default"/>
          </w:rPr>
          <w:t>www.cninfo.com.cn</w:t>
        </w:r>
      </w:hyperlink>
      <w:r>
        <w:rPr/>
        <w:t>）上的《关于筹划发行股份购买资产事</w:t>
      </w:r>
      <w:r>
        <w:rPr>
          <w:spacing w:val="-29"/>
        </w:rPr>
        <w:t> </w:t>
      </w:r>
      <w:r>
        <w:rPr>
          <w:spacing w:val="-29"/>
        </w:rPr>
      </w:r>
      <w:r>
        <w:rPr/>
        <w:t>项的停牌公告》，公告编号：</w:t>
      </w:r>
      <w:r>
        <w:rPr>
          <w:rFonts w:ascii="Times New Roman" w:hAnsi="Times New Roman" w:cs="Times New Roman" w:eastAsia="Times New Roman" w:hint="default"/>
        </w:rPr>
        <w:t>2017-61</w:t>
      </w:r>
      <w:r>
        <w:rPr/>
        <w:t>）停牌期间，公司按照相关规定，每隔五个交易日发布一次停牌进展公告。但鉴于双</w:t>
      </w:r>
      <w:r>
        <w:rPr>
          <w:spacing w:val="-57"/>
        </w:rPr>
        <w:t> </w:t>
      </w:r>
      <w:r>
        <w:rPr>
          <w:spacing w:val="-57"/>
        </w:rPr>
      </w:r>
      <w:r>
        <w:rPr>
          <w:spacing w:val="-5"/>
        </w:rPr>
        <w:t>方未能就交易价格、交易方式等关键条款达成一致意见，经审慎研究后公司决定终止本次发行股份购买资产事项。公司于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日召开投资者说明会，并在投资者说明会召开后向深圳证券交易所申请公司股票复牌。（详见</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日公司刊登</w:t>
      </w:r>
      <w:r>
        <w:rPr>
          <w:spacing w:val="-58"/>
        </w:rPr>
        <w:t> </w:t>
      </w:r>
      <w:r>
        <w:rPr/>
        <w:t>在《上海证券报》、《证券时报》、《中国证券报》、《证券日报》和巨潮资讯网（</w:t>
      </w:r>
      <w:hyperlink r:id="rId11">
        <w:r>
          <w:rPr>
            <w:rFonts w:ascii="Times New Roman" w:hAnsi="Times New Roman" w:cs="Times New Roman" w:eastAsia="Times New Roman" w:hint="default"/>
          </w:rPr>
          <w:t>www.cninfo.com.cn</w:t>
        </w:r>
      </w:hyperlink>
      <w:r>
        <w:rPr/>
        <w:t>）上的《关于终止</w:t>
      </w:r>
      <w:r>
        <w:rPr>
          <w:spacing w:val="-28"/>
        </w:rPr>
        <w:t> </w:t>
      </w:r>
      <w:r>
        <w:rPr>
          <w:spacing w:val="-28"/>
        </w:rPr>
      </w:r>
      <w:r>
        <w:rPr>
          <w:spacing w:val="2"/>
        </w:rPr>
        <w:t>发行股份购买资产事项的公告》和《关于终止发行股份购买资产事项召开投资者说明会的公告》，公告编号：</w:t>
      </w:r>
      <w:r>
        <w:rPr>
          <w:rFonts w:ascii="Times New Roman" w:hAnsi="Times New Roman" w:cs="Times New Roman" w:eastAsia="Times New Roman" w:hint="default"/>
          <w:spacing w:val="2"/>
        </w:rPr>
        <w:t>2017-102</w:t>
      </w:r>
      <w:r>
        <w:rPr>
          <w:spacing w:val="2"/>
        </w:rPr>
        <w:t>、</w:t>
      </w:r>
      <w:r>
        <w:rPr>
          <w:spacing w:val="-87"/>
        </w:rPr>
        <w:t> </w:t>
      </w:r>
      <w:r>
        <w:rPr>
          <w:rFonts w:ascii="Times New Roman" w:hAnsi="Times New Roman" w:cs="Times New Roman" w:eastAsia="Times New Roman" w:hint="default"/>
        </w:rPr>
        <w:t>2017-104</w:t>
      </w:r>
      <w:r>
        <w:rPr/>
        <w:t>）</w:t>
      </w:r>
    </w:p>
    <w:p>
      <w:pPr>
        <w:spacing w:line="240" w:lineRule="auto" w:before="11"/>
        <w:rPr>
          <w:rFonts w:ascii="宋体" w:hAnsi="宋体" w:cs="宋体" w:eastAsia="宋体" w:hint="default"/>
          <w:sz w:val="24"/>
          <w:szCs w:val="24"/>
        </w:rPr>
      </w:pPr>
    </w:p>
    <w:p>
      <w:pPr>
        <w:spacing w:line="300" w:lineRule="auto" w:before="0"/>
        <w:ind w:left="513" w:right="1123" w:hanging="36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2017</w:t>
      </w:r>
      <w:r>
        <w:rPr>
          <w:rFonts w:ascii="宋体" w:hAnsi="宋体" w:cs="宋体" w:eastAsia="宋体" w:hint="default"/>
          <w:b/>
          <w:bCs/>
          <w:sz w:val="18"/>
          <w:szCs w:val="18"/>
        </w:rPr>
        <w:t>年非公开发行创新创业公司债</w:t>
      </w:r>
      <w:r>
        <w:rPr>
          <w:rFonts w:ascii="宋体" w:hAnsi="宋体" w:cs="宋体" w:eastAsia="宋体" w:hint="default"/>
          <w:b/>
          <w:bCs/>
          <w:w w:val="99"/>
          <w:sz w:val="18"/>
          <w:szCs w:val="18"/>
        </w:rPr>
        <w:t> </w:t>
      </w:r>
      <w:r>
        <w:rPr>
          <w:rFonts w:ascii="宋体" w:hAnsi="宋体" w:cs="宋体" w:eastAsia="宋体" w:hint="default"/>
          <w:sz w:val="18"/>
          <w:szCs w:val="18"/>
        </w:rPr>
        <w:t>公司于</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日召开的第三届董事会第十七次临时会议审议通过了《关于公司符合面向合格投资者非公开发行公</w:t>
      </w:r>
    </w:p>
    <w:p>
      <w:pPr>
        <w:pStyle w:val="BodyText"/>
        <w:spacing w:line="307" w:lineRule="auto" w:before="13"/>
        <w:ind w:right="1124"/>
        <w:jc w:val="right"/>
      </w:pPr>
      <w:r>
        <w:rPr>
          <w:spacing w:val="-2"/>
        </w:rPr>
        <w:t>司债券条件的议案》、《关于公司面向合格投资者非公开发行公司债券方案的议案》和《关于提请股东大会授权董事会及其</w:t>
      </w:r>
      <w:r>
        <w:rPr>
          <w:spacing w:val="-83"/>
        </w:rPr>
        <w:t> </w:t>
      </w:r>
      <w:r>
        <w:rPr>
          <w:spacing w:val="-83"/>
        </w:rPr>
      </w:r>
      <w:r>
        <w:rPr>
          <w:spacing w:val="-2"/>
        </w:rPr>
        <w:t>授权人士全权办理本次面向合格投资者非公开发行公司债券相关事项的议案》，拟面向合格投资者非公开发行不超过人民币</w:t>
      </w:r>
      <w:r>
        <w:rPr>
          <w:spacing w:val="-79"/>
        </w:rPr>
        <w:t> </w:t>
      </w:r>
      <w:r>
        <w:rPr>
          <w:spacing w:val="-79"/>
        </w:rPr>
      </w:r>
      <w:r>
        <w:rPr>
          <w:rFonts w:ascii="Times New Roman" w:hAnsi="Times New Roman" w:cs="Times New Roman" w:eastAsia="Times New Roman" w:hint="default"/>
          <w:spacing w:val="-2"/>
        </w:rPr>
        <w:t>3</w:t>
      </w:r>
      <w:r>
        <w:rPr>
          <w:spacing w:val="-2"/>
        </w:rPr>
        <w:t>亿元（含</w:t>
      </w:r>
      <w:r>
        <w:rPr>
          <w:rFonts w:ascii="Times New Roman" w:hAnsi="Times New Roman" w:cs="Times New Roman" w:eastAsia="Times New Roman" w:hint="default"/>
          <w:spacing w:val="-2"/>
        </w:rPr>
        <w:t>3</w:t>
      </w:r>
      <w:r>
        <w:rPr>
          <w:spacing w:val="-2"/>
        </w:rPr>
        <w:t>亿元）的公司债券（详见公司于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日刊登在《上海证券报》、《证券时报》、《中国证券报》、《证券</w:t>
      </w:r>
      <w:r>
        <w:rPr>
          <w:spacing w:val="-81"/>
        </w:rPr>
        <w:t> </w:t>
      </w:r>
      <w:r>
        <w:rPr>
          <w:spacing w:val="-81"/>
        </w:rPr>
      </w:r>
      <w:r>
        <w:rPr>
          <w:spacing w:val="-9"/>
          <w:w w:val="99"/>
        </w:rPr>
        <w:t>日报》和巨潮资讯网（</w:t>
      </w:r>
      <w:hyperlink r:id="rId11">
        <w:r>
          <w:rPr>
            <w:rFonts w:ascii="Times New Roman" w:hAnsi="Times New Roman" w:cs="Times New Roman" w:eastAsia="Times New Roman" w:hint="default"/>
            <w:spacing w:val="-9"/>
            <w:w w:val="99"/>
          </w:rPr>
          <w:t>www.cninfo.com.cn</w:t>
        </w:r>
      </w:hyperlink>
      <w:r>
        <w:rPr>
          <w:spacing w:val="-9"/>
          <w:w w:val="99"/>
        </w:rPr>
        <w:t>）上的公告</w:t>
      </w:r>
      <w:r>
        <w:rPr>
          <w:rFonts w:ascii="Times New Roman" w:hAnsi="Times New Roman" w:cs="Times New Roman" w:eastAsia="Times New Roman" w:hint="default"/>
          <w:spacing w:val="-9"/>
          <w:w w:val="99"/>
        </w:rPr>
        <w:t>“</w:t>
      </w:r>
      <w:r>
        <w:rPr>
          <w:spacing w:val="-9"/>
          <w:w w:val="99"/>
        </w:rPr>
        <w:t>关于面向合格投资者非公开发行公司债券的公告</w:t>
      </w:r>
      <w:r>
        <w:rPr>
          <w:rFonts w:ascii="Times New Roman" w:hAnsi="Times New Roman" w:cs="Times New Roman" w:eastAsia="Times New Roman" w:hint="default"/>
          <w:spacing w:val="-9"/>
          <w:w w:val="99"/>
        </w:rPr>
        <w:t>”</w:t>
      </w:r>
      <w:r>
        <w:rPr>
          <w:spacing w:val="-9"/>
          <w:w w:val="99"/>
        </w:rPr>
        <w:t>，公告编号：</w:t>
      </w:r>
      <w:r>
        <w:rPr>
          <w:rFonts w:ascii="Times New Roman" w:hAnsi="Times New Roman" w:cs="Times New Roman" w:eastAsia="Times New Roman" w:hint="default"/>
          <w:spacing w:val="-9"/>
          <w:w w:val="99"/>
        </w:rPr>
        <w:t>2017-100</w:t>
      </w:r>
      <w:r>
        <w:rPr>
          <w:spacing w:val="-9"/>
          <w:w w:val="99"/>
        </w:rPr>
        <w:t>）。</w:t>
      </w:r>
      <w:r>
        <w:rPr>
          <w:spacing w:val="-80"/>
          <w:w w:val="9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年第六次临时股东大会审议通过了《关于公司符合面向合格投资者非公开发行公司债 </w:t>
      </w:r>
      <w:r>
        <w:rPr>
          <w:spacing w:val="-2"/>
        </w:rPr>
        <w:t>券条件的议案》、《关于公司面向合格投资者非公开发行公司债券方案的议案》和《关于提请股东大会授权董事会及其授权</w:t>
      </w:r>
    </w:p>
    <w:p>
      <w:pPr>
        <w:spacing w:after="0" w:line="307" w:lineRule="auto"/>
        <w:jc w:val="righ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both"/>
      </w:pPr>
      <w:r>
        <w:rPr/>
        <w:t>人士全权办理本次面向合格投资者非公开发行公司债券相关事项的议案</w:t>
      </w:r>
      <w:r>
        <w:rPr>
          <w:spacing w:val="-132"/>
        </w:rPr>
        <w:t>》</w:t>
      </w:r>
      <w:r>
        <w:rPr/>
        <w:t>（详见公</w:t>
      </w:r>
      <w:r>
        <w:rPr>
          <w:spacing w:val="1"/>
        </w:rPr>
        <w:t>司</w:t>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18</w:t>
      </w:r>
      <w:r>
        <w:rPr/>
        <w:t>日刊登</w:t>
      </w:r>
      <w:r>
        <w:rPr>
          <w:spacing w:val="-67"/>
        </w:rPr>
        <w:t>在</w:t>
      </w:r>
      <w:r>
        <w:rPr/>
        <w:t>《上海证券报</w:t>
      </w:r>
      <w:r>
        <w:rPr>
          <w:spacing w:val="-67"/>
        </w:rPr>
        <w:t>》</w:t>
      </w:r>
      <w:r>
        <w:rPr/>
        <w:t>、</w:t>
      </w:r>
    </w:p>
    <w:p>
      <w:pPr>
        <w:pStyle w:val="BodyText"/>
        <w:spacing w:line="300" w:lineRule="auto" w:before="63"/>
        <w:ind w:right="1132"/>
        <w:jc w:val="both"/>
      </w:pPr>
      <w:r>
        <w:rPr>
          <w:spacing w:val="-1"/>
        </w:rPr>
        <w:t>《证券时报》、《中国证券报》、《证券日报》和巨潮资讯网（</w:t>
      </w:r>
      <w:hyperlink r:id="rId11">
        <w:r>
          <w:rPr>
            <w:rFonts w:ascii="Times New Roman" w:hAnsi="Times New Roman" w:cs="Times New Roman" w:eastAsia="Times New Roman" w:hint="default"/>
            <w:spacing w:val="-1"/>
          </w:rPr>
          <w:t>www.cninfo.com.cn</w:t>
        </w:r>
      </w:hyperlink>
      <w:r>
        <w:rPr>
          <w:spacing w:val="-1"/>
        </w:rPr>
        <w:t>）上的公告</w:t>
      </w:r>
      <w:r>
        <w:rPr>
          <w:rFonts w:ascii="Times New Roman" w:hAnsi="Times New Roman" w:cs="Times New Roman" w:eastAsia="Times New Roman" w:hint="default"/>
          <w:spacing w:val="-1"/>
        </w:rPr>
        <w:t>“2017</w:t>
      </w:r>
      <w:r>
        <w:rPr>
          <w:spacing w:val="-1"/>
        </w:rPr>
        <w:t>年第六次临时股东大会</w:t>
      </w:r>
      <w:r>
        <w:rPr>
          <w:spacing w:val="-40"/>
        </w:rPr>
        <w:t> </w:t>
      </w:r>
      <w:r>
        <w:rPr/>
        <w:t>决议公告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2017-116</w:t>
      </w:r>
      <w:r>
        <w:rPr/>
        <w:t>）。</w:t>
      </w:r>
    </w:p>
    <w:p>
      <w:pPr>
        <w:pStyle w:val="BodyText"/>
        <w:spacing w:line="300" w:lineRule="auto" w:before="13"/>
        <w:ind w:left="154" w:right="0" w:firstLine="360"/>
        <w:jc w:val="left"/>
      </w:pPr>
      <w:r>
        <w:rPr>
          <w:spacing w:val="-2"/>
        </w:rPr>
        <w:t>报告期内，公司审议通过了非公开发行创新创业公司债券的议案，并于</w:t>
      </w:r>
      <w:r>
        <w:rPr>
          <w:rFonts w:ascii="Times New Roman" w:hAnsi="Times New Roman" w:cs="Times New Roman" w:eastAsia="Times New Roman" w:hint="default"/>
          <w:spacing w:val="-2"/>
        </w:rPr>
        <w:t>2018</w:t>
      </w:r>
      <w:r>
        <w:rPr>
          <w:spacing w:val="-2"/>
        </w:rPr>
        <w:t>年年初取得了深圳证券交易所出具的《关于</w:t>
      </w:r>
      <w:r>
        <w:rPr/>
        <w:t> </w:t>
      </w:r>
      <w:r>
        <w:rPr>
          <w:spacing w:val="-2"/>
        </w:rPr>
        <w:t>江苏爱康科技股份有限公司</w:t>
      </w:r>
      <w:r>
        <w:rPr>
          <w:rFonts w:ascii="Times New Roman" w:hAnsi="Times New Roman" w:cs="Times New Roman" w:eastAsia="Times New Roman" w:hint="default"/>
          <w:spacing w:val="-2"/>
        </w:rPr>
        <w:t>2017</w:t>
      </w:r>
      <w:r>
        <w:rPr>
          <w:spacing w:val="-2"/>
        </w:rPr>
        <w:t>年非公开发行创新创业公司债券符合深交所转让条件的无异议函》（深证函〔</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6</w:t>
      </w:r>
      <w:r>
        <w:rPr>
          <w:spacing w:val="-2"/>
        </w:rPr>
        <w:t>号）。</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right="0"/>
        <w:jc w:val="both"/>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left="514" w:right="1122"/>
        <w:jc w:val="left"/>
      </w:pPr>
      <w:r>
        <w:rPr>
          <w:rFonts w:ascii="Times New Roman" w:hAnsi="Times New Roman" w:cs="Times New Roman" w:eastAsia="Times New Roman" w:hint="default"/>
          <w:b/>
          <w:bCs/>
        </w:rPr>
        <w:t>1</w:t>
      </w:r>
      <w:r>
        <w:rPr>
          <w:rFonts w:ascii="宋体" w:hAnsi="宋体" w:cs="宋体" w:eastAsia="宋体" w:hint="default"/>
          <w:b/>
          <w:bCs/>
        </w:rPr>
        <w:t>、转让金昌清能部分股权</w:t>
      </w:r>
      <w:r>
        <w:rPr>
          <w:rFonts w:ascii="宋体" w:hAnsi="宋体" w:cs="宋体" w:eastAsia="宋体" w:hint="default"/>
          <w:b/>
          <w:bCs/>
          <w:spacing w:val="1"/>
          <w:w w:val="9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29</w:t>
      </w:r>
      <w:r>
        <w:rPr/>
        <w:t>日召开的第三届董事会第二十一次临时会议审议通过了《关于出售金昌清能</w:t>
      </w:r>
      <w:r>
        <w:rPr>
          <w:rFonts w:ascii="Times New Roman" w:hAnsi="Times New Roman" w:cs="Times New Roman" w:eastAsia="Times New Roman" w:hint="default"/>
        </w:rPr>
        <w:t>51%</w:t>
      </w:r>
      <w:r>
        <w:rPr/>
        <w:t>股权的议案》，同</w:t>
      </w:r>
    </w:p>
    <w:p>
      <w:pPr>
        <w:pStyle w:val="BodyText"/>
        <w:spacing w:line="300" w:lineRule="auto" w:before="13"/>
        <w:ind w:right="1040"/>
        <w:jc w:val="left"/>
      </w:pPr>
      <w:r>
        <w:rPr/>
        <w:t>意公司控股子公司苏州中康电力开发有限公司将其全资子公司金昌清能电力有限公司（以下简称</w:t>
      </w:r>
      <w:r>
        <w:rPr>
          <w:rFonts w:ascii="Times New Roman" w:hAnsi="Times New Roman" w:cs="Times New Roman" w:eastAsia="Times New Roman" w:hint="default"/>
        </w:rPr>
        <w:t>“</w:t>
      </w:r>
      <w:r>
        <w:rPr/>
        <w:t>金昌清能</w:t>
      </w:r>
      <w:r>
        <w:rPr>
          <w:rFonts w:ascii="Times New Roman" w:hAnsi="Times New Roman" w:cs="Times New Roman" w:eastAsia="Times New Roman" w:hint="default"/>
        </w:rPr>
        <w:t>”</w:t>
      </w:r>
      <w:r>
        <w:rPr/>
        <w:t>）</w:t>
      </w:r>
      <w:r>
        <w:rPr>
          <w:rFonts w:ascii="Times New Roman" w:hAnsi="Times New Roman" w:cs="Times New Roman" w:eastAsia="Times New Roman" w:hint="default"/>
        </w:rPr>
        <w:t>51%</w:t>
      </w:r>
      <w:r>
        <w:rPr/>
        <w:t>的股权出 售给浙江省水利水电投资集团有限公司，交易金额为</w:t>
      </w:r>
      <w:r>
        <w:rPr>
          <w:rFonts w:ascii="Times New Roman" w:hAnsi="Times New Roman" w:cs="Times New Roman" w:eastAsia="Times New Roman" w:hint="default"/>
        </w:rPr>
        <w:t>17,000</w:t>
      </w:r>
      <w:r>
        <w:rPr/>
        <w:t>万元。交易结束后，公司持有金昌清能</w:t>
      </w:r>
      <w:r>
        <w:rPr>
          <w:rFonts w:ascii="Times New Roman" w:hAnsi="Times New Roman" w:cs="Times New Roman" w:eastAsia="Times New Roman" w:hint="default"/>
        </w:rPr>
        <w:t>49%</w:t>
      </w:r>
      <w:r>
        <w:rPr/>
        <w:t>的股权，金昌清能成 </w:t>
      </w:r>
      <w:r>
        <w:rPr>
          <w:spacing w:val="-2"/>
        </w:rPr>
        <w:t>为公司的参股子公司。（详见公司于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30</w:t>
      </w:r>
      <w:r>
        <w:rPr>
          <w:spacing w:val="-2"/>
        </w:rPr>
        <w:t>日刊登在《上海证券报》、《证券时报》、《中国证券报》、《证券日报》</w:t>
      </w:r>
      <w:r>
        <w:rPr>
          <w:spacing w:val="-62"/>
        </w:rPr>
        <w:t> </w:t>
      </w:r>
      <w:r>
        <w:rPr>
          <w:spacing w:val="-62"/>
        </w:rPr>
      </w:r>
      <w:r>
        <w:rPr>
          <w:spacing w:val="-3"/>
        </w:rPr>
        <w:t>和巨潮资讯网（</w:t>
      </w:r>
      <w:hyperlink r:id="rId11">
        <w:r>
          <w:rPr>
            <w:rFonts w:ascii="Times New Roman" w:hAnsi="Times New Roman" w:cs="Times New Roman" w:eastAsia="Times New Roman" w:hint="default"/>
            <w:spacing w:val="-3"/>
          </w:rPr>
          <w:t>www.cninfo.com.cn</w:t>
        </w:r>
      </w:hyperlink>
      <w:r>
        <w:rPr>
          <w:spacing w:val="-3"/>
        </w:rPr>
        <w:t>）上的公告</w:t>
      </w:r>
      <w:r>
        <w:rPr>
          <w:rFonts w:ascii="Times New Roman" w:hAnsi="Times New Roman" w:cs="Times New Roman" w:eastAsia="Times New Roman" w:hint="default"/>
          <w:spacing w:val="-3"/>
        </w:rPr>
        <w:t>“</w:t>
      </w:r>
      <w:r>
        <w:rPr>
          <w:spacing w:val="-3"/>
        </w:rPr>
        <w:t>关于出售金昌清能</w:t>
      </w:r>
      <w:r>
        <w:rPr>
          <w:rFonts w:ascii="Times New Roman" w:hAnsi="Times New Roman" w:cs="Times New Roman" w:eastAsia="Times New Roman" w:hint="default"/>
          <w:spacing w:val="-3"/>
        </w:rPr>
        <w:t>51%</w:t>
      </w:r>
      <w:r>
        <w:rPr>
          <w:spacing w:val="-3"/>
        </w:rPr>
        <w:t>股权暨推进优化存量电站资产配置的公告</w:t>
      </w:r>
      <w:r>
        <w:rPr>
          <w:rFonts w:ascii="Times New Roman" w:hAnsi="Times New Roman" w:cs="Times New Roman" w:eastAsia="Times New Roman" w:hint="default"/>
          <w:spacing w:val="-3"/>
        </w:rPr>
        <w:t>”</w:t>
      </w:r>
      <w:r>
        <w:rPr>
          <w:spacing w:val="-3"/>
        </w:rPr>
        <w:t>，公告编号：</w:t>
      </w:r>
      <w:r>
        <w:rPr>
          <w:spacing w:val="-45"/>
        </w:rPr>
        <w:t> </w:t>
      </w:r>
      <w:r>
        <w:rPr>
          <w:spacing w:val="-45"/>
        </w:rPr>
      </w:r>
      <w:r>
        <w:rPr>
          <w:rFonts w:ascii="Times New Roman" w:hAnsi="Times New Roman" w:cs="Times New Roman" w:eastAsia="Times New Roman" w:hint="default"/>
        </w:rPr>
        <w:t>2017-173</w:t>
      </w:r>
      <w:r>
        <w:rPr/>
        <w:t>）</w:t>
      </w:r>
    </w:p>
    <w:p>
      <w:pPr>
        <w:pStyle w:val="BodyText"/>
        <w:spacing w:line="300" w:lineRule="auto" w:before="13"/>
        <w:ind w:left="514" w:right="1122"/>
        <w:jc w:val="left"/>
      </w:pPr>
      <w:r>
        <w:rPr>
          <w:rFonts w:ascii="Times New Roman" w:hAnsi="Times New Roman" w:cs="Times New Roman" w:eastAsia="Times New Roman" w:hint="default"/>
          <w:b/>
          <w:bCs/>
        </w:rPr>
        <w:t>2</w:t>
      </w:r>
      <w:r>
        <w:rPr>
          <w:rFonts w:ascii="宋体" w:hAnsi="宋体" w:cs="宋体" w:eastAsia="宋体" w:hint="default"/>
          <w:b/>
          <w:bCs/>
        </w:rPr>
        <w:t>、转让青海蓓翔部分股权</w:t>
      </w:r>
      <w:r>
        <w:rPr>
          <w:rFonts w:ascii="宋体" w:hAnsi="宋体" w:cs="宋体" w:eastAsia="宋体" w:hint="default"/>
          <w:b/>
          <w:bCs/>
          <w:spacing w:val="1"/>
          <w:w w:val="99"/>
        </w:rPr>
        <w:t> </w:t>
      </w:r>
      <w:r>
        <w:rPr/>
        <w:t>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日召开的第三届董事会第二十二次临时会议审议通过了《关于出售青海蓓翔电站的议案》，同意将</w:t>
      </w:r>
    </w:p>
    <w:p>
      <w:pPr>
        <w:pStyle w:val="BodyText"/>
        <w:spacing w:line="300" w:lineRule="auto" w:before="13"/>
        <w:ind w:right="1039"/>
        <w:jc w:val="both"/>
      </w:pPr>
      <w:r>
        <w:rPr>
          <w:spacing w:val="-5"/>
          <w:w w:val="100"/>
        </w:rPr>
        <w:t>持有的青海蓓翔新能源开发有限公司（以下简称</w:t>
      </w:r>
      <w:r>
        <w:rPr>
          <w:rFonts w:ascii="Times New Roman" w:hAnsi="Times New Roman" w:cs="Times New Roman" w:eastAsia="Times New Roman" w:hint="default"/>
          <w:spacing w:val="-5"/>
          <w:w w:val="100"/>
        </w:rPr>
        <w:t>“</w:t>
      </w:r>
      <w:r>
        <w:rPr>
          <w:spacing w:val="-5"/>
          <w:w w:val="100"/>
        </w:rPr>
        <w:t>青海蓓翔</w:t>
      </w:r>
      <w:r>
        <w:rPr>
          <w:rFonts w:ascii="Times New Roman" w:hAnsi="Times New Roman" w:cs="Times New Roman" w:eastAsia="Times New Roman" w:hint="default"/>
          <w:spacing w:val="-5"/>
          <w:w w:val="100"/>
        </w:rPr>
        <w:t>”</w:t>
      </w:r>
      <w:r>
        <w:rPr>
          <w:spacing w:val="-5"/>
          <w:w w:val="100"/>
        </w:rPr>
        <w:t>）</w:t>
      </w:r>
      <w:r>
        <w:rPr>
          <w:rFonts w:ascii="Times New Roman" w:hAnsi="Times New Roman" w:cs="Times New Roman" w:eastAsia="Times New Roman" w:hint="default"/>
          <w:spacing w:val="-5"/>
          <w:w w:val="100"/>
        </w:rPr>
        <w:t>79.99%</w:t>
      </w:r>
      <w:r>
        <w:rPr>
          <w:spacing w:val="-5"/>
          <w:w w:val="100"/>
        </w:rPr>
        <w:t>股权出售给无锡产业聚丰投资合伙企业（有限合伙）（以</w:t>
      </w:r>
      <w:r>
        <w:rPr>
          <w:spacing w:val="-58"/>
          <w:w w:val="100"/>
        </w:rPr>
        <w:t> </w:t>
      </w:r>
      <w:r>
        <w:rPr>
          <w:spacing w:val="-58"/>
          <w:w w:val="100"/>
        </w:rPr>
      </w:r>
      <w:r>
        <w:rPr/>
        <w:t>下简称</w:t>
      </w:r>
      <w:r>
        <w:rPr>
          <w:rFonts w:ascii="Times New Roman" w:hAnsi="Times New Roman" w:cs="Times New Roman" w:eastAsia="Times New Roman" w:hint="default"/>
        </w:rPr>
        <w:t>“</w:t>
      </w:r>
      <w:r>
        <w:rPr/>
        <w:t>无锡聚丰</w:t>
      </w:r>
      <w:r>
        <w:rPr>
          <w:rFonts w:ascii="Times New Roman" w:hAnsi="Times New Roman" w:cs="Times New Roman" w:eastAsia="Times New Roman" w:hint="default"/>
        </w:rPr>
        <w:t>”</w:t>
      </w:r>
      <w:r>
        <w:rPr/>
        <w:t>），将其持有的青海蓓翔的剩余</w:t>
      </w:r>
      <w:r>
        <w:rPr>
          <w:rFonts w:ascii="Times New Roman" w:hAnsi="Times New Roman" w:cs="Times New Roman" w:eastAsia="Times New Roman" w:hint="default"/>
        </w:rPr>
        <w:t>0.01%</w:t>
      </w:r>
      <w:r>
        <w:rPr/>
        <w:t>股权转让给魏高远，合计交易金额约为</w:t>
      </w:r>
      <w:r>
        <w:rPr>
          <w:rFonts w:ascii="Times New Roman" w:hAnsi="Times New Roman" w:cs="Times New Roman" w:eastAsia="Times New Roman" w:hint="default"/>
        </w:rPr>
        <w:t>32,273</w:t>
      </w:r>
      <w:r>
        <w:rPr/>
        <w:t>万元。同时，青海蓓</w:t>
      </w:r>
      <w:r>
        <w:rPr>
          <w:spacing w:val="-40"/>
        </w:rPr>
        <w:t> </w:t>
      </w:r>
      <w:r>
        <w:rPr/>
        <w:t>翔另一股东熊元福先生将其持有的青海蓓翔</w:t>
      </w:r>
      <w:r>
        <w:rPr>
          <w:rFonts w:ascii="Times New Roman" w:hAnsi="Times New Roman" w:cs="Times New Roman" w:eastAsia="Times New Roman" w:hint="default"/>
        </w:rPr>
        <w:t>20%</w:t>
      </w:r>
      <w:r>
        <w:rPr/>
        <w:t>的股权将出售给无锡聚丰。交易完成后，青海蓓翔将不再是公司合并报表范 围内的子公司。（详见公司于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日刊登在《上海证券报》、《证券时报》、《中国证券报》、《证券日报》和巨</w:t>
      </w:r>
      <w:r>
        <w:rPr>
          <w:spacing w:val="-83"/>
        </w:rPr>
        <w:t> </w:t>
      </w:r>
      <w:r>
        <w:rPr>
          <w:spacing w:val="-83"/>
        </w:rPr>
      </w:r>
      <w:r>
        <w:rPr>
          <w:spacing w:val="-5"/>
          <w:w w:val="99"/>
        </w:rPr>
        <w:t>潮资讯网（</w:t>
      </w:r>
      <w:hyperlink r:id="rId11">
        <w:r>
          <w:rPr>
            <w:rFonts w:ascii="Times New Roman" w:hAnsi="Times New Roman" w:cs="Times New Roman" w:eastAsia="Times New Roman" w:hint="default"/>
            <w:spacing w:val="-5"/>
            <w:w w:val="99"/>
          </w:rPr>
          <w:t>www.cninfo.com.cn</w:t>
        </w:r>
      </w:hyperlink>
      <w:r>
        <w:rPr>
          <w:spacing w:val="-5"/>
          <w:w w:val="99"/>
        </w:rPr>
        <w:t>）上的公告</w:t>
      </w:r>
      <w:r>
        <w:rPr>
          <w:rFonts w:ascii="Times New Roman" w:hAnsi="Times New Roman" w:cs="Times New Roman" w:eastAsia="Times New Roman" w:hint="default"/>
          <w:spacing w:val="-5"/>
          <w:w w:val="99"/>
        </w:rPr>
        <w:t>“</w:t>
      </w:r>
      <w:r>
        <w:rPr>
          <w:spacing w:val="-5"/>
          <w:w w:val="99"/>
        </w:rPr>
        <w:t>关于出售青海蓓翔电站暨推进优化存量电站资产配置的公告</w:t>
      </w:r>
      <w:r>
        <w:rPr>
          <w:rFonts w:ascii="Times New Roman" w:hAnsi="Times New Roman" w:cs="Times New Roman" w:eastAsia="Times New Roman" w:hint="default"/>
          <w:spacing w:val="-5"/>
          <w:w w:val="99"/>
        </w:rPr>
        <w:t>”</w:t>
      </w:r>
      <w:r>
        <w:rPr>
          <w:spacing w:val="-5"/>
          <w:w w:val="99"/>
        </w:rPr>
        <w:t>，公告编号：</w:t>
      </w:r>
      <w:r>
        <w:rPr>
          <w:rFonts w:ascii="Times New Roman" w:hAnsi="Times New Roman" w:cs="Times New Roman" w:eastAsia="Times New Roman" w:hint="default"/>
          <w:spacing w:val="-5"/>
          <w:w w:val="99"/>
        </w:rPr>
        <w:t>2017-134</w:t>
      </w:r>
      <w:r>
        <w:rPr>
          <w:spacing w:val="-5"/>
          <w:w w:val="99"/>
        </w:rPr>
        <w:t>）</w:t>
      </w:r>
    </w:p>
    <w:p>
      <w:pPr>
        <w:spacing w:line="300" w:lineRule="auto" w:before="13"/>
        <w:ind w:left="514" w:right="1122"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、转让新疆慧诚</w:t>
      </w:r>
      <w:r>
        <w:rPr>
          <w:rFonts w:ascii="Times New Roman" w:hAnsi="Times New Roman" w:cs="Times New Roman" w:eastAsia="Times New Roman" w:hint="default"/>
          <w:b/>
          <w:bCs/>
          <w:sz w:val="18"/>
          <w:szCs w:val="18"/>
        </w:rPr>
        <w:t>100%</w:t>
      </w:r>
      <w:r>
        <w:rPr>
          <w:rFonts w:ascii="宋体" w:hAnsi="宋体" w:cs="宋体" w:eastAsia="宋体" w:hint="default"/>
          <w:b/>
          <w:bCs/>
          <w:sz w:val="18"/>
          <w:szCs w:val="18"/>
        </w:rPr>
        <w:t>股权</w:t>
      </w:r>
      <w:r>
        <w:rPr>
          <w:rFonts w:ascii="宋体" w:hAnsi="宋体" w:cs="宋体" w:eastAsia="宋体" w:hint="default"/>
          <w:b/>
          <w:bCs/>
          <w:spacing w:val="1"/>
          <w:w w:val="99"/>
          <w:sz w:val="18"/>
          <w:szCs w:val="18"/>
        </w:rPr>
        <w:t> </w:t>
      </w:r>
      <w:r>
        <w:rPr>
          <w:rFonts w:ascii="宋体" w:hAnsi="宋体" w:cs="宋体" w:eastAsia="宋体" w:hint="default"/>
          <w:spacing w:val="-2"/>
          <w:sz w:val="18"/>
          <w:szCs w:val="18"/>
        </w:rPr>
        <w:t>公司于</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日召开的第三届董事会第二十七次临时会议审议通过了《关于转让全资子公司股权的议案》，同意</w:t>
      </w:r>
    </w:p>
    <w:p>
      <w:pPr>
        <w:pStyle w:val="BodyText"/>
        <w:spacing w:line="300" w:lineRule="auto" w:before="13"/>
        <w:ind w:right="1130"/>
        <w:jc w:val="both"/>
      </w:pPr>
      <w:r>
        <w:rPr/>
        <w:t>将持有的新疆爱康慧诚信息技术有限公司（以下简称</w:t>
      </w:r>
      <w:r>
        <w:rPr>
          <w:rFonts w:ascii="Times New Roman" w:hAnsi="Times New Roman" w:cs="Times New Roman" w:eastAsia="Times New Roman" w:hint="default"/>
        </w:rPr>
        <w:t>“</w:t>
      </w:r>
      <w:r>
        <w:rPr/>
        <w:t>新疆慧诚</w:t>
      </w:r>
      <w:r>
        <w:rPr>
          <w:rFonts w:ascii="Times New Roman" w:hAnsi="Times New Roman" w:cs="Times New Roman" w:eastAsia="Times New Roman" w:hint="default"/>
        </w:rPr>
        <w:t>”</w:t>
      </w:r>
      <w:r>
        <w:rPr/>
        <w:t>）</w:t>
      </w:r>
      <w:r>
        <w:rPr>
          <w:rFonts w:ascii="Times New Roman" w:hAnsi="Times New Roman" w:cs="Times New Roman" w:eastAsia="Times New Roman" w:hint="default"/>
        </w:rPr>
        <w:t>100%</w:t>
      </w:r>
      <w:r>
        <w:rPr/>
        <w:t>的股权转让给新疆汇达捷创业投资有限公司，转让</w:t>
      </w:r>
      <w:r>
        <w:rPr>
          <w:spacing w:val="-42"/>
        </w:rPr>
        <w:t> </w:t>
      </w:r>
      <w:r>
        <w:rPr>
          <w:spacing w:val="-42"/>
        </w:rPr>
      </w:r>
      <w:r>
        <w:rPr/>
        <w:t>价格为人民币</w:t>
      </w:r>
      <w:r>
        <w:rPr>
          <w:rFonts w:ascii="Times New Roman" w:hAnsi="Times New Roman" w:cs="Times New Roman" w:eastAsia="Times New Roman" w:hint="default"/>
        </w:rPr>
        <w:t>6,000</w:t>
      </w:r>
      <w:r>
        <w:rPr/>
        <w:t>万元。（详见公司于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日刊登在《上海证券报》、《证券时报》、《中国证券报》、《证券</w:t>
      </w:r>
      <w:r>
        <w:rPr>
          <w:spacing w:val="-47"/>
        </w:rPr>
        <w:t> </w:t>
      </w:r>
      <w:r>
        <w:rPr>
          <w:spacing w:val="-47"/>
        </w:rPr>
      </w:r>
      <w:r>
        <w:rPr/>
        <w:t>日报》和巨潮资讯网（</w:t>
      </w:r>
      <w:hyperlink r:id="rId11">
        <w:r>
          <w:rPr>
            <w:rFonts w:ascii="Times New Roman" w:hAnsi="Times New Roman" w:cs="Times New Roman" w:eastAsia="Times New Roman" w:hint="default"/>
          </w:rPr>
          <w:t>www.cninfo.com.cn</w:t>
        </w:r>
      </w:hyperlink>
      <w:r>
        <w:rPr/>
        <w:t>）上的公告</w:t>
      </w:r>
      <w:r>
        <w:rPr>
          <w:rFonts w:ascii="Times New Roman" w:hAnsi="Times New Roman" w:cs="Times New Roman" w:eastAsia="Times New Roman" w:hint="default"/>
        </w:rPr>
        <w:t>“</w:t>
      </w:r>
      <w:r>
        <w:rPr/>
        <w:t>关于转让全资子公司股权的公告</w:t>
      </w:r>
      <w:r>
        <w:rPr>
          <w:rFonts w:ascii="Times New Roman" w:hAnsi="Times New Roman" w:cs="Times New Roman" w:eastAsia="Times New Roman" w:hint="default"/>
        </w:rPr>
        <w:t>”</w:t>
      </w:r>
      <w:r>
        <w:rPr/>
        <w:t>，公告编号：</w:t>
      </w:r>
      <w:r>
        <w:rPr>
          <w:rFonts w:ascii="Times New Roman" w:hAnsi="Times New Roman" w:cs="Times New Roman" w:eastAsia="Times New Roman" w:hint="default"/>
        </w:rPr>
        <w:t>2017-173</w:t>
      </w:r>
      <w:r>
        <w:rPr/>
        <w:t>）</w:t>
      </w:r>
    </w:p>
    <w:p>
      <w:pPr>
        <w:spacing w:after="0" w:line="30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5" w:right="1122"/>
        <w:jc w:val="left"/>
        <w:rPr>
          <w:b w:val="0"/>
          <w:bCs w:val="0"/>
        </w:rPr>
      </w:pPr>
      <w:bookmarkStart w:name="第六节 股份变动及股东情况" w:id="105"/>
      <w:bookmarkEnd w:id="105"/>
      <w:r>
        <w:rPr>
          <w:b w:val="0"/>
          <w:bCs w:val="0"/>
        </w:rPr>
      </w:r>
      <w:bookmarkStart w:name="_bookmark5" w:id="106"/>
      <w:bookmarkEnd w:id="106"/>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5"/>
        <w:gridCol w:w="1146"/>
        <w:gridCol w:w="709"/>
        <w:gridCol w:w="567"/>
        <w:gridCol w:w="568"/>
        <w:gridCol w:w="708"/>
        <w:gridCol w:w="1276"/>
        <w:gridCol w:w="1276"/>
        <w:gridCol w:w="1123"/>
        <w:gridCol w:w="794"/>
      </w:tblGrid>
      <w:tr>
        <w:trPr>
          <w:trHeight w:val="40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3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0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68" w:right="78" w:hanging="90"/>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7"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08"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14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一、有限售条件股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1,695,236,600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263,461,000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1,695,236,600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263,461,000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其中：境内法人持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1,590,861,600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35.42%</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3.54%</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104,375,000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104,375,000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2.33%</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其中：境外法人持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二、无限售条件股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2,795,625,000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4,227,400,600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94.13%</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2,795,625,000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62.25%</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1,431,775,600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4,227,400,600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94.13%</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left="154" w:right="1122"/>
        <w:jc w:val="left"/>
      </w:pPr>
      <w:r>
        <w:rPr/>
        <w:t>股份变动的原因</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right="1122"/>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日，公司</w:t>
      </w:r>
      <w:r>
        <w:rPr>
          <w:rFonts w:ascii="Times New Roman" w:hAnsi="Times New Roman" w:cs="Times New Roman" w:eastAsia="Times New Roman" w:hint="default"/>
        </w:rPr>
        <w:t>2015</w:t>
      </w:r>
      <w:r>
        <w:rPr/>
        <w:t>年非公开发行股份</w:t>
      </w:r>
      <w:r>
        <w:rPr>
          <w:rFonts w:ascii="Times New Roman" w:hAnsi="Times New Roman" w:cs="Times New Roman" w:eastAsia="Times New Roman" w:hint="default"/>
        </w:rPr>
        <w:t>397,715,400</w:t>
      </w:r>
      <w:r>
        <w:rPr/>
        <w:t>股登记上市，除控股股东江苏爱康实业集团有限公司认购的</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39,771,500</w:t>
      </w:r>
      <w:r>
        <w:rPr/>
        <w:t>股在发行结束之日起</w:t>
      </w:r>
      <w:r>
        <w:rPr>
          <w:rFonts w:ascii="Times New Roman" w:hAnsi="Times New Roman" w:cs="Times New Roman" w:eastAsia="Times New Roman" w:hint="default"/>
        </w:rPr>
        <w:t>36</w:t>
      </w:r>
      <w:r>
        <w:rPr/>
        <w:t>个月内不得转让，其他发行对象所认购的股份自发行结束之日起</w:t>
      </w:r>
      <w:r>
        <w:rPr>
          <w:rFonts w:ascii="Times New Roman" w:hAnsi="Times New Roman" w:cs="Times New Roman" w:eastAsia="Times New Roman" w:hint="default"/>
        </w:rPr>
        <w:t>12</w:t>
      </w:r>
      <w:r>
        <w:rPr/>
        <w:t>个月内不得转让。公司</w:t>
      </w:r>
    </w:p>
    <w:p>
      <w:pPr>
        <w:pStyle w:val="BodyText"/>
        <w:spacing w:line="300" w:lineRule="auto" w:before="63"/>
        <w:ind w:right="1042"/>
        <w:jc w:val="left"/>
      </w:pPr>
      <w:r>
        <w:rPr>
          <w:rFonts w:ascii="Times New Roman" w:hAnsi="Times New Roman" w:cs="Times New Roman" w:eastAsia="Times New Roman" w:hint="default"/>
          <w:spacing w:val="-3"/>
        </w:rPr>
        <w:t>2016</w:t>
      </w:r>
      <w:r>
        <w:rPr>
          <w:spacing w:val="-3"/>
        </w:rPr>
        <w:t>年半年度利润分配方案完成后，总股本为</w:t>
      </w:r>
      <w:r>
        <w:rPr>
          <w:rFonts w:ascii="Times New Roman" w:hAnsi="Times New Roman" w:cs="Times New Roman" w:eastAsia="Times New Roman" w:hint="default"/>
          <w:spacing w:val="-3"/>
        </w:rPr>
        <w:t>4,490,861,600</w:t>
      </w:r>
      <w:r>
        <w:rPr>
          <w:spacing w:val="-3"/>
        </w:rPr>
        <w:t>股。其他发行对象合计</w:t>
      </w:r>
      <w:r>
        <w:rPr>
          <w:rFonts w:ascii="Times New Roman" w:hAnsi="Times New Roman" w:cs="Times New Roman" w:eastAsia="Times New Roman" w:hint="default"/>
          <w:spacing w:val="-3"/>
        </w:rPr>
        <w:t>1,431,775,600</w:t>
      </w:r>
      <w:r>
        <w:rPr>
          <w:spacing w:val="-3"/>
        </w:rPr>
        <w:t>股于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23</w:t>
      </w:r>
      <w:r>
        <w:rPr>
          <w:spacing w:val="-3"/>
        </w:rPr>
        <w:t>日流通上市，</w:t>
      </w:r>
      <w:r>
        <w:rPr>
          <w:spacing w:val="-45"/>
        </w:rPr>
        <w:t> </w:t>
      </w:r>
      <w:r>
        <w:rPr>
          <w:spacing w:val="-45"/>
        </w:rPr>
      </w:r>
      <w:r>
        <w:rPr/>
        <w:t>详见公司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22</w:t>
      </w:r>
      <w:r>
        <w:rPr/>
        <w:t>披露的公告（公告编号</w:t>
      </w:r>
      <w:r>
        <w:rPr>
          <w:rFonts w:ascii="Times New Roman" w:hAnsi="Times New Roman" w:cs="Times New Roman" w:eastAsia="Times New Roman" w:hint="default"/>
        </w:rPr>
        <w:t>2017-34</w:t>
      </w:r>
      <w:r>
        <w:rPr/>
        <w:t>）</w:t>
      </w:r>
    </w:p>
    <w:p>
      <w:pPr>
        <w:pStyle w:val="BodyText"/>
        <w:spacing w:line="240" w:lineRule="auto" w:before="53"/>
        <w:ind w:left="154" w:right="1122"/>
        <w:jc w:val="left"/>
      </w:pPr>
      <w:r>
        <w:rPr/>
        <w:t>股份变动的批准情况</w:t>
      </w:r>
    </w:p>
    <w:p>
      <w:pPr>
        <w:pStyle w:val="BodyText"/>
        <w:spacing w:line="338" w:lineRule="auto" w:before="117"/>
        <w:ind w:right="9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股份变动的过户情况</w:t>
      </w:r>
    </w:p>
    <w:p>
      <w:pPr>
        <w:pStyle w:val="BodyText"/>
        <w:spacing w:line="340" w:lineRule="auto" w:before="42"/>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0"/>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公司认为必要或证券监管机构要求披露的其他内容</w:t>
      </w:r>
    </w:p>
    <w:p>
      <w:pPr>
        <w:pStyle w:val="BodyText"/>
        <w:spacing w:line="240" w:lineRule="auto" w:before="43"/>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62"/>
        <w:gridCol w:w="1134"/>
        <w:gridCol w:w="1134"/>
        <w:gridCol w:w="708"/>
        <w:gridCol w:w="600"/>
        <w:gridCol w:w="1367"/>
        <w:gridCol w:w="1367"/>
      </w:tblGrid>
      <w:tr>
        <w:trPr>
          <w:trHeight w:val="1025"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71" w:right="111" w:hanging="361"/>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 w:right="78"/>
              <w:jc w:val="both"/>
              <w:rPr>
                <w:rFonts w:ascii="宋体" w:hAnsi="宋体" w:cs="宋体" w:eastAsia="宋体" w:hint="default"/>
                <w:sz w:val="18"/>
                <w:szCs w:val="18"/>
              </w:rPr>
            </w:pPr>
            <w:r>
              <w:rPr>
                <w:rFonts w:ascii="宋体" w:hAnsi="宋体" w:cs="宋体" w:eastAsia="宋体" w:hint="default"/>
                <w:sz w:val="18"/>
                <w:szCs w:val="18"/>
              </w:rPr>
              <w:t>本期增 加限售 股数</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期末限 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建信基金－兴业银行－华鑫国际信托－ 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号结构化集合资金 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北信瑞丰基金－宁波银行－华鑫国际信 托有限公司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国寿安保基金－渤海银行－华鑫国际信 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号结构化集合 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信诚基金－中信银行－华鑫国际信托－ 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号结构化集合资金 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天治基金－浦发银行－天治－诚品定增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210,591,600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210,591,600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金元百利资产－宁波银行－金元百利爱 康定增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号专项资产管理计划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161,989,600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161,989,600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107"/>
              <w:jc w:val="both"/>
              <w:rPr>
                <w:rFonts w:ascii="宋体" w:hAnsi="宋体" w:cs="宋体" w:eastAsia="宋体" w:hint="default"/>
                <w:sz w:val="18"/>
                <w:szCs w:val="18"/>
              </w:rPr>
            </w:pPr>
            <w:r>
              <w:rPr>
                <w:rFonts w:ascii="宋体" w:hAnsi="宋体" w:cs="宋体" w:eastAsia="宋体" w:hint="default"/>
                <w:sz w:val="18"/>
                <w:szCs w:val="18"/>
              </w:rPr>
              <w:t>申万菱信基金－光大银行－陕西省国际 信托－陕国投</w:t>
            </w:r>
            <w:r>
              <w:rPr>
                <w:rFonts w:ascii="Times New Roman" w:hAnsi="Times New Roman" w:cs="Times New Roman" w:eastAsia="Times New Roman" w:hint="default"/>
                <w:sz w:val="18"/>
                <w:szCs w:val="18"/>
              </w:rPr>
              <w:t>·</w:t>
            </w:r>
            <w:r>
              <w:rPr>
                <w:rFonts w:ascii="宋体" w:hAnsi="宋体" w:cs="宋体" w:eastAsia="宋体" w:hint="default"/>
                <w:sz w:val="18"/>
                <w:szCs w:val="18"/>
              </w:rPr>
              <w:t>财富尊享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号定向投资集 合资金信托计划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175,700,800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175,700,800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7"/>
              <w:jc w:val="left"/>
              <w:rPr>
                <w:rFonts w:ascii="宋体" w:hAnsi="宋体" w:cs="宋体" w:eastAsia="宋体" w:hint="default"/>
                <w:sz w:val="18"/>
                <w:szCs w:val="18"/>
              </w:rPr>
            </w:pPr>
            <w:r>
              <w:rPr>
                <w:rFonts w:ascii="宋体" w:hAnsi="宋体" w:cs="宋体" w:eastAsia="宋体" w:hint="default"/>
                <w:sz w:val="18"/>
                <w:szCs w:val="18"/>
              </w:rPr>
              <w:t>深圳天风天成资产管理有限公司－天成 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247,149,600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247,149,600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公司非公开发行 股票认购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1,431,775,600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1,431,775,600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122"/>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22"/>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291"/>
        <w:gridCol w:w="708"/>
        <w:gridCol w:w="175"/>
        <w:gridCol w:w="879"/>
        <w:gridCol w:w="339"/>
        <w:gridCol w:w="735"/>
        <w:gridCol w:w="438"/>
        <w:gridCol w:w="553"/>
        <w:gridCol w:w="667"/>
        <w:gridCol w:w="467"/>
        <w:gridCol w:w="706"/>
        <w:gridCol w:w="145"/>
        <w:gridCol w:w="1062"/>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230,214</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245,466</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5"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225" w:type="dxa"/>
            <w:gridSpan w:val="2"/>
            <w:vMerge w:val="restart"/>
            <w:tcBorders>
              <w:top w:val="single" w:sz="4" w:space="0" w:color="000000"/>
              <w:left w:val="single" w:sz="4" w:space="0" w:color="000000"/>
              <w:right w:val="single" w:sz="4" w:space="0" w:color="FFFFFF"/>
            </w:tcBorders>
            <w:shd w:val="clear" w:color="auto" w:fill="D2D2D2"/>
          </w:tcPr>
          <w:p>
            <w:pPr/>
          </w:p>
        </w:tc>
        <w:tc>
          <w:tcPr>
            <w:tcW w:w="708" w:type="dxa"/>
            <w:tcBorders>
              <w:top w:val="single" w:sz="4" w:space="0" w:color="000000"/>
              <w:left w:val="single" w:sz="4" w:space="0" w:color="FFFFFF"/>
              <w:bottom w:val="nil" w:sz="6" w:space="0" w:color="auto"/>
              <w:right w:val="single" w:sz="4" w:space="0" w:color="000000"/>
            </w:tcBorders>
            <w:shd w:val="clear" w:color="auto" w:fill="D2D2D2"/>
          </w:tcPr>
          <w:p>
            <w:pPr/>
          </w:p>
        </w:tc>
        <w:tc>
          <w:tcPr>
            <w:tcW w:w="105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40" w:right="38"/>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111" w:right="11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5" w:type="dxa"/>
            <w:gridSpan w:val="2"/>
            <w:vMerge/>
            <w:tcBorders>
              <w:left w:val="single" w:sz="4" w:space="0" w:color="000000"/>
              <w:bottom w:val="nil" w:sz="6" w:space="0" w:color="auto"/>
              <w:right w:val="single" w:sz="4" w:space="0" w:color="FFFFFF"/>
            </w:tcBorders>
            <w:shd w:val="clear" w:color="auto" w:fill="D2D2D2"/>
          </w:tcPr>
          <w:p>
            <w:pPr/>
          </w:p>
        </w:tc>
        <w:tc>
          <w:tcPr>
            <w:tcW w:w="708" w:type="dxa"/>
            <w:vMerge w:val="restart"/>
            <w:tcBorders>
              <w:top w:val="nil" w:sz="6" w:space="0" w:color="auto"/>
              <w:left w:val="single" w:sz="4" w:space="0" w:color="FFFFFF"/>
              <w:right w:val="single" w:sz="4" w:space="0" w:color="000000"/>
            </w:tcBorders>
            <w:shd w:val="clear" w:color="auto" w:fill="D2D2D2"/>
          </w:tcPr>
          <w:p>
            <w:pPr>
              <w:pStyle w:val="TableParagraph"/>
              <w:spacing w:line="316" w:lineRule="auto" w:before="51"/>
              <w:ind w:left="257"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105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50" w:right="7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7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25" w:type="dxa"/>
            <w:gridSpan w:val="2"/>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8" w:type="dxa"/>
            <w:vMerge/>
            <w:tcBorders>
              <w:left w:val="single" w:sz="4" w:space="0" w:color="FFFFFF"/>
              <w:right w:val="single" w:sz="4" w:space="0" w:color="000000"/>
            </w:tcBorders>
            <w:shd w:val="clear" w:color="auto" w:fill="D2D2D2"/>
          </w:tcPr>
          <w:p>
            <w:pPr/>
          </w:p>
        </w:tc>
        <w:tc>
          <w:tcPr>
            <w:tcW w:w="1054" w:type="dxa"/>
            <w:gridSpan w:val="2"/>
            <w:vMerge/>
            <w:tcBorders>
              <w:left w:val="single" w:sz="4" w:space="0" w:color="000000"/>
              <w:right w:val="single" w:sz="4" w:space="0" w:color="000000"/>
            </w:tcBorders>
            <w:shd w:val="clear" w:color="auto" w:fill="D2D2D2"/>
          </w:tcPr>
          <w:p>
            <w:pPr/>
          </w:p>
        </w:tc>
        <w:tc>
          <w:tcPr>
            <w:tcW w:w="107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1913"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225" w:type="dxa"/>
            <w:gridSpan w:val="2"/>
            <w:vMerge/>
            <w:tcBorders>
              <w:left w:val="single" w:sz="4" w:space="0" w:color="000000"/>
              <w:bottom w:val="nil" w:sz="6" w:space="0" w:color="auto"/>
              <w:right w:val="single" w:sz="4" w:space="0" w:color="FFFFFF"/>
            </w:tcBorders>
            <w:shd w:val="clear" w:color="auto" w:fill="D2D2D2"/>
          </w:tcPr>
          <w:p>
            <w:pPr/>
          </w:p>
        </w:tc>
        <w:tc>
          <w:tcPr>
            <w:tcW w:w="708" w:type="dxa"/>
            <w:vMerge/>
            <w:tcBorders>
              <w:left w:val="single" w:sz="4" w:space="0" w:color="FFFFFF"/>
              <w:right w:val="single" w:sz="4" w:space="0" w:color="000000"/>
            </w:tcBorders>
            <w:shd w:val="clear" w:color="auto" w:fill="D2D2D2"/>
          </w:tcPr>
          <w:p>
            <w:pPr/>
          </w:p>
        </w:tc>
        <w:tc>
          <w:tcPr>
            <w:tcW w:w="1054" w:type="dxa"/>
            <w:gridSpan w:val="2"/>
            <w:vMerge/>
            <w:tcBorders>
              <w:left w:val="single" w:sz="4" w:space="0" w:color="000000"/>
              <w:right w:val="single" w:sz="4" w:space="0" w:color="000000"/>
            </w:tcBorders>
            <w:shd w:val="clear" w:color="auto" w:fill="D2D2D2"/>
          </w:tcPr>
          <w:p>
            <w:pPr/>
          </w:p>
        </w:tc>
        <w:tc>
          <w:tcPr>
            <w:tcW w:w="1074"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225" w:type="dxa"/>
            <w:gridSpan w:val="2"/>
            <w:vMerge w:val="restart"/>
            <w:tcBorders>
              <w:top w:val="nil" w:sz="6" w:space="0" w:color="auto"/>
              <w:left w:val="single" w:sz="4" w:space="0" w:color="000000"/>
              <w:right w:val="single" w:sz="4" w:space="0" w:color="FFFFFF"/>
            </w:tcBorders>
            <w:shd w:val="clear" w:color="auto" w:fill="D2D2D2"/>
          </w:tcPr>
          <w:p>
            <w:pPr/>
          </w:p>
        </w:tc>
        <w:tc>
          <w:tcPr>
            <w:tcW w:w="708" w:type="dxa"/>
            <w:vMerge/>
            <w:tcBorders>
              <w:left w:val="single" w:sz="4" w:space="0" w:color="FFFFFF"/>
              <w:bottom w:val="nil" w:sz="6" w:space="0" w:color="auto"/>
              <w:right w:val="single" w:sz="4" w:space="0" w:color="000000"/>
            </w:tcBorders>
            <w:shd w:val="clear" w:color="auto" w:fill="D2D2D2"/>
          </w:tcPr>
          <w:p>
            <w:pPr/>
          </w:p>
        </w:tc>
        <w:tc>
          <w:tcPr>
            <w:tcW w:w="1054" w:type="dxa"/>
            <w:gridSpan w:val="2"/>
            <w:vMerge/>
            <w:tcBorders>
              <w:left w:val="single" w:sz="4" w:space="0" w:color="000000"/>
              <w:bottom w:val="nil" w:sz="6" w:space="0" w:color="auto"/>
              <w:right w:val="single" w:sz="4" w:space="0" w:color="000000"/>
            </w:tcBorders>
            <w:shd w:val="clear" w:color="auto" w:fill="D2D2D2"/>
          </w:tcPr>
          <w:p>
            <w:pPr/>
          </w:p>
        </w:tc>
        <w:tc>
          <w:tcPr>
            <w:tcW w:w="1074"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062"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225" w:type="dxa"/>
            <w:gridSpan w:val="2"/>
            <w:vMerge/>
            <w:tcBorders>
              <w:left w:val="single" w:sz="4" w:space="0" w:color="000000"/>
              <w:bottom w:val="single" w:sz="4" w:space="0" w:color="000000"/>
              <w:right w:val="single" w:sz="4" w:space="0" w:color="FFFFFF"/>
            </w:tcBorders>
            <w:shd w:val="clear" w:color="auto" w:fill="D2D2D2"/>
          </w:tcPr>
          <w:p>
            <w:pPr/>
          </w:p>
        </w:tc>
        <w:tc>
          <w:tcPr>
            <w:tcW w:w="708" w:type="dxa"/>
            <w:tcBorders>
              <w:top w:val="nil" w:sz="6" w:space="0" w:color="auto"/>
              <w:left w:val="single" w:sz="4" w:space="0" w:color="FFFFFF"/>
              <w:bottom w:val="single" w:sz="4" w:space="0" w:color="000000"/>
              <w:right w:val="single" w:sz="4" w:space="0" w:color="000000"/>
            </w:tcBorders>
            <w:shd w:val="clear" w:color="auto" w:fill="D2D2D2"/>
          </w:tcPr>
          <w:p>
            <w:pPr/>
          </w:p>
        </w:tc>
        <w:tc>
          <w:tcPr>
            <w:tcW w:w="105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江苏爱康实业集 团有限公司</w:t>
            </w:r>
          </w:p>
        </w:tc>
        <w:tc>
          <w:tcPr>
            <w:tcW w:w="1225" w:type="dxa"/>
            <w:gridSpan w:val="2"/>
            <w:tcBorders>
              <w:top w:val="single" w:sz="4" w:space="0" w:color="000000"/>
              <w:left w:val="single" w:sz="4" w:space="0" w:color="000000"/>
              <w:bottom w:val="single" w:sz="4" w:space="0" w:color="000000"/>
              <w:right w:val="single" w:sz="4" w:space="0" w:color="FFFFFF"/>
            </w:tcBorders>
          </w:tcPr>
          <w:p>
            <w:pPr>
              <w:pStyle w:val="TableParagraph"/>
              <w:spacing w:line="316" w:lineRule="auto" w:before="51"/>
              <w:ind w:left="22" w:right="110"/>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15.66%</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703,082,000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159,086,000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543,996,000</w:t>
            </w:r>
          </w:p>
        </w:tc>
        <w:tc>
          <w:tcPr>
            <w:tcW w:w="851"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662,746,000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爱康国际控股有 限公司</w:t>
            </w:r>
          </w:p>
        </w:tc>
        <w:tc>
          <w:tcPr>
            <w:tcW w:w="122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5.25%</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235,920,200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-220028800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235,920,200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235,920,000</w:t>
            </w:r>
          </w:p>
        </w:tc>
      </w:tr>
      <w:tr>
        <w:trPr>
          <w:trHeight w:val="196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国寿安保基金－ 渤海银行－华鑫 国际信托－华鑫 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60 </w:t>
            </w:r>
            <w:r>
              <w:rPr>
                <w:rFonts w:ascii="宋体" w:hAnsi="宋体" w:cs="宋体" w:eastAsia="宋体" w:hint="default"/>
                <w:sz w:val="18"/>
                <w:szCs w:val="18"/>
              </w:rPr>
              <w:t>号结构化集合资 金信托计划</w:t>
            </w:r>
          </w:p>
        </w:tc>
        <w:tc>
          <w:tcPr>
            <w:tcW w:w="122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3.54%</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159,086,000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00" w:right="0"/>
              <w:jc w:val="left"/>
              <w:rPr>
                <w:rFonts w:ascii="Times New Roman" w:hAnsi="Times New Roman" w:cs="Times New Roman" w:eastAsia="Times New Roman" w:hint="default"/>
                <w:sz w:val="18"/>
                <w:szCs w:val="18"/>
              </w:rPr>
            </w:pPr>
            <w:r>
              <w:rPr>
                <w:rFonts w:ascii="Times New Roman"/>
                <w:sz w:val="18"/>
              </w:rPr>
              <w:t>159,086,000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北信瑞丰基金－ 宁波银行－华鑫 国际信托有限公</w:t>
            </w:r>
          </w:p>
        </w:tc>
        <w:tc>
          <w:tcPr>
            <w:tcW w:w="1225" w:type="dxa"/>
            <w:gridSpan w:val="2"/>
            <w:tcBorders>
              <w:top w:val="single" w:sz="4" w:space="0" w:color="000000"/>
              <w:left w:val="single" w:sz="4" w:space="0" w:color="000000"/>
              <w:bottom w:val="single" w:sz="4" w:space="0" w:color="000000"/>
              <w:right w:val="single" w:sz="4" w:space="0" w:color="FFFFFF"/>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86" w:right="0"/>
              <w:jc w:val="center"/>
              <w:rPr>
                <w:rFonts w:ascii="Times New Roman" w:hAnsi="Times New Roman" w:cs="Times New Roman" w:eastAsia="Times New Roman" w:hint="default"/>
                <w:sz w:val="18"/>
                <w:szCs w:val="18"/>
              </w:rPr>
            </w:pPr>
            <w:r>
              <w:rPr>
                <w:rFonts w:ascii="Times New Roman"/>
                <w:sz w:val="18"/>
              </w:rPr>
              <w:t>3.54%</w:t>
            </w:r>
          </w:p>
        </w:tc>
        <w:tc>
          <w:tcPr>
            <w:tcW w:w="10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120" w:right="0"/>
              <w:jc w:val="left"/>
              <w:rPr>
                <w:rFonts w:ascii="Times New Roman" w:hAnsi="Times New Roman" w:cs="Times New Roman" w:eastAsia="Times New Roman" w:hint="default"/>
                <w:sz w:val="18"/>
                <w:szCs w:val="18"/>
              </w:rPr>
            </w:pPr>
            <w:r>
              <w:rPr>
                <w:rFonts w:ascii="Times New Roman"/>
                <w:sz w:val="18"/>
              </w:rPr>
              <w:t>159,086,000</w:t>
            </w:r>
          </w:p>
        </w:tc>
        <w:tc>
          <w:tcPr>
            <w:tcW w:w="10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7"/>
              <w:ind w:left="200" w:right="0"/>
              <w:jc w:val="left"/>
              <w:rPr>
                <w:rFonts w:ascii="Times New Roman" w:hAnsi="Times New Roman" w:cs="Times New Roman" w:eastAsia="Times New Roman" w:hint="default"/>
                <w:sz w:val="18"/>
                <w:szCs w:val="18"/>
              </w:rPr>
            </w:pPr>
            <w:r>
              <w:rPr>
                <w:rFonts w:ascii="Times New Roman"/>
                <w:sz w:val="18"/>
              </w:rPr>
              <w:t>159,086,000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225"/>
        <w:gridCol w:w="187"/>
        <w:gridCol w:w="521"/>
        <w:gridCol w:w="1054"/>
        <w:gridCol w:w="1074"/>
        <w:gridCol w:w="991"/>
        <w:gridCol w:w="1134"/>
        <w:gridCol w:w="425"/>
        <w:gridCol w:w="426"/>
        <w:gridCol w:w="1062"/>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25" w:type="dxa"/>
            <w:tcBorders>
              <w:top w:val="single" w:sz="4" w:space="0" w:color="000000"/>
              <w:left w:val="single" w:sz="4" w:space="0" w:color="000000"/>
              <w:bottom w:val="single" w:sz="4" w:space="0" w:color="000000"/>
              <w:right w:val="single" w:sz="4" w:space="0" w:color="000000"/>
            </w:tcBorders>
          </w:tcPr>
          <w:p>
            <w:pPr/>
          </w:p>
        </w:tc>
        <w:tc>
          <w:tcPr>
            <w:tcW w:w="708" w:type="dxa"/>
            <w:gridSpan w:val="2"/>
            <w:tcBorders>
              <w:top w:val="single" w:sz="4" w:space="0" w:color="000000"/>
              <w:left w:val="single" w:sz="4" w:space="0" w:color="000000"/>
              <w:bottom w:val="single" w:sz="4" w:space="0" w:color="000000"/>
              <w:right w:val="single" w:sz="4" w:space="0" w:color="000000"/>
            </w:tcBorders>
          </w:tcPr>
          <w:p>
            <w:pPr/>
          </w:p>
        </w:tc>
        <w:tc>
          <w:tcPr>
            <w:tcW w:w="1054" w:type="dxa"/>
            <w:tcBorders>
              <w:top w:val="single" w:sz="4" w:space="0" w:color="000000"/>
              <w:left w:val="single" w:sz="4" w:space="0" w:color="000000"/>
              <w:bottom w:val="single" w:sz="4" w:space="0" w:color="000000"/>
              <w:right w:val="single" w:sz="4" w:space="0" w:color="000000"/>
            </w:tcBorders>
          </w:tcPr>
          <w:p>
            <w:pPr/>
          </w:p>
        </w:tc>
        <w:tc>
          <w:tcPr>
            <w:tcW w:w="107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建信基金－兴业 银行－华鑫国际 信托－华鑫信 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结构化集合资金 信托计划</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3.54%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159,086,000</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2.71%</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121,846,200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104,120,000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17,726,200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88,910,000</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刘博</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2.02%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90,938,232</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90,938,232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90,938,232</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深圳天风天成资 产管理有限公司</w:t>
            </w:r>
          </w:p>
          <w:p>
            <w:pPr>
              <w:pStyle w:val="TableParagraph"/>
              <w:spacing w:line="302"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－天成定增</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号资 产管理计划</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09" w:right="0"/>
              <w:jc w:val="left"/>
              <w:rPr>
                <w:rFonts w:ascii="Times New Roman" w:hAnsi="Times New Roman" w:cs="Times New Roman" w:eastAsia="Times New Roman" w:hint="default"/>
                <w:sz w:val="18"/>
                <w:szCs w:val="18"/>
              </w:rPr>
            </w:pPr>
            <w:r>
              <w:rPr>
                <w:rFonts w:ascii="Times New Roman"/>
                <w:sz w:val="18"/>
              </w:rPr>
              <w:t>1.76%</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78,968,468</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-168181132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78,968,468</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金元百利资产－ 宁波银行－金元 百利爱康定增</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 专项资产管理计 划</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1.53%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68,729,641</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-93259959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68,729,641</w:t>
            </w:r>
          </w:p>
        </w:tc>
        <w:tc>
          <w:tcPr>
            <w:tcW w:w="851" w:type="dxa"/>
            <w:gridSpan w:val="2"/>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江阴爱康投资有 限公司</w:t>
            </w:r>
          </w:p>
        </w:tc>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1.05%</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46,980,000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46,980,000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32,500,000</w:t>
            </w:r>
          </w:p>
        </w:tc>
      </w:tr>
      <w:tr>
        <w:trPr>
          <w:trHeight w:val="317" w:hRule="exact"/>
        </w:trPr>
        <w:tc>
          <w:tcPr>
            <w:tcW w:w="26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6874" w:type="dxa"/>
            <w:gridSpan w:val="9"/>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1"/>
                <w:sz w:val="18"/>
                <w:szCs w:val="18"/>
              </w:rPr>
              <w:t>公司前十名股东中，江苏爱康实业集团有限公司、爱康国际控股有限公司、江阴爱康投</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1"/>
                <w:sz w:val="18"/>
                <w:szCs w:val="18"/>
              </w:rPr>
              <w:t>资有限公司为同一实际控制人邹承慧控制的关联企业，上述股东为一致行动人。上述其</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
                <w:sz w:val="18"/>
                <w:szCs w:val="18"/>
              </w:rPr>
              <w:t>他股东未知他们之间是否存在关联关系，也未知是否属于《上市公司持股变动信息披露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管理办法》中规定的一致行动人。</w:t>
            </w:r>
          </w:p>
        </w:tc>
      </w:tr>
      <w:tr>
        <w:trPr>
          <w:trHeight w:val="704" w:hRule="exact"/>
        </w:trPr>
        <w:tc>
          <w:tcPr>
            <w:tcW w:w="2694"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74" w:type="dxa"/>
            <w:gridSpan w:val="9"/>
            <w:vMerge/>
            <w:tcBorders>
              <w:left w:val="single" w:sz="9" w:space="0" w:color="D2D2D2"/>
              <w:right w:val="single" w:sz="4" w:space="0" w:color="000000"/>
            </w:tcBorders>
          </w:tcPr>
          <w:p>
            <w:pPr/>
          </w:p>
        </w:tc>
      </w:tr>
      <w:tr>
        <w:trPr>
          <w:trHeight w:val="317" w:hRule="exact"/>
        </w:trPr>
        <w:tc>
          <w:tcPr>
            <w:tcW w:w="26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6874" w:type="dxa"/>
            <w:gridSpan w:val="9"/>
            <w:vMerge/>
            <w:tcBorders>
              <w:left w:val="single" w:sz="9" w:space="0" w:color="D2D2D2"/>
              <w:bottom w:val="single" w:sz="4" w:space="0" w:color="000000"/>
              <w:right w:val="single" w:sz="4" w:space="0" w:color="000000"/>
            </w:tcBorders>
          </w:tcPr>
          <w:p>
            <w:pP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64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04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64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304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640" w:type="dxa"/>
            <w:gridSpan w:val="4"/>
            <w:vMerge/>
            <w:tcBorders>
              <w:left w:val="single" w:sz="4" w:space="0" w:color="000000"/>
              <w:bottom w:val="nil" w:sz="6" w:space="0" w:color="auto"/>
              <w:right w:val="single" w:sz="4" w:space="0" w:color="000000"/>
            </w:tcBorders>
            <w:shd w:val="clear" w:color="auto" w:fill="D2D2D2"/>
          </w:tcPr>
          <w:p>
            <w:pPr/>
          </w:p>
        </w:tc>
        <w:tc>
          <w:tcPr>
            <w:tcW w:w="15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13"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48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64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1559" w:type="dxa"/>
            <w:gridSpan w:val="2"/>
            <w:vMerge/>
            <w:tcBorders>
              <w:left w:val="single" w:sz="4" w:space="0" w:color="000000"/>
              <w:bottom w:val="single" w:sz="4" w:space="0" w:color="000000"/>
              <w:right w:val="single" w:sz="4" w:space="0" w:color="000000"/>
            </w:tcBorders>
            <w:shd w:val="clear" w:color="auto" w:fill="D2D2D2"/>
          </w:tcPr>
          <w:p>
            <w:pPr/>
          </w:p>
        </w:tc>
        <w:tc>
          <w:tcPr>
            <w:tcW w:w="148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543,996,000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543,996,000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235,920,200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5" w:right="0"/>
              <w:jc w:val="left"/>
              <w:rPr>
                <w:rFonts w:ascii="Times New Roman" w:hAnsi="Times New Roman" w:cs="Times New Roman" w:eastAsia="Times New Roman" w:hint="default"/>
                <w:sz w:val="18"/>
                <w:szCs w:val="18"/>
              </w:rPr>
            </w:pPr>
            <w:r>
              <w:rPr>
                <w:rFonts w:ascii="Times New Roman"/>
                <w:sz w:val="18"/>
              </w:rPr>
              <w:t>235,920,200</w:t>
            </w:r>
          </w:p>
        </w:tc>
      </w:tr>
      <w:tr>
        <w:trPr>
          <w:trHeight w:val="1026"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国寿安保基金－渤海银行－华鑫国 际信托－华鑫信托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号结 构化集合资金信托计划</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159,086,000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159,086,000</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7"/>
              <w:jc w:val="left"/>
              <w:rPr>
                <w:rFonts w:ascii="宋体" w:hAnsi="宋体" w:cs="宋体" w:eastAsia="宋体" w:hint="default"/>
                <w:sz w:val="18"/>
                <w:szCs w:val="18"/>
              </w:rPr>
            </w:pPr>
            <w:r>
              <w:rPr>
                <w:rFonts w:ascii="宋体" w:hAnsi="宋体" w:cs="宋体" w:eastAsia="宋体" w:hint="default"/>
                <w:sz w:val="18"/>
                <w:szCs w:val="18"/>
              </w:rPr>
              <w:t>北信瑞丰基金－宁波银行－华鑫国 际信托有限公司</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159,086,000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159,086,000</w:t>
            </w:r>
          </w:p>
        </w:tc>
      </w:tr>
      <w:tr>
        <w:trPr>
          <w:trHeight w:val="1026"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建信基金－兴业银行－华鑫国际信 托－华鑫信托</w:t>
            </w:r>
            <w:r>
              <w:rPr>
                <w:rFonts w:ascii="Times New Roman" w:hAnsi="Times New Roman" w:cs="Times New Roman" w:eastAsia="Times New Roman" w:hint="default"/>
                <w:sz w:val="18"/>
                <w:szCs w:val="18"/>
              </w:rPr>
              <w:t>·</w:t>
            </w:r>
            <w:r>
              <w:rPr>
                <w:rFonts w:ascii="宋体" w:hAnsi="宋体" w:cs="宋体" w:eastAsia="宋体" w:hint="default"/>
                <w:sz w:val="18"/>
                <w:szCs w:val="18"/>
              </w:rPr>
              <w:t>慧智投资</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58</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号结构化 集合资金信托计划</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159,086,000</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5" w:right="0"/>
              <w:jc w:val="left"/>
              <w:rPr>
                <w:rFonts w:ascii="Times New Roman" w:hAnsi="Times New Roman" w:cs="Times New Roman" w:eastAsia="Times New Roman" w:hint="default"/>
                <w:sz w:val="18"/>
                <w:szCs w:val="18"/>
              </w:rPr>
            </w:pPr>
            <w:r>
              <w:rPr>
                <w:rFonts w:ascii="Times New Roman"/>
                <w:sz w:val="18"/>
              </w:rPr>
              <w:t>159,086,000</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刘博</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90,938,232</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90,938,232</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深圳天风天成资产管理有限公司－</w:t>
            </w:r>
          </w:p>
        </w:tc>
        <w:tc>
          <w:tcPr>
            <w:tcW w:w="364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78,968,468</w:t>
            </w:r>
          </w:p>
        </w:tc>
        <w:tc>
          <w:tcPr>
            <w:tcW w:w="15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5" w:right="0"/>
              <w:jc w:val="left"/>
              <w:rPr>
                <w:rFonts w:ascii="Times New Roman" w:hAnsi="Times New Roman" w:cs="Times New Roman" w:eastAsia="Times New Roman" w:hint="default"/>
                <w:sz w:val="18"/>
                <w:szCs w:val="18"/>
              </w:rPr>
            </w:pPr>
            <w:r>
              <w:rPr>
                <w:rFonts w:ascii="Times New Roman"/>
                <w:sz w:val="18"/>
              </w:rPr>
              <w:t>78,968,468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5"/>
          <w:szCs w:val="15"/>
        </w:rPr>
      </w:pPr>
    </w:p>
    <w:p>
      <w:pPr>
        <w:pStyle w:val="BodyText"/>
        <w:spacing w:line="240" w:lineRule="auto"/>
        <w:ind w:right="1156"/>
        <w:jc w:val="right"/>
      </w:pPr>
      <w:r>
        <w:rPr/>
        <w:pict>
          <v:shape style="position:absolute;margin-left:56.459999pt;margin-top:-128.288284pt;width:479.2pt;height:228.3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2"/>
                    <w:gridCol w:w="3640"/>
                    <w:gridCol w:w="1559"/>
                    <w:gridCol w:w="1488"/>
                  </w:tblGrid>
                  <w:tr>
                    <w:trPr>
                      <w:trHeight w:val="36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天成定增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640"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金元百利资产－宁波银行－金元百 利爱康定增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号专项资产管理计划</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68,729,641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68,729,641</w:t>
                        </w:r>
                      </w:p>
                    </w:tc>
                  </w:tr>
                  <w:tr>
                    <w:trPr>
                      <w:trHeight w:val="402"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46,980,000</w:t>
                        </w:r>
                      </w:p>
                    </w:tc>
                  </w:tr>
                  <w:tr>
                    <w:trPr>
                      <w:trHeight w:val="1026" w:hRule="exact"/>
                    </w:trPr>
                    <w:tc>
                      <w:tcPr>
                        <w:tcW w:w="288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陕西省国际信托股份有限公司－陕 国投</w:t>
                        </w:r>
                        <w:r>
                          <w:rPr>
                            <w:rFonts w:ascii="Times New Roman" w:hAnsi="Times New Roman" w:cs="Times New Roman" w:eastAsia="Times New Roman" w:hint="default"/>
                            <w:sz w:val="18"/>
                            <w:szCs w:val="18"/>
                          </w:rPr>
                          <w:t>·</w:t>
                        </w:r>
                        <w:r>
                          <w:rPr>
                            <w:rFonts w:ascii="宋体" w:hAnsi="宋体" w:cs="宋体" w:eastAsia="宋体" w:hint="default"/>
                            <w:sz w:val="18"/>
                            <w:szCs w:val="18"/>
                          </w:rPr>
                          <w:t>沪秦</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54</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号证券投资集合资金信 托计划</w:t>
                        </w:r>
                      </w:p>
                    </w:tc>
                    <w:tc>
                      <w:tcPr>
                        <w:tcW w:w="3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41,030,000</w:t>
                        </w:r>
                      </w:p>
                    </w:tc>
                  </w:tr>
                  <w:tr>
                    <w:trPr>
                      <w:trHeight w:val="1338"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309" w:lineRule="auto" w:before="61"/>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312" w:lineRule="auto" w:before="51"/>
                          <w:ind w:left="15" w:right="21"/>
                          <w:jc w:val="left"/>
                          <w:rPr>
                            <w:rFonts w:ascii="宋体" w:hAnsi="宋体" w:cs="宋体" w:eastAsia="宋体" w:hint="default"/>
                            <w:sz w:val="18"/>
                            <w:szCs w:val="18"/>
                          </w:rPr>
                        </w:pPr>
                        <w:r>
                          <w:rPr>
                            <w:rFonts w:ascii="宋体" w:hAnsi="宋体" w:cs="宋体" w:eastAsia="宋体" w:hint="default"/>
                            <w:sz w:val="18"/>
                            <w:szCs w:val="18"/>
                          </w:rPr>
                          <w:t>公司前十名无限售流通股东中</w:t>
                        </w:r>
                        <w:r>
                          <w:rPr>
                            <w:rFonts w:ascii="Times New Roman" w:hAnsi="Times New Roman" w:cs="Times New Roman" w:eastAsia="Times New Roman" w:hint="default"/>
                            <w:sz w:val="18"/>
                            <w:szCs w:val="18"/>
                          </w:rPr>
                          <w:t>,</w:t>
                        </w:r>
                        <w:r>
                          <w:rPr>
                            <w:rFonts w:ascii="宋体" w:hAnsi="宋体" w:cs="宋体" w:eastAsia="宋体" w:hint="default"/>
                            <w:sz w:val="18"/>
                            <w:szCs w:val="18"/>
                          </w:rPr>
                          <w:t>江苏爱康实业集团有限公司、爱康国际控股有限公司 </w:t>
                        </w:r>
                        <w:r>
                          <w:rPr>
                            <w:rFonts w:ascii="宋体" w:hAnsi="宋体" w:cs="宋体" w:eastAsia="宋体" w:hint="default"/>
                            <w:spacing w:val="-1"/>
                            <w:sz w:val="18"/>
                            <w:szCs w:val="18"/>
                          </w:rPr>
                          <w:t>江阴爱康投资有限公司为同一实际控制人邹承慧控制的关联企业，上述股东存在一致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行动的可能。上述其他股东未知他们之间是否存在关联关系，也未知是否属于《上市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公司持股变动信息披露管理办法》中规定的一致行动人。</w:t>
                        </w:r>
                      </w:p>
                    </w:tc>
                  </w:tr>
                  <w:tr>
                    <w:trPr>
                      <w:trHeight w:val="714" w:hRule="exact"/>
                    </w:trPr>
                    <w:tc>
                      <w:tcPr>
                        <w:tcW w:w="28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7"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公司股东刘博除通过普通证券账户持有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1,121,000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股外，还通过中信建投证券股份有</w:t>
                        </w:r>
                      </w:p>
                      <w:p>
                        <w:pPr>
                          <w:pStyle w:val="TableParagraph"/>
                          <w:spacing w:line="240" w:lineRule="auto" w:before="63"/>
                          <w:ind w:left="15" w:right="-7"/>
                          <w:jc w:val="left"/>
                          <w:rPr>
                            <w:rFonts w:ascii="宋体" w:hAnsi="宋体" w:cs="宋体" w:eastAsia="宋体" w:hint="default"/>
                            <w:sz w:val="18"/>
                            <w:szCs w:val="18"/>
                          </w:rPr>
                        </w:pPr>
                        <w:r>
                          <w:rPr>
                            <w:rFonts w:ascii="宋体" w:hAnsi="宋体" w:cs="宋体" w:eastAsia="宋体" w:hint="default"/>
                            <w:sz w:val="18"/>
                            <w:szCs w:val="18"/>
                          </w:rPr>
                          <w:t>限公司客户信用交易担保证券账户持有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89,817,232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90,938,232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before="44"/>
        <w:ind w:left="154"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2"/>
        <w:ind w:right="1122"/>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3"/>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268"/>
        <w:gridCol w:w="1558"/>
        <w:gridCol w:w="1894"/>
        <w:gridCol w:w="1935"/>
        <w:gridCol w:w="1914"/>
      </w:tblGrid>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8"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3" w:right="27" w:hanging="56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 责人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2"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913205827990947056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贸易、投资、制造</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35660156-000-05-10-4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913202815537622168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股权投资</w:t>
            </w:r>
          </w:p>
        </w:tc>
      </w:tr>
    </w:tbl>
    <w:p>
      <w:pPr>
        <w:pStyle w:val="BodyText"/>
        <w:spacing w:line="240" w:lineRule="auto" w:before="68"/>
        <w:ind w:left="154" w:right="1122"/>
        <w:jc w:val="left"/>
      </w:pPr>
      <w:r>
        <w:rPr/>
        <w:t>控股股东报告期内变更</w:t>
      </w:r>
    </w:p>
    <w:p>
      <w:pPr>
        <w:pStyle w:val="BodyText"/>
        <w:spacing w:line="338" w:lineRule="auto" w:before="117"/>
        <w:ind w:right="80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22"/>
        <w:jc w:val="left"/>
        <w:rPr>
          <w:b w:val="0"/>
          <w:bCs w:val="0"/>
        </w:rPr>
      </w:pPr>
      <w:bookmarkStart w:name="3、公司实际控制人情况" w:id="117"/>
      <w:bookmarkEnd w:id="117"/>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3"/>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8"/>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74"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担任公司董事长</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left="154" w:right="1122"/>
        <w:jc w:val="left"/>
      </w:pPr>
      <w:r>
        <w:rPr/>
        <w:t>实际控制人报告期内变更</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48" w:lineRule="auto" w:before="44"/>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0"/>
        <w:rPr>
          <w:rFonts w:ascii="宋体" w:hAnsi="宋体" w:cs="宋体" w:eastAsia="宋体" w:hint="default"/>
          <w:sz w:val="25"/>
          <w:szCs w:val="25"/>
        </w:rPr>
      </w:pPr>
    </w:p>
    <w:p>
      <w:pPr>
        <w:spacing w:line="4080" w:lineRule="exact"/>
        <w:ind w:left="1328"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4629150" cy="2590800"/>
            <wp:effectExtent l="0" t="0" r="0" b="0"/>
            <wp:docPr id="3" name="image7.png" descr=""/>
            <wp:cNvGraphicFramePr>
              <a:graphicFrameLocks noChangeAspect="1"/>
            </wp:cNvGraphicFramePr>
            <a:graphic>
              <a:graphicData uri="http://schemas.openxmlformats.org/drawingml/2006/picture">
                <pic:pic>
                  <pic:nvPicPr>
                    <pic:cNvPr id="4" name="image7.png"/>
                    <pic:cNvPicPr/>
                  </pic:nvPicPr>
                  <pic:blipFill>
                    <a:blip r:embed="rId17" cstate="print"/>
                    <a:stretch>
                      <a:fillRect/>
                    </a:stretch>
                  </pic:blipFill>
                  <pic:spPr>
                    <a:xfrm>
                      <a:off x="0" y="0"/>
                      <a:ext cx="4629150" cy="259080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10"/>
        <w:rPr>
          <w:rFonts w:ascii="宋体" w:hAnsi="宋体" w:cs="宋体" w:eastAsia="宋体" w:hint="default"/>
          <w:sz w:val="23"/>
          <w:szCs w:val="23"/>
        </w:rPr>
      </w:pPr>
    </w:p>
    <w:p>
      <w:pPr>
        <w:pStyle w:val="BodyText"/>
        <w:spacing w:line="240" w:lineRule="auto" w:before="44"/>
        <w:ind w:right="1122"/>
        <w:jc w:val="left"/>
      </w:pPr>
      <w:r>
        <w:rPr/>
        <w:t>实际控制人通过信托或其他资产管理方式控制公司</w:t>
      </w:r>
    </w:p>
    <w:p>
      <w:pPr>
        <w:spacing w:line="240" w:lineRule="auto" w:before="3"/>
        <w:rPr>
          <w:rFonts w:ascii="宋体" w:hAnsi="宋体" w:cs="宋体" w:eastAsia="宋体" w:hint="default"/>
          <w:sz w:val="21"/>
          <w:szCs w:val="21"/>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122"/>
        <w:jc w:val="left"/>
        <w:rPr>
          <w:b w:val="0"/>
          <w:bCs w:val="0"/>
        </w:rPr>
      </w:pPr>
      <w:bookmarkStart w:name="第七节 优先股相关情况" w:id="120"/>
      <w:bookmarkEnd w:id="120"/>
      <w:r>
        <w:rPr>
          <w:b w:val="0"/>
          <w:bCs w:val="0"/>
        </w:rPr>
      </w:r>
      <w:bookmarkStart w:name="_bookmark6" w:id="121"/>
      <w:bookmarkEnd w:id="121"/>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122"/>
        <w:jc w:val="left"/>
        <w:rPr>
          <w:b w:val="0"/>
          <w:bCs w:val="0"/>
        </w:rPr>
      </w:pPr>
      <w:bookmarkStart w:name="第八节 董事、监事、高级管理人员和员工情况" w:id="122"/>
      <w:bookmarkEnd w:id="122"/>
      <w:r>
        <w:rPr>
          <w:b w:val="0"/>
          <w:bCs w:val="0"/>
        </w:rPr>
      </w:r>
      <w:bookmarkStart w:name="_bookmark7" w:id="123"/>
      <w:bookmarkEnd w:id="123"/>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122"/>
        <w:jc w:val="left"/>
        <w:rPr>
          <w:b w:val="0"/>
          <w:bCs w:val="0"/>
        </w:rPr>
      </w:pPr>
      <w:bookmarkStart w:name="一、董事、监事和高级管理人员持股变动" w:id="124"/>
      <w:bookmarkEnd w:id="124"/>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520"/>
        <w:gridCol w:w="520"/>
        <w:gridCol w:w="521"/>
        <w:gridCol w:w="920"/>
        <w:gridCol w:w="922"/>
        <w:gridCol w:w="992"/>
        <w:gridCol w:w="568"/>
        <w:gridCol w:w="566"/>
        <w:gridCol w:w="568"/>
        <w:gridCol w:w="1067"/>
      </w:tblGrid>
      <w:tr>
        <w:trPr>
          <w:trHeight w:val="1649"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75" w:right="72"/>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74" w:right="9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275" w:right="9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9"/>
              <w:jc w:val="both"/>
              <w:rPr>
                <w:rFonts w:ascii="宋体" w:hAnsi="宋体" w:cs="宋体" w:eastAsia="宋体" w:hint="default"/>
                <w:sz w:val="18"/>
                <w:szCs w:val="18"/>
              </w:rPr>
            </w:pPr>
            <w:r>
              <w:rPr>
                <w:rFonts w:ascii="宋体" w:hAnsi="宋体" w:cs="宋体" w:eastAsia="宋体" w:hint="default"/>
                <w:sz w:val="18"/>
                <w:szCs w:val="18"/>
              </w:rPr>
              <w:t>本期 增持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7"/>
              <w:jc w:val="both"/>
              <w:rPr>
                <w:rFonts w:ascii="宋体" w:hAnsi="宋体" w:cs="宋体" w:eastAsia="宋体" w:hint="default"/>
                <w:sz w:val="18"/>
                <w:szCs w:val="18"/>
              </w:rPr>
            </w:pPr>
            <w:r>
              <w:rPr>
                <w:rFonts w:ascii="宋体" w:hAnsi="宋体" w:cs="宋体" w:eastAsia="宋体" w:hint="default"/>
                <w:sz w:val="18"/>
                <w:szCs w:val="18"/>
              </w:rPr>
              <w:t>其他 增减 变动</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2010/8/18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121,846,200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121,846,200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6"/>
                <w:sz w:val="18"/>
                <w:szCs w:val="18"/>
              </w:rPr>
              <w:t>副董事长、总裁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2010/8/18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2010/8/18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2013/9/16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董事、董秘</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2016/5/26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61</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2012/6/15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2018/6/15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46</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2016/5/26</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47</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2013/9/13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2018/1/8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2018/1/8</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320,000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35</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2013/9/13</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43</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2015/7/9</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2017/6/25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34</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2017/6/25</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2019/9/13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122,186,200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122,186,200</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122"/>
        <w:jc w:val="left"/>
        <w:rPr>
          <w:b w:val="0"/>
          <w:bCs w:val="0"/>
        </w:rPr>
      </w:pPr>
      <w:bookmarkStart w:name="二、公司董事、监事、高级管理人员变动情况" w:id="125"/>
      <w:bookmarkEnd w:id="125"/>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因工作重点有所调整申请辞去公司总经理（总裁）职 务，仍担任董事长职务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聘用</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被聘任为总经理（总裁）</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因工作重点有所调整申请辞去财务总监，担任副董事 长、总裁</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168"/>
        <w:gridCol w:w="1492"/>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聘用</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被聘任为副总经理（副总裁）</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聘用</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被聘任为财务总监</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因个人原因申请辞去公司独立董事职务</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耿乃凡</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聘用</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被聘任为独立董事</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三、任职情况" w:id="126"/>
      <w:bookmarkEnd w:id="126"/>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公司现任董事、监事、高级管理人员专业背景、主要工作经历以及目前在公司的主要职责</w:t>
      </w:r>
    </w:p>
    <w:p>
      <w:pPr>
        <w:pStyle w:val="Heading4"/>
        <w:spacing w:line="240" w:lineRule="auto" w:before="116"/>
        <w:ind w:left="153" w:right="1122"/>
        <w:jc w:val="left"/>
        <w:rPr>
          <w:b w:val="0"/>
          <w:bCs w:val="0"/>
        </w:rPr>
      </w:pPr>
      <w:r>
        <w:rPr/>
        <w:t>（一）董事会成员简介</w:t>
      </w:r>
      <w:r>
        <w:rPr>
          <w:b w:val="0"/>
          <w:bCs w:val="0"/>
        </w:rPr>
      </w:r>
    </w:p>
    <w:p>
      <w:pPr>
        <w:spacing w:line="240" w:lineRule="auto" w:before="0"/>
        <w:rPr>
          <w:rFonts w:ascii="宋体" w:hAnsi="宋体" w:cs="宋体" w:eastAsia="宋体" w:hint="default"/>
          <w:b/>
          <w:bCs/>
          <w:sz w:val="18"/>
          <w:szCs w:val="18"/>
        </w:rPr>
      </w:pPr>
    </w:p>
    <w:p>
      <w:pPr>
        <w:pStyle w:val="BodyText"/>
        <w:spacing w:line="300" w:lineRule="auto" w:before="153"/>
        <w:ind w:right="0" w:firstLine="361"/>
        <w:jc w:val="left"/>
      </w:pPr>
      <w:r>
        <w:rPr>
          <w:rFonts w:ascii="宋体" w:hAnsi="宋体" w:cs="宋体" w:eastAsia="宋体" w:hint="default"/>
          <w:b/>
          <w:bCs/>
          <w:spacing w:val="-10"/>
        </w:rPr>
        <w:t>邹承慧先生：</w:t>
      </w:r>
      <w:r>
        <w:rPr>
          <w:rFonts w:ascii="Times New Roman" w:hAnsi="Times New Roman" w:cs="Times New Roman" w:eastAsia="Times New Roman" w:hint="default"/>
          <w:spacing w:val="-10"/>
        </w:rPr>
        <w:t>1974</w:t>
      </w:r>
      <w:r>
        <w:rPr>
          <w:spacing w:val="-10"/>
        </w:rPr>
        <w:t>年出生，中国国籍，无境外永久居留权。</w:t>
      </w:r>
      <w:r>
        <w:rPr>
          <w:rFonts w:ascii="Times New Roman" w:hAnsi="Times New Roman" w:cs="Times New Roman" w:eastAsia="Times New Roman" w:hint="default"/>
          <w:spacing w:val="-10"/>
        </w:rPr>
        <w:t>EMBA</w:t>
      </w:r>
      <w:r>
        <w:rPr>
          <w:spacing w:val="-10"/>
        </w:rPr>
        <w:t>学历，毕业于湖南大学（本科），长江商学院（</w:t>
      </w:r>
      <w:r>
        <w:rPr>
          <w:rFonts w:ascii="Times New Roman" w:hAnsi="Times New Roman" w:cs="Times New Roman" w:eastAsia="Times New Roman" w:hint="default"/>
          <w:spacing w:val="-10"/>
        </w:rPr>
        <w:t>EMBA</w:t>
      </w:r>
      <w:r>
        <w:rPr>
          <w:spacing w:val="-10"/>
        </w:rPr>
        <w:t>），</w:t>
      </w:r>
      <w:r>
        <w:rPr>
          <w:spacing w:val="-51"/>
        </w:rPr>
        <w:t> </w:t>
      </w:r>
      <w:r>
        <w:rPr/>
        <w:t>目前为长江商学院</w:t>
      </w:r>
      <w:r>
        <w:rPr>
          <w:rFonts w:ascii="Times New Roman" w:hAnsi="Times New Roman" w:cs="Times New Roman" w:eastAsia="Times New Roman" w:hint="default"/>
        </w:rPr>
        <w:t>DBA</w:t>
      </w:r>
      <w:r>
        <w:rPr/>
        <w:t>在读。曾任中国农业银行江阴支行信贷主管、江阴利泰装饰材料有限公司常务副总经理。邹承慧先 生拥有丰富的新能源行业经营管理经验，是公司的创立者实际控制人，为公司董事长。</w:t>
      </w:r>
    </w:p>
    <w:p>
      <w:pPr>
        <w:spacing w:line="240" w:lineRule="auto" w:before="3"/>
        <w:rPr>
          <w:rFonts w:ascii="宋体" w:hAnsi="宋体" w:cs="宋体" w:eastAsia="宋体" w:hint="default"/>
          <w:sz w:val="26"/>
          <w:szCs w:val="26"/>
        </w:rPr>
      </w:pPr>
    </w:p>
    <w:p>
      <w:pPr>
        <w:pStyle w:val="BodyText"/>
        <w:spacing w:line="309" w:lineRule="auto"/>
        <w:ind w:right="1130" w:firstLine="361"/>
        <w:jc w:val="both"/>
      </w:pPr>
      <w:r>
        <w:rPr>
          <w:rFonts w:ascii="宋体" w:hAnsi="宋体" w:cs="宋体" w:eastAsia="宋体" w:hint="default"/>
          <w:b/>
          <w:bCs/>
        </w:rPr>
        <w:t>易美怀女士：</w:t>
      </w:r>
      <w:r>
        <w:rPr>
          <w:rFonts w:ascii="宋体" w:hAnsi="宋体" w:cs="宋体" w:eastAsia="宋体" w:hint="default"/>
          <w:b/>
          <w:bCs/>
          <w:spacing w:val="-19"/>
        </w:rPr>
        <w:t> </w:t>
      </w:r>
      <w:r>
        <w:rPr>
          <w:rFonts w:ascii="Times New Roman" w:hAnsi="Times New Roman" w:cs="Times New Roman" w:eastAsia="Times New Roman" w:hint="default"/>
        </w:rPr>
        <w:t>1968</w:t>
      </w:r>
      <w:r>
        <w:rPr/>
        <w:t>年出生，中国国籍，无境外永久居留权。硕士学历，毕业于武汉理工大学，上海财经大学</w:t>
      </w:r>
      <w:r>
        <w:rPr>
          <w:rFonts w:ascii="Times New Roman" w:hAnsi="Times New Roman" w:cs="Times New Roman" w:eastAsia="Times New Roman" w:hint="default"/>
        </w:rPr>
        <w:t>EMBA</w:t>
      </w:r>
      <w:r>
        <w:rPr/>
        <w:t>， </w:t>
      </w:r>
      <w:r>
        <w:rPr>
          <w:spacing w:val="-1"/>
        </w:rPr>
        <w:t>上海交通大学海外教育学院国际财务总监（</w:t>
      </w:r>
      <w:r>
        <w:rPr>
          <w:rFonts w:ascii="Times New Roman" w:hAnsi="Times New Roman" w:cs="Times New Roman" w:eastAsia="Times New Roman" w:hint="default"/>
          <w:spacing w:val="-1"/>
        </w:rPr>
        <w:t>CFO</w:t>
      </w:r>
      <w:r>
        <w:rPr>
          <w:spacing w:val="-1"/>
        </w:rPr>
        <w:t>）和英国资深财务会计师（</w:t>
      </w:r>
      <w:r>
        <w:rPr>
          <w:rFonts w:ascii="Times New Roman" w:hAnsi="Times New Roman" w:cs="Times New Roman" w:eastAsia="Times New Roman" w:hint="default"/>
          <w:spacing w:val="-1"/>
        </w:rPr>
        <w:t>FFA</w:t>
      </w:r>
      <w:r>
        <w:rPr>
          <w:spacing w:val="-1"/>
        </w:rPr>
        <w:t>）。曾先后任重庆通用工业集团有限责任公</w:t>
      </w:r>
      <w:r>
        <w:rPr>
          <w:spacing w:val="-82"/>
        </w:rPr>
        <w:t> </w:t>
      </w:r>
      <w:r>
        <w:rPr>
          <w:spacing w:val="-82"/>
        </w:rPr>
      </w:r>
      <w:r>
        <w:rPr>
          <w:spacing w:val="-2"/>
        </w:rPr>
        <w:t>司财务组长、江苏双良特灵溴化锂制冷机有限公司会计师、特灵空调系统（江苏）有限公司高级会计师、江苏双良空调设备</w:t>
      </w:r>
      <w:r>
        <w:rPr>
          <w:spacing w:val="-66"/>
        </w:rPr>
        <w:t> </w:t>
      </w:r>
      <w:r>
        <w:rPr>
          <w:spacing w:val="-66"/>
        </w:rPr>
      </w:r>
      <w:r>
        <w:rPr>
          <w:spacing w:val="-2"/>
        </w:rPr>
        <w:t>股份有限公司财务主管、浙江晨辉婴宝儿童用品有限公司财务兼公司稽核总负责、爱康科技副总经理、财务总监。现任爱康</w:t>
      </w:r>
      <w:r>
        <w:rPr>
          <w:spacing w:val="-66"/>
        </w:rPr>
        <w:t> </w:t>
      </w:r>
      <w:r>
        <w:rPr>
          <w:spacing w:val="-66"/>
        </w:rPr>
      </w:r>
      <w:r>
        <w:rPr/>
        <w:t>科技副董事长、总裁。</w:t>
      </w:r>
    </w:p>
    <w:p>
      <w:pPr>
        <w:spacing w:line="240" w:lineRule="auto" w:before="9"/>
        <w:rPr>
          <w:rFonts w:ascii="宋体" w:hAnsi="宋体" w:cs="宋体" w:eastAsia="宋体" w:hint="default"/>
          <w:sz w:val="25"/>
          <w:szCs w:val="25"/>
        </w:rPr>
      </w:pPr>
    </w:p>
    <w:p>
      <w:pPr>
        <w:pStyle w:val="BodyText"/>
        <w:spacing w:line="300" w:lineRule="auto"/>
        <w:ind w:right="1069" w:firstLine="361"/>
        <w:jc w:val="both"/>
      </w:pPr>
      <w:r>
        <w:rPr>
          <w:rFonts w:ascii="宋体" w:hAnsi="宋体" w:cs="宋体" w:eastAsia="宋体" w:hint="default"/>
          <w:b/>
          <w:bCs/>
          <w:spacing w:val="-2"/>
        </w:rPr>
        <w:t>徐国辉先生</w:t>
      </w:r>
      <w:r>
        <w:rPr>
          <w:spacing w:val="-2"/>
        </w:rPr>
        <w:t>：</w:t>
      </w:r>
      <w:r>
        <w:rPr>
          <w:rFonts w:ascii="Times New Roman" w:hAnsi="Times New Roman" w:cs="Times New Roman" w:eastAsia="Times New Roman" w:hint="default"/>
          <w:spacing w:val="-2"/>
        </w:rPr>
        <w:t>1971</w:t>
      </w:r>
      <w:r>
        <w:rPr>
          <w:spacing w:val="-2"/>
        </w:rPr>
        <w:t>年出生，中国国籍，无境外永久居留权。大学本科学历，毕业于华东政法学院，上海交通大学高级金</w:t>
      </w:r>
      <w:r>
        <w:rPr/>
        <w:t> 融学院</w:t>
      </w:r>
      <w:r>
        <w:rPr>
          <w:rFonts w:ascii="Times New Roman" w:hAnsi="Times New Roman" w:cs="Times New Roman" w:eastAsia="Times New Roman" w:hint="default"/>
        </w:rPr>
        <w:t>EMBA</w:t>
      </w:r>
      <w:r>
        <w:rPr/>
        <w:t>在读。曾在苏州合力律师事务所任职，在爱康集团任副总裁。目前在张家港保税科技（集团）股份有限公司、 江苏沙钢股份有限公司任独立董事，现任本公司董事。</w:t>
      </w:r>
    </w:p>
    <w:p>
      <w:pPr>
        <w:spacing w:line="240" w:lineRule="auto" w:before="3"/>
        <w:rPr>
          <w:rFonts w:ascii="宋体" w:hAnsi="宋体" w:cs="宋体" w:eastAsia="宋体" w:hint="default"/>
          <w:sz w:val="26"/>
          <w:szCs w:val="26"/>
        </w:rPr>
      </w:pPr>
    </w:p>
    <w:p>
      <w:pPr>
        <w:pStyle w:val="BodyText"/>
        <w:spacing w:line="300" w:lineRule="auto"/>
        <w:ind w:right="1033" w:firstLine="378"/>
        <w:jc w:val="left"/>
      </w:pPr>
      <w:r>
        <w:rPr>
          <w:rFonts w:ascii="宋体" w:hAnsi="宋体" w:cs="宋体" w:eastAsia="宋体" w:hint="default"/>
          <w:b/>
          <w:bCs/>
        </w:rPr>
        <w:t>袁源女士</w:t>
      </w:r>
      <w:r>
        <w:rPr/>
        <w:t>：</w:t>
      </w:r>
      <w:r>
        <w:rPr>
          <w:rFonts w:ascii="Times New Roman" w:hAnsi="Times New Roman" w:cs="Times New Roman" w:eastAsia="Times New Roman" w:hint="default"/>
        </w:rPr>
        <w:t>1971</w:t>
      </w:r>
      <w:r>
        <w:rPr/>
        <w:t>年出生，中国国籍，无境外永久居留权。硕士学历，毕业于上海交大高级金融学院（</w:t>
      </w:r>
      <w:r>
        <w:rPr>
          <w:rFonts w:ascii="宋体" w:hAnsi="宋体" w:cs="宋体" w:eastAsia="宋体" w:hint="default"/>
        </w:rPr>
        <w:t>EMBA</w:t>
      </w:r>
      <w:r>
        <w:rPr/>
        <w:t>）、上海财 经大学（本科）。袁源女士</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w:t>
      </w:r>
      <w:r>
        <w:rPr>
          <w:rFonts w:ascii="Times New Roman" w:hAnsi="Times New Roman" w:cs="Times New Roman" w:eastAsia="Times New Roman" w:hint="default"/>
        </w:rPr>
        <w:t>1994</w:t>
      </w:r>
      <w:r>
        <w:rPr/>
        <w:t>年在江阴市交通局办公室任职；</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w:t>
      </w:r>
      <w:r>
        <w:rPr>
          <w:rFonts w:ascii="Times New Roman" w:hAnsi="Times New Roman" w:cs="Times New Roman" w:eastAsia="Times New Roman" w:hint="default"/>
        </w:rPr>
        <w:t>2000</w:t>
      </w:r>
      <w:r>
        <w:rPr/>
        <w:t>年任江阴华盛期货有限公司总经理； </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2009</w:t>
      </w:r>
      <w:r>
        <w:rPr>
          <w:spacing w:val="-2"/>
        </w:rPr>
        <w:t>年任申达集团有限公司资金总监；</w:t>
      </w:r>
      <w:r>
        <w:rPr>
          <w:rFonts w:ascii="Times New Roman" w:hAnsi="Times New Roman" w:cs="Times New Roman" w:eastAsia="Times New Roman" w:hint="default"/>
          <w:spacing w:val="-2"/>
        </w:rPr>
        <w:t>2009</w:t>
      </w:r>
      <w:r>
        <w:rPr>
          <w:spacing w:val="-2"/>
        </w:rPr>
        <w:t>年至</w:t>
      </w:r>
      <w:r>
        <w:rPr>
          <w:rFonts w:ascii="Times New Roman" w:hAnsi="Times New Roman" w:cs="Times New Roman" w:eastAsia="Times New Roman" w:hint="default"/>
          <w:spacing w:val="-2"/>
        </w:rPr>
        <w:t>2013</w:t>
      </w:r>
      <w:r>
        <w:rPr>
          <w:spacing w:val="-2"/>
        </w:rPr>
        <w:t>年于本公司先后担任资金总监、副总经理职务。</w:t>
      </w:r>
      <w:r>
        <w:rPr>
          <w:rFonts w:ascii="Times New Roman" w:hAnsi="Times New Roman" w:cs="Times New Roman" w:eastAsia="Times New Roman" w:hint="default"/>
          <w:spacing w:val="-2"/>
        </w:rPr>
        <w:t>2013</w:t>
      </w:r>
      <w:r>
        <w:rPr>
          <w:spacing w:val="-2"/>
        </w:rPr>
        <w:t>年至今于</w:t>
      </w:r>
      <w:r>
        <w:rPr>
          <w:spacing w:val="-46"/>
        </w:rPr>
        <w:t> </w:t>
      </w:r>
      <w:r>
        <w:rPr/>
        <w:t>江苏爱康实业集团有限公司担任副总裁、本公司董事。</w:t>
      </w:r>
    </w:p>
    <w:p>
      <w:pPr>
        <w:spacing w:line="240" w:lineRule="auto" w:before="3"/>
        <w:rPr>
          <w:rFonts w:ascii="宋体" w:hAnsi="宋体" w:cs="宋体" w:eastAsia="宋体" w:hint="default"/>
          <w:sz w:val="26"/>
          <w:szCs w:val="26"/>
        </w:rPr>
      </w:pPr>
    </w:p>
    <w:p>
      <w:pPr>
        <w:pStyle w:val="BodyText"/>
        <w:spacing w:line="300" w:lineRule="auto"/>
        <w:ind w:right="1132" w:firstLine="442"/>
        <w:jc w:val="both"/>
      </w:pPr>
      <w:r>
        <w:rPr>
          <w:rFonts w:ascii="宋体" w:hAnsi="宋体" w:cs="宋体" w:eastAsia="宋体" w:hint="default"/>
          <w:b/>
          <w:bCs/>
        </w:rPr>
        <w:t>史强先生：</w:t>
      </w:r>
      <w:r>
        <w:rPr>
          <w:rFonts w:ascii="Times New Roman" w:hAnsi="Times New Roman" w:cs="Times New Roman" w:eastAsia="Times New Roman" w:hint="default"/>
        </w:rPr>
        <w:t>1983</w:t>
      </w:r>
      <w:r>
        <w:rPr/>
        <w:t>年出生，中国国籍，无境外永久居留权。大学本科学历，毕业于湖南大学，中欧国际工商学院</w:t>
      </w:r>
      <w:r>
        <w:rPr>
          <w:rFonts w:ascii="Times New Roman" w:hAnsi="Times New Roman" w:cs="Times New Roman" w:eastAsia="Times New Roman" w:hint="default"/>
        </w:rPr>
        <w:t>EMBA</w:t>
      </w:r>
      <w:r>
        <w:rPr>
          <w:rFonts w:ascii="Times New Roman" w:hAnsi="Times New Roman" w:cs="Times New Roman" w:eastAsia="Times New Roman" w:hint="default"/>
          <w:w w:val="99"/>
        </w:rPr>
        <w:t> </w:t>
      </w:r>
      <w:r>
        <w:rPr>
          <w:spacing w:val="-2"/>
        </w:rPr>
        <w:t>在读。</w:t>
      </w:r>
      <w:r>
        <w:rPr>
          <w:rFonts w:ascii="Times New Roman" w:hAnsi="Times New Roman" w:cs="Times New Roman" w:eastAsia="Times New Roman" w:hint="default"/>
          <w:spacing w:val="-2"/>
        </w:rPr>
        <w:t>2006</w:t>
      </w:r>
      <w:r>
        <w:rPr>
          <w:spacing w:val="-2"/>
        </w:rPr>
        <w:t>年加入公司以来，曾先后担任公司销售员、销售部经理、销售总监，现任本公司董事、副总裁，负责配件制造及</w:t>
      </w:r>
      <w:r>
        <w:rPr>
          <w:spacing w:val="-66"/>
        </w:rPr>
        <w:t> </w:t>
      </w:r>
      <w:r>
        <w:rPr>
          <w:spacing w:val="-66"/>
        </w:rPr>
      </w:r>
      <w:r>
        <w:rPr/>
        <w:t>战略人事业务。</w:t>
      </w:r>
    </w:p>
    <w:p>
      <w:pPr>
        <w:spacing w:line="240" w:lineRule="auto" w:before="3"/>
        <w:rPr>
          <w:rFonts w:ascii="宋体" w:hAnsi="宋体" w:cs="宋体" w:eastAsia="宋体" w:hint="default"/>
          <w:sz w:val="26"/>
          <w:szCs w:val="26"/>
        </w:rPr>
      </w:pPr>
    </w:p>
    <w:p>
      <w:pPr>
        <w:pStyle w:val="BodyText"/>
        <w:spacing w:line="300" w:lineRule="auto"/>
        <w:ind w:right="1033" w:firstLine="454"/>
        <w:jc w:val="left"/>
      </w:pPr>
      <w:r>
        <w:rPr>
          <w:rFonts w:ascii="Times New Roman" w:hAnsi="Times New Roman" w:cs="Times New Roman" w:eastAsia="Times New Roman" w:hint="default"/>
          <w:b/>
          <w:bCs/>
        </w:rPr>
        <w:t>ZHANG JING</w:t>
      </w:r>
      <w:r>
        <w:rPr>
          <w:rFonts w:ascii="宋体" w:hAnsi="宋体" w:cs="宋体" w:eastAsia="宋体" w:hint="default"/>
          <w:b/>
          <w:bCs/>
        </w:rPr>
        <w:t>（张静）女士</w:t>
      </w:r>
      <w:r>
        <w:rPr/>
        <w:t>：</w:t>
      </w:r>
      <w:r>
        <w:rPr>
          <w:rFonts w:ascii="Times New Roman" w:hAnsi="Times New Roman" w:cs="Times New Roman" w:eastAsia="Times New Roman" w:hint="default"/>
        </w:rPr>
        <w:t>1982</w:t>
      </w:r>
      <w:r>
        <w:rPr/>
        <w:t>年出生，加拿大国籍。毕业于</w:t>
      </w:r>
      <w:r>
        <w:rPr>
          <w:rFonts w:ascii="Times New Roman" w:hAnsi="Times New Roman" w:cs="Times New Roman" w:eastAsia="Times New Roman" w:hint="default"/>
        </w:rPr>
        <w:t>University of</w:t>
      </w:r>
      <w:r>
        <w:rPr>
          <w:rFonts w:ascii="Times New Roman" w:hAnsi="Times New Roman" w:cs="Times New Roman" w:eastAsia="Times New Roman" w:hint="default"/>
          <w:spacing w:val="-3"/>
        </w:rPr>
        <w:t> </w:t>
      </w:r>
      <w:r>
        <w:rPr>
          <w:rFonts w:ascii="Times New Roman" w:hAnsi="Times New Roman" w:cs="Times New Roman" w:eastAsia="Times New Roman" w:hint="default"/>
        </w:rPr>
        <w:t>Manitoba</w:t>
      </w:r>
      <w:r>
        <w:rPr/>
        <w:t>（精算一级荣誉学士学位）， 中欧国际工商学院</w:t>
      </w:r>
      <w:r>
        <w:rPr>
          <w:rFonts w:ascii="宋体" w:hAnsi="宋体" w:cs="宋体" w:eastAsia="宋体" w:hint="default"/>
        </w:rPr>
        <w:t>EMBA</w:t>
      </w:r>
      <w:r>
        <w:rPr/>
        <w:t>在读。</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月于</w:t>
      </w:r>
      <w:r>
        <w:rPr>
          <w:rFonts w:ascii="Times New Roman" w:hAnsi="Times New Roman" w:cs="Times New Roman" w:eastAsia="Times New Roman" w:hint="default"/>
        </w:rPr>
        <w:t>InterGroup Consultants</w:t>
      </w:r>
      <w:r>
        <w:rPr>
          <w:rFonts w:ascii="Times New Roman" w:hAnsi="Times New Roman" w:cs="Times New Roman" w:eastAsia="Times New Roman" w:hint="default"/>
          <w:spacing w:val="-2"/>
        </w:rPr>
        <w:t> </w:t>
      </w:r>
      <w:r>
        <w:rPr>
          <w:rFonts w:ascii="Times New Roman" w:hAnsi="Times New Roman" w:cs="Times New Roman" w:eastAsia="Times New Roman" w:hint="default"/>
        </w:rPr>
        <w:t>Ltd.</w:t>
      </w:r>
      <w:r>
        <w:rPr/>
        <w:t>（加拿大）先后担任研究分析员、经济咨 </w:t>
      </w:r>
      <w:r>
        <w:rPr>
          <w:spacing w:val="-5"/>
        </w:rPr>
        <w:t>询师。</w:t>
      </w:r>
      <w:r>
        <w:rPr>
          <w:rFonts w:ascii="Times New Roman" w:hAnsi="Times New Roman" w:cs="Times New Roman" w:eastAsia="Times New Roman" w:hint="default"/>
          <w:spacing w:val="-5"/>
        </w:rPr>
        <w:t>2011</w:t>
      </w:r>
      <w:r>
        <w:rPr>
          <w:spacing w:val="-5"/>
        </w:rPr>
        <w:t>年</w:t>
      </w:r>
      <w:r>
        <w:rPr>
          <w:rFonts w:ascii="Times New Roman" w:hAnsi="Times New Roman" w:cs="Times New Roman" w:eastAsia="Times New Roman" w:hint="default"/>
          <w:spacing w:val="-5"/>
        </w:rPr>
        <w:t>9</w:t>
      </w:r>
      <w:r>
        <w:rPr>
          <w:spacing w:val="-5"/>
        </w:rPr>
        <w:t>月至</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3</w:t>
      </w:r>
      <w:r>
        <w:rPr>
          <w:spacing w:val="-5"/>
        </w:rPr>
        <w:t>月于江苏爱康实业集团有限公司先后担任战略管理经理、董事长助理、投融资中心副总经理。</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rFonts w:ascii="Times New Roman" w:hAnsi="Times New Roman" w:cs="Times New Roman" w:eastAsia="Times New Roman" w:hint="default"/>
        </w:rPr>
      </w:r>
      <w:r>
        <w:rPr/>
        <w:t>年</w:t>
      </w:r>
      <w:r>
        <w:rPr>
          <w:rFonts w:ascii="Times New Roman" w:hAnsi="Times New Roman" w:cs="Times New Roman" w:eastAsia="Times New Roman" w:hint="default"/>
        </w:rPr>
        <w:t>4</w:t>
      </w:r>
      <w:r>
        <w:rPr/>
        <w:t>月至今担任公司董事会办公室主任，</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月取得深圳证券交易所颁发的董事会秘书资格证书，担任公司董事会秘书， 负责证券部及战略业务投资并购工作。</w:t>
      </w:r>
    </w:p>
    <w:p>
      <w:pPr>
        <w:spacing w:line="240" w:lineRule="auto" w:before="4"/>
        <w:rPr>
          <w:rFonts w:ascii="宋体" w:hAnsi="宋体" w:cs="宋体" w:eastAsia="宋体" w:hint="default"/>
          <w:sz w:val="26"/>
          <w:szCs w:val="26"/>
        </w:rPr>
      </w:pPr>
    </w:p>
    <w:p>
      <w:pPr>
        <w:pStyle w:val="BodyText"/>
        <w:spacing w:line="312" w:lineRule="auto"/>
        <w:ind w:right="1122" w:firstLine="378"/>
        <w:jc w:val="left"/>
      </w:pPr>
      <w:r>
        <w:rPr>
          <w:rFonts w:ascii="宋体" w:hAnsi="宋体" w:cs="宋体" w:eastAsia="宋体" w:hint="default"/>
          <w:b/>
          <w:bCs/>
        </w:rPr>
        <w:t>刘丹萍女士</w:t>
      </w:r>
      <w:r>
        <w:rPr/>
        <w:t>：</w:t>
      </w:r>
      <w:r>
        <w:rPr>
          <w:rFonts w:ascii="Times New Roman" w:hAnsi="Times New Roman" w:cs="Times New Roman" w:eastAsia="Times New Roman" w:hint="default"/>
        </w:rPr>
        <w:t>1957</w:t>
      </w:r>
      <w:r>
        <w:rPr/>
        <w:t>年出生，中国国籍，无境外永久居留权。任首都经济贸易大学马克思主义学院经济学教授及硕士生 </w:t>
      </w:r>
      <w:r>
        <w:rPr>
          <w:spacing w:val="-2"/>
        </w:rPr>
        <w:t>导师（已退休）、中国人民大学气候变化与低碳经济研究所研究员。</w:t>
      </w:r>
      <w:r>
        <w:rPr>
          <w:color w:val="333333"/>
          <w:spacing w:val="-2"/>
        </w:rPr>
        <w:t>现任神雾节能股份有限公司、北京中长石基信息股份有</w:t>
      </w:r>
      <w:r>
        <w:rPr>
          <w:color w:val="333333"/>
          <w:spacing w:val="-66"/>
        </w:rPr>
        <w:t> </w:t>
      </w:r>
      <w:r>
        <w:rPr>
          <w:color w:val="333333"/>
          <w:spacing w:val="-66"/>
        </w:rPr>
      </w:r>
      <w:r>
        <w:rPr>
          <w:color w:val="333333"/>
          <w:spacing w:val="-2"/>
        </w:rPr>
        <w:t>限公司、安徽扬子股份有限公司独立董事。刘丹萍女士长期从事经济及金融等专业的研究和教学工作，曾历任多家上市公司</w:t>
      </w:r>
      <w:r>
        <w:rPr>
          <w:color w:val="333333"/>
          <w:spacing w:val="-66"/>
        </w:rPr>
        <w:t> </w:t>
      </w:r>
      <w:r>
        <w:rPr>
          <w:color w:val="333333"/>
          <w:spacing w:val="-66"/>
        </w:rPr>
      </w:r>
      <w:r>
        <w:rPr>
          <w:color w:val="333333"/>
        </w:rPr>
        <w:t>独立董事，具有较强的专业知识和丰富的经验。现任本公司独立董事。</w:t>
      </w:r>
      <w:r>
        <w:rPr/>
      </w:r>
    </w:p>
    <w:p>
      <w:pPr>
        <w:spacing w:after="0" w:line="31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300" w:lineRule="auto"/>
        <w:ind w:right="0" w:firstLine="385"/>
        <w:jc w:val="left"/>
      </w:pPr>
      <w:r>
        <w:rPr>
          <w:rFonts w:ascii="宋体" w:hAnsi="宋体" w:cs="宋体" w:eastAsia="宋体" w:hint="default"/>
          <w:b/>
          <w:bCs/>
          <w:spacing w:val="-1"/>
        </w:rPr>
        <w:t>丁韶华先生：</w:t>
      </w:r>
      <w:r>
        <w:rPr>
          <w:rFonts w:ascii="Times New Roman" w:hAnsi="Times New Roman" w:cs="Times New Roman" w:eastAsia="Times New Roman" w:hint="default"/>
          <w:spacing w:val="-1"/>
        </w:rPr>
        <w:t>1971</w:t>
      </w:r>
      <w:r>
        <w:rPr>
          <w:spacing w:val="-1"/>
        </w:rPr>
        <w:t>年出生，中共党员，江苏方德律师事务所主任，南京师范大学硕士、南京大学博士，全国青联委员，</w:t>
      </w:r>
      <w:r>
        <w:rPr/>
        <w:t> 中国注册金融分析师，江苏省政府法律顾问，上交所第</w:t>
      </w:r>
      <w:r>
        <w:rPr>
          <w:rFonts w:ascii="Times New Roman" w:hAnsi="Times New Roman" w:cs="Times New Roman" w:eastAsia="Times New Roman" w:hint="default"/>
        </w:rPr>
        <w:t>16</w:t>
      </w:r>
      <w:r>
        <w:rPr/>
        <w:t>期上市公司独立董事资格（</w:t>
      </w:r>
      <w:r>
        <w:rPr>
          <w:rFonts w:ascii="Times New Roman" w:hAnsi="Times New Roman" w:cs="Times New Roman" w:eastAsia="Times New Roman" w:hint="default"/>
        </w:rPr>
        <w:t>04971</w:t>
      </w:r>
      <w:r>
        <w:rPr/>
        <w:t>）。兼任江苏常熟农商行监事、</w:t>
      </w:r>
      <w:r>
        <w:rPr>
          <w:spacing w:val="-82"/>
        </w:rPr>
        <w:t> </w:t>
      </w:r>
      <w:r>
        <w:rPr>
          <w:spacing w:val="-82"/>
        </w:rPr>
      </w:r>
      <w:r>
        <w:rPr>
          <w:spacing w:val="-6"/>
        </w:rPr>
        <w:t>苏州蜗牛股份董事、江苏凯米膜科技董事。曾经荣获</w:t>
      </w:r>
      <w:r>
        <w:rPr>
          <w:rFonts w:ascii="Times New Roman" w:hAnsi="Times New Roman" w:cs="Times New Roman" w:eastAsia="Times New Roman" w:hint="default"/>
          <w:spacing w:val="-6"/>
        </w:rPr>
        <w:t>“</w:t>
      </w:r>
      <w:r>
        <w:rPr>
          <w:spacing w:val="-6"/>
        </w:rPr>
        <w:t>首届江苏省十大杰出青年律师（</w:t>
      </w:r>
      <w:r>
        <w:rPr>
          <w:rFonts w:ascii="Times New Roman" w:hAnsi="Times New Roman" w:cs="Times New Roman" w:eastAsia="Times New Roman" w:hint="default"/>
          <w:spacing w:val="-6"/>
        </w:rPr>
        <w:t>2005</w:t>
      </w:r>
      <w:r>
        <w:rPr>
          <w:spacing w:val="-6"/>
        </w:rPr>
        <w:t>）</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中国法律年度大奖（</w:t>
      </w:r>
      <w:r>
        <w:rPr>
          <w:rFonts w:ascii="Times New Roman" w:hAnsi="Times New Roman" w:cs="Times New Roman" w:eastAsia="Times New Roman" w:hint="default"/>
          <w:spacing w:val="-6"/>
        </w:rPr>
        <w:t>2007</w:t>
      </w:r>
      <w:r>
        <w:rPr>
          <w:spacing w:val="-6"/>
        </w:rPr>
        <w:t>）</w:t>
      </w:r>
      <w:r>
        <w:rPr>
          <w:rFonts w:ascii="Times New Roman" w:hAnsi="Times New Roman" w:cs="Times New Roman" w:eastAsia="Times New Roman" w:hint="default"/>
          <w:spacing w:val="-6"/>
        </w:rPr>
        <w:t>”</w:t>
      </w:r>
      <w:r>
        <w:rPr>
          <w:spacing w:val="-6"/>
        </w:rPr>
        <w:t>、</w:t>
      </w:r>
      <w:r>
        <w:rPr>
          <w:spacing w:val="-33"/>
        </w:rPr>
        <w:t> </w:t>
      </w:r>
      <w:r>
        <w:rPr>
          <w:rFonts w:ascii="Times New Roman" w:hAnsi="Times New Roman" w:cs="Times New Roman" w:eastAsia="Times New Roman" w:hint="default"/>
        </w:rPr>
        <w:t>“</w:t>
      </w:r>
      <w:r>
        <w:rPr/>
        <w:t>江苏省优秀律师（</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第一届中国银行业协会法律专家组成员（</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江苏省十大卓越金融青年（</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w:t>
      </w:r>
      <w:r>
        <w:rPr/>
        <w:t>。 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日离任本公司独立董事。</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2"/>
          <w:szCs w:val="12"/>
        </w:rPr>
      </w:pPr>
    </w:p>
    <w:p>
      <w:pPr>
        <w:pStyle w:val="BodyText"/>
        <w:spacing w:line="307" w:lineRule="auto"/>
        <w:ind w:right="1130" w:firstLine="308"/>
        <w:jc w:val="both"/>
      </w:pPr>
      <w:r>
        <w:rPr>
          <w:rFonts w:ascii="宋体" w:hAnsi="宋体" w:cs="宋体" w:eastAsia="宋体" w:hint="default"/>
          <w:b/>
          <w:bCs/>
          <w:spacing w:val="-1"/>
        </w:rPr>
        <w:t>耿乃凡先生</w:t>
      </w:r>
      <w:r>
        <w:rPr>
          <w:spacing w:val="-1"/>
        </w:rPr>
        <w:t>，</w:t>
      </w:r>
      <w:r>
        <w:rPr>
          <w:rFonts w:ascii="Times New Roman" w:hAnsi="Times New Roman" w:cs="Times New Roman" w:eastAsia="Times New Roman" w:hint="default"/>
          <w:spacing w:val="-1"/>
        </w:rPr>
        <w:t>1952</w:t>
      </w:r>
      <w:r>
        <w:rPr>
          <w:spacing w:val="-1"/>
        </w:rPr>
        <w:t>年出生，中国国籍，无境外永久居留权。研究生学历，毕业于东南大学获得管理科学与工程专业博士</w:t>
      </w:r>
      <w:r>
        <w:rPr/>
        <w:t> </w:t>
      </w:r>
      <w:r>
        <w:rPr>
          <w:spacing w:val="-2"/>
        </w:rPr>
        <w:t>学位，长江商学院高级管理人员硕士，研究员、高级经济师职称。曾担任南京市石油公司副经理，江苏省凤凰出版传媒公司</w:t>
      </w:r>
      <w:r>
        <w:rPr>
          <w:spacing w:val="-66"/>
        </w:rPr>
        <w:t> </w:t>
      </w:r>
      <w:r>
        <w:rPr>
          <w:spacing w:val="-66"/>
        </w:rPr>
      </w:r>
      <w:r>
        <w:rPr>
          <w:spacing w:val="-1"/>
        </w:rPr>
        <w:t>总经理，南京市投资公司总经理，南京市国际信托投资公司总经理，南京古南多</w:t>
      </w:r>
      <w:r>
        <w:rPr>
          <w:rFonts w:ascii="Times New Roman" w:hAnsi="Times New Roman" w:cs="Times New Roman" w:eastAsia="Times New Roman" w:hint="default"/>
          <w:spacing w:val="-1"/>
        </w:rPr>
        <w:t>(</w:t>
      </w:r>
      <w:r>
        <w:rPr>
          <w:spacing w:val="-1"/>
        </w:rPr>
        <w:t>中日合资</w:t>
      </w:r>
      <w:r>
        <w:rPr>
          <w:rFonts w:ascii="Times New Roman" w:hAnsi="Times New Roman" w:cs="Times New Roman" w:eastAsia="Times New Roman" w:hint="default"/>
          <w:spacing w:val="-1"/>
        </w:rPr>
        <w:t>)</w:t>
      </w:r>
      <w:r>
        <w:rPr>
          <w:spacing w:val="-1"/>
        </w:rPr>
        <w:t>饭店董事长，南京银行董事，南</w:t>
      </w:r>
      <w:r>
        <w:rPr>
          <w:spacing w:val="-59"/>
        </w:rPr>
        <w:t> </w:t>
      </w:r>
      <w:r>
        <w:rPr>
          <w:spacing w:val="-59"/>
        </w:rPr>
      </w:r>
      <w:r>
        <w:rPr/>
        <w:t>京三宝科技股份有限公司独立董事。现任本公司独立董事。</w:t>
      </w:r>
    </w:p>
    <w:p>
      <w:pPr>
        <w:spacing w:line="240" w:lineRule="auto" w:before="0"/>
        <w:rPr>
          <w:rFonts w:ascii="宋体" w:hAnsi="宋体" w:cs="宋体" w:eastAsia="宋体" w:hint="default"/>
          <w:sz w:val="18"/>
          <w:szCs w:val="18"/>
        </w:rPr>
      </w:pPr>
    </w:p>
    <w:p>
      <w:pPr>
        <w:pStyle w:val="BodyText"/>
        <w:spacing w:line="312" w:lineRule="auto" w:before="141"/>
        <w:ind w:left="154" w:right="1131" w:firstLine="308"/>
        <w:jc w:val="both"/>
      </w:pPr>
      <w:r>
        <w:rPr>
          <w:rFonts w:ascii="宋体" w:hAnsi="宋体" w:cs="宋体" w:eastAsia="宋体" w:hint="default"/>
          <w:b/>
          <w:bCs/>
          <w:spacing w:val="-1"/>
        </w:rPr>
        <w:t>何前女士：</w:t>
      </w:r>
      <w:r>
        <w:rPr>
          <w:rFonts w:ascii="Times New Roman" w:hAnsi="Times New Roman" w:cs="Times New Roman" w:eastAsia="Times New Roman" w:hint="default"/>
          <w:spacing w:val="-1"/>
        </w:rPr>
        <w:t>1972</w:t>
      </w:r>
      <w:r>
        <w:rPr>
          <w:spacing w:val="-1"/>
        </w:rPr>
        <w:t>年出生，中国国籍，无境外永久居留权。研究生学历，毕业于上海交通大学上海高级金融学院；长江商</w:t>
      </w:r>
      <w:r>
        <w:rPr/>
        <w:t> </w:t>
      </w:r>
      <w:r>
        <w:rPr>
          <w:spacing w:val="-2"/>
        </w:rPr>
        <w:t>学院高级管理人员硕士。曾先后任中瑞岳华会计师事务所浙江分所合伙人及负责人，瑞华会计师事务所（特殊普通合伙）浙</w:t>
      </w:r>
      <w:r>
        <w:rPr>
          <w:spacing w:val="-66"/>
        </w:rPr>
        <w:t> </w:t>
      </w:r>
      <w:r>
        <w:rPr>
          <w:spacing w:val="-66"/>
        </w:rPr>
      </w:r>
      <w:r>
        <w:rPr>
          <w:spacing w:val="-2"/>
        </w:rPr>
        <w:t>江分所合伙人及负责人。现任浙江岳华会计师事务所有限公司副总经理、灵康药业集团股份有限公司独立董事、浙江春晖智</w:t>
      </w:r>
      <w:r>
        <w:rPr>
          <w:spacing w:val="-66"/>
        </w:rPr>
        <w:t> </w:t>
      </w:r>
      <w:r>
        <w:rPr>
          <w:spacing w:val="-66"/>
        </w:rPr>
      </w:r>
      <w:r>
        <w:rPr/>
        <w:t>能控制股份有限公司独立董事。现任本公司独立董事。</w:t>
      </w:r>
    </w:p>
    <w:p>
      <w:pPr>
        <w:spacing w:line="624" w:lineRule="exact" w:before="45"/>
        <w:ind w:left="462" w:right="1122" w:hanging="309"/>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（二）</w:t>
      </w:r>
      <w:r>
        <w:rPr>
          <w:rFonts w:ascii="宋体" w:hAnsi="宋体" w:cs="宋体" w:eastAsia="宋体" w:hint="default"/>
          <w:b/>
          <w:bCs/>
          <w:spacing w:val="-14"/>
          <w:sz w:val="18"/>
          <w:szCs w:val="18"/>
        </w:rPr>
        <w:t> </w:t>
      </w:r>
      <w:r>
        <w:rPr>
          <w:rFonts w:ascii="宋体" w:hAnsi="宋体" w:cs="宋体" w:eastAsia="宋体" w:hint="default"/>
          <w:b/>
          <w:bCs/>
          <w:sz w:val="18"/>
          <w:szCs w:val="18"/>
        </w:rPr>
        <w:t>监事会成员简介</w:t>
      </w:r>
      <w:r>
        <w:rPr>
          <w:rFonts w:ascii="宋体" w:hAnsi="宋体" w:cs="宋体" w:eastAsia="宋体" w:hint="default"/>
          <w:b/>
          <w:bCs/>
          <w:w w:val="99"/>
          <w:sz w:val="18"/>
          <w:szCs w:val="18"/>
        </w:rPr>
        <w:t> </w:t>
      </w:r>
      <w:r>
        <w:rPr>
          <w:rFonts w:ascii="宋体" w:hAnsi="宋体" w:cs="宋体" w:eastAsia="宋体" w:hint="default"/>
          <w:b/>
          <w:bCs/>
          <w:spacing w:val="-4"/>
          <w:sz w:val="18"/>
          <w:szCs w:val="18"/>
        </w:rPr>
        <w:t>李光华先生</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1975</w:t>
      </w:r>
      <w:r>
        <w:rPr>
          <w:rFonts w:ascii="宋体" w:hAnsi="宋体" w:cs="宋体" w:eastAsia="宋体" w:hint="default"/>
          <w:spacing w:val="-4"/>
          <w:sz w:val="18"/>
          <w:szCs w:val="18"/>
        </w:rPr>
        <w:t>年出生，中国国籍，无境外永久居留权。大学本科学历，毕业于四川大学，上海复旦大学</w:t>
      </w:r>
      <w:r>
        <w:rPr>
          <w:rFonts w:ascii="Times New Roman" w:hAnsi="Times New Roman" w:cs="Times New Roman" w:eastAsia="Times New Roman" w:hint="default"/>
          <w:spacing w:val="-4"/>
          <w:sz w:val="18"/>
          <w:szCs w:val="18"/>
        </w:rPr>
        <w:t>EMBA</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2009</w:t>
      </w:r>
    </w:p>
    <w:p>
      <w:pPr>
        <w:pStyle w:val="BodyText"/>
        <w:spacing w:line="213" w:lineRule="exact"/>
        <w:ind w:right="1122"/>
        <w:jc w:val="left"/>
      </w:pPr>
      <w:r>
        <w:rPr/>
        <w:t>年加入本公司，现担任本公司监事会主席。</w:t>
      </w:r>
    </w:p>
    <w:p>
      <w:pPr>
        <w:spacing w:line="240" w:lineRule="auto" w:before="0"/>
        <w:rPr>
          <w:rFonts w:ascii="宋体" w:hAnsi="宋体" w:cs="宋体" w:eastAsia="宋体" w:hint="default"/>
          <w:sz w:val="18"/>
          <w:szCs w:val="18"/>
        </w:rPr>
      </w:pPr>
    </w:p>
    <w:p>
      <w:pPr>
        <w:pStyle w:val="BodyText"/>
        <w:spacing w:line="300" w:lineRule="auto" w:before="153"/>
        <w:ind w:right="1129" w:firstLine="300"/>
        <w:jc w:val="both"/>
      </w:pPr>
      <w:r>
        <w:rPr>
          <w:rFonts w:ascii="宋体" w:hAnsi="宋体" w:cs="宋体" w:eastAsia="宋体" w:hint="default"/>
          <w:b/>
          <w:bCs/>
        </w:rPr>
        <w:t>赵剑先生</w:t>
      </w:r>
      <w:r>
        <w:rPr/>
        <w:t>，</w:t>
      </w:r>
      <w:r>
        <w:rPr>
          <w:rFonts w:ascii="Times New Roman" w:hAnsi="Times New Roman" w:cs="Times New Roman" w:eastAsia="Times New Roman" w:hint="default"/>
        </w:rPr>
        <w:t>1983</w:t>
      </w:r>
      <w:r>
        <w:rPr/>
        <w:t>年出生，中国国籍，无境外永久居留权。研究生学历，毕业于复旦大学（</w:t>
      </w:r>
      <w:r>
        <w:rPr>
          <w:rFonts w:ascii="宋体" w:hAnsi="宋体" w:cs="宋体" w:eastAsia="宋体" w:hint="default"/>
        </w:rPr>
        <w:t>MBA</w:t>
      </w:r>
      <w:r>
        <w:rPr/>
        <w:t>），湖南大学（本科）。 </w:t>
      </w:r>
      <w:r>
        <w:rPr>
          <w:rFonts w:ascii="Times New Roman" w:hAnsi="Times New Roman" w:cs="Times New Roman" w:eastAsia="Times New Roman" w:hint="default"/>
          <w:spacing w:val="-2"/>
        </w:rPr>
        <w:t>2006</w:t>
      </w:r>
      <w:r>
        <w:rPr>
          <w:spacing w:val="-2"/>
        </w:rPr>
        <w:t>年加入本公司以来，曾先后担任本公司采购员、采购部经理、南通爱康金属科技有限公司总经理、苏州爱康金属科技有</w:t>
      </w:r>
      <w:r>
        <w:rPr>
          <w:spacing w:val="-61"/>
        </w:rPr>
        <w:t> </w:t>
      </w:r>
      <w:r>
        <w:rPr>
          <w:spacing w:val="-61"/>
        </w:rPr>
      </w:r>
      <w:r>
        <w:rPr/>
        <w:t>限公司总经理等。</w:t>
      </w:r>
    </w:p>
    <w:p>
      <w:pPr>
        <w:spacing w:line="240" w:lineRule="auto" w:before="3"/>
        <w:rPr>
          <w:rFonts w:ascii="宋体" w:hAnsi="宋体" w:cs="宋体" w:eastAsia="宋体" w:hint="default"/>
          <w:sz w:val="26"/>
          <w:szCs w:val="26"/>
        </w:rPr>
      </w:pPr>
    </w:p>
    <w:p>
      <w:pPr>
        <w:pStyle w:val="BodyText"/>
        <w:spacing w:line="312" w:lineRule="auto"/>
        <w:ind w:right="0" w:firstLine="300"/>
        <w:jc w:val="left"/>
      </w:pPr>
      <w:r>
        <w:rPr>
          <w:rFonts w:ascii="宋体" w:hAnsi="宋体" w:cs="宋体" w:eastAsia="宋体" w:hint="default"/>
          <w:b/>
          <w:bCs/>
        </w:rPr>
        <w:t>丁惠华女士</w:t>
      </w:r>
      <w:r>
        <w:rPr/>
        <w:t>，</w:t>
      </w:r>
      <w:r>
        <w:rPr>
          <w:rFonts w:ascii="Times New Roman" w:hAnsi="Times New Roman" w:cs="Times New Roman" w:eastAsia="Times New Roman" w:hint="default"/>
        </w:rPr>
        <w:t>1975</w:t>
      </w:r>
      <w:r>
        <w:rPr/>
        <w:t>年出生，中国国籍，无境外永久居留权，本科学历。丁惠华女士自</w:t>
      </w:r>
      <w:r>
        <w:rPr>
          <w:rFonts w:ascii="Times New Roman" w:hAnsi="Times New Roman" w:cs="Times New Roman" w:eastAsia="Times New Roman" w:hint="default"/>
        </w:rPr>
        <w:t>2001</w:t>
      </w:r>
      <w:r>
        <w:rPr/>
        <w:t>年通过会计从业资格证后，走 </w:t>
      </w:r>
      <w:r>
        <w:rPr>
          <w:spacing w:val="-4"/>
        </w:rPr>
        <w:t>上会计岗位，并先后取得中级会计师、注册税务师、注册会计师证书。丁惠华女士曾先后就职于张家港市经济贸易有限公司、</w:t>
      </w:r>
      <w:r>
        <w:rPr>
          <w:spacing w:val="-46"/>
        </w:rPr>
        <w:t> </w:t>
      </w:r>
      <w:r>
        <w:rPr>
          <w:spacing w:val="-46"/>
        </w:rPr>
      </w:r>
      <w:r>
        <w:rPr>
          <w:spacing w:val="-4"/>
        </w:rPr>
        <w:t>张家港市新世纪税务师事务所、张家港市中天税务师事务所、张家港市钰泰会计师事务所，担任主办会计、项目经理等职务。</w:t>
      </w:r>
      <w:r>
        <w:rPr>
          <w:spacing w:val="-46"/>
        </w:rPr>
        <w:t> </w:t>
      </w:r>
      <w:r>
        <w:rPr>
          <w:spacing w:val="-46"/>
        </w:rPr>
      </w:r>
      <w:r>
        <w:rPr>
          <w:rFonts w:ascii="Times New Roman" w:hAnsi="Times New Roman" w:cs="Times New Roman" w:eastAsia="Times New Roman" w:hint="default"/>
        </w:rPr>
        <w:t>2010</w:t>
      </w:r>
      <w:r>
        <w:rPr/>
        <w:t>年加入本公司以来，担任本公司审计部负责人。</w:t>
      </w:r>
    </w:p>
    <w:p>
      <w:pPr>
        <w:spacing w:line="240" w:lineRule="auto" w:before="1"/>
        <w:rPr>
          <w:rFonts w:ascii="宋体" w:hAnsi="宋体" w:cs="宋体" w:eastAsia="宋体" w:hint="default"/>
          <w:sz w:val="24"/>
          <w:szCs w:val="24"/>
        </w:rPr>
      </w:pPr>
    </w:p>
    <w:p>
      <w:pPr>
        <w:pStyle w:val="Heading4"/>
        <w:spacing w:line="240" w:lineRule="auto"/>
        <w:ind w:left="154" w:right="1122"/>
        <w:jc w:val="left"/>
        <w:rPr>
          <w:b w:val="0"/>
          <w:bCs w:val="0"/>
        </w:rPr>
      </w:pPr>
      <w:r>
        <w:rPr/>
        <w:t>（三）</w:t>
      </w:r>
      <w:r>
        <w:rPr>
          <w:spacing w:val="-16"/>
        </w:rPr>
        <w:t> </w:t>
      </w:r>
      <w:r>
        <w:rPr/>
        <w:t>高级管理人员简介</w:t>
      </w:r>
      <w:r>
        <w:rPr>
          <w:b w:val="0"/>
          <w:bCs w:val="0"/>
        </w:rPr>
      </w:r>
    </w:p>
    <w:p>
      <w:pPr>
        <w:spacing w:line="240" w:lineRule="auto" w:before="0"/>
        <w:rPr>
          <w:rFonts w:ascii="宋体" w:hAnsi="宋体" w:cs="宋体" w:eastAsia="宋体" w:hint="default"/>
          <w:b/>
          <w:bCs/>
          <w:sz w:val="18"/>
          <w:szCs w:val="18"/>
        </w:rPr>
      </w:pPr>
    </w:p>
    <w:p>
      <w:pPr>
        <w:spacing w:line="240" w:lineRule="auto" w:before="11"/>
        <w:rPr>
          <w:rFonts w:ascii="宋体" w:hAnsi="宋体" w:cs="宋体" w:eastAsia="宋体" w:hint="default"/>
          <w:b/>
          <w:bCs/>
          <w:sz w:val="20"/>
          <w:szCs w:val="20"/>
        </w:rPr>
      </w:pPr>
    </w:p>
    <w:p>
      <w:pPr>
        <w:pStyle w:val="BodyText"/>
        <w:spacing w:line="300" w:lineRule="auto"/>
        <w:ind w:right="2320" w:firstLine="457"/>
        <w:jc w:val="left"/>
      </w:pPr>
      <w:r>
        <w:rPr/>
        <w:t>公司高级管理人员易美怀、史强、</w:t>
      </w:r>
      <w:r>
        <w:rPr>
          <w:rFonts w:ascii="Times New Roman" w:hAnsi="Times New Roman" w:cs="Times New Roman" w:eastAsia="Times New Roman" w:hint="default"/>
        </w:rPr>
        <w:t>ZHANG </w:t>
      </w:r>
      <w:r>
        <w:rPr>
          <w:rFonts w:ascii="Times New Roman" w:hAnsi="Times New Roman" w:cs="Times New Roman" w:eastAsia="Times New Roman" w:hint="default"/>
          <w:spacing w:val="-3"/>
        </w:rPr>
        <w:t>JING</w:t>
      </w:r>
      <w:r>
        <w:rPr>
          <w:spacing w:val="-3"/>
        </w:rPr>
        <w:t>、刘宇峰、李静。易美怀、史强、</w:t>
      </w:r>
      <w:r>
        <w:rPr>
          <w:rFonts w:ascii="Times New Roman" w:hAnsi="Times New Roman" w:cs="Times New Roman" w:eastAsia="Times New Roman" w:hint="default"/>
          <w:spacing w:val="-3"/>
        </w:rPr>
        <w:t>ZHANG</w:t>
      </w:r>
      <w:r>
        <w:rPr>
          <w:rFonts w:ascii="Times New Roman" w:hAnsi="Times New Roman" w:cs="Times New Roman" w:eastAsia="Times New Roman" w:hint="default"/>
          <w:spacing w:val="-22"/>
        </w:rPr>
        <w:t> </w:t>
      </w:r>
      <w:r>
        <w:rPr>
          <w:rFonts w:ascii="Times New Roman" w:hAnsi="Times New Roman" w:cs="Times New Roman" w:eastAsia="Times New Roman" w:hint="default"/>
        </w:rPr>
        <w:t>JING</w:t>
      </w:r>
      <w:r>
        <w:rPr/>
        <w:t>的简介 请见本节之</w:t>
      </w:r>
      <w:r>
        <w:rPr>
          <w:rFonts w:ascii="Times New Roman" w:hAnsi="Times New Roman" w:cs="Times New Roman" w:eastAsia="Times New Roman" w:hint="default"/>
        </w:rPr>
        <w:t>“</w:t>
      </w:r>
      <w:r>
        <w:rPr/>
        <w:t>董事会成员简介</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6"/>
          <w:szCs w:val="16"/>
        </w:rPr>
      </w:pPr>
    </w:p>
    <w:p>
      <w:pPr>
        <w:pStyle w:val="BodyText"/>
        <w:spacing w:line="304" w:lineRule="auto"/>
        <w:ind w:right="1130" w:firstLine="300"/>
        <w:jc w:val="both"/>
      </w:pPr>
      <w:r>
        <w:rPr>
          <w:rFonts w:ascii="宋体" w:hAnsi="宋体" w:cs="宋体" w:eastAsia="宋体" w:hint="default"/>
          <w:b/>
          <w:bCs/>
        </w:rPr>
        <w:t>刘宇峰先生</w:t>
      </w:r>
      <w:r>
        <w:rPr>
          <w:rFonts w:ascii="Times New Roman" w:hAnsi="Times New Roman" w:cs="Times New Roman" w:eastAsia="Times New Roman" w:hint="default"/>
          <w:b/>
          <w:bCs/>
        </w:rPr>
        <w:t>,</w:t>
      </w:r>
      <w:r>
        <w:rPr>
          <w:rFonts w:ascii="Times New Roman" w:hAnsi="Times New Roman" w:cs="Times New Roman" w:eastAsia="Times New Roman" w:hint="default"/>
          <w:b/>
          <w:bCs/>
          <w:spacing w:val="9"/>
        </w:rPr>
        <w:t> </w:t>
      </w:r>
      <w:r>
        <w:rPr>
          <w:rFonts w:ascii="Times New Roman" w:hAnsi="Times New Roman" w:cs="Times New Roman" w:eastAsia="Times New Roman" w:hint="default"/>
        </w:rPr>
        <w:t>1974</w:t>
      </w:r>
      <w:r>
        <w:rPr/>
        <w:t>年出生，中国国籍，无境外永久居留权。硕士学位，毕业于武汉大学，并获得澳大利亚维多利亚大学 </w:t>
      </w:r>
      <w:r>
        <w:rPr>
          <w:spacing w:val="-2"/>
        </w:rPr>
        <w:t>工商管理硕士学位，具有电力专业与</w:t>
      </w:r>
      <w:r>
        <w:rPr>
          <w:rFonts w:ascii="Times New Roman" w:hAnsi="Times New Roman" w:cs="Times New Roman" w:eastAsia="Times New Roman" w:hint="default"/>
          <w:spacing w:val="-2"/>
        </w:rPr>
        <w:t>IT</w:t>
      </w:r>
      <w:r>
        <w:rPr>
          <w:spacing w:val="-2"/>
        </w:rPr>
        <w:t>互联网的复合型知识结构。曾在国家电网公司系统直属单位工作</w:t>
      </w:r>
      <w:r>
        <w:rPr>
          <w:rFonts w:ascii="Times New Roman" w:hAnsi="Times New Roman" w:cs="Times New Roman" w:eastAsia="Times New Roman" w:hint="default"/>
          <w:spacing w:val="-2"/>
        </w:rPr>
        <w:t>20</w:t>
      </w:r>
      <w:r>
        <w:rPr>
          <w:spacing w:val="-2"/>
        </w:rPr>
        <w:t>年，积累了丰富的</w:t>
      </w:r>
      <w:r>
        <w:rPr>
          <w:spacing w:val="-50"/>
        </w:rPr>
        <w:t> </w:t>
      </w:r>
      <w:r>
        <w:rPr>
          <w:spacing w:val="-50"/>
        </w:rPr>
      </w:r>
      <w:r>
        <w:rPr>
          <w:spacing w:val="-2"/>
        </w:rPr>
        <w:t>电力行业工作经历与经验，对新电改背景下行业变革及创新模式拥有深刻的理解与认识，尤其在能源互联网领域开展了很多</w:t>
      </w:r>
      <w:r>
        <w:rPr>
          <w:spacing w:val="-64"/>
        </w:rPr>
        <w:t> </w:t>
      </w:r>
      <w:r>
        <w:rPr>
          <w:spacing w:val="-64"/>
        </w:rPr>
      </w:r>
      <w:r>
        <w:rPr>
          <w:spacing w:val="-2"/>
        </w:rPr>
        <w:t>的战略研究和实践探索。</w:t>
      </w:r>
      <w:r>
        <w:rPr>
          <w:rFonts w:ascii="Times New Roman" w:hAnsi="Times New Roman" w:cs="Times New Roman" w:eastAsia="Times New Roman" w:hint="default"/>
          <w:spacing w:val="-2"/>
        </w:rPr>
        <w:t>2016</w:t>
      </w:r>
      <w:r>
        <w:rPr>
          <w:spacing w:val="-2"/>
        </w:rPr>
        <w:t>年加入公司，分管能源互联网业务板块，包含电站运营、售电、评级、检测、碳交易、能源云</w:t>
      </w:r>
      <w:r>
        <w:rPr>
          <w:spacing w:val="-63"/>
        </w:rPr>
        <w:t> </w:t>
      </w:r>
      <w:r>
        <w:rPr>
          <w:spacing w:val="-63"/>
        </w:rPr>
      </w:r>
      <w:r>
        <w:rPr/>
        <w:t>大数据等业务。</w:t>
      </w:r>
    </w:p>
    <w:p>
      <w:pPr>
        <w:spacing w:line="240" w:lineRule="auto" w:before="13"/>
        <w:rPr>
          <w:rFonts w:ascii="宋体" w:hAnsi="宋体" w:cs="宋体" w:eastAsia="宋体" w:hint="default"/>
          <w:sz w:val="25"/>
          <w:szCs w:val="25"/>
        </w:rPr>
      </w:pPr>
    </w:p>
    <w:p>
      <w:pPr>
        <w:pStyle w:val="BodyText"/>
        <w:spacing w:line="240" w:lineRule="auto"/>
        <w:ind w:left="453" w:right="0"/>
        <w:jc w:val="left"/>
      </w:pPr>
      <w:r>
        <w:rPr>
          <w:rFonts w:ascii="宋体" w:hAnsi="宋体" w:cs="宋体" w:eastAsia="宋体" w:hint="default"/>
          <w:b/>
          <w:bCs/>
        </w:rPr>
        <w:t>李静先生，</w:t>
      </w:r>
      <w:r>
        <w:rPr>
          <w:rFonts w:ascii="Times New Roman" w:hAnsi="Times New Roman" w:cs="Times New Roman" w:eastAsia="Times New Roman" w:hint="default"/>
        </w:rPr>
        <w:t>1984</w:t>
      </w:r>
      <w:r>
        <w:rPr/>
        <w:t>年出生，中国国籍，无境外永久居留权。大学本科学历，毕业于湖南大学，会计中级职称。</w:t>
      </w:r>
      <w:r>
        <w:rPr>
          <w:rFonts w:ascii="Times New Roman" w:hAnsi="Times New Roman" w:cs="Times New Roman" w:eastAsia="Times New Roman" w:hint="default"/>
        </w:rPr>
        <w:t>2007</w:t>
      </w:r>
      <w:r>
        <w:rPr/>
        <w:t>年加入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jc w:val="left"/>
      </w:pPr>
      <w:r>
        <w:rPr>
          <w:spacing w:val="-2"/>
        </w:rPr>
        <w:t>公司以来，曾先后担任江苏爱康科技股份有限公司成本会计、成本主管、财务经理。现任公司财务总监，负责公司财务管理</w:t>
      </w:r>
      <w:r>
        <w:rPr>
          <w:spacing w:val="-66"/>
        </w:rPr>
        <w:t> </w:t>
      </w:r>
      <w:r>
        <w:rPr>
          <w:spacing w:val="-66"/>
        </w:rPr>
      </w:r>
      <w:r>
        <w:rPr/>
        <w:t>工作。</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9"/>
          <w:szCs w:val="19"/>
        </w:rPr>
      </w:pPr>
    </w:p>
    <w:p>
      <w:pPr>
        <w:pStyle w:val="BodyText"/>
        <w:spacing w:line="240" w:lineRule="auto"/>
        <w:ind w:right="1122"/>
        <w:jc w:val="left"/>
      </w:pPr>
      <w:r>
        <w:rPr/>
        <w:t>在股东单位任职情况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17"/>
        <w:gridCol w:w="2327"/>
        <w:gridCol w:w="1419"/>
        <w:gridCol w:w="1702"/>
        <w:gridCol w:w="1559"/>
        <w:gridCol w:w="1402"/>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3"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7"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4" w:right="72" w:hanging="361"/>
              <w:jc w:val="left"/>
              <w:rPr>
                <w:rFonts w:ascii="宋体" w:hAnsi="宋体" w:cs="宋体" w:eastAsia="宋体" w:hint="default"/>
                <w:sz w:val="18"/>
                <w:szCs w:val="18"/>
              </w:rPr>
            </w:pPr>
            <w:r>
              <w:rPr>
                <w:rFonts w:ascii="宋体" w:hAnsi="宋体" w:cs="宋体" w:eastAsia="宋体" w:hint="default"/>
                <w:sz w:val="18"/>
                <w:szCs w:val="18"/>
              </w:rPr>
              <w:t>在股东单位担任 的职务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6" w:right="65"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执行董事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副总裁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总经理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22"/>
        <w:jc w:val="left"/>
      </w:pPr>
      <w:r>
        <w:rPr/>
        <w:t>在其他单位任职情况</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632"/>
        <w:gridCol w:w="1487"/>
        <w:gridCol w:w="1103"/>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31" w:right="89"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1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6" w:right="9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3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慧谷国际控股有限公司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 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香港爱康电力国际控股有限公司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上海爱康富罗纳售电有限公司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632"/>
        <w:gridCol w:w="1487"/>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苏州爱康光电科技有限公司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北京碳诺科技有限公司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 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张家港保税科技股份有限公司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江苏沙钢股份有限公司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抚州诚投融资租赁有限公司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九江赛翡蓝宝石科技有限公司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寻乌爱康房地产开发有限公司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总经理兼执行董事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江西金诺国际融资租赁有限公司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张家港保税区至信新能源有限公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抚州诚投融资租赁有限公司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江西省金控融资租赁股份有限公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江西金诺国际融资租赁有限公司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寻乌爱康房地产开发有限公司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632"/>
        <w:gridCol w:w="1487"/>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江阴爱康光伏焊带有限公司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上海慧喆信息技术有限公司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陕西爱康新能电力有限公司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北京爱康新能电力科技有限公司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 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首都经济贸易大学马克思主义学 院</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1984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67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中国人民大学风险资本与网络经 济研究中心</w:t>
            </w:r>
            <w:r>
              <w:rPr>
                <w:rFonts w:ascii="Times New Roman" w:hAnsi="Times New Roman" w:cs="Times New Roman" w:eastAsia="Times New Roman" w:hint="default"/>
                <w:sz w:val="18"/>
                <w:szCs w:val="18"/>
              </w:rPr>
              <w:t>/</w:t>
            </w:r>
            <w:r>
              <w:rPr>
                <w:rFonts w:ascii="宋体" w:hAnsi="宋体" w:cs="宋体" w:eastAsia="宋体" w:hint="default"/>
                <w:sz w:val="18"/>
                <w:szCs w:val="18"/>
              </w:rPr>
              <w:t>气候变化与低碳经济</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研究员</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632"/>
        <w:gridCol w:w="1487"/>
        <w:gridCol w:w="1103"/>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研究所</w:t>
            </w:r>
          </w:p>
        </w:tc>
        <w:tc>
          <w:tcPr>
            <w:tcW w:w="1632" w:type="dxa"/>
            <w:tcBorders>
              <w:top w:val="single" w:sz="4" w:space="0" w:color="000000"/>
              <w:left w:val="single" w:sz="4" w:space="0" w:color="000000"/>
              <w:bottom w:val="single" w:sz="4" w:space="0" w:color="000000"/>
              <w:right w:val="single" w:sz="4" w:space="0" w:color="000000"/>
            </w:tcBorders>
          </w:tcPr>
          <w:p>
            <w:pPr/>
          </w:p>
        </w:tc>
        <w:tc>
          <w:tcPr>
            <w:tcW w:w="1487"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安徽扬子地板股份有限公司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北京中长石基信息技术股份有限 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神雾节能股份有限公司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江苏常熟农村商业银行股份有限 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外部监事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江苏方德律师事务所</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主任</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江苏北银投资管理有限公司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江苏富森港通物流有限公司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江阴天伦农庄有限公司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灵康药业集团股份有限公司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浙江岳佑投资管理有限公司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浙江赛领岳佑投资管理有限公司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杭州华设岳庭资产管理有限公司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北京玖缘投资管理有限公司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浙江华明投资管理有限公司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西藏锦运信息科技有限公司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西藏也生食品科技有限公司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杭州杭岳投资管理有限公司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杭州岳华天瑞财务服务有限公司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浙江赛佑投资管理有限公司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浙江赛玺投资管理有限公司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北京袖千秋商贸有限公司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深圳市科昂商务咨询有限公司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杭州也生信息科技有限公司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中博展览股份有限公司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苏州爱康金属科技有限公司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南通爱康金属科技有限公司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执行董事兼总经理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上海富罗纳企业征信服务有限公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苏州中康电力开发有限公司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2736"/>
        <w:gridCol w:w="1632"/>
        <w:gridCol w:w="1487"/>
        <w:gridCol w:w="1103"/>
        <w:gridCol w:w="1376"/>
      </w:tblGrid>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甘肃爱康电力有限公司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赣州爱康光电科技有限公司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 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内蒙古爱康电力有限公司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p>
        </w:tc>
        <w:tc>
          <w:tcPr>
            <w:tcW w:w="1103"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22"/>
        <w:jc w:val="left"/>
      </w:pPr>
      <w:r>
        <w:rPr/>
        <w:t>公司现任及报告期内离任董事、监事和高级管理人员近三年证券监管机构处罚的情况</w:t>
      </w:r>
    </w:p>
    <w:p>
      <w:pPr>
        <w:pStyle w:val="BodyText"/>
        <w:spacing w:line="240" w:lineRule="auto" w:before="117"/>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四、董事、监事、高级管理人员报酬情况" w:id="127"/>
      <w:bookmarkEnd w:id="127"/>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444" w:right="1122" w:hanging="291"/>
        <w:jc w:val="left"/>
      </w:pPr>
      <w:r>
        <w:rPr/>
        <w:t>董事、监事、高级管理人员报酬的决策程序、确定依据、实际支付情况 </w:t>
      </w:r>
      <w:r>
        <w:rPr>
          <w:spacing w:val="-1"/>
        </w:rPr>
        <w:t>公司董事会下设薪酬与考核委员会，负责制定、审查公司董事及高级管理人员的薪酬政策与方案，制定公司董事及高级</w:t>
      </w:r>
    </w:p>
    <w:p>
      <w:pPr>
        <w:pStyle w:val="BodyText"/>
        <w:spacing w:line="224" w:lineRule="exact"/>
        <w:ind w:right="0"/>
        <w:jc w:val="left"/>
      </w:pPr>
      <w:r>
        <w:rPr/>
        <w:t>管理人员的考核标准并进行考核。董事或监事的薪酬方案经董事会或监事会审议通过后由股东大会审议确定，高级管理人员</w:t>
      </w:r>
    </w:p>
    <w:p>
      <w:pPr>
        <w:pStyle w:val="BodyText"/>
        <w:spacing w:line="316" w:lineRule="auto" w:before="76"/>
        <w:ind w:left="516" w:right="0" w:hanging="363"/>
        <w:jc w:val="left"/>
      </w:pPr>
      <w:r>
        <w:rPr/>
        <w:t>的薪酬方案经董事会审议确定。 </w:t>
      </w:r>
      <w:r>
        <w:rPr>
          <w:spacing w:val="-4"/>
        </w:rPr>
        <w:t>公司对在公司领取薪酬的董事（独立董事除外）、监事和高管人员实行绩效考核，并将考核结果与个人收入、奖励挂钩。</w:t>
      </w:r>
    </w:p>
    <w:p>
      <w:pPr>
        <w:pStyle w:val="BodyText"/>
        <w:spacing w:line="316" w:lineRule="auto" w:before="19"/>
        <w:ind w:right="1122"/>
        <w:jc w:val="left"/>
      </w:pPr>
      <w:r>
        <w:rPr>
          <w:spacing w:val="-2"/>
        </w:rPr>
        <w:t>公司与上述人员于每年年初签订目标考核责任书，董事会薪酬与考核委员会在年末结合公司经营业绩、上述人员的目标完成</w:t>
      </w:r>
      <w:r>
        <w:rPr>
          <w:spacing w:val="-64"/>
        </w:rPr>
        <w:t> </w:t>
      </w:r>
      <w:r>
        <w:rPr>
          <w:spacing w:val="-64"/>
        </w:rPr>
      </w:r>
      <w:r>
        <w:rPr/>
        <w:t>情况确定奖励方案。</w:t>
      </w:r>
    </w:p>
    <w:p>
      <w:pPr>
        <w:pStyle w:val="BodyText"/>
        <w:spacing w:line="240" w:lineRule="auto" w:before="19"/>
        <w:ind w:left="516" w:right="1122"/>
        <w:jc w:val="left"/>
      </w:pPr>
      <w:r>
        <w:rPr/>
        <w:t>报告期董事、监事和高级管理人员报酬已全部实际支付。</w:t>
      </w:r>
    </w:p>
    <w:p>
      <w:pPr>
        <w:spacing w:line="240" w:lineRule="auto" w:before="5"/>
        <w:rPr>
          <w:rFonts w:ascii="宋体" w:hAnsi="宋体" w:cs="宋体" w:eastAsia="宋体" w:hint="default"/>
          <w:sz w:val="29"/>
          <w:szCs w:val="29"/>
        </w:rPr>
      </w:pPr>
    </w:p>
    <w:p>
      <w:pPr>
        <w:pStyle w:val="BodyText"/>
        <w:spacing w:line="240" w:lineRule="auto" w:before="44"/>
        <w:ind w:right="1122"/>
        <w:jc w:val="left"/>
      </w:pPr>
      <w:r>
        <w:rPr/>
        <w:t>公司报告期内董事、监事和高级管理人员报酬情况</w:t>
      </w:r>
    </w:p>
    <w:p>
      <w:pPr>
        <w:pStyle w:val="BodyText"/>
        <w:spacing w:line="240" w:lineRule="auto" w:before="117"/>
        <w:ind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易美怀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副董事长</w:t>
            </w:r>
            <w:r>
              <w:rPr>
                <w:rFonts w:ascii="Times New Roman" w:hAnsi="Times New Roman" w:cs="Times New Roman" w:eastAsia="Times New Roman" w:hint="default"/>
                <w:sz w:val="18"/>
                <w:szCs w:val="18"/>
              </w:rPr>
              <w:t>;</w:t>
            </w:r>
            <w:r>
              <w:rPr>
                <w:rFonts w:ascii="宋体" w:hAnsi="宋体" w:cs="宋体" w:eastAsia="宋体" w:hint="default"/>
                <w:sz w:val="18"/>
                <w:szCs w:val="18"/>
              </w:rPr>
              <w:t>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徐国辉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袁源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史强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ZHANG</w:t>
            </w:r>
            <w:r>
              <w:rPr>
                <w:rFonts w:ascii="Times New Roman"/>
                <w:spacing w:val="-2"/>
                <w:sz w:val="18"/>
              </w:rPr>
              <w:t> </w:t>
            </w:r>
            <w:r>
              <w:rPr>
                <w:rFonts w:ascii="Times New Roman"/>
                <w:sz w:val="18"/>
              </w:rPr>
              <w:t>JING</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董事；董事会秘 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李光华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36.19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丁惠华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刘宇峰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54.71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7"/>
        <w:gridCol w:w="1368"/>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0" w:right="0"/>
              <w:jc w:val="left"/>
              <w:rPr>
                <w:rFonts w:ascii="Times New Roman" w:hAnsi="Times New Roman" w:cs="Times New Roman" w:eastAsia="Times New Roman" w:hint="default"/>
                <w:sz w:val="18"/>
                <w:szCs w:val="18"/>
              </w:rPr>
            </w:pPr>
            <w:r>
              <w:rPr>
                <w:rFonts w:ascii="Times New Roman"/>
                <w:sz w:val="18"/>
              </w:rPr>
              <w:t>378.54</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公司董事、高级管理人员报告期内被授予的股权激励情况</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1122"/>
        <w:jc w:val="left"/>
        <w:rPr>
          <w:b w:val="0"/>
          <w:bCs w:val="0"/>
        </w:rPr>
      </w:pPr>
      <w:bookmarkStart w:name="五、公司员工情况" w:id="128"/>
      <w:bookmarkEnd w:id="128"/>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员工数量、专业构成及教育程度" w:id="129"/>
      <w:bookmarkEnd w:id="129"/>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1,783</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1,846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415</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1,432</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2,569</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2、薪酬政策" w:id="130"/>
      <w:bookmarkEnd w:id="130"/>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032"/>
        <w:jc w:val="left"/>
      </w:pPr>
      <w:r>
        <w:rPr/>
        <w:t>本着兼顾外部竞争性和内部公平性的原则，公司不断健全和完善薪酬绩效管理制度，公司的薪酬理念是以绩效导向为核心， </w:t>
      </w:r>
      <w:r>
        <w:rPr>
          <w:spacing w:val="-2"/>
        </w:rPr>
        <w:t>以岗位价值为基础，关注战略、分享成功，向业务层倾斜，吸引、激励和保留符合公司未来发展要求的人才。对于中高层管</w:t>
      </w:r>
      <w:r>
        <w:rPr>
          <w:spacing w:val="-68"/>
        </w:rPr>
        <w:t> </w:t>
      </w:r>
      <w:r>
        <w:rPr>
          <w:spacing w:val="-68"/>
        </w:rPr>
      </w:r>
      <w:r>
        <w:rPr>
          <w:spacing w:val="-2"/>
        </w:rPr>
        <w:t>理人员，核心业务（技术）人员、高绩效高潜力人员，公司还制定了相应的经营合伙计划及股权激励计划，使员工能充分享</w:t>
      </w:r>
      <w:r>
        <w:rPr>
          <w:spacing w:val="-67"/>
        </w:rPr>
        <w:t> </w:t>
      </w:r>
      <w:r>
        <w:rPr>
          <w:spacing w:val="-67"/>
        </w:rPr>
      </w:r>
      <w:r>
        <w:rPr/>
        <w:t>受公司发展的成果，促进公司长期健康发展。</w:t>
      </w:r>
    </w:p>
    <w:p>
      <w:pPr>
        <w:spacing w:after="0" w:line="319"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both"/>
        <w:rPr>
          <w:b w:val="0"/>
          <w:bCs w:val="0"/>
        </w:rPr>
      </w:pPr>
      <w:bookmarkStart w:name="3、培训计划" w:id="131"/>
      <w:bookmarkEnd w:id="131"/>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jc w:val="both"/>
      </w:pPr>
      <w:r>
        <w:rPr>
          <w:spacing w:val="-2"/>
        </w:rPr>
        <w:t>人才是企业发展的重要资源，公司一向重视人才的培养，公司根据战略目标，通过体系、制度和流程优化等促进人才的开发</w:t>
      </w:r>
      <w:r>
        <w:rPr>
          <w:spacing w:val="-66"/>
        </w:rPr>
        <w:t> </w:t>
      </w:r>
      <w:r>
        <w:rPr>
          <w:spacing w:val="-66"/>
        </w:rPr>
      </w:r>
      <w:r>
        <w:rPr>
          <w:spacing w:val="-2"/>
        </w:rPr>
        <w:t>和培养。结合业务发展需要和人才盘点现状制定年度培训计划，通过多渠道（内外部）多形式（线上线下、项目化运营）多</w:t>
      </w:r>
      <w:r>
        <w:rPr>
          <w:spacing w:val="-69"/>
        </w:rPr>
        <w:t> </w:t>
      </w:r>
      <w:r>
        <w:rPr>
          <w:spacing w:val="-69"/>
        </w:rPr>
      </w:r>
      <w:r>
        <w:rPr/>
        <w:t>工具（引导技术、经验萃取、研讨等），聚焦核心人才及重点业务人才，实施综合性学习方案，提升培训效果。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3"/>
        <w:ind w:right="0"/>
        <w:jc w:val="both"/>
        <w:rPr>
          <w:b w:val="0"/>
          <w:bCs w:val="0"/>
        </w:rPr>
      </w:pPr>
      <w:bookmarkStart w:name="4、劳务外包情况" w:id="132"/>
      <w:bookmarkEnd w:id="132"/>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劳务外包的工时总数（小时）</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1,638,907.25</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劳务外包支付的报酬总额（元）</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27,364,252.72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978"/>
        <w:jc w:val="center"/>
        <w:rPr>
          <w:b w:val="0"/>
          <w:bCs w:val="0"/>
        </w:rPr>
      </w:pPr>
      <w:bookmarkStart w:name="第九节 公司治理" w:id="133"/>
      <w:bookmarkEnd w:id="133"/>
      <w:r>
        <w:rPr>
          <w:b w:val="0"/>
          <w:bCs w:val="0"/>
        </w:rPr>
      </w:r>
      <w:bookmarkStart w:name="_bookmark8" w:id="134"/>
      <w:bookmarkEnd w:id="134"/>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公司治理的基本状况" w:id="135"/>
      <w:bookmarkEnd w:id="135"/>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0" w:firstLine="480"/>
        <w:jc w:val="both"/>
      </w:pPr>
      <w:r>
        <w:rPr>
          <w:spacing w:val="-1"/>
        </w:rPr>
        <w:t>公司严格按照《公司法》、《证券法》和中国证监会有关法律法规的要求，不断完善公司法人治理结构，建立现代企</w:t>
      </w:r>
      <w:r>
        <w:rPr/>
        <w:t> </w:t>
      </w:r>
      <w:r>
        <w:rPr>
          <w:spacing w:val="-2"/>
        </w:rPr>
        <w:t>业制度，规范公司运作，不断完善公司法人治理结构，建立了较为完备的公司治理及内部控制规章制度，同时根据监管部门</w:t>
      </w:r>
      <w:r>
        <w:rPr>
          <w:spacing w:val="-66"/>
        </w:rPr>
        <w:t> </w:t>
      </w:r>
      <w:r>
        <w:rPr>
          <w:spacing w:val="-66"/>
        </w:rPr>
      </w:r>
      <w:r>
        <w:rPr>
          <w:spacing w:val="-2"/>
        </w:rPr>
        <w:t>的最新要求，及时对制度进行修订和完善。报告期内，公司修订了《董事、高级管理人员薪酬与考核管理制度》、《关联交</w:t>
      </w:r>
      <w:r>
        <w:rPr>
          <w:spacing w:val="-68"/>
        </w:rPr>
        <w:t> </w:t>
      </w:r>
      <w:r>
        <w:rPr>
          <w:spacing w:val="-68"/>
        </w:rPr>
      </w:r>
      <w:r>
        <w:rPr>
          <w:spacing w:val="-2"/>
        </w:rPr>
        <w:t>易决策制度》和《公司章程》，进一步规范了公司治理。截至报告期末，公司治理实际情况基本符合中国证监会发布的有关</w:t>
      </w:r>
      <w:r>
        <w:rPr>
          <w:spacing w:val="-68"/>
        </w:rPr>
        <w:t> </w:t>
      </w:r>
      <w:r>
        <w:rPr>
          <w:spacing w:val="-68"/>
        </w:rPr>
      </w:r>
      <w:r>
        <w:rPr/>
        <w:t>上市公司治理的规范性文件的要求。</w:t>
      </w:r>
    </w:p>
    <w:p>
      <w:pPr>
        <w:pStyle w:val="BodyText"/>
        <w:spacing w:line="300" w:lineRule="auto" w:before="19"/>
        <w:ind w:right="1122" w:firstLine="290"/>
        <w:jc w:val="left"/>
      </w:pPr>
      <w:r>
        <w:rPr>
          <w:rFonts w:ascii="Times New Roman" w:hAnsi="Times New Roman" w:cs="Times New Roman" w:eastAsia="Times New Roman" w:hint="default"/>
        </w:rPr>
        <w:t>1</w:t>
      </w:r>
      <w:r>
        <w:rPr/>
        <w:t>、关于股东与股东大会：公司能够根据《上市公司股东大会规则》的要求及公司制定的《股东大会议事规则》召集、</w:t>
      </w:r>
      <w:r>
        <w:rPr>
          <w:spacing w:val="1"/>
        </w:rPr>
        <w:t> </w:t>
      </w:r>
      <w:r>
        <w:rPr/>
        <w:t>召开股东大会。公司能够平等对待所有股东，特别是中小股东享有平等地位，能够充分行使自己的权利。</w:t>
      </w:r>
    </w:p>
    <w:p>
      <w:pPr>
        <w:pStyle w:val="BodyText"/>
        <w:spacing w:line="312" w:lineRule="auto" w:before="31"/>
        <w:ind w:left="154" w:right="1032" w:firstLine="290"/>
        <w:jc w:val="left"/>
      </w:pPr>
      <w:r>
        <w:rPr>
          <w:rFonts w:ascii="Times New Roman" w:hAnsi="Times New Roman" w:cs="Times New Roman" w:eastAsia="Times New Roman" w:hint="default"/>
          <w:spacing w:val="-1"/>
        </w:rPr>
        <w:t>2</w:t>
      </w:r>
      <w:r>
        <w:rPr>
          <w:spacing w:val="-1"/>
        </w:rPr>
        <w:t>、关于控股股东与上市公司的关系：公司具有独立的业务及自主经营能力，公司控股股东江苏爱康实业集团有限公司、</w:t>
      </w:r>
      <w:r>
        <w:rPr/>
        <w:t> </w:t>
      </w:r>
      <w:r>
        <w:rPr>
          <w:spacing w:val="-2"/>
        </w:rPr>
        <w:t>爱康国际控股有限公司、江阴爱康投资有限公司和邹承慧先生严格规范自己的行为，通过股东大会行使出资人的权利，没有</w:t>
      </w:r>
      <w:r>
        <w:rPr>
          <w:spacing w:val="-66"/>
        </w:rPr>
        <w:t> </w:t>
      </w:r>
      <w:r>
        <w:rPr>
          <w:spacing w:val="-66"/>
        </w:rPr>
      </w:r>
      <w:r>
        <w:rPr/>
        <w:t>超越股东大会直接或间接干预公司的决策和经营活动，公司与控股股东进行的关联交易公平合理，公司与控股股东在人员、 资产、财务、机构、业务上做到了相互独立，公司董事会、监事会和内部机构能够独立运作。</w:t>
      </w:r>
    </w:p>
    <w:p>
      <w:pPr>
        <w:pStyle w:val="BodyText"/>
        <w:spacing w:line="309" w:lineRule="auto" w:before="22"/>
        <w:ind w:right="1130" w:firstLine="290"/>
        <w:jc w:val="both"/>
      </w:pPr>
      <w:r>
        <w:rPr>
          <w:rFonts w:ascii="Times New Roman" w:hAnsi="Times New Roman" w:cs="Times New Roman" w:eastAsia="Times New Roman" w:hint="default"/>
        </w:rPr>
        <w:t>3</w:t>
      </w:r>
      <w:r>
        <w:rPr/>
        <w:t>、关于董事和董事会：公司严格按照《公司法》、《公司章程》规定的选聘程序选举董事、聘请独立董事，公司董事</w:t>
      </w:r>
      <w:r>
        <w:rPr>
          <w:spacing w:val="1"/>
        </w:rPr>
        <w:t> </w:t>
      </w:r>
      <w:r>
        <w:rPr>
          <w:spacing w:val="-2"/>
        </w:rPr>
        <w:t>会人数和人员构成符合法律、法规的要求，公司各位董事能够依据《董事会议事规则》等制度，认真出席董事会会议，行使</w:t>
      </w:r>
      <w:r>
        <w:rPr>
          <w:spacing w:val="-67"/>
        </w:rPr>
        <w:t> </w:t>
      </w:r>
      <w:r>
        <w:rPr>
          <w:spacing w:val="-67"/>
        </w:rPr>
      </w:r>
      <w:r>
        <w:rPr/>
        <w:t>相应职责。</w:t>
      </w:r>
    </w:p>
    <w:p>
      <w:pPr>
        <w:pStyle w:val="BodyText"/>
        <w:spacing w:line="309" w:lineRule="auto" w:before="24"/>
        <w:ind w:left="154" w:right="1132" w:firstLine="290"/>
        <w:jc w:val="both"/>
      </w:pPr>
      <w:r>
        <w:rPr>
          <w:rFonts w:ascii="Times New Roman" w:hAnsi="Times New Roman" w:cs="Times New Roman" w:eastAsia="Times New Roman" w:hint="default"/>
        </w:rPr>
        <w:t>4</w:t>
      </w:r>
      <w:r>
        <w:rPr/>
        <w:t>、关于监事和监事会：公司监事会严格执行《公司法》、《公司章程》的有关规定，人数和人员构成符合法律、法规</w:t>
      </w:r>
      <w:r>
        <w:rPr>
          <w:spacing w:val="1"/>
        </w:rPr>
        <w:t> </w:t>
      </w:r>
      <w:r>
        <w:rPr>
          <w:spacing w:val="-2"/>
        </w:rPr>
        <w:t>的要求，能够依据《监事会议事规则》等制度，认真履行自己的职责，对公司财务以及董事和其他高级管理人员履行职责的</w:t>
      </w:r>
      <w:r>
        <w:rPr>
          <w:spacing w:val="-66"/>
        </w:rPr>
        <w:t> </w:t>
      </w:r>
      <w:r>
        <w:rPr>
          <w:spacing w:val="-66"/>
        </w:rPr>
      </w:r>
      <w:r>
        <w:rPr/>
        <w:t>合法合规性进行监督，并独立发表意见。</w:t>
      </w:r>
    </w:p>
    <w:p>
      <w:pPr>
        <w:pStyle w:val="BodyText"/>
        <w:spacing w:line="309" w:lineRule="auto" w:before="24"/>
        <w:ind w:left="154" w:right="1032" w:firstLine="290"/>
        <w:jc w:val="left"/>
      </w:pPr>
      <w:r>
        <w:rPr>
          <w:rFonts w:ascii="Times New Roman" w:hAnsi="Times New Roman" w:cs="Times New Roman" w:eastAsia="Times New Roman" w:hint="default"/>
        </w:rPr>
        <w:t>5</w:t>
      </w:r>
      <w:r>
        <w:rPr/>
        <w:t>、关于绩效评价与激励约束机制：公司绩效评价与激励机制公正透明，董事、监事以及高级管理人员的薪酬与公司绩 效和个人业绩挂钩；高级管理人员的聘任严格遵循《公司章程》及有关法律、法规的规定。报告期内，公司修订了《董事、 高级管理人员薪酬与考核管理制度》，并筹划回购股份实施股权激励事项。</w:t>
      </w:r>
    </w:p>
    <w:p>
      <w:pPr>
        <w:pStyle w:val="BodyText"/>
        <w:spacing w:line="300" w:lineRule="auto" w:before="24"/>
        <w:ind w:right="1042" w:firstLine="290"/>
        <w:jc w:val="both"/>
      </w:pPr>
      <w:r>
        <w:rPr>
          <w:rFonts w:ascii="Times New Roman" w:hAnsi="Times New Roman" w:cs="Times New Roman" w:eastAsia="Times New Roman" w:hint="default"/>
        </w:rPr>
        <w:t>6</w:t>
      </w:r>
      <w:r>
        <w:rPr/>
        <w:t>、关于信息披露与透明度：公司指定董事会秘书负责信息披露工作、接待股东来访和咨询，指定《证券时报》、《中</w:t>
      </w:r>
      <w:r>
        <w:rPr>
          <w:spacing w:val="1"/>
        </w:rPr>
        <w:t> </w:t>
      </w:r>
      <w:r>
        <w:rPr/>
        <w:t>国证券报》和巨潮网资讯网（</w:t>
      </w:r>
      <w:hyperlink r:id="rId11">
        <w:r>
          <w:rPr>
            <w:rFonts w:ascii="Times New Roman" w:hAnsi="Times New Roman" w:cs="Times New Roman" w:eastAsia="Times New Roman" w:hint="default"/>
          </w:rPr>
          <w:t>http://www.cninfo.com.cn</w:t>
        </w:r>
      </w:hyperlink>
      <w:r>
        <w:rPr/>
        <w:t>）为公司信息披露的指定报纸和网站；公司严格按照有关法律法规及 </w:t>
      </w:r>
      <w:r>
        <w:rPr>
          <w:spacing w:val="-4"/>
        </w:rPr>
        <w:t>公司制定的《信息披露管理制度》的要求，真实、准确、完整、及时的披露有关信息，确保所有股东有平等的机会获得信息。</w:t>
      </w:r>
    </w:p>
    <w:p>
      <w:pPr>
        <w:pStyle w:val="BodyText"/>
        <w:spacing w:line="300" w:lineRule="auto" w:before="31"/>
        <w:ind w:left="154" w:right="0" w:firstLine="290"/>
        <w:jc w:val="left"/>
      </w:pPr>
      <w:r>
        <w:rPr>
          <w:rFonts w:ascii="Times New Roman" w:hAnsi="Times New Roman" w:cs="Times New Roman" w:eastAsia="Times New Roman" w:hint="default"/>
          <w:spacing w:val="-1"/>
        </w:rPr>
        <w:t>7</w:t>
      </w:r>
      <w:r>
        <w:rPr>
          <w:spacing w:val="-1"/>
        </w:rPr>
        <w:t>、关于相关利益者：公司能够充分尊重和维护相关利益者的合法权益，实现股东、员工、社会等各方利益的协调平衡，</w:t>
      </w:r>
      <w:r>
        <w:rPr/>
        <w:t> 共同推动公司持续、健康的发展。</w:t>
      </w:r>
    </w:p>
    <w:p>
      <w:pPr>
        <w:pStyle w:val="BodyText"/>
        <w:spacing w:line="240" w:lineRule="auto" w:before="72"/>
        <w:ind w:left="154" w:right="1122"/>
        <w:jc w:val="left"/>
      </w:pPr>
      <w:r>
        <w:rPr/>
        <w:t>公司治理的实际状况与中国证监会发布的有关上市公司治理的规范性文件是否存在重大差异</w:t>
      </w:r>
    </w:p>
    <w:p>
      <w:pPr>
        <w:pStyle w:val="BodyText"/>
        <w:spacing w:line="338" w:lineRule="auto" w:before="117"/>
        <w:ind w:right="355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22"/>
        <w:jc w:val="left"/>
        <w:rPr>
          <w:b w:val="0"/>
          <w:bCs w:val="0"/>
        </w:rPr>
      </w:pPr>
      <w:bookmarkStart w:name="二、公司相对于控股股东在业务、人员、资产、机构、财务等方面的独立情况" w:id="136"/>
      <w:bookmarkEnd w:id="136"/>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2" w:firstLine="360"/>
        <w:jc w:val="left"/>
      </w:pPr>
      <w:r>
        <w:rPr>
          <w:spacing w:val="-2"/>
        </w:rPr>
        <w:t>公司与控股股东在业务、人员、资产、机构、财务等方面完全分开，具有独立完整的业务及自主经营能力，控股股东依</w:t>
      </w:r>
      <w:r>
        <w:rPr/>
        <w:t> 法行使其权利并承担相应的义务，没有超越股东大会直接或间接干预公司经营活动。</w:t>
      </w:r>
    </w:p>
    <w:p>
      <w:pPr>
        <w:pStyle w:val="BodyText"/>
        <w:spacing w:line="309" w:lineRule="auto" w:before="19"/>
        <w:ind w:left="154" w:right="0" w:firstLine="360"/>
        <w:jc w:val="left"/>
      </w:pPr>
      <w:r>
        <w:rPr>
          <w:rFonts w:ascii="Times New Roman" w:hAnsi="Times New Roman" w:cs="Times New Roman" w:eastAsia="Times New Roman" w:hint="default"/>
        </w:rPr>
        <w:t>1</w:t>
      </w:r>
      <w:r>
        <w:rPr/>
        <w:t>、业务方面：公司自主独立经营，业务结构完整，并拥有独立的采购、供应、生产、销售、财务系统，依照法定经营 </w:t>
      </w:r>
      <w:r>
        <w:rPr>
          <w:spacing w:val="-4"/>
        </w:rPr>
        <w:t>范围独立从事经营管理活动，不存在由控股股东直接或间接控制和干预供应及销售的情况，与控股股东保持业务完整和独立，</w:t>
      </w:r>
      <w:r>
        <w:rPr>
          <w:spacing w:val="-44"/>
        </w:rPr>
        <w:t> </w:t>
      </w:r>
      <w:r>
        <w:rPr>
          <w:spacing w:val="-44"/>
        </w:rPr>
      </w:r>
      <w:r>
        <w:rPr/>
        <w:t>与控股股东不存在同业竞争。</w:t>
      </w:r>
    </w:p>
    <w:p>
      <w:pPr>
        <w:pStyle w:val="BodyText"/>
        <w:spacing w:line="300" w:lineRule="auto" w:before="24"/>
        <w:ind w:left="154" w:right="1122" w:firstLine="360"/>
        <w:jc w:val="left"/>
      </w:pPr>
      <w:r>
        <w:rPr>
          <w:rFonts w:ascii="Times New Roman" w:hAnsi="Times New Roman" w:cs="Times New Roman" w:eastAsia="Times New Roman" w:hint="default"/>
        </w:rPr>
        <w:t>2</w:t>
      </w:r>
      <w:r>
        <w:rPr/>
        <w:t>、人员方面：公司在劳动、人事及工资管理体系等方面均独立于控股股东。高级管理人员均在本公司领取报酬，且未 在控股股东单位领取报酬和担任除董事、监事外的其他职务。</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40" w:firstLine="360"/>
        <w:jc w:val="both"/>
      </w:pPr>
      <w:r>
        <w:rPr>
          <w:rFonts w:ascii="Times New Roman" w:hAnsi="Times New Roman" w:cs="Times New Roman" w:eastAsia="Times New Roman" w:hint="default"/>
        </w:rPr>
        <w:t>3</w:t>
      </w:r>
      <w:r>
        <w:rPr/>
        <w:t>、资产方面：公司资产产权清晰、完整，拥有独立于控股股东的生产体系及配套设施，拥有独立的生产系统和配套设 施，拥有独立的非专利技术、商标等无形资产，不存在控股股东及其他关联方无偿占用、挪用公司资产的现象。</w:t>
      </w:r>
    </w:p>
    <w:p>
      <w:pPr>
        <w:pStyle w:val="BodyText"/>
        <w:spacing w:line="309" w:lineRule="auto" w:before="31"/>
        <w:ind w:left="154" w:right="1130" w:firstLine="360"/>
        <w:jc w:val="both"/>
      </w:pPr>
      <w:r>
        <w:rPr>
          <w:rFonts w:ascii="Times New Roman" w:hAnsi="Times New Roman" w:cs="Times New Roman" w:eastAsia="Times New Roman" w:hint="default"/>
        </w:rPr>
        <w:t>4</w:t>
      </w:r>
      <w:r>
        <w:rPr/>
        <w:t>、机构方面：公司设立了健全的决策、组织及经营管理机构，各机构独立运作，不存在与控股股东职能部门之间的从 </w:t>
      </w:r>
      <w:r>
        <w:rPr>
          <w:spacing w:val="-2"/>
        </w:rPr>
        <w:t>属关系。公司股东大会、董事会、监事会和经理层各司其责、各负其职，公司控股股东均依照法定程序参与公司决策，未影</w:t>
      </w:r>
      <w:r>
        <w:rPr>
          <w:spacing w:val="-68"/>
        </w:rPr>
        <w:t> </w:t>
      </w:r>
      <w:r>
        <w:rPr>
          <w:spacing w:val="-68"/>
        </w:rPr>
      </w:r>
      <w:r>
        <w:rPr/>
        <w:t>响本公司经营管理的独立性。</w:t>
      </w:r>
    </w:p>
    <w:p>
      <w:pPr>
        <w:pStyle w:val="BodyText"/>
        <w:spacing w:line="309" w:lineRule="auto" w:before="24"/>
        <w:ind w:left="154" w:right="1131" w:firstLine="360"/>
        <w:jc w:val="both"/>
      </w:pPr>
      <w:r>
        <w:rPr>
          <w:rFonts w:ascii="Times New Roman" w:hAnsi="Times New Roman" w:cs="Times New Roman" w:eastAsia="Times New Roman" w:hint="default"/>
        </w:rPr>
        <w:t>5</w:t>
      </w:r>
      <w:r>
        <w:rPr/>
        <w:t>、财务方面：公司拥有独立的财务会计部门和财务人员，建立有独立的会计核算体系，具有规范的财务管理制度，独 </w:t>
      </w:r>
      <w:r>
        <w:rPr>
          <w:spacing w:val="-2"/>
        </w:rPr>
        <w:t>立进行财务决策，开立独立的银行账户，依法独立纳税，会计人员未在控股股东单位兼职。公司不存在货币资金或其他资产</w:t>
      </w:r>
      <w:r>
        <w:rPr>
          <w:spacing w:val="-66"/>
        </w:rPr>
        <w:t> </w:t>
      </w:r>
      <w:r>
        <w:rPr>
          <w:spacing w:val="-66"/>
        </w:rPr>
      </w:r>
      <w:r>
        <w:rPr/>
        <w:t>被控股股东或其他关联方占用的情况，也不存在为控股股东及下属企业或其他关联方违规提供担保的情况。</w:t>
      </w:r>
    </w:p>
    <w:p>
      <w:pPr>
        <w:spacing w:line="240" w:lineRule="auto" w:before="2"/>
        <w:rPr>
          <w:rFonts w:ascii="宋体" w:hAnsi="宋体" w:cs="宋体" w:eastAsia="宋体" w:hint="default"/>
          <w:sz w:val="21"/>
          <w:szCs w:val="21"/>
        </w:rPr>
      </w:pPr>
    </w:p>
    <w:p>
      <w:pPr>
        <w:pStyle w:val="Heading2"/>
        <w:spacing w:line="240" w:lineRule="auto"/>
        <w:ind w:right="1122"/>
        <w:jc w:val="left"/>
        <w:rPr>
          <w:b w:val="0"/>
          <w:bCs w:val="0"/>
        </w:rPr>
      </w:pPr>
      <w:bookmarkStart w:name="三、同业竞争情况" w:id="137"/>
      <w:bookmarkEnd w:id="137"/>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四、报告期内召开的年度股东大会和临时股东大会的有关情况" w:id="138"/>
      <w:bookmarkEnd w:id="138"/>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本报告期股东大会情况" w:id="139"/>
      <w:bookmarkEnd w:id="139"/>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78"/>
        <w:gridCol w:w="1276"/>
        <w:gridCol w:w="1417"/>
        <w:gridCol w:w="1560"/>
        <w:gridCol w:w="1559"/>
        <w:gridCol w:w="778"/>
      </w:tblGrid>
      <w:tr>
        <w:trPr>
          <w:trHeight w:val="401"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2"/>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28.29%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2017-15</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2017-40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2017-66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2017-68</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2017-90</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2017-96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年第六次临时股东大会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2017-116</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年第七次临时股东大会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2017-125</w:t>
            </w:r>
          </w:p>
        </w:tc>
      </w:tr>
      <w:tr>
        <w:trPr>
          <w:trHeight w:val="403"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年第八次临时股东大会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2017-157</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2、表决权恢复的优先股股东请求召开临时股东大会" w:id="140"/>
      <w:bookmarkEnd w:id="140"/>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1122"/>
        <w:jc w:val="left"/>
        <w:rPr>
          <w:b w:val="0"/>
          <w:bCs w:val="0"/>
        </w:rPr>
      </w:pPr>
      <w:bookmarkStart w:name="五、报告期内独立董事履行职责的情况" w:id="141"/>
      <w:bookmarkEnd w:id="141"/>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独立董事出席董事会及股东大会的情况" w:id="142"/>
      <w:bookmarkEnd w:id="142"/>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6"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刘丹萍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丁韶华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何前</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left="154" w:right="0"/>
        <w:jc w:val="both"/>
      </w:pPr>
      <w:r>
        <w:rPr/>
        <w:t>连续两次未亲自出席董事会的说明</w:t>
      </w:r>
    </w:p>
    <w:p>
      <w:pPr>
        <w:spacing w:line="240" w:lineRule="auto" w:before="11"/>
        <w:rPr>
          <w:rFonts w:ascii="宋体" w:hAnsi="宋体" w:cs="宋体" w:eastAsia="宋体" w:hint="default"/>
          <w:sz w:val="26"/>
          <w:szCs w:val="26"/>
        </w:rPr>
      </w:pPr>
    </w:p>
    <w:p>
      <w:pPr>
        <w:pStyle w:val="Heading3"/>
        <w:spacing w:line="240" w:lineRule="auto"/>
        <w:ind w:left="154" w:right="0"/>
        <w:jc w:val="both"/>
        <w:rPr>
          <w:b w:val="0"/>
          <w:bCs w:val="0"/>
        </w:rPr>
      </w:pPr>
      <w:bookmarkStart w:name="2、独立董事对公司有关事项提出异议的情况" w:id="143"/>
      <w:bookmarkEnd w:id="143"/>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独立董事对公司有关事项是否提出异议</w:t>
      </w:r>
    </w:p>
    <w:p>
      <w:pPr>
        <w:pStyle w:val="BodyText"/>
        <w:spacing w:line="338" w:lineRule="auto" w:before="116"/>
        <w:ind w:right="697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4"/>
      <w:bookmarkEnd w:id="144"/>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38" w:lineRule="auto" w:before="117"/>
        <w:ind w:right="67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4" w:lineRule="auto" w:before="41"/>
        <w:ind w:left="154" w:right="1131"/>
        <w:jc w:val="both"/>
      </w:pPr>
      <w:r>
        <w:rPr>
          <w:spacing w:val="-2"/>
        </w:rPr>
        <w:t>公司独立董事在</w:t>
      </w:r>
      <w:r>
        <w:rPr>
          <w:rFonts w:ascii="Times New Roman" w:hAnsi="Times New Roman" w:cs="Times New Roman" w:eastAsia="Times New Roman" w:hint="default"/>
          <w:spacing w:val="-2"/>
        </w:rPr>
        <w:t>2017</w:t>
      </w:r>
      <w:r>
        <w:rPr>
          <w:spacing w:val="-2"/>
        </w:rPr>
        <w:t>年度勤勉尽责，忠实履行独立董事职务，独立董事利用自己的专业优势，密切关注公司的经营情况，并</w:t>
      </w:r>
      <w:r>
        <w:rPr>
          <w:spacing w:val="-62"/>
        </w:rPr>
        <w:t> </w:t>
      </w:r>
      <w:r>
        <w:rPr>
          <w:spacing w:val="-62"/>
        </w:rPr>
      </w:r>
      <w:r>
        <w:rPr>
          <w:spacing w:val="-2"/>
        </w:rPr>
        <w:t>利用召开董事会、股东大会的机会及其他时间，多次到公司现场工作，通过现场工作深入了解公司的经营情况，积极与其他</w:t>
      </w:r>
      <w:r>
        <w:rPr>
          <w:spacing w:val="-65"/>
        </w:rPr>
        <w:t> </w:t>
      </w:r>
      <w:r>
        <w:rPr>
          <w:spacing w:val="-65"/>
        </w:rPr>
      </w:r>
      <w:r>
        <w:rPr>
          <w:spacing w:val="-2"/>
        </w:rPr>
        <w:t>董事、监事、管理层沟通交流，及时掌握公司的经营动态，对公司总体发展战略以及面临的市场形势提出建设性意见。在董</w:t>
      </w:r>
      <w:r>
        <w:rPr>
          <w:spacing w:val="-66"/>
        </w:rPr>
        <w:t> </w:t>
      </w:r>
      <w:r>
        <w:rPr>
          <w:spacing w:val="-66"/>
        </w:rPr>
      </w:r>
      <w:r>
        <w:rPr>
          <w:spacing w:val="-2"/>
        </w:rPr>
        <w:t>事会上发表意见、行使职权，对公司信息披露情况等进行监督和核查，对报告期内公司发生的董事会成员、监事会成员的选</w:t>
      </w:r>
      <w:r>
        <w:rPr>
          <w:spacing w:val="-66"/>
        </w:rPr>
        <w:t> </w:t>
      </w:r>
      <w:r>
        <w:rPr>
          <w:spacing w:val="-66"/>
        </w:rPr>
      </w:r>
      <w:r>
        <w:rPr>
          <w:spacing w:val="-2"/>
        </w:rPr>
        <w:t>举、对外担保、内部控制自我评价报告、关联交易等事项及其他需要独立董事发表意见的事项出具了独立、公正的独立董事</w:t>
      </w:r>
      <w:r>
        <w:rPr>
          <w:spacing w:val="-66"/>
        </w:rPr>
        <w:t> </w:t>
      </w:r>
      <w:r>
        <w:rPr>
          <w:spacing w:val="-66"/>
        </w:rPr>
      </w:r>
      <w:r>
        <w:rPr/>
        <w:t>意见，积极有效地履行了独立董事的职责，维护了公司和中小股东的合法权益。</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right="0"/>
        <w:jc w:val="both"/>
        <w:rPr>
          <w:b w:val="0"/>
          <w:bCs w:val="0"/>
        </w:rPr>
      </w:pPr>
      <w:bookmarkStart w:name="六、董事会下设专门委员会在报告期内履行职责情况" w:id="145"/>
      <w:bookmarkEnd w:id="145"/>
      <w:r>
        <w:rPr>
          <w:b w:val="0"/>
          <w:bCs w:val="0"/>
        </w:rPr>
      </w: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69" w:right="1129" w:hanging="316"/>
        <w:jc w:val="left"/>
      </w:pPr>
      <w:r>
        <w:rPr/>
        <w:t>（一）战略委员会的履职情况 </w:t>
      </w:r>
      <w:r>
        <w:rPr>
          <w:spacing w:val="-1"/>
        </w:rPr>
        <w:t>报告期内，公司战略委员会勤勉尽责地履行职责，对公司战略规划进行了研究和指导。报告期内，战略委员会召开了两</w:t>
      </w:r>
    </w:p>
    <w:p>
      <w:pPr>
        <w:pStyle w:val="BodyText"/>
        <w:spacing w:line="316" w:lineRule="auto" w:before="19"/>
        <w:ind w:right="1142"/>
        <w:jc w:val="left"/>
      </w:pPr>
      <w:r>
        <w:rPr/>
        <w:t>次会议，</w:t>
      </w:r>
      <w:r>
        <w:rPr>
          <w:spacing w:val="-19"/>
        </w:rPr>
        <w:t> </w:t>
      </w:r>
      <w:r>
        <w:rPr/>
        <w:t>审议了关于全面推进能源互联网业务的战略发展规划的议案、关于收购能源工程部分股权暨关联交易的议案，较</w:t>
      </w:r>
      <w:r>
        <w:rPr/>
        <w:t> 好地把握了公司发展的方向。</w:t>
      </w:r>
    </w:p>
    <w:p>
      <w:pPr>
        <w:spacing w:line="240" w:lineRule="auto" w:before="4"/>
        <w:rPr>
          <w:rFonts w:ascii="宋体" w:hAnsi="宋体" w:cs="宋体" w:eastAsia="宋体" w:hint="default"/>
          <w:sz w:val="25"/>
          <w:szCs w:val="25"/>
        </w:rPr>
      </w:pPr>
    </w:p>
    <w:p>
      <w:pPr>
        <w:pStyle w:val="BodyText"/>
        <w:spacing w:line="316" w:lineRule="auto"/>
        <w:ind w:left="469" w:right="1129" w:hanging="316"/>
        <w:jc w:val="left"/>
      </w:pPr>
      <w:r>
        <w:rPr/>
        <w:t>（二）审计委员会的履职情况 </w:t>
      </w:r>
      <w:r>
        <w:rPr>
          <w:spacing w:val="-1"/>
        </w:rPr>
        <w:t>报告期内，审计委员会根据《公司法》、《证券法》、《上市公司治理准则》、《审计委员会工作细则》及《董事会审</w:t>
      </w:r>
    </w:p>
    <w:p>
      <w:pPr>
        <w:pStyle w:val="BodyText"/>
        <w:spacing w:line="309" w:lineRule="auto" w:before="19"/>
        <w:ind w:right="1131"/>
        <w:jc w:val="both"/>
      </w:pPr>
      <w:r>
        <w:rPr>
          <w:spacing w:val="-2"/>
        </w:rPr>
        <w:t>计委员会年报工作制度》等有关规定，积极履行职责。报告期内，审计委员会召开了四次会议，审核了公司</w:t>
      </w:r>
      <w:r>
        <w:rPr>
          <w:rFonts w:ascii="Times New Roman" w:hAnsi="Times New Roman" w:cs="Times New Roman" w:eastAsia="Times New Roman" w:hint="default"/>
          <w:spacing w:val="-2"/>
        </w:rPr>
        <w:t>2017</w:t>
      </w:r>
      <w:r>
        <w:rPr>
          <w:spacing w:val="-2"/>
        </w:rPr>
        <w:t>年的相关财</w:t>
      </w:r>
      <w:r>
        <w:rPr>
          <w:spacing w:val="-62"/>
        </w:rPr>
        <w:t> </w:t>
      </w:r>
      <w:r>
        <w:rPr>
          <w:spacing w:val="-62"/>
        </w:rPr>
      </w:r>
      <w:r>
        <w:rPr>
          <w:spacing w:val="-2"/>
        </w:rPr>
        <w:t>务报告，审查了公司内部控制制度及执行情况，审议了每个季度的募集资金使用情况的内部审计报告，认真听取了公司内审</w:t>
      </w:r>
      <w:r>
        <w:rPr>
          <w:spacing w:val="-66"/>
        </w:rPr>
        <w:t> </w:t>
      </w:r>
      <w:r>
        <w:rPr>
          <w:spacing w:val="-66"/>
        </w:rPr>
      </w:r>
      <w:r>
        <w:rPr>
          <w:spacing w:val="-2"/>
        </w:rPr>
        <w:t>部门</w:t>
      </w:r>
      <w:r>
        <w:rPr>
          <w:rFonts w:ascii="Times New Roman" w:hAnsi="Times New Roman" w:cs="Times New Roman" w:eastAsia="Times New Roman" w:hint="default"/>
          <w:spacing w:val="-2"/>
        </w:rPr>
        <w:t>2016</w:t>
      </w:r>
      <w:r>
        <w:rPr>
          <w:spacing w:val="-2"/>
        </w:rPr>
        <w:t>年内审工作报告及</w:t>
      </w:r>
      <w:r>
        <w:rPr>
          <w:rFonts w:ascii="Times New Roman" w:hAnsi="Times New Roman" w:cs="Times New Roman" w:eastAsia="Times New Roman" w:hint="default"/>
          <w:spacing w:val="-2"/>
        </w:rPr>
        <w:t>2017</w:t>
      </w:r>
      <w:r>
        <w:rPr>
          <w:spacing w:val="-2"/>
        </w:rPr>
        <w:t>年内审工作计划，审核了公司所有重要的会计政策，督促和指导审计部对公司财务管理运行</w:t>
      </w:r>
      <w:r>
        <w:rPr>
          <w:spacing w:val="-56"/>
        </w:rPr>
        <w:t> </w:t>
      </w:r>
      <w:r>
        <w:rPr>
          <w:spacing w:val="-56"/>
        </w:rPr>
      </w:r>
      <w:r>
        <w:rPr>
          <w:spacing w:val="-2"/>
        </w:rPr>
        <w:t>情况进行定期和不定期的检查和评估，委员会认为公司内控制度体系符合法律、法规及公司章程》的要求，适应当前公司生</w:t>
      </w:r>
      <w:r>
        <w:rPr>
          <w:spacing w:val="-66"/>
        </w:rPr>
        <w:t> </w:t>
      </w:r>
      <w:r>
        <w:rPr>
          <w:spacing w:val="-66"/>
        </w:rPr>
      </w:r>
      <w:r>
        <w:rPr/>
        <w:t>产经营实际情况的需要，并能够得到有效的执行。</w:t>
      </w:r>
    </w:p>
    <w:p>
      <w:pPr>
        <w:spacing w:line="240" w:lineRule="auto" w:before="9"/>
        <w:rPr>
          <w:rFonts w:ascii="宋体" w:hAnsi="宋体" w:cs="宋体" w:eastAsia="宋体" w:hint="default"/>
          <w:sz w:val="25"/>
          <w:szCs w:val="25"/>
        </w:rPr>
      </w:pPr>
    </w:p>
    <w:p>
      <w:pPr>
        <w:pStyle w:val="BodyText"/>
        <w:spacing w:line="316" w:lineRule="auto"/>
        <w:ind w:left="497" w:right="1049" w:hanging="344"/>
        <w:jc w:val="left"/>
      </w:pPr>
      <w:r>
        <w:rPr/>
        <w:t>（三）薪酬与绩效考核委员会的履职情况 报告期内，董事会薪酬与考核委员会按照《公司章程》、《董事会薪酬与考核委员会工作细则》等相关规定规范运作，</w:t>
      </w:r>
    </w:p>
    <w:p>
      <w:pPr>
        <w:pStyle w:val="BodyText"/>
        <w:spacing w:line="300" w:lineRule="auto" w:before="19"/>
        <w:ind w:right="1122"/>
        <w:jc w:val="left"/>
      </w:pPr>
      <w:r>
        <w:rPr>
          <w:spacing w:val="-2"/>
        </w:rPr>
        <w:t>对公司</w:t>
      </w:r>
      <w:r>
        <w:rPr>
          <w:rFonts w:ascii="Times New Roman" w:hAnsi="Times New Roman" w:cs="Times New Roman" w:eastAsia="Times New Roman" w:hint="default"/>
          <w:spacing w:val="-2"/>
        </w:rPr>
        <w:t>2017</w:t>
      </w:r>
      <w:r>
        <w:rPr>
          <w:spacing w:val="-2"/>
        </w:rPr>
        <w:t>年度董事和高级管理人员的薪酬发放情况等提出了意见和建议，审议了修订后的《董事、高级管理人员薪酬与考</w:t>
      </w:r>
      <w:r>
        <w:rPr>
          <w:spacing w:val="-62"/>
        </w:rPr>
        <w:t> </w:t>
      </w:r>
      <w:r>
        <w:rPr>
          <w:spacing w:val="-62"/>
        </w:rPr>
      </w:r>
      <w:r>
        <w:rPr/>
        <w:t>核管理制度》。</w:t>
      </w:r>
    </w:p>
    <w:p>
      <w:pPr>
        <w:pStyle w:val="BodyText"/>
        <w:spacing w:line="240" w:lineRule="auto" w:before="31"/>
        <w:ind w:left="444" w:right="0"/>
        <w:jc w:val="left"/>
      </w:pPr>
      <w:r>
        <w:rPr/>
        <w:t>薪酬与考核委员会认真审查了公司</w:t>
      </w:r>
      <w:r>
        <w:rPr>
          <w:rFonts w:ascii="Times New Roman" w:hAnsi="Times New Roman" w:cs="Times New Roman" w:eastAsia="Times New Roman" w:hint="default"/>
        </w:rPr>
        <w:t>2016</w:t>
      </w:r>
      <w:r>
        <w:rPr/>
        <w:t>年年度报告中董事、监事和高级管理人员的薪酬与津贴，认为公司董事、监事和</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4" w:right="1122"/>
        <w:jc w:val="left"/>
      </w:pPr>
      <w:r>
        <w:rPr>
          <w:spacing w:val="-2"/>
        </w:rPr>
        <w:t>高级管理人员的薪酬标准符合公司薪资的规定，公司</w:t>
      </w:r>
      <w:r>
        <w:rPr>
          <w:rFonts w:ascii="Times New Roman" w:hAnsi="Times New Roman" w:cs="Times New Roman" w:eastAsia="Times New Roman" w:hint="default"/>
          <w:spacing w:val="-2"/>
        </w:rPr>
        <w:t>2016</w:t>
      </w:r>
      <w:r>
        <w:rPr>
          <w:spacing w:val="-2"/>
        </w:rPr>
        <w:t>年年度报告中所披露的董事、监事和高级管理人员的薪酬真实、准</w:t>
      </w:r>
      <w:r>
        <w:rPr>
          <w:spacing w:val="-62"/>
        </w:rPr>
        <w:t> </w:t>
      </w:r>
      <w:r>
        <w:rPr>
          <w:spacing w:val="-62"/>
        </w:rPr>
      </w:r>
      <w:r>
        <w:rPr/>
        <w:t>确。</w:t>
      </w:r>
    </w:p>
    <w:p>
      <w:pPr>
        <w:spacing w:line="240" w:lineRule="auto" w:before="3"/>
        <w:rPr>
          <w:rFonts w:ascii="宋体" w:hAnsi="宋体" w:cs="宋体" w:eastAsia="宋体" w:hint="default"/>
          <w:sz w:val="26"/>
          <w:szCs w:val="26"/>
        </w:rPr>
      </w:pPr>
    </w:p>
    <w:p>
      <w:pPr>
        <w:pStyle w:val="BodyText"/>
        <w:spacing w:line="240" w:lineRule="auto"/>
        <w:ind w:left="154" w:right="0"/>
        <w:jc w:val="both"/>
      </w:pPr>
      <w:r>
        <w:rPr/>
        <w:t>（四）提名委员会的履职情况</w:t>
      </w:r>
    </w:p>
    <w:p>
      <w:pPr>
        <w:pStyle w:val="BodyText"/>
        <w:spacing w:line="316" w:lineRule="auto" w:before="117"/>
        <w:ind w:left="154" w:right="1129" w:firstLine="360"/>
        <w:jc w:val="both"/>
      </w:pPr>
      <w:r>
        <w:rPr/>
        <w:t>报告期内，董事会提名委员会勤勉尽责地履行职责，召开了两次董事会</w:t>
      </w:r>
      <w:r>
        <w:rPr>
          <w:spacing w:val="8"/>
        </w:rPr>
        <w:t> </w:t>
      </w:r>
      <w:r>
        <w:rPr/>
        <w:t>，审议了《关于提名易美怀女士担任公司总裁</w:t>
      </w:r>
      <w:r>
        <w:rPr/>
        <w:t> </w:t>
      </w:r>
      <w:r>
        <w:rPr>
          <w:spacing w:val="-2"/>
        </w:rPr>
        <w:t>的议案》、《关于提名刘宇峰先生担任公司副总裁的议案》、《关于提名李静先生担任公司财务总监的议案》和《关于提名</w:t>
      </w:r>
      <w:r>
        <w:rPr>
          <w:spacing w:val="-67"/>
        </w:rPr>
        <w:t> </w:t>
      </w:r>
      <w:r>
        <w:rPr>
          <w:spacing w:val="-67"/>
        </w:rPr>
      </w:r>
      <w:r>
        <w:rPr>
          <w:spacing w:val="-2"/>
        </w:rPr>
        <w:t>耿乃凡先生为公司第三届董事会独立董事的议案》，对高管易美怀女士、刘宇峰先生和李静先生、独立董事耿乃凡的任职资</w:t>
      </w:r>
      <w:r>
        <w:rPr>
          <w:spacing w:val="-66"/>
        </w:rPr>
        <w:t> </w:t>
      </w:r>
      <w:r>
        <w:rPr>
          <w:spacing w:val="-66"/>
        </w:rPr>
      </w:r>
      <w:r>
        <w:rPr/>
        <w:t>格进行了核查。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2"/>
        <w:ind w:left="154" w:right="0"/>
        <w:jc w:val="both"/>
        <w:rPr>
          <w:b w:val="0"/>
          <w:bCs w:val="0"/>
        </w:rPr>
      </w:pPr>
      <w:bookmarkStart w:name="七、监事会工作情况" w:id="146"/>
      <w:bookmarkEnd w:id="146"/>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0"/>
        <w:jc w:val="both"/>
      </w:pPr>
      <w:r>
        <w:rPr/>
        <w:t>监事会在报告期内的监督活动中发现公司是否存在风险</w:t>
      </w:r>
    </w:p>
    <w:p>
      <w:pPr>
        <w:pStyle w:val="BodyText"/>
        <w:spacing w:line="338" w:lineRule="auto" w:before="116"/>
        <w:ind w:right="769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八、高级管理人员的考评及激励情况" w:id="147"/>
      <w:bookmarkEnd w:id="147"/>
      <w:r>
        <w:rPr>
          <w:b w:val="0"/>
          <w:bCs w:val="0"/>
        </w:rPr>
      </w: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2" w:lineRule="auto"/>
        <w:ind w:right="1132"/>
        <w:jc w:val="both"/>
      </w:pPr>
      <w:r>
        <w:rPr>
          <w:spacing w:val="-2"/>
        </w:rPr>
        <w:t>公司建立了较为合理的高级管理人员的绩效评价标准和激励约束机制，根据高级管理人员的年度履职情况、绩效考核结果和</w:t>
      </w:r>
      <w:r>
        <w:rPr>
          <w:spacing w:val="-64"/>
        </w:rPr>
        <w:t> </w:t>
      </w:r>
      <w:r>
        <w:rPr>
          <w:spacing w:val="-64"/>
        </w:rPr>
      </w:r>
      <w:r>
        <w:rPr>
          <w:spacing w:val="-2"/>
        </w:rPr>
        <w:t>公司经营业绩的情况决定其年度薪酬。</w:t>
      </w:r>
      <w:r>
        <w:rPr>
          <w:rFonts w:ascii="Times New Roman" w:hAnsi="Times New Roman" w:cs="Times New Roman" w:eastAsia="Times New Roman" w:hint="default"/>
          <w:spacing w:val="-2"/>
        </w:rPr>
        <w:t>2017</w:t>
      </w:r>
      <w:r>
        <w:rPr>
          <w:spacing w:val="-2"/>
        </w:rPr>
        <w:t>年公司高级管理人员能够严格按照《公司法》、《公司章程》、《董事、高级管</w:t>
      </w:r>
      <w:r>
        <w:rPr>
          <w:spacing w:val="-65"/>
        </w:rPr>
        <w:t> </w:t>
      </w:r>
      <w:r>
        <w:rPr>
          <w:spacing w:val="-65"/>
        </w:rPr>
      </w:r>
      <w:r>
        <w:rPr>
          <w:spacing w:val="-2"/>
        </w:rPr>
        <w:t>理人员薪酬与考核管理制度》及国家有关法律法规认真履行职责，积极落实公司股东大会和董事会相关决议，认真履行了工</w:t>
      </w:r>
      <w:r>
        <w:rPr>
          <w:spacing w:val="-66"/>
        </w:rPr>
        <w:t> </w:t>
      </w:r>
      <w:r>
        <w:rPr>
          <w:spacing w:val="-66"/>
        </w:rPr>
      </w:r>
      <w:r>
        <w:rPr/>
        <w:t>作职责，基本完成了既定目标。公司各项考评及激励机制执行情况良好，起到了应有的激励和约束作用。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6"/>
          <w:szCs w:val="26"/>
        </w:rPr>
      </w:pPr>
    </w:p>
    <w:p>
      <w:pPr>
        <w:pStyle w:val="Heading2"/>
        <w:spacing w:line="240" w:lineRule="auto"/>
        <w:ind w:right="0"/>
        <w:jc w:val="both"/>
        <w:rPr>
          <w:b w:val="0"/>
          <w:bCs w:val="0"/>
        </w:rPr>
      </w:pPr>
      <w:bookmarkStart w:name="九、内部控制评价报告" w:id="148"/>
      <w:bookmarkEnd w:id="148"/>
      <w:r>
        <w:rPr>
          <w:b w:val="0"/>
          <w:bCs w:val="0"/>
        </w:rPr>
      </w: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发现的内部控制重大缺陷的具体情况" w:id="149"/>
      <w:bookmarkEnd w:id="149"/>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内控自我评价报告" w:id="150"/>
      <w:bookmarkEnd w:id="150"/>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61"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6380" w:type="dxa"/>
            <w:gridSpan w:val="2"/>
            <w:vMerge w:val="restart"/>
            <w:tcBorders>
              <w:top w:val="single" w:sz="4" w:space="0" w:color="000000"/>
              <w:left w:val="single" w:sz="9"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年度内部控制评价报告》刊登在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日的巨潮资讯网</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vMerge/>
            <w:tcBorders>
              <w:left w:val="single" w:sz="9" w:space="0" w:color="D2D2D2"/>
              <w:right w:val="single" w:sz="4" w:space="0" w:color="000000"/>
            </w:tcBorders>
          </w:tcPr>
          <w:p>
            <w:pPr/>
          </w:p>
        </w:tc>
      </w:tr>
      <w:tr>
        <w:trPr>
          <w:trHeight w:val="161"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6380" w:type="dxa"/>
            <w:gridSpan w:val="2"/>
            <w:vMerge/>
            <w:tcBorders>
              <w:left w:val="single" w:sz="9" w:space="0" w:color="D2D2D2"/>
              <w:bottom w:val="single" w:sz="4" w:space="0" w:color="000000"/>
              <w:right w:val="single" w:sz="4" w:space="0" w:color="000000"/>
            </w:tcBorders>
          </w:tcPr>
          <w:p>
            <w:pP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1"/>
              <w:ind w:right="5"/>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）财务报告重大缺陷的认定标准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①该</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42"/>
              <w:jc w:val="center"/>
              <w:rPr>
                <w:rFonts w:ascii="宋体" w:hAnsi="宋体" w:cs="宋体" w:eastAsia="宋体" w:hint="default"/>
                <w:sz w:val="18"/>
                <w:szCs w:val="18"/>
              </w:rPr>
            </w:pPr>
            <w:r>
              <w:rPr>
                <w:rFonts w:ascii="宋体" w:hAnsi="宋体" w:cs="宋体" w:eastAsia="宋体" w:hint="default"/>
                <w:sz w:val="18"/>
                <w:szCs w:val="18"/>
              </w:rPr>
              <w:t>出现以下情形的，可认定为重大缺陷，</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3"/>
        <w:rPr>
          <w:rFonts w:ascii="宋体" w:hAnsi="宋体" w:cs="宋体" w:eastAsia="宋体" w:hint="default"/>
          <w:b/>
          <w:bCs/>
          <w:sz w:val="29"/>
          <w:szCs w:val="29"/>
        </w:rPr>
      </w:pPr>
    </w:p>
    <w:p>
      <w:pPr>
        <w:spacing w:line="312" w:lineRule="exact"/>
        <w:ind w:left="6699"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49.8pt;height:15.6pt;mso-position-horizontal-relative:char;mso-position-vertical-relative:line" coordorigin="0,0" coordsize="2996,312">
            <v:group style="position:absolute;left:0;top:0;width:2996;height:312" coordorigin="0,0" coordsize="2996,312">
              <v:shape style="position:absolute;left:0;top:0;width:2996;height:312" coordorigin="0,0" coordsize="2996,312" path="m0,312l2996,312,2996,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BodyText"/>
        <w:spacing w:line="240" w:lineRule="auto"/>
        <w:ind w:right="1150"/>
        <w:jc w:val="right"/>
      </w:pPr>
      <w:r>
        <w:rPr/>
        <w:pict>
          <v:shape style="position:absolute;margin-left:56.459999pt;margin-top:-301.988281pt;width:479.2pt;height:399.9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before="10"/>
                          <w:ind w:left="23" w:right="-39"/>
                          <w:jc w:val="left"/>
                          <w:rPr>
                            <w:rFonts w:ascii="宋体" w:hAnsi="宋体" w:cs="宋体" w:eastAsia="宋体" w:hint="default"/>
                            <w:sz w:val="18"/>
                            <w:szCs w:val="18"/>
                          </w:rPr>
                        </w:pPr>
                        <w:r>
                          <w:rPr>
                            <w:rFonts w:ascii="宋体" w:hAnsi="宋体" w:cs="宋体" w:eastAsia="宋体" w:hint="default"/>
                            <w:spacing w:val="-6"/>
                            <w:sz w:val="18"/>
                            <w:szCs w:val="18"/>
                          </w:rPr>
                          <w:t>缺陷涉及董事、监事和高级管理人员舞弊；</w:t>
                        </w:r>
                        <w:r>
                          <w:rPr>
                            <w:rFonts w:ascii="宋体" w:hAnsi="宋体" w:cs="宋体" w:eastAsia="宋体" w:hint="default"/>
                            <w:sz w:val="18"/>
                            <w:szCs w:val="18"/>
                          </w:rPr>
                        </w:r>
                      </w:p>
                      <w:p>
                        <w:pPr>
                          <w:pStyle w:val="TableParagraph"/>
                          <w:spacing w:line="312" w:lineRule="auto" w:before="76"/>
                          <w:ind w:left="23" w:right="15"/>
                          <w:jc w:val="left"/>
                          <w:rPr>
                            <w:rFonts w:ascii="Times New Roman" w:hAnsi="Times New Roman" w:cs="Times New Roman" w:eastAsia="Times New Roman" w:hint="default"/>
                            <w:sz w:val="18"/>
                            <w:szCs w:val="18"/>
                          </w:rPr>
                        </w:pPr>
                        <w:r>
                          <w:rPr>
                            <w:rFonts w:ascii="宋体" w:hAnsi="宋体" w:cs="宋体" w:eastAsia="宋体" w:hint="default"/>
                            <w:sz w:val="18"/>
                            <w:szCs w:val="18"/>
                          </w:rPr>
                          <w:t>②更正已公布的财务报告；</w:t>
                        </w:r>
                        <w:r>
                          <w:rPr>
                            <w:rFonts w:ascii="宋体" w:hAnsi="宋体" w:cs="宋体" w:eastAsia="宋体" w:hint="default"/>
                            <w:spacing w:val="-64"/>
                            <w:sz w:val="18"/>
                            <w:szCs w:val="18"/>
                          </w:rPr>
                          <w:t> </w:t>
                        </w:r>
                        <w:r>
                          <w:rPr>
                            <w:rFonts w:ascii="宋体" w:hAnsi="宋体" w:cs="宋体" w:eastAsia="宋体" w:hint="default"/>
                            <w:sz w:val="18"/>
                            <w:szCs w:val="18"/>
                          </w:rPr>
                          <w:t>③注册会计师</w:t>
                        </w:r>
                        <w:r>
                          <w:rPr>
                            <w:rFonts w:ascii="宋体" w:hAnsi="宋体" w:cs="宋体" w:eastAsia="宋体" w:hint="default"/>
                            <w:sz w:val="18"/>
                            <w:szCs w:val="18"/>
                          </w:rPr>
                          <w:t> 发现当期财务报告存在重大错报，而内部 控制在运行过程中未能发现该错报；④公 司审计委员会和内部审计部对内部控制的 </w:t>
                        </w:r>
                        <w:r>
                          <w:rPr>
                            <w:rFonts w:ascii="宋体" w:hAnsi="宋体" w:cs="宋体" w:eastAsia="宋体" w:hint="default"/>
                            <w:spacing w:val="-5"/>
                            <w:sz w:val="18"/>
                            <w:szCs w:val="18"/>
                          </w:rPr>
                          <w:t>监督无效。（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）财务报告重要缺陷的认定</w:t>
                        </w:r>
                        <w:r>
                          <w:rPr>
                            <w:rFonts w:ascii="宋体" w:hAnsi="宋体" w:cs="宋体" w:eastAsia="宋体" w:hint="default"/>
                            <w:spacing w:val="-85"/>
                            <w:sz w:val="18"/>
                            <w:szCs w:val="18"/>
                          </w:rPr>
                          <w:t> </w:t>
                        </w:r>
                        <w:r>
                          <w:rPr>
                            <w:rFonts w:ascii="宋体" w:hAnsi="宋体" w:cs="宋体" w:eastAsia="宋体" w:hint="default"/>
                            <w:sz w:val="18"/>
                            <w:szCs w:val="18"/>
                          </w:rPr>
                          <w:t>标准</w:t>
                        </w:r>
                        <w:r>
                          <w:rPr>
                            <w:rFonts w:ascii="Times New Roman" w:hAnsi="Times New Roman" w:cs="Times New Roman" w:eastAsia="Times New Roman" w:hint="default"/>
                            <w:sz w:val="18"/>
                            <w:szCs w:val="18"/>
                          </w:rPr>
                          <w:t>:</w:t>
                        </w:r>
                        <w:r>
                          <w:rPr>
                            <w:rFonts w:ascii="宋体" w:hAnsi="宋体" w:cs="宋体" w:eastAsia="宋体" w:hint="default"/>
                            <w:sz w:val="18"/>
                            <w:szCs w:val="18"/>
                          </w:rPr>
                          <w:t>①未依照公认会计准则选择和应用 会计政策；②未建立反舞弊程序和控制措 施或反舞弊程序和控制无效；③注册会计 师发现当期财务报告存在重要错报</w:t>
                        </w:r>
                        <w:r>
                          <w:rPr>
                            <w:rFonts w:ascii="Times New Roman" w:hAnsi="Times New Roman" w:cs="Times New Roman" w:eastAsia="Times New Roman" w:hint="default"/>
                            <w:sz w:val="18"/>
                            <w:szCs w:val="18"/>
                          </w:rPr>
                          <w:t>,</w:t>
                        </w:r>
                        <w:r>
                          <w:rPr>
                            <w:rFonts w:ascii="宋体" w:hAnsi="宋体" w:cs="宋体" w:eastAsia="宋体" w:hint="default"/>
                            <w:sz w:val="18"/>
                            <w:szCs w:val="18"/>
                          </w:rPr>
                          <w:t>而内 部控制在运行过程中未能发现该错报；④ 企业审计委员会和内部审计机构对内部控 </w:t>
                        </w:r>
                        <w:r>
                          <w:rPr>
                            <w:rFonts w:ascii="宋体" w:hAnsi="宋体" w:cs="宋体" w:eastAsia="宋体" w:hint="default"/>
                            <w:spacing w:val="-5"/>
                            <w:sz w:val="18"/>
                            <w:szCs w:val="18"/>
                          </w:rPr>
                          <w:t>制的监督存在重要缺陷。（</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）财务报告一</w:t>
                        </w:r>
                        <w:r>
                          <w:rPr>
                            <w:rFonts w:ascii="宋体" w:hAnsi="宋体" w:cs="宋体" w:eastAsia="宋体" w:hint="default"/>
                            <w:spacing w:val="-85"/>
                            <w:sz w:val="18"/>
                            <w:szCs w:val="18"/>
                          </w:rPr>
                          <w:t> </w:t>
                        </w:r>
                        <w:r>
                          <w:rPr>
                            <w:rFonts w:ascii="宋体" w:hAnsi="宋体" w:cs="宋体" w:eastAsia="宋体" w:hint="default"/>
                            <w:sz w:val="18"/>
                            <w:szCs w:val="18"/>
                          </w:rPr>
                          <w:t>般缺陷是指除上述重大缺陷、重要缺陷之 外的其他控制缺陷。</w:t>
                        </w:r>
                        <w:r>
                          <w:rPr>
                            <w:rFonts w:ascii="Times New Roman" w:hAnsi="Times New Roman" w:cs="Times New Roman" w:eastAsia="Times New Roman" w:hint="default"/>
                            <w:sz w:val="18"/>
                            <w:szCs w:val="18"/>
                          </w:rPr>
                          <w:t>"</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19" w:lineRule="auto" w:before="10"/>
                          <w:ind w:left="16" w:right="-42"/>
                          <w:jc w:val="left"/>
                          <w:rPr>
                            <w:rFonts w:ascii="宋体" w:hAnsi="宋体" w:cs="宋体" w:eastAsia="宋体" w:hint="default"/>
                            <w:sz w:val="18"/>
                            <w:szCs w:val="18"/>
                          </w:rPr>
                        </w:pPr>
                        <w:r>
                          <w:rPr>
                            <w:rFonts w:ascii="宋体" w:hAnsi="宋体" w:cs="宋体" w:eastAsia="宋体" w:hint="default"/>
                            <w:sz w:val="18"/>
                            <w:szCs w:val="18"/>
                          </w:rPr>
                          <w:t>其他情形按影响程度分别确定为重要 缺陷或一般缺陷：</w:t>
                        </w:r>
                        <w:r>
                          <w:rPr>
                            <w:rFonts w:ascii="宋体" w:hAnsi="宋体" w:cs="宋体" w:eastAsia="宋体" w:hint="default"/>
                            <w:spacing w:val="25"/>
                            <w:sz w:val="18"/>
                            <w:szCs w:val="18"/>
                          </w:rPr>
                          <w:t> </w:t>
                        </w:r>
                        <w:r>
                          <w:rPr>
                            <w:rFonts w:ascii="宋体" w:hAnsi="宋体" w:cs="宋体" w:eastAsia="宋体" w:hint="default"/>
                            <w:sz w:val="18"/>
                            <w:szCs w:val="18"/>
                          </w:rPr>
                          <w:t>①公司决策程序不</w:t>
                        </w:r>
                        <w:r>
                          <w:rPr>
                            <w:rFonts w:ascii="宋体" w:hAnsi="宋体" w:cs="宋体" w:eastAsia="宋体" w:hint="default"/>
                            <w:sz w:val="18"/>
                            <w:szCs w:val="18"/>
                          </w:rPr>
                          <w:t> 科学； ②违犯国家法律、法规，如出 </w:t>
                        </w:r>
                        <w:r>
                          <w:rPr>
                            <w:rFonts w:ascii="宋体" w:hAnsi="宋体" w:cs="宋体" w:eastAsia="宋体" w:hint="default"/>
                            <w:spacing w:val="-4"/>
                            <w:sz w:val="18"/>
                            <w:szCs w:val="18"/>
                          </w:rPr>
                          <w:t>现重大安全生产或环境污染事故；③管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理人员或关键岗位技术人员纷纷流失；</w:t>
                        </w:r>
                      </w:p>
                      <w:p>
                        <w:pPr>
                          <w:pStyle w:val="TableParagraph"/>
                          <w:spacing w:line="309" w:lineRule="auto" w:before="17"/>
                          <w:ind w:left="16" w:right="20"/>
                          <w:jc w:val="left"/>
                          <w:rPr>
                            <w:rFonts w:ascii="宋体" w:hAnsi="宋体" w:cs="宋体" w:eastAsia="宋体" w:hint="default"/>
                            <w:sz w:val="18"/>
                            <w:szCs w:val="18"/>
                          </w:rPr>
                        </w:pPr>
                        <w:r>
                          <w:rPr>
                            <w:rFonts w:ascii="宋体" w:hAnsi="宋体" w:cs="宋体" w:eastAsia="宋体" w:hint="default"/>
                            <w:sz w:val="18"/>
                            <w:szCs w:val="18"/>
                          </w:rPr>
                          <w:t>④媒体负面新闻频频曝光</w:t>
                        </w:r>
                        <w:r>
                          <w:rPr>
                            <w:rFonts w:ascii="Times New Roman" w:hAnsi="Times New Roman" w:cs="Times New Roman" w:eastAsia="Times New Roman" w:hint="default"/>
                            <w:sz w:val="18"/>
                            <w:szCs w:val="18"/>
                          </w:rPr>
                          <w:t>,</w:t>
                        </w:r>
                        <w:r>
                          <w:rPr>
                            <w:rFonts w:ascii="宋体" w:hAnsi="宋体" w:cs="宋体" w:eastAsia="宋体" w:hint="default"/>
                            <w:sz w:val="18"/>
                            <w:szCs w:val="18"/>
                          </w:rPr>
                          <w:t>对公司声誉 </w:t>
                        </w:r>
                        <w:r>
                          <w:rPr>
                            <w:rFonts w:ascii="宋体" w:hAnsi="宋体" w:cs="宋体" w:eastAsia="宋体" w:hint="default"/>
                            <w:spacing w:val="-4"/>
                            <w:sz w:val="18"/>
                            <w:szCs w:val="18"/>
                          </w:rPr>
                          <w:t>造成重大损害；⑤内部控制评价的结果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特别是重大或重要缺陷未得到整改；</w:t>
                        </w:r>
                      </w:p>
                      <w:p>
                        <w:pPr>
                          <w:pStyle w:val="TableParagraph"/>
                          <w:spacing w:line="319" w:lineRule="auto" w:before="24"/>
                          <w:ind w:left="16" w:right="136"/>
                          <w:jc w:val="left"/>
                          <w:rPr>
                            <w:rFonts w:ascii="Times New Roman" w:hAnsi="Times New Roman" w:cs="Times New Roman" w:eastAsia="Times New Roman" w:hint="default"/>
                            <w:sz w:val="18"/>
                            <w:szCs w:val="18"/>
                          </w:rPr>
                        </w:pPr>
                        <w:r>
                          <w:rPr>
                            <w:rFonts w:ascii="宋体" w:hAnsi="宋体" w:cs="宋体" w:eastAsia="宋体" w:hint="default"/>
                            <w:sz w:val="18"/>
                            <w:szCs w:val="18"/>
                          </w:rPr>
                          <w:t>⑥重要业务缺乏制度控制或制度系统 性失效。</w:t>
                        </w:r>
                        <w:r>
                          <w:rPr>
                            <w:rFonts w:ascii="Times New Roman" w:hAnsi="Times New Roman" w:cs="Times New Roman" w:eastAsia="Times New Roman" w:hint="default"/>
                            <w:sz w:val="18"/>
                            <w:szCs w:val="18"/>
                          </w:rPr>
                          <w:t>"</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tc>
                  </w:tr>
                  <w:tr>
                    <w:trPr>
                      <w:trHeight w:val="1650"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3" w:right="20"/>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考虑补偿性控制措施和实际偏差率后，对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％的错报认定为重 </w:t>
                        </w:r>
                        <w:r>
                          <w:rPr>
                            <w:rFonts w:ascii="宋体" w:hAnsi="宋体" w:cs="宋体" w:eastAsia="宋体" w:hint="default"/>
                            <w:spacing w:val="-3"/>
                            <w:sz w:val="18"/>
                            <w:szCs w:val="18"/>
                          </w:rPr>
                          <w:t>大错报，对金额超过资产总额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r>
                          <w:rPr>
                            <w:rFonts w:ascii="宋体" w:hAnsi="宋体" w:cs="宋体" w:eastAsia="宋体" w:hint="default"/>
                            <w:sz w:val="18"/>
                            <w:szCs w:val="18"/>
                          </w:rPr>
                          <w:t>的错报 认定为重要错报，其余为一般错报。</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2"/>
                          <w:jc w:val="left"/>
                          <w:rPr>
                            <w:rFonts w:ascii="宋体" w:hAnsi="宋体" w:cs="宋体" w:eastAsia="宋体" w:hint="default"/>
                            <w:sz w:val="18"/>
                            <w:szCs w:val="18"/>
                          </w:rPr>
                        </w:pPr>
                        <w:r>
                          <w:rPr>
                            <w:rFonts w:ascii="宋体" w:hAnsi="宋体" w:cs="宋体" w:eastAsia="宋体" w:hint="default"/>
                            <w:sz w:val="18"/>
                            <w:szCs w:val="18"/>
                          </w:rPr>
                          <w:t>考虑补偿性控制措施和实际偏差率后， </w:t>
                        </w:r>
                        <w:r>
                          <w:rPr>
                            <w:rFonts w:ascii="宋体" w:hAnsi="宋体" w:cs="宋体" w:eastAsia="宋体" w:hint="default"/>
                            <w:spacing w:val="-4"/>
                            <w:sz w:val="18"/>
                            <w:szCs w:val="18"/>
                          </w:rPr>
                          <w:t>以涉及金额大小为标准，造成直接财产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损失占公司资产总额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的为重大缺 </w:t>
                        </w:r>
                        <w:r>
                          <w:rPr>
                            <w:rFonts w:ascii="宋体" w:hAnsi="宋体" w:cs="宋体" w:eastAsia="宋体" w:hint="default"/>
                            <w:spacing w:val="-4"/>
                            <w:sz w:val="18"/>
                            <w:szCs w:val="18"/>
                          </w:rPr>
                          <w:t>陷，造成直接财产损失占公司资产总额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0.2%</w:t>
                        </w:r>
                        <w:r>
                          <w:rPr>
                            <w:rFonts w:ascii="宋体" w:hAnsi="宋体" w:cs="宋体" w:eastAsia="宋体" w:hint="default"/>
                            <w:sz w:val="18"/>
                            <w:szCs w:val="18"/>
                          </w:rPr>
                          <w:t>的为重要缺陷，其余为一般缺陷</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Heading2"/>
        <w:spacing w:line="240" w:lineRule="auto" w:before="26"/>
        <w:ind w:left="154" w:right="1122"/>
        <w:jc w:val="left"/>
        <w:rPr>
          <w:b w:val="0"/>
          <w:bCs w:val="0"/>
        </w:rPr>
      </w:pPr>
      <w:bookmarkStart w:name="十、内部控制审计报告或鉴证报告" w:id="151"/>
      <w:bookmarkEnd w:id="151"/>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1"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日在所有重大方面保持了与财务报表相关的有效的内部控制。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年度内部控制鉴证报告》刊登在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日的巨潮资讯网</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(www.cninfo.com.cn)</w:t>
            </w:r>
            <w:r>
              <w:rPr>
                <w:rFonts w:ascii="宋体" w:hAnsi="宋体" w:cs="宋体" w:eastAsia="宋体" w:hint="default"/>
                <w:sz w:val="18"/>
                <w:szCs w:val="18"/>
              </w:rPr>
              <w:t>。</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22"/>
        <w:jc w:val="left"/>
      </w:pPr>
      <w:r>
        <w:rPr/>
        <w:t>会计师事务所是否出具非标准意见的内部控制鉴证报告</w:t>
      </w:r>
    </w:p>
    <w:p>
      <w:pPr>
        <w:pStyle w:val="BodyText"/>
        <w:spacing w:line="340" w:lineRule="auto" w:before="116"/>
        <w:ind w:right="46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0"/>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1122"/>
        <w:jc w:val="left"/>
        <w:rPr>
          <w:b w:val="0"/>
          <w:bCs w:val="0"/>
        </w:rPr>
      </w:pPr>
      <w:bookmarkStart w:name="第十节 公司债券相关情况" w:id="152"/>
      <w:bookmarkEnd w:id="152"/>
      <w:r>
        <w:rPr>
          <w:b w:val="0"/>
          <w:bCs w:val="0"/>
        </w:rPr>
      </w:r>
      <w:bookmarkStart w:name="_bookmark9" w:id="153"/>
      <w:bookmarkEnd w:id="153"/>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3"/>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122"/>
        <w:jc w:val="left"/>
        <w:rPr>
          <w:b w:val="0"/>
          <w:bCs w:val="0"/>
        </w:rPr>
      </w:pPr>
      <w:bookmarkStart w:name="第十一节 财务报告" w:id="154"/>
      <w:bookmarkEnd w:id="154"/>
      <w:r>
        <w:rPr>
          <w:b w:val="0"/>
          <w:bCs w:val="0"/>
        </w:rPr>
      </w:r>
      <w:bookmarkStart w:name="_bookmark10" w:id="155"/>
      <w:bookmarkEnd w:id="155"/>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122"/>
        <w:jc w:val="left"/>
        <w:rPr>
          <w:b w:val="0"/>
          <w:bCs w:val="0"/>
        </w:rPr>
      </w:pPr>
      <w:bookmarkStart w:name="一、审计报告" w:id="156"/>
      <w:bookmarkEnd w:id="156"/>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[2018] 33090022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徐殷鹏、洪烨</w:t>
            </w:r>
          </w:p>
        </w:tc>
      </w:tr>
    </w:tbl>
    <w:p>
      <w:pPr>
        <w:spacing w:line="424" w:lineRule="auto" w:before="51"/>
        <w:ind w:left="4434" w:right="5410" w:firstLine="0"/>
        <w:jc w:val="center"/>
        <w:rPr>
          <w:rFonts w:ascii="宋体" w:hAnsi="宋体" w:cs="宋体" w:eastAsia="宋体" w:hint="default"/>
          <w:sz w:val="18"/>
          <w:szCs w:val="18"/>
        </w:rPr>
      </w:pPr>
      <w:r>
        <w:rPr>
          <w:rFonts w:ascii="宋体" w:hAnsi="宋体" w:cs="宋体" w:eastAsia="宋体" w:hint="default"/>
          <w:sz w:val="18"/>
          <w:szCs w:val="18"/>
        </w:rPr>
        <w:t>审计报告正文 </w:t>
      </w:r>
      <w:r>
        <w:rPr>
          <w:rFonts w:ascii="宋体" w:hAnsi="宋体" w:cs="宋体" w:eastAsia="宋体" w:hint="default"/>
          <w:b/>
          <w:bCs/>
          <w:sz w:val="18"/>
          <w:szCs w:val="18"/>
        </w:rPr>
        <w:t>审 计 报</w:t>
      </w:r>
      <w:r>
        <w:rPr>
          <w:rFonts w:ascii="宋体" w:hAnsi="宋体" w:cs="宋体" w:eastAsia="宋体" w:hint="default"/>
          <w:b/>
          <w:bCs/>
          <w:spacing w:val="-3"/>
          <w:sz w:val="18"/>
          <w:szCs w:val="18"/>
        </w:rPr>
        <w:t> </w:t>
      </w:r>
      <w:r>
        <w:rPr>
          <w:rFonts w:ascii="宋体" w:hAnsi="宋体" w:cs="宋体" w:eastAsia="宋体" w:hint="default"/>
          <w:b/>
          <w:bCs/>
          <w:sz w:val="18"/>
          <w:szCs w:val="18"/>
        </w:rPr>
        <w:t>告</w:t>
      </w:r>
      <w:r>
        <w:rPr>
          <w:rFonts w:ascii="宋体" w:hAnsi="宋体" w:cs="宋体" w:eastAsia="宋体" w:hint="default"/>
          <w:sz w:val="18"/>
          <w:szCs w:val="18"/>
        </w:rPr>
      </w:r>
    </w:p>
    <w:p>
      <w:pPr>
        <w:spacing w:line="240" w:lineRule="auto" w:before="2"/>
        <w:rPr>
          <w:rFonts w:ascii="宋体" w:hAnsi="宋体" w:cs="宋体" w:eastAsia="宋体" w:hint="default"/>
          <w:b/>
          <w:bCs/>
          <w:sz w:val="29"/>
          <w:szCs w:val="29"/>
        </w:rPr>
      </w:pPr>
    </w:p>
    <w:p>
      <w:pPr>
        <w:pStyle w:val="BodyText"/>
        <w:spacing w:line="240" w:lineRule="auto" w:before="44"/>
        <w:ind w:right="1154"/>
        <w:jc w:val="right"/>
      </w:pPr>
      <w:r>
        <w:rPr/>
        <w:t>瑞华审字</w:t>
      </w:r>
      <w:r>
        <w:rPr>
          <w:rFonts w:ascii="Arial" w:hAnsi="Arial" w:cs="Arial" w:eastAsia="Arial" w:hint="default"/>
        </w:rPr>
        <w:t>[2018] 33090022</w:t>
      </w:r>
      <w:r>
        <w:rPr>
          <w:rFonts w:ascii="Arial" w:hAnsi="Arial" w:cs="Arial" w:eastAsia="Arial" w:hint="default"/>
          <w:spacing w:val="-15"/>
        </w:rPr>
        <w:t> </w:t>
      </w:r>
      <w:r>
        <w:rPr/>
        <w:t>号</w:t>
      </w:r>
    </w:p>
    <w:p>
      <w:pPr>
        <w:spacing w:line="240" w:lineRule="auto" w:before="1"/>
        <w:rPr>
          <w:rFonts w:ascii="宋体" w:hAnsi="宋体" w:cs="宋体" w:eastAsia="宋体" w:hint="default"/>
          <w:sz w:val="13"/>
          <w:szCs w:val="13"/>
        </w:rPr>
      </w:pPr>
    </w:p>
    <w:p>
      <w:pPr>
        <w:pStyle w:val="Heading4"/>
        <w:spacing w:line="240" w:lineRule="auto" w:before="44"/>
        <w:ind w:right="1122"/>
        <w:jc w:val="left"/>
        <w:rPr>
          <w:b w:val="0"/>
          <w:bCs w:val="0"/>
        </w:rPr>
      </w:pPr>
      <w:r>
        <w:rPr/>
        <w:t>江苏爱康科技股份有限公司全体股东：</w:t>
      </w:r>
      <w:r>
        <w:rPr>
          <w:b w:val="0"/>
          <w:bCs w:val="0"/>
        </w:rPr>
      </w:r>
    </w:p>
    <w:p>
      <w:pPr>
        <w:spacing w:line="240" w:lineRule="auto" w:before="9"/>
        <w:rPr>
          <w:rFonts w:ascii="宋体" w:hAnsi="宋体" w:cs="宋体" w:eastAsia="宋体" w:hint="default"/>
          <w:b/>
          <w:bCs/>
          <w:sz w:val="18"/>
          <w:szCs w:val="18"/>
        </w:rPr>
      </w:pPr>
    </w:p>
    <w:p>
      <w:pPr>
        <w:pStyle w:val="Heading4"/>
        <w:spacing w:line="240" w:lineRule="auto"/>
        <w:ind w:right="1122"/>
        <w:jc w:val="left"/>
        <w:rPr>
          <w:b w:val="0"/>
          <w:bCs w:val="0"/>
        </w:rPr>
      </w:pPr>
      <w:r>
        <w:rPr/>
        <w:t>一、审计意见</w:t>
      </w:r>
      <w:r>
        <w:rPr>
          <w:b w:val="0"/>
          <w:bCs w:val="0"/>
        </w:rPr>
      </w:r>
    </w:p>
    <w:p>
      <w:pPr>
        <w:pStyle w:val="BodyText"/>
        <w:spacing w:line="319" w:lineRule="auto" w:before="112"/>
        <w:ind w:right="1033" w:firstLine="361"/>
        <w:jc w:val="left"/>
      </w:pPr>
      <w:r>
        <w:rPr>
          <w:spacing w:val="-5"/>
        </w:rPr>
        <w:t>我们审计了江苏爱康科技股份有限公司（以下简称“爱康科技公司”）财务报表，包括</w:t>
      </w:r>
      <w:r>
        <w:rPr>
          <w:spacing w:val="-43"/>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日的合并及公司 </w:t>
      </w:r>
      <w:r>
        <w:rPr>
          <w:spacing w:val="-2"/>
        </w:rPr>
        <w:t>资产负债表，</w:t>
      </w:r>
      <w:r>
        <w:rPr>
          <w:rFonts w:ascii="Times New Roman" w:hAnsi="Times New Roman" w:cs="Times New Roman" w:eastAsia="Times New Roman" w:hint="default"/>
          <w:spacing w:val="-2"/>
        </w:rPr>
        <w:t>2017</w:t>
      </w:r>
      <w:r>
        <w:rPr>
          <w:rFonts w:ascii="Times New Roman" w:hAnsi="Times New Roman" w:cs="Times New Roman" w:eastAsia="Times New Roman" w:hint="default"/>
          <w:spacing w:val="21"/>
        </w:rPr>
        <w:t> </w:t>
      </w:r>
      <w:r>
        <w:rPr>
          <w:spacing w:val="-1"/>
        </w:rPr>
        <w:t>年度的合并及公司利润表、合并及公司现金流量表、合并及公司股东权益变动表以及相关财务报表附注。</w:t>
      </w:r>
      <w:r>
        <w:rPr>
          <w:spacing w:val="-85"/>
        </w:rPr>
        <w:t> </w:t>
      </w:r>
      <w:r>
        <w:rPr>
          <w:spacing w:val="-85"/>
        </w:rPr>
      </w:r>
      <w:r>
        <w:rPr/>
        <w:t>我们认为，后附的财务报表在所有重大方面按照企业会计准则的规定编制，公允反映了爱康科技公司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日合</w:t>
      </w:r>
    </w:p>
    <w:p>
      <w:pPr>
        <w:pStyle w:val="BodyText"/>
        <w:spacing w:line="247" w:lineRule="exact"/>
        <w:ind w:right="1122"/>
        <w:jc w:val="left"/>
      </w:pPr>
      <w:r>
        <w:rPr/>
        <w:t>并及公司的财务状况以及</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年度合并及公司的经营成果和现金流量。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8"/>
          <w:szCs w:val="18"/>
        </w:rPr>
      </w:pPr>
    </w:p>
    <w:p>
      <w:pPr>
        <w:pStyle w:val="BodyText"/>
        <w:spacing w:line="355" w:lineRule="auto"/>
        <w:ind w:left="515" w:right="112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我们按照中国注册会计师审计准则的规定执行了审计工作。审计报告的“注册会计师对财务报表审计的责任”部分进一</w:t>
      </w:r>
    </w:p>
    <w:p>
      <w:pPr>
        <w:pStyle w:val="BodyText"/>
        <w:spacing w:line="319" w:lineRule="auto"/>
        <w:ind w:right="1122"/>
        <w:jc w:val="left"/>
      </w:pPr>
      <w:r>
        <w:rPr>
          <w:spacing w:val="-2"/>
        </w:rPr>
        <w:t>步阐述了我们在这些准则下的责任。按照中国注册会计师职业道德守则，我们独立于爱康科技公司，并履行了职业道德方面</w:t>
      </w:r>
      <w:r>
        <w:rPr>
          <w:spacing w:val="-66"/>
        </w:rPr>
        <w:t> </w:t>
      </w:r>
      <w:r>
        <w:rPr>
          <w:spacing w:val="-66"/>
        </w:rPr>
      </w:r>
      <w:r>
        <w:rPr/>
        <w:t>的其他责任。我们相信，我们获取的审计证据是充分、适当的，为发表审计意见提供了基础。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3"/>
          <w:szCs w:val="23"/>
        </w:rPr>
      </w:pPr>
    </w:p>
    <w:p>
      <w:pPr>
        <w:pStyle w:val="BodyText"/>
        <w:spacing w:line="355" w:lineRule="auto"/>
        <w:ind w:left="515" w:right="1122"/>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227" w:lineRule="exact"/>
        <w:ind w:right="0"/>
        <w:jc w:val="left"/>
      </w:pPr>
      <w:r>
        <w:rPr/>
        <w:t>审计并形成审计意见为背景</w:t>
      </w:r>
      <w:r>
        <w:rPr>
          <w:spacing w:val="-87"/>
        </w:rPr>
        <w:t>，</w:t>
      </w:r>
      <w:r>
        <w:rPr/>
        <w:t>我们不对这些事项单独发表意见</w:t>
      </w:r>
      <w:r>
        <w:rPr>
          <w:spacing w:val="-87"/>
        </w:rPr>
        <w:t>。</w:t>
      </w:r>
      <w:r>
        <w:rPr/>
        <w:t>我们确定下列事项是需要在审计报告中沟通的关键审计事项。</w:t>
      </w:r>
    </w:p>
    <w:p>
      <w:pPr>
        <w:spacing w:line="240" w:lineRule="auto" w:before="11"/>
        <w:rPr>
          <w:rFonts w:ascii="宋体" w:hAnsi="宋体" w:cs="宋体" w:eastAsia="宋体" w:hint="default"/>
          <w:sz w:val="18"/>
          <w:szCs w:val="18"/>
        </w:rPr>
      </w:pPr>
    </w:p>
    <w:p>
      <w:pPr>
        <w:pStyle w:val="Heading4"/>
        <w:spacing w:line="240" w:lineRule="auto"/>
        <w:ind w:right="1122"/>
        <w:jc w:val="left"/>
        <w:rPr>
          <w:b w:val="0"/>
          <w:bCs w:val="0"/>
        </w:rPr>
      </w:pPr>
      <w:r>
        <w:rPr/>
        <w:t>（一）应收账款坏账准备</w:t>
      </w:r>
      <w:r>
        <w:rPr>
          <w:b w:val="0"/>
          <w:bCs w:val="0"/>
        </w:rPr>
      </w:r>
    </w:p>
    <w:p>
      <w:pPr>
        <w:spacing w:line="240" w:lineRule="auto" w:before="9"/>
        <w:rPr>
          <w:rFonts w:ascii="宋体" w:hAnsi="宋体" w:cs="宋体" w:eastAsia="宋体" w:hint="default"/>
          <w:b/>
          <w:bCs/>
          <w:sz w:val="18"/>
          <w:szCs w:val="18"/>
        </w:rPr>
      </w:pPr>
    </w:p>
    <w:p>
      <w:pPr>
        <w:pStyle w:val="Heading4"/>
        <w:spacing w:line="240" w:lineRule="auto"/>
        <w:ind w:right="1122"/>
        <w:jc w:val="left"/>
        <w:rPr>
          <w:b w:val="0"/>
          <w:bCs w:val="0"/>
        </w:rPr>
      </w:pPr>
      <w:r>
        <w:rPr>
          <w:rFonts w:ascii="Arial" w:hAnsi="Arial" w:cs="Arial" w:eastAsia="Arial" w:hint="default"/>
        </w:rPr>
        <w:t>1</w:t>
      </w:r>
      <w:r>
        <w:rPr/>
        <w:t>、事项描述</w:t>
      </w:r>
      <w:r>
        <w:rPr>
          <w:b w:val="0"/>
          <w:bCs w:val="0"/>
        </w:rPr>
      </w:r>
    </w:p>
    <w:p>
      <w:pPr>
        <w:pStyle w:val="BodyText"/>
        <w:spacing w:line="302" w:lineRule="auto" w:before="99"/>
        <w:ind w:right="1131" w:firstLine="361"/>
        <w:jc w:val="both"/>
      </w:pPr>
      <w:r>
        <w:rPr/>
        <w:t>截至</w:t>
      </w:r>
      <w:r>
        <w:rPr>
          <w:spacing w:val="-47"/>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spacing w:val="-3"/>
        </w:rPr>
        <w:t>日，如爱康科技公司合并报表附注六、</w:t>
      </w:r>
      <w:r>
        <w:rPr>
          <w:rFonts w:ascii="Times New Roman" w:hAnsi="Times New Roman" w:cs="Times New Roman" w:eastAsia="Times New Roman" w:hint="default"/>
          <w:spacing w:val="-3"/>
        </w:rPr>
        <w:t>4</w:t>
      </w:r>
      <w:r>
        <w:rPr>
          <w:rFonts w:ascii="Times New Roman" w:hAnsi="Times New Roman" w:cs="Times New Roman" w:eastAsia="Times New Roman" w:hint="default"/>
          <w:spacing w:val="-2"/>
        </w:rPr>
        <w:t> </w:t>
      </w:r>
      <w:r>
        <w:rPr/>
        <w:t>所示，爱康科技公司应收账款账面价值</w:t>
      </w:r>
      <w:r>
        <w:rPr>
          <w:spacing w:val="-47"/>
        </w:rPr>
        <w:t> </w:t>
      </w:r>
      <w:r>
        <w:rPr>
          <w:rFonts w:ascii="Times New Roman" w:hAnsi="Times New Roman" w:cs="Times New Roman" w:eastAsia="Times New Roman" w:hint="default"/>
        </w:rPr>
        <w:t>18.99</w:t>
      </w:r>
      <w:r>
        <w:rPr>
          <w:rFonts w:ascii="Times New Roman" w:hAnsi="Times New Roman" w:cs="Times New Roman" w:eastAsia="Times New Roman" w:hint="default"/>
          <w:spacing w:val="-2"/>
        </w:rPr>
        <w:t> </w:t>
      </w:r>
      <w:r>
        <w:rPr>
          <w:spacing w:val="-5"/>
        </w:rPr>
        <w:t>亿元，占资</w:t>
      </w:r>
      <w:r>
        <w:rPr/>
        <w:t> 产总额的</w:t>
      </w:r>
      <w:r>
        <w:rPr>
          <w:spacing w:val="-50"/>
        </w:rPr>
        <w:t> </w:t>
      </w:r>
      <w:r>
        <w:rPr>
          <w:rFonts w:ascii="Times New Roman" w:hAnsi="Times New Roman" w:cs="Times New Roman" w:eastAsia="Times New Roman" w:hint="default"/>
        </w:rPr>
        <w:t>11.12%</w:t>
      </w:r>
      <w:r>
        <w:rPr/>
        <w:t>，账面价值较高。若应收账款不能按期收回或无法收回而发生坏账对财务报表影响较为重大，为此我们将 应收账款坏账准备确定为关键审计事项。</w:t>
      </w:r>
    </w:p>
    <w:p>
      <w:pPr>
        <w:spacing w:line="240" w:lineRule="auto" w:before="4"/>
        <w:rPr>
          <w:rFonts w:ascii="宋体" w:hAnsi="宋体" w:cs="宋体" w:eastAsia="宋体" w:hint="default"/>
          <w:sz w:val="15"/>
          <w:szCs w:val="15"/>
        </w:rPr>
      </w:pPr>
    </w:p>
    <w:p>
      <w:pPr>
        <w:pStyle w:val="Heading4"/>
        <w:spacing w:line="240" w:lineRule="auto"/>
        <w:ind w:right="1122"/>
        <w:jc w:val="left"/>
        <w:rPr>
          <w:b w:val="0"/>
          <w:bCs w:val="0"/>
        </w:rPr>
      </w:pPr>
      <w:r>
        <w:rPr>
          <w:rFonts w:ascii="Arial" w:hAnsi="Arial" w:cs="Arial" w:eastAsia="Arial" w:hint="default"/>
        </w:rPr>
        <w:t>2</w:t>
      </w:r>
      <w:r>
        <w:rPr/>
        <w:t>、审计应对</w:t>
      </w:r>
      <w:r>
        <w:rPr>
          <w:b w:val="0"/>
          <w:bCs w:val="0"/>
        </w:rPr>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515" w:right="1122"/>
        <w:jc w:val="left"/>
      </w:pPr>
      <w:r>
        <w:rPr/>
        <w:t>针对应收账款坏账准备，我们执行的主要审计程序如下：</w:t>
      </w:r>
    </w:p>
    <w:p>
      <w:pPr>
        <w:pStyle w:val="BodyText"/>
        <w:spacing w:line="240" w:lineRule="auto" w:before="116"/>
        <w:ind w:left="515" w:right="1122"/>
        <w:jc w:val="left"/>
      </w:pPr>
      <w:r>
        <w:rPr/>
        <w:t>（</w:t>
      </w:r>
      <w:r>
        <w:rPr>
          <w:rFonts w:ascii="Times New Roman" w:hAnsi="Times New Roman" w:cs="Times New Roman" w:eastAsia="Times New Roman" w:hint="default"/>
        </w:rPr>
        <w:t>1</w:t>
      </w:r>
      <w:r>
        <w:rPr/>
        <w:t>）评价、测试爱康科技公司信用政策及应收账款管理相关内部控制的设计和运行有效性；</w:t>
      </w:r>
    </w:p>
    <w:p>
      <w:pPr>
        <w:pStyle w:val="BodyText"/>
        <w:spacing w:line="302" w:lineRule="auto" w:before="102"/>
        <w:ind w:left="154" w:right="1121" w:firstLine="361"/>
        <w:jc w:val="left"/>
      </w:pPr>
      <w:r>
        <w:rPr/>
        <w:t>（</w:t>
      </w:r>
      <w:r>
        <w:rPr>
          <w:rFonts w:ascii="Times New Roman" w:hAnsi="Times New Roman" w:cs="Times New Roman" w:eastAsia="Times New Roman" w:hint="default"/>
        </w:rPr>
        <w:t>2</w:t>
      </w:r>
      <w:r>
        <w:rPr/>
        <w:t>）分析爱康科技公司应收账款坏账准备会计估计的合理性，包括确定应收账款组合的依据、金额重大的判断、单独 计提坏账准备的判断等；</w:t>
      </w:r>
    </w:p>
    <w:p>
      <w:pPr>
        <w:pStyle w:val="BodyText"/>
        <w:spacing w:line="302" w:lineRule="auto" w:before="68"/>
        <w:ind w:left="154" w:right="1121" w:firstLine="361"/>
        <w:jc w:val="left"/>
      </w:pPr>
      <w:r>
        <w:rPr/>
        <w:t>（</w:t>
      </w:r>
      <w:r>
        <w:rPr>
          <w:rFonts w:ascii="Times New Roman" w:hAnsi="Times New Roman" w:cs="Times New Roman" w:eastAsia="Times New Roman" w:hint="default"/>
        </w:rPr>
        <w:t>3</w:t>
      </w:r>
      <w:r>
        <w:rPr/>
        <w:t>）分析计算爱康科技公司资产负债表日坏账准备金额与应收账款余额之间的比率，比较前期坏账准备计提数和实际 发生数，分析应收账款坏账准备计提是否充分；</w:t>
      </w:r>
    </w:p>
    <w:p>
      <w:pPr>
        <w:pStyle w:val="BodyText"/>
        <w:spacing w:line="302" w:lineRule="auto" w:before="68"/>
        <w:ind w:left="154" w:right="1121" w:firstLine="361"/>
        <w:jc w:val="left"/>
      </w:pPr>
      <w:r>
        <w:rPr/>
        <w:t>（</w:t>
      </w:r>
      <w:r>
        <w:rPr>
          <w:rFonts w:ascii="Times New Roman" w:hAnsi="Times New Roman" w:cs="Times New Roman" w:eastAsia="Times New Roman" w:hint="default"/>
        </w:rPr>
        <w:t>4</w:t>
      </w:r>
      <w:r>
        <w:rPr/>
        <w:t>）通过分析爱康科技公司应收账款的账龄和客户信誉情况，并执行应收账款函证程序及检查期后回款情况，评价应 收账款坏账准备计提的合理性；</w:t>
      </w:r>
    </w:p>
    <w:p>
      <w:pPr>
        <w:pStyle w:val="BodyText"/>
        <w:spacing w:line="302" w:lineRule="auto" w:before="69"/>
        <w:ind w:left="154" w:right="1121" w:firstLine="361"/>
        <w:jc w:val="left"/>
      </w:pPr>
      <w:r>
        <w:rPr/>
        <w:t>（</w:t>
      </w:r>
      <w:r>
        <w:rPr>
          <w:rFonts w:ascii="Times New Roman" w:hAnsi="Times New Roman" w:cs="Times New Roman" w:eastAsia="Times New Roman" w:hint="default"/>
        </w:rPr>
        <w:t>5</w:t>
      </w:r>
      <w:r>
        <w:rPr/>
        <w:t>）获取爱康科技公司坏账准备计提表，检查计提方法是否按照坏账准备计提政策执行；重新计算坏账计提金额是否 准确。</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4"/>
          <w:szCs w:val="24"/>
        </w:rPr>
      </w:pPr>
    </w:p>
    <w:p>
      <w:pPr>
        <w:pStyle w:val="Heading4"/>
        <w:spacing w:line="240" w:lineRule="auto"/>
        <w:ind w:right="1122"/>
        <w:jc w:val="left"/>
        <w:rPr>
          <w:b w:val="0"/>
          <w:bCs w:val="0"/>
        </w:rPr>
      </w:pPr>
      <w:r>
        <w:rPr/>
        <w:t>（二）固定资产减值准备</w:t>
      </w:r>
      <w:r>
        <w:rPr>
          <w:b w:val="0"/>
          <w:bCs w:val="0"/>
        </w:rPr>
      </w:r>
    </w:p>
    <w:p>
      <w:pPr>
        <w:spacing w:line="240" w:lineRule="auto" w:before="9"/>
        <w:rPr>
          <w:rFonts w:ascii="宋体" w:hAnsi="宋体" w:cs="宋体" w:eastAsia="宋体" w:hint="default"/>
          <w:b/>
          <w:bCs/>
          <w:sz w:val="18"/>
          <w:szCs w:val="18"/>
        </w:rPr>
      </w:pPr>
    </w:p>
    <w:p>
      <w:pPr>
        <w:pStyle w:val="Heading4"/>
        <w:spacing w:line="240" w:lineRule="auto"/>
        <w:ind w:right="1122"/>
        <w:jc w:val="left"/>
        <w:rPr>
          <w:b w:val="0"/>
          <w:bCs w:val="0"/>
        </w:rPr>
      </w:pPr>
      <w:r>
        <w:rPr>
          <w:rFonts w:ascii="Arial" w:hAnsi="Arial" w:cs="Arial" w:eastAsia="Arial" w:hint="default"/>
        </w:rPr>
        <w:t>1</w:t>
      </w:r>
      <w:r>
        <w:rPr/>
        <w:t>、事项描述</w:t>
      </w:r>
      <w:r>
        <w:rPr>
          <w:b w:val="0"/>
          <w:bCs w:val="0"/>
        </w:rPr>
      </w:r>
    </w:p>
    <w:p>
      <w:pPr>
        <w:pStyle w:val="BodyText"/>
        <w:spacing w:line="300" w:lineRule="auto" w:before="99"/>
        <w:ind w:left="154" w:right="1140" w:firstLine="361"/>
        <w:jc w:val="both"/>
      </w:pPr>
      <w:r>
        <w:rPr/>
        <w:t>截至</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日，如爱康科技公司合并报表附注六、</w:t>
      </w:r>
      <w:r>
        <w:rPr>
          <w:rFonts w:ascii="Times New Roman" w:hAnsi="Times New Roman" w:cs="Times New Roman" w:eastAsia="Times New Roman" w:hint="default"/>
        </w:rPr>
        <w:t>14</w:t>
      </w:r>
      <w:r>
        <w:rPr>
          <w:rFonts w:ascii="Times New Roman" w:hAnsi="Times New Roman" w:cs="Times New Roman" w:eastAsia="Times New Roman" w:hint="default"/>
          <w:spacing w:val="-1"/>
        </w:rPr>
        <w:t> </w:t>
      </w:r>
      <w:r>
        <w:rPr/>
        <w:t>所示，爱康科技公司固定资产账面价值</w:t>
      </w:r>
      <w:r>
        <w:rPr>
          <w:spacing w:val="-46"/>
        </w:rPr>
        <w:t> </w:t>
      </w:r>
      <w:r>
        <w:rPr>
          <w:rFonts w:ascii="Times New Roman" w:hAnsi="Times New Roman" w:cs="Times New Roman" w:eastAsia="Times New Roman" w:hint="default"/>
        </w:rPr>
        <w:t>72.33</w:t>
      </w:r>
      <w:r>
        <w:rPr>
          <w:rFonts w:ascii="Times New Roman" w:hAnsi="Times New Roman" w:cs="Times New Roman" w:eastAsia="Times New Roman" w:hint="default"/>
          <w:spacing w:val="-1"/>
        </w:rPr>
        <w:t> </w:t>
      </w:r>
      <w:r>
        <w:rPr/>
        <w:t>亿元，占 合并资产总额的</w:t>
      </w:r>
      <w:r>
        <w:rPr>
          <w:spacing w:val="-46"/>
        </w:rPr>
        <w:t> </w:t>
      </w:r>
      <w:r>
        <w:rPr>
          <w:rFonts w:ascii="Times New Roman" w:hAnsi="Times New Roman" w:cs="Times New Roman" w:eastAsia="Times New Roman" w:hint="default"/>
        </w:rPr>
        <w:t>42.34%</w:t>
      </w:r>
      <w:r>
        <w:rPr/>
        <w:t>。管理层根据《企业会计准则第</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资产减值》的规定对固定资产是否存在减值迹象进行判断， 由于所属部分发电公司盈利不及预期，管理层判断上述部分子公司固定资产存在减值迹象。</w:t>
      </w:r>
    </w:p>
    <w:p>
      <w:pPr>
        <w:pStyle w:val="BodyText"/>
        <w:spacing w:line="314" w:lineRule="auto" w:before="71"/>
        <w:ind w:right="1032" w:firstLine="361"/>
        <w:jc w:val="left"/>
      </w:pPr>
      <w:r>
        <w:rPr>
          <w:spacing w:val="-4"/>
        </w:rPr>
        <w:t>对于存在减值迹象的固定资产，管理层按照《企业会计准则第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3"/>
        </w:rPr>
        <w:t> </w:t>
      </w:r>
      <w:r>
        <w:rPr>
          <w:spacing w:val="-4"/>
        </w:rPr>
        <w:t>号</w:t>
      </w:r>
      <w:r>
        <w:rPr>
          <w:rFonts w:ascii="Times New Roman" w:hAnsi="Times New Roman" w:cs="Times New Roman" w:eastAsia="Times New Roman" w:hint="default"/>
          <w:spacing w:val="-4"/>
        </w:rPr>
        <w:t>—</w:t>
      </w:r>
      <w:r>
        <w:rPr>
          <w:spacing w:val="-4"/>
        </w:rPr>
        <w:t>资产减值》相关要求进一步测算可收回金额。其中，</w:t>
      </w:r>
      <w:r>
        <w:rPr/>
        <w:t> </w:t>
      </w:r>
      <w:r>
        <w:rPr>
          <w:spacing w:val="-2"/>
        </w:rPr>
        <w:t>在预计未来现金流量现值时，管理层需要对该资产（或资产组）的产量、售价、相关经营成本以及计算现值时使用的折现率</w:t>
      </w:r>
      <w:r>
        <w:rPr>
          <w:spacing w:val="-66"/>
        </w:rPr>
        <w:t> </w:t>
      </w:r>
      <w:r>
        <w:rPr>
          <w:spacing w:val="-66"/>
        </w:rPr>
      </w:r>
      <w:r>
        <w:rPr>
          <w:spacing w:val="-2"/>
        </w:rPr>
        <w:t>等作出重大判断。在确定固定资产的公允价值减去处置费用的净额时，对不存在销售协议和活跃市场的资产，需以可获取的</w:t>
      </w:r>
      <w:r>
        <w:rPr>
          <w:spacing w:val="-66"/>
        </w:rPr>
        <w:t> </w:t>
      </w:r>
      <w:r>
        <w:rPr>
          <w:spacing w:val="-66"/>
        </w:rPr>
      </w:r>
      <w:r>
        <w:rPr>
          <w:spacing w:val="-2"/>
        </w:rPr>
        <w:t>最佳信息为基础并参考同行业类似资产的最近交易价格或者结果进行估计。在这一过程中，爱康科技公司管理层聘请外部估</w:t>
      </w:r>
      <w:r>
        <w:rPr>
          <w:spacing w:val="-64"/>
        </w:rPr>
        <w:t> </w:t>
      </w:r>
      <w:r>
        <w:rPr>
          <w:spacing w:val="-64"/>
        </w:rPr>
      </w:r>
      <w:r>
        <w:rPr/>
        <w:t>值专家协助其工作。</w:t>
      </w:r>
    </w:p>
    <w:p>
      <w:pPr>
        <w:pStyle w:val="BodyText"/>
        <w:spacing w:line="319" w:lineRule="auto" w:before="59"/>
        <w:ind w:right="1122" w:firstLine="361"/>
        <w:jc w:val="left"/>
      </w:pPr>
      <w:r>
        <w:rPr>
          <w:spacing w:val="-2"/>
        </w:rPr>
        <w:t>由于存在减值迹象的固定资产账面价值对财务报表影响重大，且上述判断及假设的合理性对减值测试的结果具有重大影</w:t>
      </w:r>
      <w:r>
        <w:rPr/>
        <w:t> 响，因此我们将固定资产减值准备作为关键审计事项。</w:t>
      </w:r>
    </w:p>
    <w:p>
      <w:pPr>
        <w:spacing w:line="240" w:lineRule="auto" w:before="4"/>
        <w:rPr>
          <w:rFonts w:ascii="宋体" w:hAnsi="宋体" w:cs="宋体" w:eastAsia="宋体" w:hint="default"/>
          <w:sz w:val="14"/>
          <w:szCs w:val="14"/>
        </w:rPr>
      </w:pPr>
    </w:p>
    <w:p>
      <w:pPr>
        <w:spacing w:line="338" w:lineRule="auto" w:before="0"/>
        <w:ind w:left="515" w:right="5891" w:firstLine="0"/>
        <w:jc w:val="left"/>
        <w:rPr>
          <w:rFonts w:ascii="宋体" w:hAnsi="宋体" w:cs="宋体" w:eastAsia="宋体" w:hint="default"/>
          <w:sz w:val="18"/>
          <w:szCs w:val="18"/>
        </w:rPr>
      </w:pPr>
      <w:r>
        <w:rPr>
          <w:rFonts w:ascii="Arial" w:hAnsi="Arial" w:cs="Arial" w:eastAsia="Arial" w:hint="default"/>
          <w:b/>
          <w:bCs/>
          <w:sz w:val="18"/>
          <w:szCs w:val="18"/>
        </w:rPr>
        <w:t>2</w:t>
      </w:r>
      <w:r>
        <w:rPr>
          <w:rFonts w:ascii="宋体" w:hAnsi="宋体" w:cs="宋体" w:eastAsia="宋体" w:hint="default"/>
          <w:b/>
          <w:bCs/>
          <w:sz w:val="18"/>
          <w:szCs w:val="18"/>
        </w:rPr>
        <w:t>、审计应对</w:t>
      </w:r>
      <w:r>
        <w:rPr>
          <w:rFonts w:ascii="宋体" w:hAnsi="宋体" w:cs="宋体" w:eastAsia="宋体" w:hint="default"/>
          <w:b/>
          <w:bCs/>
          <w:w w:val="99"/>
          <w:sz w:val="18"/>
          <w:szCs w:val="18"/>
        </w:rPr>
        <w:t> </w:t>
      </w:r>
      <w:r>
        <w:rPr>
          <w:rFonts w:ascii="宋体" w:hAnsi="宋体" w:cs="宋体" w:eastAsia="宋体" w:hint="default"/>
          <w:sz w:val="18"/>
          <w:szCs w:val="18"/>
        </w:rPr>
        <w:t>针对固定资产减值准备，我们执行的主要审计程序如下：</w:t>
      </w:r>
    </w:p>
    <w:p>
      <w:pPr>
        <w:pStyle w:val="BodyText"/>
        <w:spacing w:line="240" w:lineRule="auto" w:before="43"/>
        <w:ind w:left="515" w:right="1122"/>
        <w:jc w:val="left"/>
      </w:pPr>
      <w:r>
        <w:rPr/>
        <w:t>（</w:t>
      </w:r>
      <w:r>
        <w:rPr>
          <w:rFonts w:ascii="Times New Roman" w:hAnsi="Times New Roman" w:cs="Times New Roman" w:eastAsia="Times New Roman" w:hint="default"/>
        </w:rPr>
        <w:t>1</w:t>
      </w:r>
      <w:r>
        <w:rPr/>
        <w:t>）评价、测试爱康科技公司固定资产减值相关的内部控制的设计和执行的有效性；</w:t>
      </w:r>
    </w:p>
    <w:p>
      <w:pPr>
        <w:pStyle w:val="BodyText"/>
        <w:spacing w:line="240" w:lineRule="auto" w:before="102"/>
        <w:ind w:left="515" w:right="1122"/>
        <w:jc w:val="left"/>
      </w:pPr>
      <w:r>
        <w:rPr/>
        <w:t>（</w:t>
      </w:r>
      <w:r>
        <w:rPr>
          <w:rFonts w:ascii="Times New Roman" w:hAnsi="Times New Roman" w:cs="Times New Roman" w:eastAsia="Times New Roman" w:hint="default"/>
        </w:rPr>
        <w:t>2</w:t>
      </w:r>
      <w:r>
        <w:rPr/>
        <w:t>）评价了管理层聘请的评估专家的胜任能力、专业素质及客观性；</w:t>
      </w:r>
    </w:p>
    <w:p>
      <w:pPr>
        <w:pStyle w:val="BodyText"/>
        <w:spacing w:line="302" w:lineRule="auto" w:before="101"/>
        <w:ind w:left="154" w:right="1121" w:firstLine="361"/>
        <w:jc w:val="left"/>
      </w:pPr>
      <w:r>
        <w:rPr/>
        <w:t>（</w:t>
      </w:r>
      <w:r>
        <w:rPr>
          <w:rFonts w:ascii="Times New Roman" w:hAnsi="Times New Roman" w:cs="Times New Roman" w:eastAsia="Times New Roman" w:hint="default"/>
        </w:rPr>
        <w:t>3</w:t>
      </w:r>
      <w:r>
        <w:rPr/>
        <w:t>）与管理层及外部评估专家讨论固定资产减值测试过程中所使用的价值类型、评估方法、估值模型的适当性，以及 关键假设、折现率等参数的合理性。</w:t>
      </w:r>
    </w:p>
    <w:p>
      <w:pPr>
        <w:pStyle w:val="BodyText"/>
        <w:spacing w:line="240" w:lineRule="auto" w:before="70"/>
        <w:ind w:left="515" w:right="1122"/>
        <w:jc w:val="left"/>
      </w:pPr>
      <w:r>
        <w:rPr/>
        <w:t>（</w:t>
      </w:r>
      <w:r>
        <w:rPr>
          <w:rFonts w:ascii="Times New Roman" w:hAnsi="Times New Roman" w:cs="Times New Roman" w:eastAsia="Times New Roman" w:hint="default"/>
        </w:rPr>
        <w:t>4</w:t>
      </w:r>
      <w:r>
        <w:rPr/>
        <w:t>）实地勘察相关固定资产，并取得相关资产资料；</w:t>
      </w:r>
    </w:p>
    <w:p>
      <w:pPr>
        <w:pStyle w:val="BodyText"/>
        <w:spacing w:line="302" w:lineRule="auto" w:before="101"/>
        <w:ind w:left="154" w:right="1121" w:firstLine="361"/>
        <w:jc w:val="left"/>
      </w:pPr>
      <w:r>
        <w:rPr/>
        <w:t>（</w:t>
      </w:r>
      <w:r>
        <w:rPr>
          <w:rFonts w:ascii="Times New Roman" w:hAnsi="Times New Roman" w:cs="Times New Roman" w:eastAsia="Times New Roman" w:hint="default"/>
        </w:rPr>
        <w:t>5</w:t>
      </w:r>
      <w:r>
        <w:rPr/>
        <w:t>）在内部估值专家的协助下，我们评价了外部评估专家所出具的资产评估报告的价值类型、评估方法、估值模型的 适当性，以及关键假设、折现率等参数的合理性。</w:t>
      </w:r>
    </w:p>
    <w:p>
      <w:pPr>
        <w:pStyle w:val="BodyText"/>
        <w:spacing w:line="240" w:lineRule="auto" w:before="69"/>
        <w:ind w:left="515" w:right="1122"/>
        <w:jc w:val="left"/>
      </w:pPr>
      <w:r>
        <w:rPr/>
        <w:t>（</w:t>
      </w:r>
      <w:r>
        <w:rPr>
          <w:rFonts w:ascii="Times New Roman" w:hAnsi="Times New Roman" w:cs="Times New Roman" w:eastAsia="Times New Roman" w:hint="default"/>
        </w:rPr>
        <w:t>6</w:t>
      </w:r>
      <w:r>
        <w:rPr/>
        <w:t>）复核相关计算过程和结果及其账务处理；</w:t>
      </w:r>
    </w:p>
    <w:p>
      <w:pPr>
        <w:pStyle w:val="BodyText"/>
        <w:spacing w:line="240" w:lineRule="auto" w:before="103"/>
        <w:ind w:left="515" w:right="1122"/>
        <w:jc w:val="left"/>
      </w:pPr>
      <w:r>
        <w:rPr/>
        <w:t>（</w:t>
      </w:r>
      <w:r>
        <w:rPr>
          <w:rFonts w:ascii="Times New Roman" w:hAnsi="Times New Roman" w:cs="Times New Roman" w:eastAsia="Times New Roman" w:hint="default"/>
        </w:rPr>
        <w:t>7</w:t>
      </w:r>
      <w:r>
        <w:rPr/>
        <w:t>）检查固定资产减值准备相关信息在财务报表中的列报和披露情况。</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Heading4"/>
        <w:spacing w:line="240" w:lineRule="auto"/>
        <w:ind w:right="1122"/>
        <w:jc w:val="left"/>
        <w:rPr>
          <w:b w:val="0"/>
          <w:bCs w:val="0"/>
        </w:rPr>
      </w:pPr>
      <w:r>
        <w:rPr/>
        <w:t>四、其他信息</w:t>
      </w:r>
      <w:r>
        <w:rPr>
          <w:b w:val="0"/>
          <w:bCs w:val="0"/>
        </w:rPr>
      </w:r>
    </w:p>
    <w:p>
      <w:pPr>
        <w:pStyle w:val="BodyText"/>
        <w:spacing w:line="302" w:lineRule="auto" w:before="113"/>
        <w:ind w:right="1123" w:firstLine="361"/>
        <w:jc w:val="left"/>
      </w:pPr>
      <w:r>
        <w:rPr/>
        <w:t>爱康科技公司管理层对其他信息负责。其他信息包括</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年年度报告中涵盖的信息，但不包括财务报表和我们的审计 报告。</w:t>
      </w:r>
    </w:p>
    <w:p>
      <w:pPr>
        <w:pStyle w:val="BodyText"/>
        <w:spacing w:line="357" w:lineRule="auto" w:before="70"/>
        <w:ind w:left="515" w:right="1122"/>
        <w:jc w:val="left"/>
      </w:pPr>
      <w:r>
        <w:rPr/>
        <w:t>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spacing w:after="0" w:line="357"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5" w:right="1122" w:hanging="362"/>
        <w:jc w:val="left"/>
      </w:pPr>
      <w:r>
        <w:rPr/>
        <w:t>程中了解到的情况存在重大不一致或者似乎存在重大错报。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25" w:lineRule="exact"/>
        <w:ind w:right="1122"/>
        <w:jc w:val="left"/>
      </w:pPr>
      <w:r>
        <w:rPr/>
        <w:t>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55" w:lineRule="auto" w:before="129"/>
        <w:ind w:left="515" w:right="1122"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2"/>
          <w:sz w:val="18"/>
          <w:szCs w:val="18"/>
        </w:rPr>
        <w:t>爱康科技公司管理层负责按照企业会计准则的规定编制财务报表，使其实现公允反映，并设计、执行和维护必要的内部</w:t>
      </w:r>
    </w:p>
    <w:p>
      <w:pPr>
        <w:pStyle w:val="BodyText"/>
        <w:spacing w:line="357" w:lineRule="auto"/>
        <w:ind w:left="515" w:right="1135" w:hanging="362"/>
        <w:jc w:val="left"/>
      </w:pPr>
      <w:r>
        <w:rPr/>
        <w:t>控制，以使财务报表不存在由于舞弊或错误导致的重大错报。 </w:t>
      </w:r>
      <w:r>
        <w:rPr>
          <w:spacing w:val="-2"/>
        </w:rPr>
        <w:t>在编制财务报表时，管理层负责评估爱康科技公司的持续经营能力，披露与持续经营相关的事项（如适用），并运用持</w:t>
      </w:r>
    </w:p>
    <w:p>
      <w:pPr>
        <w:pStyle w:val="BodyText"/>
        <w:spacing w:line="360" w:lineRule="auto"/>
        <w:ind w:left="515" w:right="4093" w:hanging="362"/>
        <w:jc w:val="left"/>
      </w:pPr>
      <w:r>
        <w:rPr/>
        <w:t>续经营假设，除非管理层计划清算爱康科技公司、终止运营或别无其他现实的选择。 治理层负责监督爱康科技公司的财务报告过程。</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spacing w:line="355" w:lineRule="auto" w:before="0"/>
        <w:ind w:left="515" w:right="1122" w:firstLine="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2"/>
          <w:sz w:val="18"/>
          <w:szCs w:val="18"/>
        </w:rPr>
        <w:t>我们的目标是对财务报表整体是否不存在由于舞弊或错误导致的重大错报获取合理保证，并出具包含审计意见的审计报</w:t>
      </w:r>
    </w:p>
    <w:p>
      <w:pPr>
        <w:pStyle w:val="BodyText"/>
        <w:spacing w:line="319" w:lineRule="auto"/>
        <w:ind w:right="1132"/>
        <w:jc w:val="both"/>
      </w:pPr>
      <w:r>
        <w:rPr>
          <w:spacing w:val="-2"/>
        </w:rPr>
        <w:t>告。合理保证是高水平的保证，但并不能保证按照审计准则执行的审计在某一重大错报存在时总能发现。错报可能由于舞弊</w:t>
      </w:r>
      <w:r>
        <w:rPr>
          <w:spacing w:val="-66"/>
        </w:rPr>
        <w:t> </w:t>
      </w:r>
      <w:r>
        <w:rPr>
          <w:spacing w:val="-66"/>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58"/>
        <w:ind w:left="515" w:right="1122"/>
        <w:jc w:val="left"/>
      </w:pPr>
      <w:r>
        <w:rPr/>
        <w:t>在按照审计准则执行审计工作的过程中，我们运用职业判断，并保持职业怀疑。同时，我们也执行以下工作：</w:t>
      </w:r>
    </w:p>
    <w:p>
      <w:pPr>
        <w:pStyle w:val="BodyText"/>
        <w:spacing w:line="319" w:lineRule="auto" w:before="115"/>
        <w:ind w:right="1048" w:firstLine="361"/>
        <w:jc w:val="both"/>
      </w:pPr>
      <w:r>
        <w:rPr/>
        <w:t>（一）识别和评估由于舞弊或错误导致的财务报表重大错报风险，设计和实施审计程序以应对这些风险，并获取充分、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57"/>
        <w:ind w:left="515" w:right="1122"/>
        <w:jc w:val="left"/>
      </w:pPr>
      <w:r>
        <w:rPr/>
        <w:t>（二）了解与审计相关的内部控制，以设计恰当的审计程序，但目的并非对内部控制的有效性发表意见。</w:t>
      </w:r>
    </w:p>
    <w:p>
      <w:pPr>
        <w:pStyle w:val="BodyText"/>
        <w:spacing w:line="240" w:lineRule="auto" w:before="117"/>
        <w:ind w:left="515" w:right="1122"/>
        <w:jc w:val="left"/>
      </w:pPr>
      <w:r>
        <w:rPr/>
        <w:t>（三）评价管理层选用会计政策的恰当性和作出会计估计及相关披露的合理性。</w:t>
      </w:r>
    </w:p>
    <w:p>
      <w:pPr>
        <w:pStyle w:val="BodyText"/>
        <w:spacing w:line="319" w:lineRule="auto" w:before="115"/>
        <w:ind w:right="1130" w:firstLine="361"/>
        <w:jc w:val="both"/>
      </w:pPr>
      <w:r>
        <w:rPr>
          <w:spacing w:val="-2"/>
        </w:rPr>
        <w:t>（四）对管理层使用持续经营假设的恰当性得出结论。同时，根据获取的审计证据，就可能导致对爱康科技公司持续经</w:t>
      </w:r>
      <w:r>
        <w:rPr/>
        <w:t>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论基于截至审计报告日可获得的信息。然而，未来的事项或情况可能导致爱康科技公司不能持续经营。</w:t>
      </w:r>
    </w:p>
    <w:p>
      <w:pPr>
        <w:pStyle w:val="BodyText"/>
        <w:spacing w:line="240" w:lineRule="auto" w:before="56"/>
        <w:ind w:left="515" w:right="1122"/>
        <w:jc w:val="left"/>
      </w:pPr>
      <w:r>
        <w:rPr/>
        <w:t>（五）评价财务报表的总体列报、结构和内容（包括披露</w:t>
      </w:r>
      <w:r>
        <w:rPr>
          <w:spacing w:val="-90"/>
        </w:rPr>
        <w:t>）</w:t>
      </w:r>
      <w:r>
        <w:rPr/>
        <w:t>，并评价财务报表是否公允反映相关交易和事项。</w:t>
      </w:r>
    </w:p>
    <w:p>
      <w:pPr>
        <w:pStyle w:val="BodyText"/>
        <w:spacing w:line="319" w:lineRule="auto" w:before="116"/>
        <w:ind w:right="1130" w:firstLine="361"/>
        <w:jc w:val="both"/>
      </w:pPr>
      <w:r>
        <w:rPr>
          <w:spacing w:val="-2"/>
        </w:rPr>
        <w:t>（六）就爱康科技公司中实体或业务活动的财务信息获取充分、适当的审计证据，以对财务报表发表意见。我们负责指</w:t>
      </w:r>
      <w:r>
        <w:rPr/>
        <w:t> 导、监督和执行集团审计。我们对审计意见承担全部责任。</w:t>
      </w:r>
    </w:p>
    <w:p>
      <w:pPr>
        <w:pStyle w:val="BodyText"/>
        <w:spacing w:line="319" w:lineRule="auto" w:before="55"/>
        <w:ind w:left="154" w:right="1133" w:firstLine="361"/>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9" w:lineRule="auto" w:before="55"/>
        <w:ind w:left="154" w:right="1133" w:firstLine="361"/>
        <w:jc w:val="both"/>
      </w:pPr>
      <w:r>
        <w:rPr/>
        <w:t>我们还就已遵守与独立性相关的职业道德要求向治理层提供声明</w:t>
      </w:r>
      <w:r>
        <w:rPr>
          <w:spacing w:val="-83"/>
        </w:rPr>
        <w:t>，</w:t>
      </w:r>
      <w:r>
        <w:rPr/>
        <w:t>并与治理层沟通可能被合理认为影响我们独立性的所</w:t>
      </w:r>
      <w:r>
        <w:rPr/>
        <w:t> 有关系和其他事项，以及相关的防范措施（如适用</w:t>
      </w:r>
      <w:r>
        <w:rPr>
          <w:spacing w:val="-90"/>
        </w:rPr>
        <w:t>）</w:t>
      </w:r>
      <w:r>
        <w:rPr/>
        <w:t>。</w:t>
      </w:r>
    </w:p>
    <w:p>
      <w:pPr>
        <w:pStyle w:val="BodyText"/>
        <w:spacing w:line="319" w:lineRule="auto" w:before="56"/>
        <w:ind w:left="154" w:right="1131" w:firstLine="361"/>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5"/>
        </w:rPr>
        <w:t> </w:t>
      </w:r>
      <w:r>
        <w:rPr>
          <w:spacing w:val="-65"/>
        </w:rPr>
      </w:r>
      <w:r>
        <w:rPr/>
        <w:t>的负面后果超过在公众利益方面产生的益处，我们确定不应在审计报告中沟通该事项。</w:t>
      </w:r>
    </w:p>
    <w:p>
      <w:pPr>
        <w:spacing w:after="0" w:line="319"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tbl>
      <w:tblPr>
        <w:tblW w:w="0" w:type="auto"/>
        <w:jc w:val="left"/>
        <w:tblInd w:w="243" w:type="dxa"/>
        <w:tblLayout w:type="fixed"/>
        <w:tblCellMar>
          <w:top w:w="0" w:type="dxa"/>
          <w:left w:w="0" w:type="dxa"/>
          <w:bottom w:w="0" w:type="dxa"/>
          <w:right w:w="0" w:type="dxa"/>
        </w:tblCellMar>
        <w:tblLook w:val="01E0"/>
      </w:tblPr>
      <w:tblGrid>
        <w:gridCol w:w="3907"/>
        <w:gridCol w:w="3637"/>
      </w:tblGrid>
      <w:tr>
        <w:trPr>
          <w:trHeight w:val="680" w:hRule="exact"/>
        </w:trPr>
        <w:tc>
          <w:tcPr>
            <w:tcW w:w="3907" w:type="dxa"/>
            <w:tcBorders>
              <w:top w:val="nil" w:sz="6" w:space="0" w:color="auto"/>
              <w:left w:val="nil" w:sz="6" w:space="0" w:color="auto"/>
              <w:bottom w:val="nil" w:sz="6" w:space="0" w:color="auto"/>
              <w:right w:val="nil" w:sz="6" w:space="0" w:color="auto"/>
            </w:tcBorders>
          </w:tcPr>
          <w:p>
            <w:pPr>
              <w:pStyle w:val="TableParagraph"/>
              <w:spacing w:line="180" w:lineRule="exact"/>
              <w:ind w:left="200"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c>
          <w:tcPr>
            <w:tcW w:w="3637" w:type="dxa"/>
            <w:tcBorders>
              <w:top w:val="nil" w:sz="6" w:space="0" w:color="auto"/>
              <w:left w:val="nil" w:sz="6" w:space="0" w:color="auto"/>
              <w:bottom w:val="nil" w:sz="6" w:space="0" w:color="auto"/>
              <w:right w:val="nil" w:sz="6" w:space="0" w:color="auto"/>
            </w:tcBorders>
          </w:tcPr>
          <w:p>
            <w:pPr>
              <w:pStyle w:val="TableParagraph"/>
              <w:spacing w:line="180" w:lineRule="exact"/>
              <w:ind w:left="827" w:right="0"/>
              <w:jc w:val="left"/>
              <w:rPr>
                <w:rFonts w:ascii="宋体" w:hAnsi="宋体" w:cs="宋体" w:eastAsia="宋体" w:hint="default"/>
                <w:sz w:val="18"/>
                <w:szCs w:val="18"/>
              </w:rPr>
            </w:pPr>
            <w:r>
              <w:rPr>
                <w:rFonts w:ascii="宋体" w:hAnsi="宋体" w:cs="宋体" w:eastAsia="宋体" w:hint="default"/>
                <w:sz w:val="18"/>
                <w:szCs w:val="18"/>
              </w:rPr>
              <w:t>中国注册会计师（项目合伙人</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1150" w:hRule="exact"/>
        </w:trPr>
        <w:tc>
          <w:tcPr>
            <w:tcW w:w="39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827"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650" w:hRule="exact"/>
        </w:trPr>
        <w:tc>
          <w:tcPr>
            <w:tcW w:w="3907" w:type="dxa"/>
            <w:tcBorders>
              <w:top w:val="nil" w:sz="6" w:space="0" w:color="auto"/>
              <w:left w:val="nil" w:sz="6" w:space="0" w:color="auto"/>
              <w:bottom w:val="nil" w:sz="6" w:space="0" w:color="auto"/>
              <w:right w:val="nil" w:sz="6" w:space="0" w:color="auto"/>
            </w:tcBorders>
          </w:tcPr>
          <w:p>
            <w:pP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Heading2"/>
        <w:spacing w:line="240" w:lineRule="auto" w:before="26"/>
        <w:ind w:left="154" w:right="1122"/>
        <w:jc w:val="left"/>
        <w:rPr>
          <w:b w:val="0"/>
          <w:bCs w:val="0"/>
        </w:rPr>
      </w:pPr>
      <w:bookmarkStart w:name="二、财务报表" w:id="157"/>
      <w:bookmarkEnd w:id="157"/>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1、合并资产负债表" w:id="158"/>
      <w:bookmarkEnd w:id="158"/>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240" w:lineRule="auto" w:before="44"/>
        <w:ind w:right="-19"/>
        <w:jc w:val="left"/>
      </w:pPr>
      <w:r>
        <w:rPr/>
        <w:t>编制单位：江苏爱康科技股份有限公司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right="-16"/>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215" w:space="86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2,862,939,724.35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2,624,978,457.53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139,370,929.81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113,337,835.79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1,899,270,363.06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1,613,339,537.99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59,177,715.42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67,089,277.48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23,890,050.05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3,837,846.71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413,275,310.70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74,511,435.42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255,569,403.48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412,669,515.39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139,983,416.00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229,850,626.61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215,664,729.42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6,026,507,986.48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5,125,428,635.73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228,863,873.12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68,481,423.27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1,381,612,236.47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250,731,605.19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7,232,797,715.04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7,770,902,916.48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1,146,664,179.81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2,036,085,380.65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1,235,848.24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1,839,290.29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248,176,474.36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264,314,758.89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7,996,273.38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14,703,280.49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84,257,598.85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89,827,879.56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92,847,530.21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77,391,889.62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631,826,665.92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809,818,305.50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11,056,278,395.40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11,384,096,729.94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17,082,786,381.88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16,509,525,365.67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4,137,819,111.66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2,263,843,316.53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413,248,846.74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383,067,653.48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1,219,317,319.59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1,586,478,156.74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69,338,322.24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102,767,710.18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26,103,143.90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21,741,867.90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55,066,431.73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69,747,159.77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11,993,831.64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8,494,086.43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830,451,032.50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197,123,793.26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942,085,135.30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725,996,845.24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6,084,574.42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6,136,051.77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7,711,507,749.72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5,365,396,641.30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2,651,919,241.71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3,346,380,000.00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844,290,398.65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1,899,719,107.24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30,578,345.15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21,572,603.54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55,665,336.96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102,863,642.53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1,219,065.72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3,583,672,388.19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5,374,055,353.31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11,295,180,137.91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10,739,451,994.61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4,490,861,600.00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860,947,037.22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843,941,137.22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49,632,060.79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-7,764,284.24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-8,344,605.64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54,046,588.34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42,869,202.55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366,607,749.00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264,329,822.15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5,715,066,629.53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5,633,657,156.28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72,539,614.44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136,416,214.78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5,787,606,243.97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5,770,073,371.06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17,082,786,381.88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16,509,525,365.67</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法定代表人：邹承慧</w:t>
        <w:tab/>
        <w:t>主管会计工作负责人：李静</w:t>
        <w:tab/>
        <w:t>会计机构负责人：钱健</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母公司资产负债表" w:id="159"/>
      <w:bookmarkEnd w:id="159"/>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1,465,544,370.09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1,099,682,572.81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23,217,317.72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8,535,538.74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693,271,703.03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537,349,501.04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1,259,532.32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60,751,691.10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17,881,268.19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3,109,953.77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3,079,003,769.64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2,960,831,198.37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86,206,584.89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97,796,981.71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41,202,497.77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24,410,418.89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5,410,767,490.65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4,792,467,856.43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6,345,838,790.60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3,717,267,247.53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794,538.30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214,670,372.36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135,915,217.07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215,223.88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41,139,649.56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39,262,427.03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28,335,332.26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17,691,842.55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14,210,184.30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5,676,128.24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470,500.90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825,500.00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6,644,880,053.86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4,013,182,900.72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12,055,647,544.51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8,805,650,757.15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2,428,380,000.00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1,493,111,894.00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264,408,498.00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240,158,419.53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294,298,255.96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126,937,253.92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4,513,712.58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1,299,517.93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7,133,577.99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5,508,052.47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3,259,371.89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38,398,738.43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5,865,398.09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2,277,935.39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2,746,024,677.08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610,917,284.03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132,821.97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985,766.84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5,948,016,313.56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2,663,594,862.54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302,400,000.00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795,111.75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447,195,111.75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6,395,211,425.31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3,217,594,862.54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4,490,861,600.00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4,490,861,600.00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939,734,276.17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929,495,848.70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49,632,060.79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54,046,588.34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42,869,202.55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225,425,715.48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124,829,243.36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5,660,436,119.20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5,588,055,894.61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12,055,647,544.51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8,805,650,757.15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3、合并利润表" w:id="160"/>
      <w:bookmarkEnd w:id="160"/>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1"/>
        <w:gridCol w:w="3210"/>
        <w:gridCol w:w="3277"/>
      </w:tblGrid>
      <w:tr>
        <w:trPr>
          <w:trHeight w:val="402" w:hRule="exact"/>
        </w:trPr>
        <w:tc>
          <w:tcPr>
            <w:tcW w:w="3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19"/>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group style="position:absolute;margin-left:212.119995pt;margin-top:561.519958pt;width:157.7pt;height:19.650pt;mso-position-horizontal-relative:page;mso-position-vertical-relative:page;z-index:-1650880" coordorigin="4242,11230" coordsize="3154,393">
            <v:shape style="position:absolute;left:4242;top:11230;width:3154;height:393" coordorigin="4242,11230" coordsize="3154,393" path="m4242,11623l7396,11623,7396,11230,4242,11230,4242,11623xe" filled="true" fillcolor="#ffffff" stroked="false">
              <v:path arrowok="t"/>
              <v:fill type="solid"/>
            </v:shape>
            <w10:wrap type="none"/>
          </v:group>
        </w:pict>
      </w:r>
      <w:r>
        <w:rPr/>
        <w:pict>
          <v:group style="position:absolute;margin-left:212.119995pt;margin-top:697.719971pt;width:157.7pt;height:19.650pt;mso-position-horizontal-relative:page;mso-position-vertical-relative:page;z-index:-1650856" coordorigin="4242,13954" coordsize="3154,393">
            <v:shape style="position:absolute;left:4242;top:13954;width:3154;height:393" coordorigin="4242,13954" coordsize="3154,393" path="m4242,14347l7396,14347,7396,13954,4242,13954,4242,1434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1060"/>
        <w:gridCol w:w="2151"/>
        <w:gridCol w:w="3278"/>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4,856,493,249.54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3,899,266,692.00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4,856,493,249.54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3,899,266,692.00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4,890,551,855.02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3,866,228,624.32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17" w:right="0"/>
              <w:jc w:val="left"/>
              <w:rPr>
                <w:rFonts w:ascii="Times New Roman" w:hAnsi="Times New Roman" w:cs="Times New Roman" w:eastAsia="Times New Roman" w:hint="default"/>
                <w:sz w:val="18"/>
                <w:szCs w:val="18"/>
              </w:rPr>
            </w:pPr>
            <w:r>
              <w:rPr>
                <w:rFonts w:ascii="Times New Roman"/>
                <w:sz w:val="18"/>
              </w:rPr>
              <w:t>4,008,904,255.56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3,194,388,568.67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5"/>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gridSpan w:val="2"/>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43,178,081.74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30,180,909.77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72" w:right="0"/>
              <w:jc w:val="left"/>
              <w:rPr>
                <w:rFonts w:ascii="Times New Roman" w:hAnsi="Times New Roman" w:cs="Times New Roman" w:eastAsia="Times New Roman" w:hint="default"/>
                <w:sz w:val="18"/>
                <w:szCs w:val="18"/>
              </w:rPr>
            </w:pPr>
            <w:r>
              <w:rPr>
                <w:rFonts w:ascii="Times New Roman"/>
                <w:sz w:val="18"/>
              </w:rPr>
              <w:t>111,535,511.47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84,509,682.01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237,375,324.83</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188,344,498.60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451,625,943.77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348,334,481.56</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37,932,737.65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20,470,483.71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69,464,722.64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119,238,392.91</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48,163,980.57</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19,943,411.46</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right="119"/>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before="51"/>
              <w:ind w:left="-144" w:right="0"/>
              <w:jc w:val="left"/>
              <w:rPr>
                <w:rFonts w:ascii="宋体" w:hAnsi="宋体" w:cs="宋体" w:eastAsia="宋体" w:hint="default"/>
                <w:sz w:val="18"/>
                <w:szCs w:val="18"/>
              </w:rPr>
            </w:pPr>
            <w:r>
              <w:rPr>
                <w:rFonts w:ascii="宋体" w:hAnsi="宋体" w:cs="宋体" w:eastAsia="宋体" w:hint="default"/>
                <w:sz w:val="18"/>
                <w:szCs w:val="18"/>
              </w:rPr>
              <w:t>）</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（损失以</w:t>
            </w: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16,088,161.25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-425,359.72</w:t>
            </w:r>
            <w:r>
              <w:rPr>
                <w:rFonts w:ascii="Times New Roman"/>
                <w:sz w:val="18"/>
              </w:rPr>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57,357,378.77</w:t>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8" w:right="0"/>
              <w:jc w:val="left"/>
              <w:rPr>
                <w:rFonts w:ascii="Times New Roman" w:hAnsi="Times New Roman" w:cs="Times New Roman" w:eastAsia="Times New Roman" w:hint="default"/>
                <w:sz w:val="18"/>
                <w:szCs w:val="18"/>
              </w:rPr>
            </w:pPr>
            <w:r>
              <w:rPr>
                <w:rFonts w:ascii="Times New Roman"/>
                <w:sz w:val="18"/>
              </w:rPr>
              <w:t>112,032,104.18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151,851,100.87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46,415,520.42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77,087,611.97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25,765,642.62</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2,179,159.00</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060" w:type="dxa"/>
            <w:tcBorders>
              <w:top w:val="single" w:sz="4" w:space="0" w:color="000000"/>
              <w:left w:val="single" w:sz="9" w:space="0" w:color="FFFFFF"/>
              <w:bottom w:val="single" w:sz="4" w:space="0" w:color="000000"/>
              <w:right w:val="nil" w:sz="6" w:space="0" w:color="auto"/>
            </w:tcBorders>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w:t>
            </w:r>
          </w:p>
        </w:tc>
        <w:tc>
          <w:tcPr>
            <w:tcW w:w="21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97" w:right="0"/>
              <w:jc w:val="left"/>
              <w:rPr>
                <w:rFonts w:ascii="Times New Roman" w:hAnsi="Times New Roman" w:cs="Times New Roman" w:eastAsia="Times New Roman" w:hint="default"/>
                <w:sz w:val="18"/>
                <w:szCs w:val="18"/>
              </w:rPr>
            </w:pPr>
            <w:r>
              <w:rPr>
                <w:rFonts w:ascii="Times New Roman"/>
                <w:sz w:val="18"/>
              </w:rPr>
              <w:t>132,681,981.98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226,759,553.84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20,882,584.00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78,289,454.74</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66" w:right="0"/>
              <w:jc w:val="left"/>
              <w:rPr>
                <w:rFonts w:ascii="Times New Roman" w:hAnsi="Times New Roman" w:cs="Times New Roman" w:eastAsia="Times New Roman" w:hint="default"/>
                <w:sz w:val="18"/>
                <w:szCs w:val="18"/>
              </w:rPr>
            </w:pPr>
            <w:r>
              <w:rPr>
                <w:rFonts w:ascii="Times New Roman"/>
                <w:sz w:val="18"/>
              </w:rPr>
              <w:t>111,799,397.98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148,470,099.10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8"/>
      </w:tblGrid>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111,799,397.98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148,470,099.10</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9" w:right="0"/>
              <w:jc w:val="left"/>
              <w:rPr>
                <w:rFonts w:ascii="宋体" w:hAnsi="宋体" w:cs="宋体" w:eastAsia="宋体" w:hint="default"/>
                <w:sz w:val="18"/>
                <w:szCs w:val="18"/>
              </w:rPr>
            </w:pPr>
            <w:r>
              <w:rPr>
                <w:rFonts w:ascii="宋体" w:hAnsi="宋体" w:cs="宋体" w:eastAsia="宋体" w:hint="default"/>
                <w:spacing w:val="-2"/>
                <w:sz w:val="18"/>
                <w:szCs w:val="18"/>
              </w:rPr>
              <w:t>（二）终止经营净利润（净亏损以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113,455,312.64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141,227,739.68</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-1,655,914.66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7,242,359.42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580,321.40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-7,300,609.44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580,321.40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-7,300,609.44</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580,321.40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-7,300,609.44</w:t>
            </w:r>
          </w:p>
        </w:tc>
      </w:tr>
      <w:tr>
        <w:trPr>
          <w:trHeight w:val="102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9"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9"/>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580,321.40</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-7,300,609.44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112,379,719.38</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141,169,489.66</w:t>
            </w:r>
          </w:p>
        </w:tc>
      </w:tr>
      <w:tr>
        <w:trPr>
          <w:trHeight w:val="71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4"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114,035,634.04</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133,927,130.24</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4"/>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-1,655,914.66</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7,242,359.42</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0.035</w:t>
            </w:r>
          </w:p>
        </w:tc>
      </w:tr>
      <w:tr>
        <w:trPr>
          <w:trHeight w:val="402"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0.025</w:t>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7"/>
        <w:rPr>
          <w:rFonts w:ascii="Times New Roman" w:hAnsi="Times New Roman" w:cs="Times New Roman" w:eastAsia="Times New Roman" w:hint="default"/>
          <w:sz w:val="29"/>
          <w:szCs w:val="29"/>
        </w:rPr>
      </w:pPr>
    </w:p>
    <w:p>
      <w:pPr>
        <w:pStyle w:val="BodyText"/>
        <w:spacing w:line="240" w:lineRule="auto" w:before="44"/>
        <w:ind w:right="1122"/>
        <w:jc w:val="left"/>
      </w:pPr>
      <w:r>
        <w:rPr/>
        <w:t>本期发生同一控制下企业合并的，被合并方在合并前实现的净利润为：</w:t>
      </w:r>
      <w:r>
        <w:rPr>
          <w:rFonts w:ascii="Times New Roman" w:hAnsi="Times New Roman" w:cs="Times New Roman" w:eastAsia="Times New Roman" w:hint="default"/>
        </w:rPr>
        <w:t>-610,745.80</w:t>
      </w:r>
      <w:r>
        <w:rPr>
          <w:rFonts w:ascii="Times New Roman" w:hAnsi="Times New Roman" w:cs="Times New Roman" w:eastAsia="Times New Roman" w:hint="default"/>
          <w:spacing w:val="-2"/>
        </w:rPr>
        <w:t> </w:t>
      </w:r>
      <w:r>
        <w:rPr/>
        <w:t>元，上期被合并方实现的净利润为：</w:t>
      </w:r>
    </w:p>
    <w:p>
      <w:pPr>
        <w:pStyle w:val="BodyText"/>
        <w:spacing w:line="240" w:lineRule="auto" w:before="63"/>
        <w:ind w:right="1122"/>
        <w:jc w:val="left"/>
      </w:pPr>
      <w:r>
        <w:rPr>
          <w:rFonts w:ascii="Times New Roman" w:hAnsi="Times New Roman" w:cs="Times New Roman" w:eastAsia="Times New Roman" w:hint="default"/>
        </w:rPr>
        <w:t>-6,206,158.01</w:t>
      </w:r>
      <w:r>
        <w:rPr>
          <w:rFonts w:ascii="Times New Roman" w:hAnsi="Times New Roman" w:cs="Times New Roman" w:eastAsia="Times New Roman" w:hint="default"/>
          <w:spacing w:val="-3"/>
        </w:rPr>
        <w:t> </w:t>
      </w:r>
      <w:r>
        <w:rPr/>
        <w:t>元。</w:t>
      </w:r>
    </w:p>
    <w:p>
      <w:pPr>
        <w:spacing w:line="240" w:lineRule="auto" w:before="0"/>
        <w:rPr>
          <w:rFonts w:ascii="宋体" w:hAnsi="宋体" w:cs="宋体" w:eastAsia="宋体" w:hint="default"/>
          <w:sz w:val="18"/>
          <w:szCs w:val="18"/>
        </w:rPr>
      </w:pPr>
    </w:p>
    <w:p>
      <w:pPr>
        <w:pStyle w:val="BodyText"/>
        <w:tabs>
          <w:tab w:pos="3754" w:val="left" w:leader="none"/>
          <w:tab w:pos="7895" w:val="left" w:leader="none"/>
        </w:tabs>
        <w:spacing w:line="240" w:lineRule="auto" w:before="126"/>
        <w:ind w:left="154" w:right="1122"/>
        <w:jc w:val="left"/>
      </w:pPr>
      <w:r>
        <w:rPr/>
        <w:t>法定代表人：邹承慧</w:t>
        <w:tab/>
        <w:t>主管会计工作负责人：李静</w:t>
        <w:tab/>
        <w:t>会计机构负责人：钱健</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母公司利润表" w:id="161"/>
      <w:bookmarkEnd w:id="161"/>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1,581,285,145.14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1,606,188,238.35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1,439,998,314.63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1,445,521,963.23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7,215,256.50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6,286,394.82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39,136,089.81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26,532,840.47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78,943,857.96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52,476,061.77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122,239,425.49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56,781,751.17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14,525,502.24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26,229,720.66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208,218,635.60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136,356,256.07</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48,119,610.77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23,823,576.42</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-1,258,486.19</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14,692,600.00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104,059,894.92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128,715,762.30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434,157.16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17,612,955.12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459,138.48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1,806,052.36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104,034,913.60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144,522,665.06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-7,738,944.31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50,063,136.72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111,773,857.91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94,459,528.34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111,773,857.91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94,459,528.34</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41"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1"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55" w:right="0"/>
              <w:jc w:val="left"/>
              <w:rPr>
                <w:rFonts w:ascii="Times New Roman" w:hAnsi="Times New Roman" w:cs="Times New Roman" w:eastAsia="Times New Roman" w:hint="default"/>
                <w:sz w:val="18"/>
                <w:szCs w:val="18"/>
              </w:rPr>
            </w:pPr>
            <w:r>
              <w:rPr>
                <w:rFonts w:ascii="Times New Roman"/>
                <w:sz w:val="18"/>
              </w:rPr>
              <w:t>111,773,857.91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94,459,528.34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5、合并现金流量表" w:id="162"/>
      <w:bookmarkEnd w:id="162"/>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5" w:right="0"/>
              <w:jc w:val="left"/>
              <w:rPr>
                <w:rFonts w:ascii="Times New Roman" w:hAnsi="Times New Roman" w:cs="Times New Roman" w:eastAsia="Times New Roman" w:hint="default"/>
                <w:sz w:val="18"/>
                <w:szCs w:val="18"/>
              </w:rPr>
            </w:pPr>
            <w:r>
              <w:rPr>
                <w:rFonts w:ascii="Times New Roman"/>
                <w:sz w:val="18"/>
              </w:rPr>
              <w:t>3,628,511,915.43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07" w:right="0"/>
              <w:jc w:val="left"/>
              <w:rPr>
                <w:rFonts w:ascii="Times New Roman" w:hAnsi="Times New Roman" w:cs="Times New Roman" w:eastAsia="Times New Roman" w:hint="default"/>
                <w:sz w:val="18"/>
                <w:szCs w:val="18"/>
              </w:rPr>
            </w:pPr>
            <w:r>
              <w:rPr>
                <w:rFonts w:ascii="Times New Roman"/>
                <w:sz w:val="18"/>
              </w:rPr>
              <w:t>3,665,603,705.46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228,651,114.02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189,716,715.98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280,146,058.69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599,209,309.61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4,137,309,088.14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4,454,529,731.05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2,245,142,935.62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3,344,354,080.46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307,229,869.81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273,385,624.47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220,369,722.39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206,089,416.66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493,226,694.34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603,669,427.02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3,265,969,222.16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4,427,498,548.61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871,339,865.98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27,031,182.44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18,237,716.23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42,925,681.53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27,876,846.06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53,100,179.32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426,155.75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197,821,774.59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185,825,860.85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454,362,492.63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1,059,629,570.09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2,571,688,042.59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205,031,500.00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1,306,768.86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67,429,371.10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130,162,550.12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1,396,130,389.07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2,977,917,413.69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-1,210,304,528.22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-2,523,554,921.06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32,607,500.00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3,794,539,311.00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25,607,500.00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5,450,789,003.02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6,874,964,707.57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164,307,200.00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146,580,266.30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5,647,703,703.02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10,816,084,284.87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4,194,613,269.86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6,362,432,006.62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465,459,407.86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508,620,467.17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1,206,800.00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1,829,974,755.68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799,215,165.79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6,490,047,433.40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7,670,267,639.58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-842,343,730.38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3,145,816,645.29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-7,874,840.12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8,725,457.03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-1,189,183,232.74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658,018,363.70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1,902,276,169.44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1,244,257,805.74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713,092,936.70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6、母公司现金流量表" w:id="163"/>
      <w:bookmarkEnd w:id="163"/>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1,178,072,879.61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1,562,689,581.20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159,910,913.93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166,746,627.93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2,148,643,584.89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632,442,157.52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3,486,627,378.43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2,361,878,366.65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1,174,722,620.31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1,768,243,289.45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0"/>
              <w:jc w:val="right"/>
              <w:rPr>
                <w:rFonts w:ascii="宋体" w:hAnsi="宋体" w:cs="宋体" w:eastAsia="宋体" w:hint="default"/>
                <w:sz w:val="18"/>
                <w:szCs w:val="18"/>
              </w:rPr>
            </w:pPr>
            <w:r>
              <w:rPr>
                <w:rFonts w:ascii="宋体" w:hAnsi="宋体" w:cs="宋体" w:eastAsia="宋体" w:hint="default"/>
                <w:sz w:val="18"/>
                <w:szCs w:val="18"/>
              </w:rPr>
              <w:t>支付给职工以及为职工支付的现</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88,914,828.10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78,499,024.09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44,403,668.19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46,112,836.42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786,066,256.50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1,854,182,802.95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2,094,107,373.10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3,747,037,952.91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1,392,520,005.33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-1,385,159,586.26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210,167,000.00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32,075,734.40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584,564.62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3,287,395.86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183,132,599.80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150,384,564.62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428,662,730.06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12,793,778.12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5,216,474.23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2,062,548,400.00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2,158,589,811.00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2,075,342,178.12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2,167,206,285.23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-1,924,957,613.50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-1,738,543,555.17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3,782,539,311.00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2,961,280,000.00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2,499,611,894.00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111,600,000.00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2,961,280,000.00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6,393,751,205.00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1,939,611,894.00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2,386,366,316.16</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143,213,260.52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206,660,235.71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916,940,305.12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120,547,712.20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2,999,765,459.64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2,713,574,264.07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-38,485,459.64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3,680,176,940.93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-4,719,146.96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8,534,078.00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-575,642,214.77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565,007,877.50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745,470,370.21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180,462,492.71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169,828,155.44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745,470,370.21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7、合并所有者权益变动表" w:id="164"/>
      <w:bookmarkEnd w:id="164"/>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t>本期金额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843,941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,137.22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-8,344,6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05.64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42,869,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264,329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,822.15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136,416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,214.78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8"/>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843,941</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,137.22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-8,344,6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05.64</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42,869,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202.55</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264,329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,822.15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136,416</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,214.78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580,321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385.79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102,277</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,926.85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-63,876,</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600.34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17,532,</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872.91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580,321</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113,455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,312.64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-1,655,9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14.66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112,379</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,719.38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-49,660,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971.07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-32,655,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071.07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25,659,</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974.08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25,659,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974.08</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17,005,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-75,320,</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945.15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-58,315,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045.15</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714.61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714.61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385.79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714.61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-12,559,</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714.61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060.79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4"/>
              <w:ind w:left="14"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860,947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,037.22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49,632,</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060.79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-7,764,2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84.24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54,046,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588.34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366,607</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,749.00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72,539,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614.44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5,787,6</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06,243.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pStyle w:val="BodyText"/>
        <w:spacing w:line="240" w:lineRule="auto" w:before="51"/>
        <w:ind w:left="154" w:right="1122"/>
        <w:jc w:val="left"/>
      </w:pPr>
      <w:r>
        <w:rPr/>
        <w:t>上期金额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73"/>
        <w:gridCol w:w="519"/>
        <w:gridCol w:w="532"/>
        <w:gridCol w:w="530"/>
        <w:gridCol w:w="665"/>
        <w:gridCol w:w="665"/>
        <w:gridCol w:w="665"/>
        <w:gridCol w:w="665"/>
        <w:gridCol w:w="665"/>
        <w:gridCol w:w="665"/>
        <w:gridCol w:w="678"/>
        <w:gridCol w:w="652"/>
        <w:gridCol w:w="647"/>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8"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41"/>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3" w:type="dxa"/>
            <w:vMerge w:val="restart"/>
            <w:tcBorders>
              <w:top w:val="single" w:sz="4" w:space="0" w:color="000000"/>
              <w:left w:val="single" w:sz="4" w:space="0" w:color="000000"/>
              <w:right w:val="single" w:sz="4" w:space="0" w:color="000000"/>
            </w:tcBorders>
            <w:shd w:val="clear" w:color="auto" w:fill="D2D2D2"/>
          </w:tcPr>
          <w:p>
            <w:pPr/>
          </w:p>
        </w:tc>
        <w:tc>
          <w:tcPr>
            <w:tcW w:w="15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47" w:type="dxa"/>
            <w:vMerge/>
            <w:tcBorders>
              <w:left w:val="single" w:sz="4" w:space="0" w:color="000000"/>
              <w:right w:val="single" w:sz="4" w:space="0" w:color="000000"/>
            </w:tcBorders>
            <w:shd w:val="clear" w:color="auto" w:fill="D2D2D2"/>
          </w:tcPr>
          <w:p>
            <w:pPr/>
          </w:p>
        </w:tc>
      </w:tr>
      <w:tr>
        <w:trPr>
          <w:trHeight w:val="173" w:hRule="exact"/>
        </w:trPr>
        <w:tc>
          <w:tcPr>
            <w:tcW w:w="1438" w:type="dxa"/>
            <w:vMerge/>
            <w:tcBorders>
              <w:left w:val="single" w:sz="4" w:space="0" w:color="000000"/>
              <w:bottom w:val="nil" w:sz="6" w:space="0" w:color="auto"/>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1581"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84" w:hRule="exact"/>
        </w:trPr>
        <w:tc>
          <w:tcPr>
            <w:tcW w:w="1438" w:type="dxa"/>
            <w:vMerge w:val="restart"/>
            <w:tcBorders>
              <w:top w:val="nil" w:sz="6" w:space="0" w:color="auto"/>
              <w:left w:val="single" w:sz="4" w:space="0" w:color="000000"/>
              <w:right w:val="single" w:sz="4" w:space="0" w:color="000000"/>
            </w:tcBorders>
            <w:shd w:val="clear" w:color="auto" w:fill="D2D2D2"/>
          </w:tcPr>
          <w:p>
            <w:pPr/>
          </w:p>
        </w:tc>
        <w:tc>
          <w:tcPr>
            <w:tcW w:w="57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5"/>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58"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69" w:hRule="exact"/>
        </w:trPr>
        <w:tc>
          <w:tcPr>
            <w:tcW w:w="1438" w:type="dxa"/>
            <w:vMerge/>
            <w:tcBorders>
              <w:left w:val="single" w:sz="4" w:space="0" w:color="000000"/>
              <w:right w:val="single" w:sz="4" w:space="0" w:color="000000"/>
            </w:tcBorders>
            <w:shd w:val="clear" w:color="auto" w:fill="D2D2D2"/>
          </w:tcPr>
          <w:p>
            <w:pPr/>
          </w:p>
        </w:tc>
        <w:tc>
          <w:tcPr>
            <w:tcW w:w="573" w:type="dxa"/>
            <w:vMerge/>
            <w:tcBorders>
              <w:left w:val="single" w:sz="4" w:space="0" w:color="000000"/>
              <w:bottom w:val="nil" w:sz="6" w:space="0" w:color="auto"/>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47" w:type="dxa"/>
            <w:vMerge/>
            <w:tcBorders>
              <w:left w:val="single" w:sz="4" w:space="0" w:color="000000"/>
              <w:right w:val="single" w:sz="4" w:space="0" w:color="000000"/>
            </w:tcBorders>
            <w:shd w:val="clear" w:color="auto" w:fill="D2D2D2"/>
          </w:tcPr>
          <w:p>
            <w:pPr/>
          </w:p>
        </w:tc>
      </w:tr>
      <w:tr>
        <w:trPr>
          <w:trHeight w:val="156" w:hRule="exact"/>
        </w:trPr>
        <w:tc>
          <w:tcPr>
            <w:tcW w:w="1438" w:type="dxa"/>
            <w:vMerge/>
            <w:tcBorders>
              <w:left w:val="single" w:sz="4" w:space="0" w:color="000000"/>
              <w:right w:val="single" w:sz="4" w:space="0" w:color="000000"/>
            </w:tcBorders>
            <w:shd w:val="clear" w:color="auto" w:fill="D2D2D2"/>
          </w:tcPr>
          <w:p>
            <w:pPr/>
          </w:p>
        </w:tc>
        <w:tc>
          <w:tcPr>
            <w:tcW w:w="573" w:type="dxa"/>
            <w:vMerge w:val="restart"/>
            <w:tcBorders>
              <w:top w:val="nil" w:sz="6" w:space="0" w:color="auto"/>
              <w:left w:val="single" w:sz="4" w:space="0" w:color="000000"/>
              <w:right w:val="single" w:sz="4" w:space="0" w:color="000000"/>
            </w:tcBorders>
            <w:shd w:val="clear" w:color="auto" w:fill="D2D2D2"/>
          </w:tcPr>
          <w:p>
            <w:pPr/>
          </w:p>
        </w:tc>
        <w:tc>
          <w:tcPr>
            <w:tcW w:w="519"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47"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73" w:type="dxa"/>
            <w:vMerge/>
            <w:tcBorders>
              <w:left w:val="single" w:sz="4" w:space="0" w:color="000000"/>
              <w:bottom w:val="single" w:sz="4" w:space="0" w:color="000000"/>
              <w:right w:val="single" w:sz="4" w:space="0" w:color="000000"/>
            </w:tcBorders>
            <w:shd w:val="clear" w:color="auto" w:fill="D2D2D2"/>
          </w:tcPr>
          <w:p>
            <w:pPr/>
          </w:p>
        </w:tc>
        <w:tc>
          <w:tcPr>
            <w:tcW w:w="519"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38" w:type="dxa"/>
            <w:tcBorders>
              <w:top w:val="single" w:sz="4" w:space="0" w:color="000000"/>
              <w:left w:val="single" w:sz="4" w:space="0" w:color="000000"/>
              <w:bottom w:val="nil" w:sz="6" w:space="0" w:color="auto"/>
              <w:right w:val="single" w:sz="4" w:space="0" w:color="000000"/>
            </w:tcBorders>
            <w:shd w:val="clear" w:color="auto" w:fill="D2D2D2"/>
          </w:tcPr>
          <w:p>
            <w:pPr/>
          </w:p>
        </w:tc>
        <w:tc>
          <w:tcPr>
            <w:tcW w:w="573" w:type="dxa"/>
            <w:vMerge w:val="restart"/>
            <w:tcBorders>
              <w:top w:val="single" w:sz="4" w:space="0" w:color="000000"/>
              <w:left w:val="single" w:sz="9" w:space="0" w:color="D2D2D2"/>
              <w:right w:val="single" w:sz="4" w:space="0" w:color="000000"/>
            </w:tcBorders>
          </w:tcPr>
          <w:p>
            <w:pPr>
              <w:pStyle w:val="TableParagraph"/>
              <w:spacing w:line="240" w:lineRule="auto" w:before="111"/>
              <w:ind w:left="28" w:right="0"/>
              <w:jc w:val="left"/>
              <w:rPr>
                <w:rFonts w:ascii="Times New Roman" w:hAnsi="Times New Roman" w:cs="Times New Roman" w:eastAsia="Times New Roman" w:hint="default"/>
                <w:sz w:val="18"/>
                <w:szCs w:val="18"/>
              </w:rPr>
            </w:pPr>
            <w:r>
              <w:rPr>
                <w:rFonts w:ascii="Times New Roman"/>
                <w:sz w:val="18"/>
              </w:rPr>
              <w:t>725,00</w:t>
            </w:r>
          </w:p>
          <w:p>
            <w:pPr>
              <w:pStyle w:val="TableParagraph"/>
              <w:spacing w:line="240" w:lineRule="auto" w:before="104"/>
              <w:ind w:left="72" w:right="0"/>
              <w:jc w:val="left"/>
              <w:rPr>
                <w:rFonts w:ascii="Times New Roman" w:hAnsi="Times New Roman" w:cs="Times New Roman" w:eastAsia="Times New Roman" w:hint="default"/>
                <w:sz w:val="18"/>
                <w:szCs w:val="18"/>
              </w:rPr>
            </w:pPr>
            <w:r>
              <w:rPr>
                <w:rFonts w:ascii="Times New Roman"/>
                <w:sz w:val="18"/>
              </w:rPr>
              <w:t>0,000.</w:t>
            </w:r>
          </w:p>
        </w:tc>
        <w:tc>
          <w:tcPr>
            <w:tcW w:w="519"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11"/>
              <w:ind w:left="92" w:right="0"/>
              <w:jc w:val="left"/>
              <w:rPr>
                <w:rFonts w:ascii="Times New Roman" w:hAnsi="Times New Roman" w:cs="Times New Roman" w:eastAsia="Times New Roman" w:hint="default"/>
                <w:sz w:val="18"/>
                <w:szCs w:val="18"/>
              </w:rPr>
            </w:pPr>
            <w:r>
              <w:rPr>
                <w:rFonts w:ascii="Times New Roman"/>
                <w:sz w:val="18"/>
              </w:rPr>
              <w:t>1,567,8</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65,168.</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96.20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33,423,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249.72</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259,786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,052.41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332,679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,516.31</w:t>
            </w:r>
          </w:p>
        </w:tc>
        <w:tc>
          <w:tcPr>
            <w:tcW w:w="647" w:type="dxa"/>
            <w:vMerge w:val="restart"/>
            <w:tcBorders>
              <w:top w:val="single" w:sz="4" w:space="0" w:color="000000"/>
              <w:left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2,917,7</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09,990.</w:t>
            </w:r>
          </w:p>
        </w:tc>
      </w:tr>
      <w:tr>
        <w:trPr>
          <w:trHeight w:val="392" w:hRule="exact"/>
        </w:trPr>
        <w:tc>
          <w:tcPr>
            <w:tcW w:w="14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3" w:type="dxa"/>
            <w:vMerge/>
            <w:tcBorders>
              <w:left w:val="single" w:sz="9" w:space="0" w:color="D2D2D2"/>
              <w:right w:val="single" w:sz="4" w:space="0" w:color="000000"/>
            </w:tcBorders>
          </w:tcPr>
          <w:p>
            <w:pPr/>
          </w:p>
        </w:tc>
        <w:tc>
          <w:tcPr>
            <w:tcW w:w="519"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47" w:type="dxa"/>
            <w:vMerge/>
            <w:tcBorders>
              <w:left w:val="single" w:sz="4" w:space="0" w:color="000000"/>
              <w:right w:val="single" w:sz="4" w:space="0" w:color="000000"/>
            </w:tcBorders>
          </w:tcPr>
          <w:p>
            <w:pPr/>
          </w:p>
        </w:tc>
      </w:tr>
      <w:tr>
        <w:trPr>
          <w:trHeight w:val="161" w:hRule="exact"/>
        </w:trPr>
        <w:tc>
          <w:tcPr>
            <w:tcW w:w="1438" w:type="dxa"/>
            <w:tcBorders>
              <w:top w:val="nil" w:sz="6" w:space="0" w:color="auto"/>
              <w:left w:val="single" w:sz="4" w:space="0" w:color="000000"/>
              <w:bottom w:val="single" w:sz="4" w:space="0" w:color="000000"/>
              <w:right w:val="single" w:sz="4" w:space="0" w:color="000000"/>
            </w:tcBorders>
            <w:shd w:val="clear" w:color="auto" w:fill="D2D2D2"/>
          </w:tcPr>
          <w:p>
            <w:pPr/>
          </w:p>
        </w:tc>
        <w:tc>
          <w:tcPr>
            <w:tcW w:w="573" w:type="dxa"/>
            <w:vMerge/>
            <w:tcBorders>
              <w:left w:val="single" w:sz="9" w:space="0" w:color="D2D2D2"/>
              <w:bottom w:val="single" w:sz="4" w:space="0" w:color="000000"/>
              <w:right w:val="single" w:sz="4" w:space="0" w:color="000000"/>
            </w:tcBorders>
          </w:tcPr>
          <w:p>
            <w:pPr/>
          </w:p>
        </w:tc>
        <w:tc>
          <w:tcPr>
            <w:tcW w:w="519"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47"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-14,966,</w:t>
            </w:r>
          </w:p>
          <w:p>
            <w:pPr>
              <w:pStyle w:val="TableParagraph"/>
              <w:spacing w:line="240" w:lineRule="auto" w:before="105"/>
              <w:ind w:left="131" w:right="0"/>
              <w:jc w:val="center"/>
              <w:rPr>
                <w:rFonts w:ascii="Times New Roman" w:hAnsi="Times New Roman" w:cs="Times New Roman" w:eastAsia="Times New Roman" w:hint="default"/>
                <w:sz w:val="18"/>
                <w:szCs w:val="18"/>
              </w:rPr>
            </w:pPr>
            <w:r>
              <w:rPr>
                <w:rFonts w:ascii="Times New Roman"/>
                <w:sz w:val="18"/>
              </w:rPr>
              <w:t>477.11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-11,966,</w:t>
            </w:r>
          </w:p>
          <w:p>
            <w:pPr>
              <w:pStyle w:val="TableParagraph"/>
              <w:spacing w:line="240" w:lineRule="auto" w:before="105"/>
              <w:ind w:left="112" w:right="0"/>
              <w:jc w:val="center"/>
              <w:rPr>
                <w:rFonts w:ascii="Times New Roman" w:hAnsi="Times New Roman" w:cs="Times New Roman" w:eastAsia="Times New Roman" w:hint="default"/>
                <w:sz w:val="18"/>
                <w:szCs w:val="18"/>
              </w:rPr>
            </w:pPr>
            <w:r>
              <w:rPr>
                <w:rFonts w:ascii="Times New Roman"/>
                <w:sz w:val="18"/>
              </w:rPr>
              <w:t>477.11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725,00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1,570,8</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65,168.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-1,043,9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96.20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33,423,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249.72</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244,819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,575.30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332,679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,516.31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2,905,7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43,513.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3,765,</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-726,92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4,031.1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-7,300,6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4" w:right="0"/>
              <w:jc w:val="left"/>
              <w:rPr>
                <w:rFonts w:ascii="Times New Roman" w:hAnsi="Times New Roman" w:cs="Times New Roman" w:eastAsia="Times New Roman" w:hint="default"/>
                <w:sz w:val="18"/>
                <w:szCs w:val="18"/>
              </w:rPr>
            </w:pPr>
            <w:r>
              <w:rPr>
                <w:rFonts w:ascii="Times New Roman"/>
                <w:sz w:val="18"/>
              </w:rPr>
              <w:t>19,510,</w:t>
            </w:r>
          </w:p>
          <w:p>
            <w:pPr>
              <w:pStyle w:val="TableParagraph"/>
              <w:spacing w:line="240" w:lineRule="auto" w:before="105"/>
              <w:ind w:left="149" w:right="0"/>
              <w:jc w:val="left"/>
              <w:rPr>
                <w:rFonts w:ascii="Times New Roman" w:hAnsi="Times New Roman" w:cs="Times New Roman" w:eastAsia="Times New Roman" w:hint="default"/>
                <w:sz w:val="18"/>
                <w:szCs w:val="18"/>
              </w:rPr>
            </w:pPr>
            <w:r>
              <w:rPr>
                <w:rFonts w:ascii="Times New Roman"/>
                <w:sz w:val="18"/>
              </w:rPr>
              <w:t>246.85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-196,26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3,301.5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2,864,3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29,857.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-7,300,6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09.44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141,227</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,739.68</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7,242,3</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59.42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141,169</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,489.66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397,71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88,229.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-194,66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3,750.8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2,880,5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397,71</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5,400.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3,377,4</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90,478.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4,334,0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3,779,5</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39,878.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57</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-700,00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2,249.2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-198,99</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7,750.8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-121,71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7,492.8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9"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-121,27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1,844.5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52.83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52.83</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5" w:right="0"/>
              <w:jc w:val="left"/>
              <w:rPr>
                <w:rFonts w:ascii="Times New Roman" w:hAnsi="Times New Roman" w:cs="Times New Roman" w:eastAsia="Times New Roman" w:hint="default"/>
                <w:sz w:val="18"/>
                <w:szCs w:val="18"/>
              </w:rPr>
            </w:pPr>
            <w:r>
              <w:rPr>
                <w:rFonts w:ascii="Times New Roman"/>
                <w:sz w:val="18"/>
              </w:rPr>
              <w:t>-112,27</w:t>
            </w:r>
          </w:p>
          <w:p>
            <w:pPr>
              <w:pStyle w:val="TableParagraph"/>
              <w:spacing w:line="240" w:lineRule="auto" w:before="104"/>
              <w:ind w:left="104" w:right="0"/>
              <w:jc w:val="left"/>
              <w:rPr>
                <w:rFonts w:ascii="Times New Roman" w:hAnsi="Times New Roman" w:cs="Times New Roman" w:eastAsia="Times New Roman" w:hint="default"/>
                <w:sz w:val="18"/>
                <w:szCs w:val="18"/>
              </w:rPr>
            </w:pPr>
            <w:r>
              <w:rPr>
                <w:rFonts w:ascii="Times New Roman"/>
                <w:sz w:val="18"/>
              </w:rPr>
              <w:t>1,540.0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-9,000,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304.54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0" w:right="0"/>
              <w:jc w:val="left"/>
              <w:rPr>
                <w:rFonts w:ascii="Times New Roman" w:hAnsi="Times New Roman" w:cs="Times New Roman" w:eastAsia="Times New Roman" w:hint="default"/>
                <w:sz w:val="18"/>
                <w:szCs w:val="18"/>
              </w:rPr>
            </w:pPr>
            <w:r>
              <w:rPr>
                <w:rFonts w:ascii="Times New Roman"/>
                <w:sz w:val="18"/>
              </w:rPr>
              <w:t>-121,27</w:t>
            </w:r>
          </w:p>
          <w:p>
            <w:pPr>
              <w:pStyle w:val="TableParagraph"/>
              <w:spacing w:line="240" w:lineRule="auto" w:before="104"/>
              <w:ind w:left="85" w:right="0"/>
              <w:jc w:val="left"/>
              <w:rPr>
                <w:rFonts w:ascii="Times New Roman" w:hAnsi="Times New Roman" w:cs="Times New Roman" w:eastAsia="Times New Roman" w:hint="default"/>
                <w:sz w:val="18"/>
                <w:szCs w:val="18"/>
              </w:rPr>
            </w:pPr>
            <w:r>
              <w:rPr>
                <w:rFonts w:ascii="Times New Roman"/>
                <w:sz w:val="18"/>
              </w:rPr>
              <w:t>1,844.5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-3,368,1</w:t>
            </w:r>
            <w:r>
              <w:rPr>
                <w:rFonts w:ascii="Times New Roman"/>
                <w:sz w:val="18"/>
              </w:rPr>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3,368,</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146,20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-3,368,1</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46,200.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-36,266,</w:t>
            </w:r>
          </w:p>
          <w:p>
            <w:pPr>
              <w:pStyle w:val="TableParagraph"/>
              <w:spacing w:line="240" w:lineRule="auto" w:before="105"/>
              <w:ind w:left="115" w:right="0"/>
              <w:jc w:val="center"/>
              <w:rPr>
                <w:rFonts w:ascii="Times New Roman" w:hAnsi="Times New Roman" w:cs="Times New Roman" w:eastAsia="Times New Roman" w:hint="default"/>
                <w:sz w:val="18"/>
                <w:szCs w:val="18"/>
              </w:rPr>
            </w:pPr>
            <w:r>
              <w:rPr>
                <w:rFonts w:ascii="Times New Roman"/>
                <w:sz w:val="18"/>
              </w:rPr>
              <w:t>060.51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158,394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-36,107,</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666.12</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4,490,</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861,60</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843,941</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,137.22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-8,344,6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05.64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42,869,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202.55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264,329</w:t>
            </w:r>
          </w:p>
          <w:p>
            <w:pPr>
              <w:pStyle w:val="TableParagraph"/>
              <w:spacing w:line="240" w:lineRule="auto" w:before="105"/>
              <w:ind w:left="104" w:right="0"/>
              <w:jc w:val="left"/>
              <w:rPr>
                <w:rFonts w:ascii="Times New Roman" w:hAnsi="Times New Roman" w:cs="Times New Roman" w:eastAsia="Times New Roman" w:hint="default"/>
                <w:sz w:val="18"/>
                <w:szCs w:val="18"/>
              </w:rPr>
            </w:pPr>
            <w:r>
              <w:rPr>
                <w:rFonts w:ascii="Times New Roman"/>
                <w:sz w:val="18"/>
              </w:rPr>
              <w:t>,822.15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136,416</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,214.78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5,770,0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8、母公司所有者权益变动表" w:id="165"/>
      <w:bookmarkEnd w:id="165"/>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t>本期金额</w:t>
      </w:r>
    </w:p>
    <w:p>
      <w:pPr>
        <w:pStyle w:val="BodyText"/>
        <w:spacing w:line="240" w:lineRule="auto" w:before="116"/>
        <w:ind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929,495,8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48.70</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42,869,20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124,829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,243.36</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5,588,055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,894.61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1,600.00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929,495,8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48.70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42,869,20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124,829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,243.36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5,588,055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,894.61</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100,596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,472.12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72,380,22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4.59</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111,773,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857.91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57.91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10,238,42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7.47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385.79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11,177,38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5.79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-11,177,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385.79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49,632,06</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-49,632,0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60.79</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4,490,86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939,734,2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5" w:right="0"/>
              <w:jc w:val="left"/>
              <w:rPr>
                <w:rFonts w:ascii="Times New Roman" w:hAnsi="Times New Roman" w:cs="Times New Roman" w:eastAsia="Times New Roman" w:hint="default"/>
                <w:sz w:val="18"/>
                <w:szCs w:val="18"/>
              </w:rPr>
            </w:pPr>
            <w:r>
              <w:rPr>
                <w:rFonts w:ascii="Times New Roman"/>
                <w:sz w:val="18"/>
              </w:rPr>
              <w:t>49,632,06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4" w:right="0"/>
              <w:jc w:val="left"/>
              <w:rPr>
                <w:rFonts w:ascii="Times New Roman" w:hAnsi="Times New Roman" w:cs="Times New Roman" w:eastAsia="Times New Roman" w:hint="default"/>
                <w:sz w:val="18"/>
                <w:szCs w:val="18"/>
              </w:rPr>
            </w:pPr>
            <w:r>
              <w:rPr>
                <w:rFonts w:ascii="Times New Roman"/>
                <w:sz w:val="18"/>
              </w:rPr>
              <w:t>54,046,58</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58" w:right="0"/>
              <w:jc w:val="left"/>
              <w:rPr>
                <w:rFonts w:ascii="Times New Roman" w:hAnsi="Times New Roman" w:cs="Times New Roman" w:eastAsia="Times New Roman" w:hint="default"/>
                <w:sz w:val="18"/>
                <w:szCs w:val="18"/>
              </w:rPr>
            </w:pPr>
            <w:r>
              <w:rPr>
                <w:rFonts w:ascii="Times New Roman"/>
                <w:sz w:val="18"/>
              </w:rPr>
              <w:t>225,425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5,660,436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4"/>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0" w:right="0"/>
              <w:jc w:val="left"/>
              <w:rPr>
                <w:rFonts w:ascii="Times New Roman" w:hAnsi="Times New Roman" w:cs="Times New Roman" w:eastAsia="Times New Roman" w:hint="default"/>
                <w:sz w:val="18"/>
                <w:szCs w:val="18"/>
              </w:rPr>
            </w:pPr>
            <w:r>
              <w:rPr>
                <w:rFonts w:ascii="Times New Roman"/>
                <w:sz w:val="18"/>
              </w:rPr>
              <w:t>76.17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1" w:right="0"/>
              <w:jc w:val="left"/>
              <w:rPr>
                <w:rFonts w:ascii="Times New Roman" w:hAnsi="Times New Roman" w:cs="Times New Roman" w:eastAsia="Times New Roman" w:hint="default"/>
                <w:sz w:val="18"/>
                <w:szCs w:val="18"/>
              </w:rPr>
            </w:pPr>
            <w:r>
              <w:rPr>
                <w:rFonts w:ascii="Times New Roman"/>
                <w:sz w:val="18"/>
              </w:rPr>
              <w:t>0.79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50" w:right="0"/>
              <w:jc w:val="left"/>
              <w:rPr>
                <w:rFonts w:ascii="Times New Roman" w:hAnsi="Times New Roman" w:cs="Times New Roman" w:eastAsia="Times New Roman" w:hint="default"/>
                <w:sz w:val="18"/>
                <w:szCs w:val="18"/>
              </w:rPr>
            </w:pPr>
            <w:r>
              <w:rPr>
                <w:rFonts w:ascii="Times New Roman"/>
                <w:sz w:val="18"/>
              </w:rPr>
              <w:t>8.34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Times New Roman"/>
                <w:sz w:val="18"/>
              </w:rPr>
              <w:t>,715.48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,119.20</w:t>
            </w:r>
          </w:p>
        </w:tc>
      </w:tr>
    </w:tbl>
    <w:p>
      <w:pPr>
        <w:pStyle w:val="BodyText"/>
        <w:spacing w:line="240" w:lineRule="auto" w:before="51"/>
        <w:ind w:left="154" w:right="1122"/>
        <w:jc w:val="left"/>
      </w:pPr>
      <w:r>
        <w:rPr/>
        <w:t>上期金额</w:t>
      </w:r>
    </w:p>
    <w:p>
      <w:pPr>
        <w:pStyle w:val="BodyText"/>
        <w:spacing w:line="240" w:lineRule="auto" w:before="117"/>
        <w:ind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725,000,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1,408,658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,281.26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33,423,24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9.72</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152,087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,207.85</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2,319,168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,738.83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725,000,</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1,408,658</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,281.26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33,423,24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9.72</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152,087</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,207.85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2,319,168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,738.83</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left"/>
              <w:rPr>
                <w:rFonts w:ascii="Times New Roman" w:hAnsi="Times New Roman" w:cs="Times New Roman" w:eastAsia="Times New Roman" w:hint="default"/>
                <w:sz w:val="18"/>
                <w:szCs w:val="18"/>
              </w:rPr>
            </w:pPr>
            <w:r>
              <w:rPr>
                <w:rFonts w:ascii="Times New Roman"/>
                <w:sz w:val="18"/>
              </w:rPr>
              <w:t>3,765,86</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-479,162,</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432.56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9,445,952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-27,257,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964.49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3,268,887</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,155.78</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528.34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94,459,52</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8.34</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397,715,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2,925,249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,827.95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3,322,965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,227.95</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397,715,</w:t>
            </w:r>
          </w:p>
          <w:p>
            <w:pPr>
              <w:pStyle w:val="TableParagraph"/>
              <w:spacing w:line="240" w:lineRule="auto" w:before="106"/>
              <w:ind w:left="144" w:right="0"/>
              <w:jc w:val="center"/>
              <w:rPr>
                <w:rFonts w:ascii="Times New Roman" w:hAnsi="Times New Roman" w:cs="Times New Roman" w:eastAsia="Times New Roman" w:hint="default"/>
                <w:sz w:val="18"/>
                <w:szCs w:val="18"/>
              </w:rPr>
            </w:pPr>
            <w:r>
              <w:rPr>
                <w:rFonts w:ascii="Times New Roman"/>
                <w:sz w:val="18"/>
              </w:rPr>
              <w:t>400.00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3,377,490</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,478.57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3,775,205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,878.57</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-452,240,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650.62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33" w:right="0"/>
              <w:jc w:val="center"/>
              <w:rPr>
                <w:rFonts w:ascii="Times New Roman" w:hAnsi="Times New Roman" w:cs="Times New Roman" w:eastAsia="Times New Roman" w:hint="default"/>
                <w:sz w:val="18"/>
                <w:szCs w:val="18"/>
              </w:rPr>
            </w:pPr>
            <w:r>
              <w:rPr>
                <w:rFonts w:ascii="Times New Roman"/>
                <w:sz w:val="18"/>
              </w:rPr>
              <w:t>-452,240,</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650.62</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31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9,445,952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7,492.8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-112,271,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540.00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317"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9,445,952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-9,445,9</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52.83</w:t>
            </w:r>
          </w:p>
        </w:tc>
        <w:tc>
          <w:tcPr>
            <w:tcW w:w="781" w:type="dxa"/>
            <w:vMerge w:val="restart"/>
            <w:tcBorders>
              <w:top w:val="single" w:sz="4" w:space="0" w:color="000000"/>
              <w:left w:val="single" w:sz="4" w:space="0" w:color="000000"/>
              <w:right w:val="single" w:sz="4" w:space="0" w:color="000000"/>
            </w:tcBorders>
          </w:tcPr>
          <w:p>
            <w:pPr/>
          </w:p>
        </w:tc>
      </w:tr>
      <w:tr>
        <w:trPr>
          <w:trHeight w:val="393"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94" w:right="0"/>
              <w:jc w:val="left"/>
              <w:rPr>
                <w:rFonts w:ascii="Times New Roman" w:hAnsi="Times New Roman" w:cs="Times New Roman" w:eastAsia="Times New Roman" w:hint="default"/>
                <w:sz w:val="18"/>
                <w:szCs w:val="18"/>
              </w:rPr>
            </w:pPr>
            <w:r>
              <w:rPr>
                <w:rFonts w:ascii="Times New Roman"/>
                <w:sz w:val="18"/>
              </w:rPr>
              <w:t>-112,27</w:t>
            </w:r>
          </w:p>
          <w:p>
            <w:pPr>
              <w:pStyle w:val="TableParagraph"/>
              <w:spacing w:line="240" w:lineRule="auto" w:before="104"/>
              <w:ind w:left="103" w:right="0"/>
              <w:jc w:val="left"/>
              <w:rPr>
                <w:rFonts w:ascii="Times New Roman" w:hAnsi="Times New Roman" w:cs="Times New Roman" w:eastAsia="Times New Roman" w:hint="default"/>
                <w:sz w:val="18"/>
                <w:szCs w:val="18"/>
              </w:rPr>
            </w:pPr>
            <w:r>
              <w:rPr>
                <w:rFonts w:ascii="Times New Roman"/>
                <w:sz w:val="18"/>
              </w:rPr>
              <w:t>1,540.0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-112,271,</w:t>
            </w:r>
          </w:p>
          <w:p>
            <w:pPr>
              <w:pStyle w:val="TableParagraph"/>
              <w:spacing w:line="240" w:lineRule="auto" w:before="106"/>
              <w:ind w:left="230" w:right="0"/>
              <w:jc w:val="center"/>
              <w:rPr>
                <w:rFonts w:ascii="Times New Roman" w:hAnsi="Times New Roman" w:cs="Times New Roman" w:eastAsia="Times New Roman" w:hint="default"/>
                <w:sz w:val="18"/>
                <w:szCs w:val="18"/>
              </w:rPr>
            </w:pPr>
            <w:r>
              <w:rPr>
                <w:rFonts w:ascii="Times New Roman"/>
                <w:sz w:val="18"/>
              </w:rPr>
              <w:t>540.00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3,368,14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-3,368,14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3,368,14</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6,200.00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-3,368,14</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6,200.00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-36,266,0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60.51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-36,266,0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60.51</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4,490,86</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1,600.00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929,495,8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48.70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42,869,20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2.55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124,829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,243.36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5,588,055</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,894.61</w:t>
            </w:r>
          </w:p>
        </w:tc>
      </w:tr>
    </w:tbl>
    <w:p>
      <w:pPr>
        <w:spacing w:line="240" w:lineRule="auto" w:before="2"/>
        <w:rPr>
          <w:rFonts w:ascii="宋体" w:hAnsi="宋体" w:cs="宋体" w:eastAsia="宋体" w:hint="default"/>
          <w:sz w:val="18"/>
          <w:szCs w:val="18"/>
        </w:rPr>
      </w:pPr>
    </w:p>
    <w:p>
      <w:pPr>
        <w:pStyle w:val="Heading2"/>
        <w:spacing w:line="240" w:lineRule="auto" w:before="26"/>
        <w:ind w:left="154" w:right="1122"/>
        <w:jc w:val="left"/>
        <w:rPr>
          <w:b w:val="0"/>
          <w:bCs w:val="0"/>
        </w:rPr>
      </w:pPr>
      <w:bookmarkStart w:name="三、公司基本情况" w:id="166"/>
      <w:bookmarkEnd w:id="166"/>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9" w:firstLine="360"/>
        <w:jc w:val="both"/>
      </w:pPr>
      <w:r>
        <w:rPr>
          <w:spacing w:val="-1"/>
        </w:rPr>
        <w:t>江苏爱康科技股份有限公司（原名江苏爱康太阳能科技股份有限公司，以下简称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）是经江苏爱康太阳</w:t>
      </w:r>
      <w:r>
        <w:rPr/>
        <w:t> 能科技有限公司（原名江阴爱康太阳能器材有限公司）整体变更设立。本公司于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日完成工商变更登记，取得无</w:t>
      </w:r>
      <w:r>
        <w:rPr>
          <w:spacing w:val="-82"/>
        </w:rPr>
        <w:t> </w:t>
      </w:r>
      <w:r>
        <w:rPr>
          <w:spacing w:val="-82"/>
        </w:rPr>
      </w:r>
      <w:r>
        <w:rPr/>
        <w:t>锡市江阴工商行政管理局颁发的企业法人营业执照，注册号为</w:t>
      </w:r>
      <w:r>
        <w:rPr>
          <w:rFonts w:ascii="Times New Roman" w:hAnsi="Times New Roman" w:cs="Times New Roman" w:eastAsia="Times New Roman" w:hint="default"/>
        </w:rPr>
        <w:t>320281400010819</w:t>
      </w:r>
      <w:r>
        <w:rPr/>
        <w:t>号。注册地址为江阴市华士工业集中区红苗</w:t>
      </w:r>
      <w:r>
        <w:rPr>
          <w:spacing w:val="-84"/>
        </w:rPr>
        <w:t> </w:t>
      </w:r>
      <w:r>
        <w:rPr>
          <w:spacing w:val="-84"/>
        </w:rPr>
      </w:r>
      <w:r>
        <w:rPr/>
        <w:t>园区勤丰路</w:t>
      </w:r>
      <w:r>
        <w:rPr>
          <w:rFonts w:ascii="Times New Roman" w:hAnsi="Times New Roman" w:cs="Times New Roman" w:eastAsia="Times New Roman" w:hint="default"/>
        </w:rPr>
        <w:t>1015</w:t>
      </w:r>
      <w:r>
        <w:rPr/>
        <w:t>号。本公司总部位于江苏省张家港市经济开发区金塘路。</w:t>
      </w:r>
    </w:p>
    <w:p>
      <w:pPr>
        <w:pStyle w:val="BodyText"/>
        <w:spacing w:line="307" w:lineRule="auto" w:before="13"/>
        <w:ind w:right="1033" w:firstLine="420"/>
        <w:jc w:val="left"/>
      </w:pPr>
      <w:r>
        <w:rPr/>
        <w:t>本公司经中国证券监督管理委员会《关于核准江苏爱康太阳能科技股份有限公司首次公开发行股票的批复》（证监许 可</w:t>
      </w:r>
      <w:r>
        <w:rPr>
          <w:rFonts w:ascii="Times New Roman" w:hAnsi="Times New Roman" w:cs="Times New Roman" w:eastAsia="Times New Roman" w:hint="default"/>
        </w:rPr>
        <w:t>[2011]1169</w:t>
      </w:r>
      <w:r>
        <w:rPr/>
        <w:t>号）核准，并经深圳证券交易所同意，公开发行</w:t>
      </w:r>
      <w:r>
        <w:rPr>
          <w:rFonts w:ascii="Times New Roman" w:hAnsi="Times New Roman" w:cs="Times New Roman" w:eastAsia="Times New Roman" w:hint="default"/>
        </w:rPr>
        <w:t>5,000</w:t>
      </w:r>
      <w:r>
        <w:rPr/>
        <w:t>万股人民币普通股（</w:t>
      </w:r>
      <w:r>
        <w:rPr>
          <w:rFonts w:ascii="Times New Roman" w:hAnsi="Times New Roman" w:cs="Times New Roman" w:eastAsia="Times New Roman" w:hint="default"/>
        </w:rPr>
        <w:t>A</w:t>
      </w:r>
      <w:r>
        <w:rPr/>
        <w:t>股），发行价格为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w:t>
      </w:r>
      <w:r>
        <w:rPr>
          <w:spacing w:val="-32"/>
        </w:rPr>
        <w:t> </w:t>
      </w:r>
      <w:r>
        <w:rPr>
          <w:spacing w:val="-32"/>
        </w:rPr>
      </w:r>
      <w:r>
        <w:rPr/>
        <w:t>除承销及保荐费用、发行登记费以及其他交易费用共计人民币</w:t>
      </w:r>
      <w:r>
        <w:rPr>
          <w:rFonts w:ascii="Times New Roman" w:hAnsi="Times New Roman" w:cs="Times New Roman" w:eastAsia="Times New Roman" w:hint="default"/>
        </w:rPr>
        <w:t>41,349,325.34</w:t>
      </w:r>
      <w:r>
        <w:rPr/>
        <w:t>元后，净募集资金共计人民币</w:t>
      </w:r>
      <w:r>
        <w:rPr>
          <w:rFonts w:ascii="Times New Roman" w:hAnsi="Times New Roman" w:cs="Times New Roman" w:eastAsia="Times New Roman" w:hint="default"/>
        </w:rPr>
        <w:t>758,650,674.66</w:t>
      </w:r>
      <w:r>
        <w:rPr/>
        <w:t>元， 上述资金于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8</w:t>
      </w:r>
      <w:r>
        <w:rPr/>
        <w:t>日到位，业经安永华明会计师事务所验证并出具安永华明</w:t>
      </w:r>
      <w:r>
        <w:rPr>
          <w:rFonts w:ascii="Times New Roman" w:hAnsi="Times New Roman" w:cs="Times New Roman" w:eastAsia="Times New Roman" w:hint="default"/>
        </w:rPr>
        <w:t>(2011)</w:t>
      </w:r>
      <w:r>
        <w:rPr/>
        <w:t>验字第</w:t>
      </w:r>
      <w:r>
        <w:rPr>
          <w:rFonts w:ascii="Times New Roman" w:hAnsi="Times New Roman" w:cs="Times New Roman" w:eastAsia="Times New Roman" w:hint="default"/>
        </w:rPr>
        <w:t>60763124_B01</w:t>
      </w:r>
      <w:r>
        <w:rPr/>
        <w:t>号验资报告。</w:t>
      </w:r>
    </w:p>
    <w:p>
      <w:pPr>
        <w:spacing w:line="240" w:lineRule="auto" w:before="5"/>
        <w:rPr>
          <w:rFonts w:ascii="宋体" w:hAnsi="宋体" w:cs="宋体" w:eastAsia="宋体" w:hint="default"/>
          <w:sz w:val="24"/>
          <w:szCs w:val="24"/>
        </w:rPr>
      </w:pPr>
    </w:p>
    <w:p>
      <w:pPr>
        <w:pStyle w:val="BodyText"/>
        <w:spacing w:line="300" w:lineRule="auto"/>
        <w:ind w:right="1130" w:firstLine="360"/>
        <w:jc w:val="both"/>
      </w:pPr>
      <w:r>
        <w:rPr>
          <w:spacing w:val="-2"/>
        </w:rPr>
        <w:t>根据本公司</w:t>
      </w:r>
      <w:r>
        <w:rPr>
          <w:rFonts w:ascii="Times New Roman" w:hAnsi="Times New Roman" w:cs="Times New Roman" w:eastAsia="Times New Roman" w:hint="default"/>
          <w:spacing w:val="-2"/>
        </w:rPr>
        <w:t>2011</w:t>
      </w:r>
      <w:r>
        <w:rPr>
          <w:spacing w:val="-2"/>
        </w:rPr>
        <w:t>年年度股东大会决议和章程修正案规定，本公司以</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200,000,000</w:t>
      </w:r>
      <w:r>
        <w:rPr>
          <w:spacing w:val="-2"/>
        </w:rPr>
        <w:t>股为基数，以每</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8"/>
        </w:rPr>
        <w:t>股转增</w:t>
      </w:r>
      <w:r>
        <w:rPr>
          <w:rFonts w:ascii="Times New Roman" w:hAnsi="Times New Roman" w:cs="Times New Roman" w:eastAsia="Times New Roman" w:hint="default"/>
          <w:spacing w:val="8"/>
        </w:rPr>
        <w:t>5</w:t>
      </w:r>
      <w:r>
        <w:rPr>
          <w:spacing w:val="8"/>
        </w:rPr>
        <w:t>股的比例用资本公积向全体股东转增股份</w:t>
      </w:r>
      <w:r>
        <w:rPr>
          <w:rFonts w:ascii="Times New Roman" w:hAnsi="Times New Roman" w:cs="Times New Roman" w:eastAsia="Times New Roman" w:hint="default"/>
          <w:spacing w:val="8"/>
        </w:rPr>
        <w:t>100,000,000</w:t>
      </w:r>
      <w:r>
        <w:rPr>
          <w:spacing w:val="8"/>
        </w:rPr>
        <w:t>股，并于</w:t>
      </w:r>
      <w:r>
        <w:rPr>
          <w:rFonts w:ascii="Times New Roman" w:hAnsi="Times New Roman" w:cs="Times New Roman" w:eastAsia="Times New Roman" w:hint="default"/>
          <w:spacing w:val="8"/>
        </w:rPr>
        <w:t>2012</w:t>
      </w:r>
      <w:r>
        <w:rPr>
          <w:spacing w:val="8"/>
        </w:rPr>
        <w:t>年度实施。转增后，注册资本增至人民币</w:t>
      </w:r>
      <w:r>
        <w:rPr>
          <w:spacing w:val="-49"/>
        </w:rPr>
        <w:t> </w:t>
      </w:r>
      <w:r>
        <w:rPr>
          <w:spacing w:val="-49"/>
        </w:rPr>
      </w:r>
      <w:r>
        <w:rPr>
          <w:rFonts w:ascii="Times New Roman" w:hAnsi="Times New Roman" w:cs="Times New Roman" w:eastAsia="Times New Roman" w:hint="default"/>
        </w:rPr>
        <w:t>300,000,000.00</w:t>
      </w:r>
      <w:r>
        <w:rPr/>
        <w:t>元。</w:t>
      </w:r>
    </w:p>
    <w:p>
      <w:pPr>
        <w:pStyle w:val="BodyText"/>
        <w:spacing w:line="300" w:lineRule="auto" w:before="13"/>
        <w:ind w:right="1130" w:firstLine="360"/>
        <w:jc w:val="both"/>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13</w:t>
      </w:r>
      <w:r>
        <w:rPr/>
        <w:t>日，经中国证券监督管理委员会《关于核准江苏爱康科技股份有限公司非公开发行股票的批复》（证监许 </w:t>
      </w:r>
      <w:r>
        <w:rPr>
          <w:spacing w:val="-2"/>
        </w:rPr>
        <w:t>可</w:t>
      </w:r>
      <w:r>
        <w:rPr>
          <w:rFonts w:ascii="Times New Roman" w:hAnsi="Times New Roman" w:cs="Times New Roman" w:eastAsia="Times New Roman" w:hint="default"/>
          <w:spacing w:val="-2"/>
        </w:rPr>
        <w:t>[2014]807</w:t>
      </w:r>
      <w:r>
        <w:rPr>
          <w:spacing w:val="-2"/>
        </w:rPr>
        <w:t>号）核准，公司向特定对象非公开发行人民币普通股（</w:t>
      </w:r>
      <w:r>
        <w:rPr>
          <w:rFonts w:ascii="Times New Roman" w:hAnsi="Times New Roman" w:cs="Times New Roman" w:eastAsia="Times New Roman" w:hint="default"/>
          <w:spacing w:val="-2"/>
        </w:rPr>
        <w:t>A</w:t>
      </w:r>
      <w:r>
        <w:rPr>
          <w:spacing w:val="-2"/>
        </w:rPr>
        <w:t>股）股票不超过</w:t>
      </w:r>
      <w:r>
        <w:rPr>
          <w:rFonts w:ascii="Times New Roman" w:hAnsi="Times New Roman" w:cs="Times New Roman" w:eastAsia="Times New Roman" w:hint="default"/>
          <w:spacing w:val="-2"/>
        </w:rPr>
        <w:t>12500</w:t>
      </w:r>
      <w:r>
        <w:rPr>
          <w:spacing w:val="-2"/>
        </w:rPr>
        <w:t>万股。公司于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月采用询价</w:t>
      </w:r>
      <w:r>
        <w:rPr>
          <w:spacing w:val="-31"/>
        </w:rPr>
        <w:t> </w:t>
      </w:r>
      <w:r>
        <w:rPr/>
        <w:t>发行方式非公开发行人民币普通股（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6,250</w:t>
      </w:r>
      <w:r>
        <w:rPr/>
        <w:t>万股，发行价格为</w:t>
      </w:r>
      <w:r>
        <w:rPr>
          <w:rFonts w:ascii="Times New Roman" w:hAnsi="Times New Roman" w:cs="Times New Roman" w:eastAsia="Times New Roman" w:hint="default"/>
        </w:rPr>
        <w:t>16.00</w:t>
      </w:r>
      <w:r>
        <w:rPr/>
        <w:t>元</w:t>
      </w:r>
      <w:r>
        <w:rPr>
          <w:rFonts w:ascii="Times New Roman" w:hAnsi="Times New Roman" w:cs="Times New Roman" w:eastAsia="Times New Roman" w:hint="default"/>
        </w:rPr>
        <w:t>/</w:t>
      </w:r>
      <w:r>
        <w:rPr/>
        <w:t>股，扣除承销及保荐费用、发行登记费以及其他</w:t>
      </w:r>
      <w:r>
        <w:rPr>
          <w:spacing w:val="-86"/>
        </w:rPr>
        <w:t> </w:t>
      </w:r>
      <w:r>
        <w:rPr>
          <w:spacing w:val="-86"/>
        </w:rPr>
      </w:r>
      <w:r>
        <w:rPr/>
        <w:t>交易费用共计人民币</w:t>
      </w:r>
      <w:r>
        <w:rPr>
          <w:rFonts w:ascii="Times New Roman" w:hAnsi="Times New Roman" w:cs="Times New Roman" w:eastAsia="Times New Roman" w:hint="default"/>
        </w:rPr>
        <w:t>30,098,974.15</w:t>
      </w:r>
      <w:r>
        <w:rPr/>
        <w:t>元后，净募集资金共计人民币</w:t>
      </w:r>
      <w:r>
        <w:rPr>
          <w:rFonts w:ascii="Times New Roman" w:hAnsi="Times New Roman" w:cs="Times New Roman" w:eastAsia="Times New Roman" w:hint="default"/>
        </w:rPr>
        <w:t>969,901,025.85</w:t>
      </w:r>
      <w:r>
        <w:rPr/>
        <w:t>元，上述资金于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29</w:t>
      </w:r>
      <w:r>
        <w:rPr/>
        <w:t>日到位，业经瑞 华会计师事务所（特殊普通合伙）验证并出具瑞华验字</w:t>
      </w:r>
      <w:r>
        <w:rPr>
          <w:rFonts w:ascii="Times New Roman" w:hAnsi="Times New Roman" w:cs="Times New Roman" w:eastAsia="Times New Roman" w:hint="default"/>
        </w:rPr>
        <w:t>[2014]33010007</w:t>
      </w:r>
      <w:r>
        <w:rPr/>
        <w:t>号验资报告。</w:t>
      </w:r>
    </w:p>
    <w:p>
      <w:pPr>
        <w:pStyle w:val="BodyText"/>
        <w:spacing w:line="300" w:lineRule="auto" w:before="13"/>
        <w:ind w:right="1130" w:firstLine="360"/>
        <w:jc w:val="both"/>
      </w:pPr>
      <w:r>
        <w:rPr>
          <w:spacing w:val="-2"/>
        </w:rPr>
        <w:t>根据本公司</w:t>
      </w:r>
      <w:r>
        <w:rPr>
          <w:rFonts w:ascii="Times New Roman" w:hAnsi="Times New Roman" w:cs="Times New Roman" w:eastAsia="Times New Roman" w:hint="default"/>
          <w:spacing w:val="-2"/>
        </w:rPr>
        <w:t>2014</w:t>
      </w:r>
      <w:r>
        <w:rPr>
          <w:spacing w:val="-2"/>
        </w:rPr>
        <w:t>年年度股东大会决议和章程修正案规定，本公司以</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日总股本</w:t>
      </w:r>
      <w:r>
        <w:rPr>
          <w:rFonts w:ascii="Times New Roman" w:hAnsi="Times New Roman" w:cs="Times New Roman" w:eastAsia="Times New Roman" w:hint="default"/>
          <w:spacing w:val="-2"/>
        </w:rPr>
        <w:t>362,500,000</w:t>
      </w:r>
      <w:r>
        <w:rPr>
          <w:spacing w:val="-2"/>
        </w:rPr>
        <w:t>股为基数，以每</w:t>
      </w:r>
      <w:r>
        <w:rPr>
          <w:rFonts w:ascii="Times New Roman" w:hAnsi="Times New Roman" w:cs="Times New Roman" w:eastAsia="Times New Roman" w:hint="default"/>
          <w:spacing w:val="-2"/>
        </w:rPr>
        <w:t>10</w:t>
      </w:r>
      <w:r>
        <w:rPr>
          <w:rFonts w:ascii="Times New Roman" w:hAnsi="Times New Roman" w:cs="Times New Roman" w:eastAsia="Times New Roman" w:hint="default"/>
        </w:rPr>
        <w:t> </w:t>
      </w:r>
      <w:r>
        <w:rPr>
          <w:spacing w:val="7"/>
        </w:rPr>
        <w:t>股转增</w:t>
      </w:r>
      <w:r>
        <w:rPr>
          <w:rFonts w:ascii="Times New Roman" w:hAnsi="Times New Roman" w:cs="Times New Roman" w:eastAsia="Times New Roman" w:hint="default"/>
          <w:spacing w:val="7"/>
        </w:rPr>
        <w:t>10</w:t>
      </w:r>
      <w:r>
        <w:rPr>
          <w:spacing w:val="7"/>
        </w:rPr>
        <w:t>股的比例用资本公积向全体股东转增股份</w:t>
      </w:r>
      <w:r>
        <w:rPr>
          <w:rFonts w:ascii="Times New Roman" w:hAnsi="Times New Roman" w:cs="Times New Roman" w:eastAsia="Times New Roman" w:hint="default"/>
          <w:spacing w:val="7"/>
        </w:rPr>
        <w:t>362,500,000</w:t>
      </w:r>
      <w:r>
        <w:rPr>
          <w:spacing w:val="7"/>
        </w:rPr>
        <w:t>股，并于</w:t>
      </w:r>
      <w:r>
        <w:rPr>
          <w:rFonts w:ascii="Times New Roman" w:hAnsi="Times New Roman" w:cs="Times New Roman" w:eastAsia="Times New Roman" w:hint="default"/>
          <w:spacing w:val="7"/>
        </w:rPr>
        <w:t>2015</w:t>
      </w:r>
      <w:r>
        <w:rPr>
          <w:spacing w:val="7"/>
        </w:rPr>
        <w:t>年度实施。转增后，注册资本增至人民币</w:t>
      </w:r>
      <w:r>
        <w:rPr>
          <w:spacing w:val="-81"/>
        </w:rPr>
        <w:t> </w:t>
      </w:r>
      <w:r>
        <w:rPr>
          <w:spacing w:val="-81"/>
        </w:rPr>
      </w:r>
      <w:r>
        <w:rPr>
          <w:rFonts w:ascii="Times New Roman" w:hAnsi="Times New Roman" w:cs="Times New Roman" w:eastAsia="Times New Roman" w:hint="default"/>
        </w:rPr>
        <w:t>725,000,000.00</w:t>
      </w:r>
      <w:r>
        <w:rPr/>
        <w:t>元。</w:t>
      </w:r>
    </w:p>
    <w:p>
      <w:pPr>
        <w:spacing w:after="0" w:line="300"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033" w:firstLine="360"/>
        <w:jc w:val="left"/>
      </w:pPr>
      <w:r>
        <w:rPr>
          <w:spacing w:val="-2"/>
        </w:rPr>
        <w:t>根据本公司</w:t>
      </w:r>
      <w:r>
        <w:rPr>
          <w:rFonts w:ascii="Times New Roman" w:hAnsi="Times New Roman" w:cs="Times New Roman" w:eastAsia="Times New Roman" w:hint="default"/>
          <w:spacing w:val="-2"/>
        </w:rPr>
        <w:t>2015</w:t>
      </w:r>
      <w:r>
        <w:rPr>
          <w:spacing w:val="-2"/>
        </w:rPr>
        <w:t>年第八次临时股东大会决议，并经中国证券监督管理委员会《关于核准江苏爱康科技股份有限公司非公</w:t>
      </w:r>
      <w:r>
        <w:rPr/>
        <w:t> </w:t>
      </w:r>
      <w:r>
        <w:rPr>
          <w:spacing w:val="3"/>
        </w:rPr>
        <w:t>开发行股票的批复》（证监许可</w:t>
      </w:r>
      <w:r>
        <w:rPr>
          <w:rFonts w:ascii="Times New Roman" w:hAnsi="Times New Roman" w:cs="Times New Roman" w:eastAsia="Times New Roman" w:hint="default"/>
          <w:spacing w:val="3"/>
        </w:rPr>
        <w:t>[2015]3125</w:t>
      </w:r>
      <w:r>
        <w:rPr>
          <w:spacing w:val="3"/>
        </w:rPr>
        <w:t>号文）核准，本公司向特定对象非公开发行人民币普通股（</w:t>
      </w:r>
      <w:r>
        <w:rPr>
          <w:rFonts w:ascii="Times New Roman" w:hAnsi="Times New Roman" w:cs="Times New Roman" w:eastAsia="Times New Roman" w:hint="default"/>
          <w:spacing w:val="3"/>
        </w:rPr>
        <w:t>A</w:t>
      </w:r>
      <w:r>
        <w:rPr>
          <w:spacing w:val="3"/>
        </w:rPr>
        <w:t>股）股票不超过</w:t>
      </w:r>
      <w:r>
        <w:rPr>
          <w:spacing w:val="-82"/>
        </w:rPr>
        <w:t> </w:t>
      </w:r>
      <w:r>
        <w:rPr>
          <w:spacing w:val="-82"/>
        </w:rPr>
      </w:r>
      <w:r>
        <w:rPr>
          <w:rFonts w:ascii="Times New Roman" w:hAnsi="Times New Roman" w:cs="Times New Roman" w:eastAsia="Times New Roman" w:hint="default"/>
          <w:spacing w:val="-1"/>
        </w:rPr>
        <w:t>410,944,200</w:t>
      </w:r>
      <w:r>
        <w:rPr>
          <w:spacing w:val="-1"/>
        </w:rPr>
        <w:t>股。公司于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月采用询价发行方式非公开发行人民币普通股（</w:t>
      </w:r>
      <w:r>
        <w:rPr>
          <w:rFonts w:ascii="Times New Roman" w:hAnsi="Times New Roman" w:cs="Times New Roman" w:eastAsia="Times New Roman" w:hint="default"/>
          <w:spacing w:val="-1"/>
        </w:rPr>
        <w:t>A</w:t>
      </w:r>
      <w:r>
        <w:rPr>
          <w:spacing w:val="-1"/>
        </w:rPr>
        <w:t>股）</w:t>
      </w:r>
      <w:r>
        <w:rPr>
          <w:rFonts w:ascii="Times New Roman" w:hAnsi="Times New Roman" w:cs="Times New Roman" w:eastAsia="Times New Roman" w:hint="default"/>
          <w:spacing w:val="-1"/>
        </w:rPr>
        <w:t>397,715,400</w:t>
      </w:r>
      <w:r>
        <w:rPr>
          <w:spacing w:val="-1"/>
        </w:rPr>
        <w:t>股，发行价格为</w:t>
      </w:r>
      <w:r>
        <w:rPr>
          <w:rFonts w:ascii="Times New Roman" w:hAnsi="Times New Roman" w:cs="Times New Roman" w:eastAsia="Times New Roman" w:hint="default"/>
          <w:spacing w:val="-1"/>
        </w:rPr>
        <w:t>9.63</w:t>
      </w:r>
      <w:r>
        <w:rPr>
          <w:spacing w:val="-1"/>
        </w:rPr>
        <w:t>元</w:t>
      </w:r>
      <w:r>
        <w:rPr>
          <w:rFonts w:ascii="Times New Roman" w:hAnsi="Times New Roman" w:cs="Times New Roman" w:eastAsia="Times New Roman" w:hint="default"/>
          <w:spacing w:val="-1"/>
        </w:rPr>
        <w:t>/</w:t>
      </w:r>
      <w:r>
        <w:rPr>
          <w:spacing w:val="-1"/>
        </w:rPr>
        <w:t>股，</w:t>
      </w:r>
      <w:r>
        <w:rPr>
          <w:spacing w:val="-62"/>
        </w:rPr>
        <w:t> </w:t>
      </w:r>
      <w:r>
        <w:rPr/>
        <w:t>扣除承销及保荐费用、发行登记费以及其他交易费用共计人民币</w:t>
      </w:r>
      <w:r>
        <w:rPr>
          <w:rFonts w:ascii="Times New Roman" w:hAnsi="Times New Roman" w:cs="Times New Roman" w:eastAsia="Times New Roman" w:hint="default"/>
        </w:rPr>
        <w:t>53,207,706.40</w:t>
      </w:r>
      <w:r>
        <w:rPr/>
        <w:t>元后，净募集资金共计人民币</w:t>
      </w:r>
      <w:r>
        <w:rPr>
          <w:rFonts w:ascii="Times New Roman" w:hAnsi="Times New Roman" w:cs="Times New Roman" w:eastAsia="Times New Roman" w:hint="default"/>
        </w:rPr>
        <w:t>3,776,791,595.60 </w:t>
      </w:r>
      <w:r>
        <w:rPr/>
        <w:t>元，上述资金于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w:t>
      </w:r>
      <w:r>
        <w:rPr/>
        <w:t>日到位，业经瑞华会计师事务所（特殊普通合伙）验证并出具瑞华验字 </w:t>
      </w:r>
      <w:r>
        <w:rPr>
          <w:rFonts w:ascii="Times New Roman" w:hAnsi="Times New Roman" w:cs="Times New Roman" w:eastAsia="Times New Roman" w:hint="default"/>
        </w:rPr>
        <w:t>[2016]33090007</w:t>
      </w:r>
      <w:r>
        <w:rPr/>
        <w:t>号验资</w:t>
      </w:r>
      <w:r>
        <w:rPr>
          <w:spacing w:val="-29"/>
        </w:rPr>
        <w:t> </w:t>
      </w:r>
      <w:r>
        <w:rPr/>
        <w:t>报告。</w:t>
      </w:r>
    </w:p>
    <w:p>
      <w:pPr>
        <w:pStyle w:val="BodyText"/>
        <w:spacing w:line="300" w:lineRule="auto" w:before="31"/>
        <w:ind w:right="0" w:firstLine="360"/>
        <w:jc w:val="left"/>
      </w:pPr>
      <w:r>
        <w:rPr>
          <w:spacing w:val="-1"/>
        </w:rPr>
        <w:t>根据本公司</w:t>
      </w:r>
      <w:r>
        <w:rPr>
          <w:rFonts w:ascii="Times New Roman" w:hAnsi="Times New Roman" w:cs="Times New Roman" w:eastAsia="Times New Roman" w:hint="default"/>
          <w:spacing w:val="-1"/>
        </w:rPr>
        <w:t>2016</w:t>
      </w:r>
      <w:r>
        <w:rPr>
          <w:spacing w:val="-1"/>
        </w:rPr>
        <w:t>年第五次临时股东大会决议和章程修正案规定，本公司以</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日总股本</w:t>
      </w:r>
      <w:r>
        <w:rPr>
          <w:rFonts w:ascii="Times New Roman" w:hAnsi="Times New Roman" w:cs="Times New Roman" w:eastAsia="Times New Roman" w:hint="default"/>
          <w:spacing w:val="-1"/>
        </w:rPr>
        <w:t>1,122,715,400</w:t>
      </w:r>
      <w:r>
        <w:rPr>
          <w:spacing w:val="-1"/>
        </w:rPr>
        <w:t>股为基数，</w:t>
      </w:r>
      <w:r>
        <w:rPr/>
        <w:t> 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30</w:t>
      </w:r>
      <w:r>
        <w:rPr/>
        <w:t>股的比例用资本公积向全体股东转增股份</w:t>
      </w:r>
      <w:r>
        <w:rPr>
          <w:rFonts w:ascii="Times New Roman" w:hAnsi="Times New Roman" w:cs="Times New Roman" w:eastAsia="Times New Roman" w:hint="default"/>
        </w:rPr>
        <w:t>3,368,146,200</w:t>
      </w:r>
      <w:r>
        <w:rPr/>
        <w:t>股，并于</w:t>
      </w:r>
      <w:r>
        <w:rPr>
          <w:rFonts w:ascii="Times New Roman" w:hAnsi="Times New Roman" w:cs="Times New Roman" w:eastAsia="Times New Roman" w:hint="default"/>
        </w:rPr>
        <w:t>2016</w:t>
      </w:r>
      <w:r>
        <w:rPr/>
        <w:t>年度实施。转增后，注册资本增至人民 币</w:t>
      </w:r>
      <w:r>
        <w:rPr>
          <w:rFonts w:ascii="Times New Roman" w:hAnsi="Times New Roman" w:cs="Times New Roman" w:eastAsia="Times New Roman" w:hint="default"/>
        </w:rPr>
        <w:t>4,490,861,600.00</w:t>
      </w:r>
      <w:r>
        <w:rPr/>
        <w:t>元。</w:t>
      </w:r>
    </w:p>
    <w:p>
      <w:pPr>
        <w:pStyle w:val="BodyText"/>
        <w:spacing w:line="300" w:lineRule="auto" w:before="13"/>
        <w:ind w:left="513" w:right="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日，本公司累计发行股本总数</w:t>
      </w:r>
      <w:r>
        <w:rPr>
          <w:rFonts w:ascii="Times New Roman" w:hAnsi="Times New Roman" w:cs="Times New Roman" w:eastAsia="Times New Roman" w:hint="default"/>
        </w:rPr>
        <w:t>4,490,861,600.00</w:t>
      </w:r>
      <w:r>
        <w:rPr/>
        <w:t>股。 </w:t>
      </w:r>
      <w:r>
        <w:rPr>
          <w:spacing w:val="-4"/>
        </w:rPr>
        <w:t>本公司经营范围为：研究、开发、生产、加工太阳能器材专用高档五金件、太阳能发电安装系统、太阳能发电板封装膜；</w:t>
      </w:r>
    </w:p>
    <w:p>
      <w:pPr>
        <w:pStyle w:val="BodyText"/>
        <w:spacing w:line="316" w:lineRule="auto" w:before="31"/>
        <w:ind w:right="0"/>
        <w:jc w:val="left"/>
      </w:pPr>
      <w:r>
        <w:rPr>
          <w:spacing w:val="-4"/>
        </w:rPr>
        <w:t>太阳能发电系统的设计、施工；光伏光热电站的开发、建设、运营和维护；光伏光热电站的技术开发、项目咨询和技术服务；</w:t>
      </w:r>
      <w:r>
        <w:rPr>
          <w:spacing w:val="-44"/>
        </w:rPr>
        <w:t> </w:t>
      </w:r>
      <w:r>
        <w:rPr>
          <w:spacing w:val="-44"/>
        </w:rPr>
      </w:r>
      <w:r>
        <w:rPr/>
        <w:t>从事铝锭的批发及进出口业务。</w:t>
      </w:r>
    </w:p>
    <w:p>
      <w:pPr>
        <w:pStyle w:val="BodyText"/>
        <w:spacing w:line="312" w:lineRule="auto" w:before="19"/>
        <w:ind w:left="444" w:right="0" w:firstLine="69"/>
        <w:jc w:val="left"/>
      </w:pPr>
      <w:r>
        <w:rPr/>
        <w:t>本公司的母公司和最终母公司为于中国成立的江苏爱康实业集团有限公司，实际控制人为邹承慧先生。 本财务报表业经本公司董事会于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日决议批准报出。根据本公司章程，本财务报表将提交股东大会审议。 本公司及各子公司主要从事光伏太阳能配件制造和光伏电站营运业务。 </w:t>
      </w:r>
      <w:r>
        <w:rPr>
          <w:spacing w:val="-3"/>
        </w:rPr>
        <w:t>本公司</w:t>
      </w:r>
      <w:r>
        <w:rPr>
          <w:rFonts w:ascii="Times New Roman" w:hAnsi="Times New Roman" w:cs="Times New Roman" w:eastAsia="Times New Roman" w:hint="default"/>
          <w:spacing w:val="-3"/>
        </w:rPr>
        <w:t>2017</w:t>
      </w:r>
      <w:r>
        <w:rPr>
          <w:spacing w:val="-3"/>
        </w:rPr>
        <w:t>年度纳入合并范围的子公司共</w:t>
      </w:r>
      <w:r>
        <w:rPr>
          <w:rFonts w:ascii="Times New Roman" w:hAnsi="Times New Roman" w:cs="Times New Roman" w:eastAsia="Times New Roman" w:hint="default"/>
          <w:spacing w:val="-3"/>
        </w:rPr>
        <w:t>114</w:t>
      </w:r>
      <w:r>
        <w:rPr>
          <w:spacing w:val="-3"/>
        </w:rPr>
        <w:t>户，详见</w:t>
      </w:r>
      <w:r>
        <w:rPr>
          <w:rFonts w:ascii="Times New Roman" w:hAnsi="Times New Roman" w:cs="Times New Roman" w:eastAsia="Times New Roman" w:hint="default"/>
          <w:spacing w:val="-3"/>
        </w:rPr>
        <w:t>“</w:t>
      </w:r>
      <w:r>
        <w:rPr>
          <w:spacing w:val="-3"/>
        </w:rPr>
        <w:t>本附注八、合并范围的变更</w:t>
      </w:r>
      <w:r>
        <w:rPr>
          <w:rFonts w:ascii="Times New Roman" w:hAnsi="Times New Roman" w:cs="Times New Roman" w:eastAsia="Times New Roman" w:hint="default"/>
          <w:spacing w:val="-3"/>
        </w:rPr>
        <w:t>”</w:t>
      </w:r>
      <w:r>
        <w:rPr>
          <w:spacing w:val="-3"/>
        </w:rPr>
        <w:t>、</w:t>
      </w:r>
      <w:r>
        <w:rPr>
          <w:rFonts w:ascii="Times New Roman" w:hAnsi="Times New Roman" w:cs="Times New Roman" w:eastAsia="Times New Roman" w:hint="default"/>
          <w:spacing w:val="-3"/>
        </w:rPr>
        <w:t>“</w:t>
      </w:r>
      <w:r>
        <w:rPr>
          <w:spacing w:val="-3"/>
        </w:rPr>
        <w:t>本附注九、在其他主体中的权益</w:t>
      </w:r>
      <w:r>
        <w:rPr>
          <w:rFonts w:ascii="Times New Roman" w:hAnsi="Times New Roman" w:cs="Times New Roman" w:eastAsia="Times New Roman" w:hint="default"/>
          <w:spacing w:val="-3"/>
        </w:rPr>
        <w:t>”</w:t>
      </w:r>
      <w:r>
        <w:rPr>
          <w:spacing w:val="-3"/>
        </w:rPr>
        <w:t>。</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5"/>
          <w:szCs w:val="25"/>
        </w:rPr>
      </w:pPr>
    </w:p>
    <w:p>
      <w:pPr>
        <w:pStyle w:val="Heading2"/>
        <w:spacing w:line="240" w:lineRule="auto"/>
        <w:ind w:right="1122"/>
        <w:jc w:val="left"/>
        <w:rPr>
          <w:b w:val="0"/>
          <w:bCs w:val="0"/>
        </w:rPr>
      </w:pPr>
      <w:bookmarkStart w:name="四、财务报表的编制基础" w:id="167"/>
      <w:bookmarkEnd w:id="167"/>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编制基础" w:id="168"/>
      <w:bookmarkEnd w:id="168"/>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480"/>
        <w:jc w:val="both"/>
      </w:pPr>
      <w:r>
        <w:rPr>
          <w:spacing w:val="-1"/>
        </w:rPr>
        <w:t>本公司财务报表以持续经营假设为基础，根据实际发生的交易和事项，按照财政部发布的《企业会计准则</w:t>
      </w:r>
      <w:r>
        <w:rPr>
          <w:rFonts w:ascii="Times New Roman" w:hAnsi="Times New Roman" w:cs="Times New Roman" w:eastAsia="Times New Roman" w:hint="default"/>
          <w:spacing w:val="-1"/>
        </w:rPr>
        <w:t>——</w:t>
      </w:r>
      <w:r>
        <w:rPr>
          <w:spacing w:val="-1"/>
        </w:rPr>
        <w:t>基本准</w:t>
      </w:r>
      <w:r>
        <w:rPr/>
        <w:t> 则》（财政部令第</w:t>
      </w:r>
      <w:r>
        <w:rPr>
          <w:rFonts w:ascii="Times New Roman" w:hAnsi="Times New Roman" w:cs="Times New Roman" w:eastAsia="Times New Roman" w:hint="default"/>
        </w:rPr>
        <w:t>33</w:t>
      </w:r>
      <w:r>
        <w:rPr/>
        <w:t>号发布、财政部令第</w:t>
      </w:r>
      <w:r>
        <w:rPr>
          <w:rFonts w:ascii="Times New Roman" w:hAnsi="Times New Roman" w:cs="Times New Roman" w:eastAsia="Times New Roman" w:hint="default"/>
        </w:rPr>
        <w:t>76</w:t>
      </w:r>
      <w:r>
        <w:rPr/>
        <w:t>号修订）、于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日及其后颁布和修订的</w:t>
      </w:r>
      <w:r>
        <w:rPr>
          <w:rFonts w:ascii="Times New Roman" w:hAnsi="Times New Roman" w:cs="Times New Roman" w:eastAsia="Times New Roman" w:hint="default"/>
        </w:rPr>
        <w:t>42</w:t>
      </w:r>
      <w:r>
        <w:rPr/>
        <w:t>项具体会计准则、企业会计</w:t>
      </w:r>
      <w:r>
        <w:rPr>
          <w:spacing w:val="-83"/>
        </w:rPr>
        <w:t> </w:t>
      </w:r>
      <w:r>
        <w:rPr>
          <w:spacing w:val="-83"/>
        </w:rPr>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），以及中国证券监督管理委员会《公开发行</w:t>
      </w:r>
      <w:r>
        <w:rPr>
          <w:spacing w:val="-47"/>
        </w:rPr>
        <w:t> </w:t>
      </w:r>
      <w:r>
        <w:rPr>
          <w:spacing w:val="-47"/>
        </w:rPr>
      </w:r>
      <w:r>
        <w:rPr/>
        <w:t>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财务报告的一般规定》（</w:t>
      </w:r>
      <w:r>
        <w:rPr>
          <w:rFonts w:ascii="Times New Roman" w:hAnsi="Times New Roman" w:cs="Times New Roman" w:eastAsia="Times New Roman" w:hint="default"/>
        </w:rPr>
        <w:t>2014</w:t>
      </w:r>
      <w:r>
        <w:rPr/>
        <w:t>年修订）的披露规定编制。</w:t>
      </w:r>
    </w:p>
    <w:p>
      <w:pPr>
        <w:pStyle w:val="BodyText"/>
        <w:spacing w:line="316" w:lineRule="auto" w:before="13"/>
        <w:ind w:right="1133" w:firstLine="290"/>
        <w:jc w:val="both"/>
      </w:pPr>
      <w:r>
        <w:rPr>
          <w:spacing w:val="-1"/>
        </w:rPr>
        <w:t>根据企业会计准则的相关规定，本公司会计核算以权责发生制为基础。除某些金融工具和投资性房地产外，本财务报表</w:t>
      </w:r>
      <w:r>
        <w:rPr/>
        <w:t> </w:t>
      </w:r>
      <w:r>
        <w:rPr>
          <w:spacing w:val="-2"/>
        </w:rPr>
        <w:t>均以历史成本为计量基础。持有待售的非流动资产，按公允价值减去预计费用后的金额，以及符合持有待售条件时的原账面</w:t>
      </w:r>
      <w:r>
        <w:rPr>
          <w:spacing w:val="-66"/>
        </w:rPr>
        <w:t> </w:t>
      </w:r>
      <w:r>
        <w:rPr>
          <w:spacing w:val="-66"/>
        </w:rPr>
      </w:r>
      <w:r>
        <w:rPr/>
        <w:t>价值，取两者孰低计价。资产如果发生减值，则按照相关规定计提相应的减值准备。</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持续经营" w:id="169"/>
      <w:bookmarkEnd w:id="169"/>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22"/>
        <w:jc w:val="left"/>
      </w:pPr>
      <w:r>
        <w:rPr/>
        <w:t>本公司自本报告期末期</w:t>
      </w:r>
      <w:r>
        <w:rPr>
          <w:rFonts w:ascii="Times New Roman" w:hAnsi="Times New Roman" w:cs="Times New Roman" w:eastAsia="Times New Roman" w:hint="default"/>
        </w:rPr>
        <w:t>12</w:t>
      </w:r>
      <w:r>
        <w:rPr/>
        <w:t>个月内不存在对此续经营能力产生重大疑虑的事项或情况。</w:t>
      </w:r>
    </w:p>
    <w:p>
      <w:pPr>
        <w:spacing w:line="240" w:lineRule="auto" w:before="1"/>
        <w:rPr>
          <w:rFonts w:ascii="宋体" w:hAnsi="宋体" w:cs="宋体" w:eastAsia="宋体" w:hint="default"/>
          <w:sz w:val="24"/>
          <w:szCs w:val="24"/>
        </w:rPr>
      </w:pPr>
    </w:p>
    <w:p>
      <w:pPr>
        <w:pStyle w:val="Heading2"/>
        <w:spacing w:line="240" w:lineRule="auto"/>
        <w:ind w:right="1122"/>
        <w:jc w:val="left"/>
        <w:rPr>
          <w:b w:val="0"/>
          <w:bCs w:val="0"/>
        </w:rPr>
      </w:pPr>
      <w:bookmarkStart w:name="五、重要会计政策及会计估计" w:id="170"/>
      <w:bookmarkEnd w:id="170"/>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3"/>
        <w:jc w:val="left"/>
      </w:pPr>
      <w:r>
        <w:rPr/>
        <w:t>公司是否需要遵守特殊行业的披露要求 否</w:t>
      </w:r>
    </w:p>
    <w:p>
      <w:pPr>
        <w:pStyle w:val="BodyText"/>
        <w:spacing w:line="357" w:lineRule="auto" w:before="26"/>
        <w:ind w:left="634" w:right="1122" w:hanging="480"/>
        <w:jc w:val="left"/>
      </w:pPr>
      <w:r>
        <w:rPr/>
        <w:t>具体会计政策和会计估计提示： </w:t>
      </w:r>
      <w:r>
        <w:rPr>
          <w:spacing w:val="-1"/>
        </w:rPr>
        <w:t>本公司及各子公司从事光伏太阳能配件制造和光伏电站营运业务。本公司及各子公司根据实际生产经营特点，依据相</w:t>
      </w:r>
    </w:p>
    <w:p>
      <w:pPr>
        <w:pStyle w:val="BodyText"/>
        <w:spacing w:line="224" w:lineRule="exact"/>
        <w:ind w:left="154" w:right="0"/>
        <w:jc w:val="left"/>
      </w:pPr>
      <w:r>
        <w:rPr/>
        <w:t>关企业会计准则的规定，对收入确认、研究开发支出等交易和事项制定了若干项具体会计政策和会计估计，详见本附注五、</w:t>
      </w:r>
    </w:p>
    <w:p>
      <w:pPr>
        <w:pStyle w:val="BodyText"/>
        <w:spacing w:line="300" w:lineRule="auto" w:before="76"/>
        <w:ind w:right="1122"/>
        <w:jc w:val="left"/>
      </w:pPr>
      <w:r>
        <w:rPr>
          <w:rFonts w:ascii="Times New Roman" w:hAnsi="Times New Roman" w:cs="Times New Roman" w:eastAsia="Times New Roman" w:hint="default"/>
        </w:rPr>
        <w:t>28“</w:t>
      </w:r>
      <w:r>
        <w:rPr/>
        <w:t>收入</w:t>
      </w:r>
      <w:r>
        <w:rPr>
          <w:rFonts w:ascii="Times New Roman" w:hAnsi="Times New Roman" w:cs="Times New Roman" w:eastAsia="Times New Roman" w:hint="default"/>
        </w:rPr>
        <w:t>”</w:t>
      </w:r>
      <w:r>
        <w:rPr/>
        <w:t>、五、</w:t>
      </w:r>
      <w:r>
        <w:rPr>
          <w:rFonts w:ascii="Times New Roman" w:hAnsi="Times New Roman" w:cs="Times New Roman" w:eastAsia="Times New Roman" w:hint="default"/>
        </w:rPr>
        <w:t>21“</w:t>
      </w:r>
      <w:r>
        <w:rPr/>
        <w:t>无形资产</w:t>
      </w:r>
      <w:r>
        <w:rPr>
          <w:rFonts w:ascii="Times New Roman" w:hAnsi="Times New Roman" w:cs="Times New Roman" w:eastAsia="Times New Roman" w:hint="default"/>
        </w:rPr>
        <w:t>”</w:t>
      </w:r>
      <w:r>
        <w:rPr/>
        <w:t>各项描述。关于管理层所作出的重大会计判断和估计的说明，请参阅附注五、</w:t>
      </w:r>
      <w:r>
        <w:rPr>
          <w:rFonts w:ascii="Times New Roman" w:hAnsi="Times New Roman" w:cs="Times New Roman" w:eastAsia="Times New Roman" w:hint="default"/>
        </w:rPr>
        <w:t>33“</w:t>
      </w:r>
      <w:r>
        <w:rPr/>
        <w:t>重大会计判</w:t>
      </w:r>
      <w:r>
        <w:rPr>
          <w:spacing w:val="-37"/>
        </w:rPr>
        <w:t> </w:t>
      </w:r>
      <w:r>
        <w:rPr/>
        <w:t>断和估计</w:t>
      </w:r>
      <w:r>
        <w:rPr>
          <w:rFonts w:ascii="Times New Roman" w:hAnsi="Times New Roman" w:cs="Times New Roman" w:eastAsia="Times New Roman" w:hint="default"/>
        </w:rPr>
        <w:t>”</w:t>
      </w:r>
      <w:r>
        <w:rPr/>
        <w:t>。</w:t>
      </w:r>
    </w:p>
    <w:p>
      <w:pPr>
        <w:spacing w:after="0" w:line="30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1、遵循企业会计准则的声明" w:id="171"/>
      <w:bookmarkEnd w:id="171"/>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290"/>
        <w:jc w:val="both"/>
      </w:pPr>
      <w:r>
        <w:rPr>
          <w:spacing w:val="-1"/>
        </w:rPr>
        <w:t>本公司编制的财务报表符合企业会计准则的要求，真实、完整地反映了本公司</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日的财务状况及</w:t>
      </w:r>
      <w:r>
        <w:rPr>
          <w:rFonts w:ascii="Times New Roman" w:hAnsi="Times New Roman" w:cs="Times New Roman" w:eastAsia="Times New Roman" w:hint="default"/>
          <w:spacing w:val="-1"/>
        </w:rPr>
        <w:t>2017</w:t>
      </w:r>
      <w:r>
        <w:rPr>
          <w:spacing w:val="-1"/>
        </w:rPr>
        <w:t>年度的</w:t>
      </w:r>
      <w:r>
        <w:rPr/>
        <w:t> </w:t>
      </w:r>
      <w:r>
        <w:rPr>
          <w:spacing w:val="-2"/>
        </w:rPr>
        <w:t>经营成果和现金流量等有关信息。此外，本公司的财务报表在所有重大方面符合中国证券监督管理委员会</w:t>
      </w:r>
      <w:r>
        <w:rPr>
          <w:rFonts w:ascii="Times New Roman" w:hAnsi="Times New Roman" w:cs="Times New Roman" w:eastAsia="Times New Roman" w:hint="default"/>
          <w:spacing w:val="-2"/>
        </w:rPr>
        <w:t>2014</w:t>
      </w:r>
      <w:r>
        <w:rPr>
          <w:spacing w:val="-2"/>
        </w:rPr>
        <w:t>年修订的《公</w:t>
      </w:r>
      <w:r>
        <w:rPr>
          <w:spacing w:val="-61"/>
        </w:rPr>
        <w:t> </w:t>
      </w:r>
      <w:r>
        <w:rPr>
          <w:spacing w:val="-61"/>
        </w:rPr>
      </w:r>
      <w:r>
        <w:rPr/>
        <w:t>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
        <w:rPr>
          <w:rFonts w:ascii="宋体" w:hAnsi="宋体" w:cs="宋体" w:eastAsia="宋体" w:hint="default"/>
          <w:sz w:val="22"/>
          <w:szCs w:val="22"/>
        </w:rPr>
      </w:pPr>
    </w:p>
    <w:p>
      <w:pPr>
        <w:pStyle w:val="Heading3"/>
        <w:spacing w:line="240" w:lineRule="auto"/>
        <w:ind w:right="1122"/>
        <w:jc w:val="left"/>
        <w:rPr>
          <w:b w:val="0"/>
          <w:bCs w:val="0"/>
        </w:rPr>
      </w:pPr>
      <w:bookmarkStart w:name="2、会计期间" w:id="172"/>
      <w:bookmarkEnd w:id="172"/>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21" w:firstLine="290"/>
        <w:jc w:val="both"/>
      </w:pPr>
      <w:r>
        <w:rPr/>
        <w:t>本公司的会计期间分为年度和中期，会计中期指短于一个完整的会计年度的报告期间。本公司会计年度采用公历年度， 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13"/>
        <w:rPr>
          <w:rFonts w:ascii="宋体" w:hAnsi="宋体" w:cs="宋体" w:eastAsia="宋体" w:hint="default"/>
          <w:sz w:val="20"/>
          <w:szCs w:val="20"/>
        </w:rPr>
      </w:pPr>
    </w:p>
    <w:p>
      <w:pPr>
        <w:pStyle w:val="Heading3"/>
        <w:spacing w:line="240" w:lineRule="auto"/>
        <w:ind w:right="1122"/>
        <w:jc w:val="left"/>
        <w:rPr>
          <w:b w:val="0"/>
          <w:bCs w:val="0"/>
        </w:rPr>
      </w:pPr>
      <w:bookmarkStart w:name="3、营业周期" w:id="173"/>
      <w:bookmarkEnd w:id="173"/>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1" w:firstLine="289"/>
        <w:jc w:val="both"/>
      </w:pPr>
      <w:r>
        <w:rPr>
          <w:spacing w:val="2"/>
        </w:rPr>
        <w:t>正常营业周期是指本公司从购买用于加工的资产起至实现现金或现金等价物的期间。本公司以</w:t>
      </w:r>
      <w:r>
        <w:rPr>
          <w:rFonts w:ascii="Times New Roman" w:hAnsi="Times New Roman" w:cs="Times New Roman" w:eastAsia="Times New Roman" w:hint="default"/>
          <w:spacing w:val="2"/>
        </w:rPr>
        <w:t>12</w:t>
      </w:r>
      <w:r>
        <w:rPr>
          <w:spacing w:val="2"/>
        </w:rPr>
        <w:t>个月作为一个营业周</w:t>
      </w:r>
      <w:r>
        <w:rPr/>
        <w:t> 期，并以其作为资产和负债的流动性划分标准。</w:t>
      </w:r>
    </w:p>
    <w:p>
      <w:pPr>
        <w:spacing w:line="240" w:lineRule="auto" w:before="6"/>
        <w:rPr>
          <w:rFonts w:ascii="宋体" w:hAnsi="宋体" w:cs="宋体" w:eastAsia="宋体" w:hint="default"/>
          <w:sz w:val="23"/>
          <w:szCs w:val="23"/>
        </w:rPr>
      </w:pPr>
    </w:p>
    <w:p>
      <w:pPr>
        <w:pStyle w:val="Heading3"/>
        <w:spacing w:line="240" w:lineRule="auto"/>
        <w:ind w:right="1122"/>
        <w:jc w:val="left"/>
        <w:rPr>
          <w:b w:val="0"/>
          <w:bCs w:val="0"/>
        </w:rPr>
      </w:pPr>
      <w:bookmarkStart w:name="4、记账本位币" w:id="174"/>
      <w:bookmarkEnd w:id="174"/>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290"/>
        <w:jc w:val="both"/>
      </w:pPr>
      <w:r>
        <w:rPr>
          <w:spacing w:val="-1"/>
        </w:rPr>
        <w:t>人民币为本公司及境内子公司经营所处的主要经济环境中的货币，本公司及境内子公司以人民币为记账本位币。本公司</w:t>
      </w:r>
      <w:r>
        <w:rPr/>
        <w:t> 之境外子公司根据其经营所在国家或地区的法定货币为记账本位币。本公司编制本财务报表时所采用的货币为人民币。</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5、同一控制下和非同一控制下企业合并的会计处理方法" w:id="175"/>
      <w:bookmarkEnd w:id="175"/>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6" w:right="1132" w:firstLine="480"/>
        <w:jc w:val="both"/>
      </w:pPr>
      <w:r>
        <w:rPr>
          <w:spacing w:val="-1"/>
        </w:rPr>
        <w:t>企业合并，是指将两个或两个以上单独的企业合并形成一个报告主体的交易或事项。企业合并分为同一控制下企业合</w:t>
      </w:r>
      <w:r>
        <w:rPr/>
        <w:t> 并和非同一控制下企业合并。</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）同一控制下企业合并 参与合并的企业在合并前后均受同一方或相同的多方最终控制，且该控制并非暂时性的，为同一控制下的企业合并。</w:t>
      </w:r>
    </w:p>
    <w:p>
      <w:pPr>
        <w:pStyle w:val="BodyText"/>
        <w:spacing w:line="316" w:lineRule="auto" w:before="31"/>
        <w:ind w:left="154" w:right="1122"/>
        <w:jc w:val="left"/>
      </w:pPr>
      <w:r>
        <w:rPr>
          <w:spacing w:val="-2"/>
        </w:rPr>
        <w:t>同一控制下的企业合并，在合并日取得对其他参与合并企业控制权的一方为合并方，参与合并的其他企业为被合并方。合并</w:t>
      </w:r>
      <w:r>
        <w:rPr>
          <w:spacing w:val="-66"/>
        </w:rPr>
        <w:t> </w:t>
      </w:r>
      <w:r>
        <w:rPr>
          <w:spacing w:val="-66"/>
        </w:rPr>
      </w:r>
      <w:r>
        <w:rPr/>
        <w:t>日，是指合并方实际取得对被合并方控制权的日期。</w:t>
      </w:r>
    </w:p>
    <w:p>
      <w:pPr>
        <w:pStyle w:val="BodyText"/>
        <w:spacing w:line="316" w:lineRule="auto" w:before="19"/>
        <w:ind w:left="154" w:right="1043" w:firstLine="480"/>
        <w:jc w:val="both"/>
      </w:pPr>
      <w:r>
        <w:rPr/>
        <w:t>合并方取得的资产和负债均按合并日在被合并方的账面价值计量。合并方取得的净资产账面价值与支付的合并对价账 </w:t>
      </w:r>
      <w:r>
        <w:rPr>
          <w:spacing w:val="-4"/>
        </w:rPr>
        <w:t>面价值（或发行股份面值总额）的差额，调整资本公积（股本溢价）；资本公积（股本溢价）不足以冲减的，调整留存收益。</w:t>
      </w:r>
    </w:p>
    <w:p>
      <w:pPr>
        <w:pStyle w:val="BodyText"/>
        <w:spacing w:line="240" w:lineRule="auto" w:before="19"/>
        <w:ind w:left="634" w:right="1122"/>
        <w:jc w:val="left"/>
      </w:pPr>
      <w:r>
        <w:rPr/>
        <w:t>合并方为进行企业合并发生的各项直接费用，于发生时计入当期损益。</w:t>
      </w:r>
    </w:p>
    <w:p>
      <w:pPr>
        <w:pStyle w:val="BodyText"/>
        <w:spacing w:line="300" w:lineRule="auto" w:before="76"/>
        <w:ind w:left="634" w:right="1122"/>
        <w:jc w:val="left"/>
      </w:pPr>
      <w:r>
        <w:rPr/>
        <w:t>（</w:t>
      </w:r>
      <w:r>
        <w:rPr>
          <w:rFonts w:ascii="Times New Roman" w:hAnsi="Times New Roman" w:cs="Times New Roman" w:eastAsia="Times New Roman" w:hint="default"/>
        </w:rPr>
        <w:t>2</w:t>
      </w:r>
      <w:r>
        <w:rPr/>
        <w:t>）非同一控制下企业合并 </w:t>
      </w:r>
      <w:r>
        <w:rPr>
          <w:spacing w:val="-1"/>
        </w:rPr>
        <w:t>参与合并的企业在合并前后不受同一方或相同的多方最终控制的，为非同一控制下的企业合并。非同一控制下的企业</w:t>
      </w:r>
    </w:p>
    <w:p>
      <w:pPr>
        <w:pStyle w:val="BodyText"/>
        <w:spacing w:line="316" w:lineRule="auto" w:before="31"/>
        <w:ind w:left="154" w:right="1122"/>
        <w:jc w:val="left"/>
      </w:pPr>
      <w:r>
        <w:rPr>
          <w:spacing w:val="-2"/>
        </w:rPr>
        <w:t>合并，在购买日取得对其他参与合并企业控制权的一方为购买方，参与合并的其他企业为被购买方。购买日，是指为购买方</w:t>
      </w:r>
      <w:r>
        <w:rPr>
          <w:spacing w:val="-66"/>
        </w:rPr>
        <w:t> </w:t>
      </w:r>
      <w:r>
        <w:rPr>
          <w:spacing w:val="-66"/>
        </w:rPr>
      </w:r>
      <w:r>
        <w:rPr/>
        <w:t>实际取得对被购买方控制权的日期。</w:t>
      </w:r>
    </w:p>
    <w:p>
      <w:pPr>
        <w:pStyle w:val="BodyText"/>
        <w:spacing w:line="316" w:lineRule="auto" w:before="19"/>
        <w:ind w:left="154" w:right="1131" w:firstLine="480"/>
        <w:jc w:val="both"/>
      </w:pPr>
      <w:r>
        <w:rPr>
          <w:spacing w:val="-1"/>
        </w:rPr>
        <w:t>对于非同一控制下的企业合并，合并成本包含购买日购买方为取得对被购买方的控制权而付出的资产、发生或承担的</w:t>
      </w:r>
      <w:r>
        <w:rPr/>
        <w:t> </w:t>
      </w:r>
      <w:r>
        <w:rPr>
          <w:spacing w:val="-2"/>
        </w:rPr>
        <w:t>负债以及发行的权益性证券的公允价值，为企业合并发生的审计、法律服务、评估咨询等中介费用以及其他管理费用于发生</w:t>
      </w:r>
      <w:r>
        <w:rPr>
          <w:spacing w:val="-66"/>
        </w:rPr>
        <w:t> </w:t>
      </w:r>
      <w:r>
        <w:rPr>
          <w:spacing w:val="-66"/>
        </w:rPr>
      </w:r>
      <w:r>
        <w:rPr>
          <w:spacing w:val="-2"/>
        </w:rPr>
        <w:t>时计入当期损益。购买方作为合并对价发行的权益性证券或债务性证券的交易费用，计入权益性证券或债务性证券的初始确</w:t>
      </w:r>
      <w:r>
        <w:rPr>
          <w:spacing w:val="-64"/>
        </w:rPr>
        <w:t> </w:t>
      </w:r>
      <w:r>
        <w:rPr>
          <w:spacing w:val="-64"/>
        </w:rPr>
      </w:r>
      <w:r>
        <w:rPr>
          <w:spacing w:val="-2"/>
        </w:rPr>
        <w:t>认金额。所涉及的或有对价按其在购买日的公允价值计入合并成本，购买日后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w:t>
      </w:r>
      <w:r>
        <w:rPr>
          <w:spacing w:val="-62"/>
        </w:rPr>
        <w:t> </w:t>
      </w:r>
      <w:r>
        <w:rPr>
          <w:spacing w:val="-2"/>
        </w:rPr>
        <w:t>一步证据而需要调整或有对价的，相应调整合并商誉。购买方发生的合并成本及在合并中取得的可辨认净资产按购买日的公</w:t>
      </w:r>
      <w:r>
        <w:rPr>
          <w:spacing w:val="-64"/>
        </w:rPr>
        <w:t> </w:t>
      </w:r>
      <w:r>
        <w:rPr>
          <w:spacing w:val="-64"/>
        </w:rPr>
      </w:r>
      <w:r>
        <w:rPr>
          <w:spacing w:val="-2"/>
        </w:rPr>
        <w:t>允价值计量。合并成本大于合并中取得的被购买方于购买日可辨认净资产公允价值份额的差额，确认为商誉。合并成本小于</w:t>
      </w:r>
      <w:r>
        <w:rPr>
          <w:spacing w:val="-66"/>
        </w:rPr>
        <w:t> </w:t>
      </w:r>
      <w:r>
        <w:rPr>
          <w:spacing w:val="-66"/>
        </w:rPr>
      </w:r>
      <w:r>
        <w:rPr>
          <w:spacing w:val="-2"/>
        </w:rPr>
        <w:t>合并中取得的被购买方可辨认净资产公允价值份额的，首先对取得的被购买方各项可辨认资产、负债及或有负债的公允价值</w:t>
      </w:r>
      <w:r>
        <w:rPr>
          <w:spacing w:val="-64"/>
        </w:rPr>
        <w:t> </w:t>
      </w:r>
      <w:r>
        <w:rPr>
          <w:spacing w:val="-64"/>
        </w:rPr>
      </w:r>
      <w:r>
        <w:rPr>
          <w:spacing w:val="-2"/>
        </w:rPr>
        <w:t>以及合并成本的计量进行复核，复核后合并成本仍小于合并中取得的被购买方可辨认净资产公允价值份额的，其差额计入当</w:t>
      </w:r>
      <w:r>
        <w:rPr>
          <w:spacing w:val="-64"/>
        </w:rPr>
        <w:t> </w:t>
      </w:r>
      <w:r>
        <w:rPr>
          <w:spacing w:val="-64"/>
        </w:rPr>
      </w:r>
      <w:r>
        <w:rPr/>
        <w:t>期损益。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2" w:lineRule="auto" w:before="44"/>
        <w:ind w:right="1130" w:firstLine="480"/>
        <w:jc w:val="both"/>
      </w:pPr>
      <w:r>
        <w:rPr>
          <w:spacing w:val="-1"/>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1"/>
        </w:rPr>
        <w:t>12</w:t>
      </w:r>
      <w:r>
        <w:rPr>
          <w:rFonts w:ascii="Times New Roman" w:hAnsi="Times New Roman" w:cs="Times New Roman" w:eastAsia="Times New Roman" w:hint="default"/>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p>
    <w:p>
      <w:pPr>
        <w:pStyle w:val="BodyText"/>
        <w:spacing w:line="300" w:lineRule="auto" w:before="23"/>
        <w:ind w:right="1035" w:firstLine="480"/>
        <w:jc w:val="left"/>
      </w:pPr>
      <w:r>
        <w:rPr>
          <w:spacing w:val="-7"/>
        </w:rPr>
        <w:t>通过多次交易分步实现的非同一控制下企业合并，根据《财政部关于印发企业会计准则解释第</w:t>
      </w:r>
      <w:r>
        <w:rPr>
          <w:rFonts w:ascii="Times New Roman" w:hAnsi="Times New Roman" w:cs="Times New Roman" w:eastAsia="Times New Roman" w:hint="default"/>
          <w:spacing w:val="-7"/>
        </w:rPr>
        <w:t>5</w:t>
      </w:r>
      <w:r>
        <w:rPr>
          <w:spacing w:val="-7"/>
        </w:rPr>
        <w:t>号的通知》（财会〔</w:t>
      </w:r>
      <w:r>
        <w:rPr>
          <w:rFonts w:ascii="Times New Roman" w:hAnsi="Times New Roman" w:cs="Times New Roman" w:eastAsia="Times New Roman" w:hint="default"/>
          <w:spacing w:val="-7"/>
        </w:rPr>
        <w:t>2012</w:t>
      </w:r>
      <w:r>
        <w:rPr>
          <w:spacing w:val="-7"/>
        </w:rPr>
        <w:t>〕</w:t>
      </w:r>
      <w:r>
        <w:rPr/>
        <w:t> </w:t>
      </w:r>
      <w:r>
        <w:rPr>
          <w:rFonts w:ascii="Times New Roman" w:hAnsi="Times New Roman" w:cs="Times New Roman" w:eastAsia="Times New Roman" w:hint="default"/>
        </w:rPr>
        <w:t>19</w:t>
      </w:r>
      <w:r>
        <w:rPr/>
        <w:t>号）和《企业会计准则第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合并财务报表》第五十一条关于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的判断标准（参见本附注五、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 判断该多次交易是否属于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的，参考本部分前面各段描述及本附注五、</w:t>
      </w:r>
      <w:r>
        <w:rPr>
          <w:rFonts w:ascii="Times New Roman" w:hAnsi="Times New Roman" w:cs="Times New Roman" w:eastAsia="Times New Roman" w:hint="default"/>
        </w:rPr>
        <w:t>14“</w:t>
      </w:r>
      <w:r>
        <w:rPr/>
        <w:t>长期股权投资</w:t>
      </w:r>
      <w:r>
        <w:rPr>
          <w:rFonts w:ascii="Times New Roman" w:hAnsi="Times New Roman" w:cs="Times New Roman" w:eastAsia="Times New Roman" w:hint="default"/>
        </w:rPr>
        <w:t>”</w:t>
      </w:r>
      <w:r>
        <w:rPr/>
        <w:t>进 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的，区分个别财务报表和合并财务报表进行相关会计处理：</w:t>
      </w:r>
    </w:p>
    <w:p>
      <w:pPr>
        <w:pStyle w:val="BodyText"/>
        <w:spacing w:line="316" w:lineRule="auto" w:before="13"/>
        <w:ind w:right="1133" w:firstLine="480"/>
        <w:jc w:val="both"/>
      </w:pPr>
      <w:r>
        <w:rPr>
          <w:spacing w:val="-1"/>
        </w:rPr>
        <w:t>在个别财务报表中，以购买日之前所持被购买方的股权投资的账面价值与购买日新增投资成本之和，作为该项投资的</w:t>
      </w:r>
      <w:r>
        <w:rPr/>
        <w:t> </w:t>
      </w:r>
      <w:r>
        <w:rPr>
          <w:spacing w:val="-2"/>
        </w:rPr>
        <w:t>初始投资成本；购买日之前持有的被购买方的股权涉及其他综合收益的，在处置该项投资时将与其相关的其他综合收益采用</w:t>
      </w:r>
      <w:r>
        <w:rPr>
          <w:spacing w:val="-64"/>
        </w:rPr>
        <w:t> </w:t>
      </w:r>
      <w:r>
        <w:rPr>
          <w:spacing w:val="-64"/>
        </w:rPr>
      </w:r>
      <w:r>
        <w:rPr>
          <w:spacing w:val="-2"/>
        </w:rPr>
        <w:t>与被购买方直接处置相关资产或负债相同的基础进行会计处理（即，除了按照权益法核算的在被购买方重新计量设定受益计</w:t>
      </w:r>
      <w:r>
        <w:rPr>
          <w:spacing w:val="-64"/>
        </w:rPr>
        <w:t> </w:t>
      </w:r>
      <w:r>
        <w:rPr>
          <w:spacing w:val="-64"/>
        </w:rPr>
      </w:r>
      <w:r>
        <w:rPr/>
        <w:t>划净负债或净资产导致的变动中的相应份额以外，其余转入当期投资收益）。</w:t>
      </w:r>
    </w:p>
    <w:p>
      <w:pPr>
        <w:pStyle w:val="BodyText"/>
        <w:spacing w:line="316" w:lineRule="auto" w:before="59"/>
        <w:ind w:right="1132"/>
        <w:jc w:val="both"/>
      </w:pPr>
      <w:r>
        <w:rPr>
          <w:spacing w:val="-2"/>
        </w:rPr>
        <w:t>在合并财务报表中，对于购买日之前持有的被购买方的股权，按照该股权在购买日的公允价值进行重新计量，公允价值与其</w:t>
      </w:r>
      <w:r>
        <w:rPr>
          <w:spacing w:val="-66"/>
        </w:rPr>
        <w:t> </w:t>
      </w:r>
      <w:r>
        <w:rPr>
          <w:spacing w:val="-66"/>
        </w:rPr>
      </w:r>
      <w:r>
        <w:rPr>
          <w:spacing w:val="-2"/>
        </w:rPr>
        <w:t>账面价值的差额计入当期投资收益；购买日之前持有的被购买方的股权涉及其他综合收益的，与其相关的其他综合收益应当</w:t>
      </w:r>
      <w:r>
        <w:rPr>
          <w:spacing w:val="-64"/>
        </w:rPr>
        <w:t> </w:t>
      </w:r>
      <w:r>
        <w:rPr>
          <w:spacing w:val="-64"/>
        </w:rPr>
      </w:r>
      <w:r>
        <w:rPr>
          <w:spacing w:val="-2"/>
        </w:rPr>
        <w:t>采用与被购买方直接处置相关资产或负债相同的基础进行会计处理（即，除了按照权益法核算的在被购买方重新计量设定受</w:t>
      </w:r>
      <w:r>
        <w:rPr>
          <w:spacing w:val="-64"/>
        </w:rPr>
        <w:t> </w:t>
      </w:r>
      <w:r>
        <w:rPr>
          <w:spacing w:val="-64"/>
        </w:rPr>
      </w:r>
      <w:r>
        <w:rPr/>
        <w:t>益计划净负债或净资产导致的变动中的相应份额以外，其余转为购买日所属当期投资收益）。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3"/>
          <w:szCs w:val="13"/>
        </w:rPr>
      </w:pPr>
    </w:p>
    <w:p>
      <w:pPr>
        <w:pStyle w:val="Heading3"/>
        <w:spacing w:line="240" w:lineRule="auto"/>
        <w:ind w:right="0"/>
        <w:jc w:val="both"/>
        <w:rPr>
          <w:b w:val="0"/>
          <w:bCs w:val="0"/>
        </w:rPr>
      </w:pPr>
      <w:bookmarkStart w:name="6、合并财务报表的编制方法" w:id="176"/>
      <w:bookmarkEnd w:id="176"/>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80" w:right="1122"/>
        <w:jc w:val="left"/>
      </w:pPr>
      <w:r>
        <w:rPr/>
        <w:t>（</w:t>
      </w:r>
      <w:r>
        <w:rPr>
          <w:rFonts w:ascii="Times New Roman" w:hAnsi="Times New Roman" w:cs="Times New Roman" w:eastAsia="Times New Roman" w:hint="default"/>
        </w:rPr>
        <w:t>1</w:t>
      </w:r>
      <w:r>
        <w:rPr/>
        <w:t>）合并财务报表范围的确定原则 合并财务报表的合并范围以控制为基础予以确定。控制是指本公司拥有对被投资方的权力，通过参与被投资方的相关</w:t>
      </w:r>
    </w:p>
    <w:p>
      <w:pPr>
        <w:pStyle w:val="BodyText"/>
        <w:spacing w:line="316" w:lineRule="auto" w:before="32"/>
        <w:ind w:left="154" w:right="1131"/>
        <w:jc w:val="both"/>
      </w:pPr>
      <w:r>
        <w:rPr>
          <w:spacing w:val="-2"/>
        </w:rPr>
        <w:t>活动而享有可变回报，并且有能力运用对被投资方的权力影响该回报金额。合并范围包括本公司及全部子公司。子公司，是</w:t>
      </w:r>
      <w:r>
        <w:rPr>
          <w:spacing w:val="-66"/>
        </w:rPr>
        <w:t> </w:t>
      </w:r>
      <w:r>
        <w:rPr>
          <w:spacing w:val="-66"/>
        </w:rPr>
      </w:r>
      <w:r>
        <w:rPr/>
        <w:t>指被本公司控制的主体。</w:t>
      </w:r>
    </w:p>
    <w:p>
      <w:pPr>
        <w:pStyle w:val="BodyText"/>
        <w:spacing w:line="240" w:lineRule="auto" w:before="19"/>
        <w:ind w:left="580" w:right="1122"/>
        <w:jc w:val="left"/>
      </w:pPr>
      <w:r>
        <w:rPr/>
        <w:t>一旦相关事实和情况的变化导致上述控制定义涉及的相关要素发生了变化，本公司将进行重新评估。</w:t>
      </w:r>
    </w:p>
    <w:p>
      <w:pPr>
        <w:pStyle w:val="BodyText"/>
        <w:spacing w:line="300" w:lineRule="auto" w:before="76"/>
        <w:ind w:left="580" w:right="1122"/>
        <w:jc w:val="left"/>
      </w:pPr>
      <w:r>
        <w:rPr/>
        <w:t>（</w:t>
      </w:r>
      <w:r>
        <w:rPr>
          <w:rFonts w:ascii="Times New Roman" w:hAnsi="Times New Roman" w:cs="Times New Roman" w:eastAsia="Times New Roman" w:hint="default"/>
        </w:rPr>
        <w:t>2</w:t>
      </w:r>
      <w:r>
        <w:rPr/>
        <w:t>）合并财务报表编制的方法 从取得子公司的净资产和生产经营决策的实际控制权之日起，本公司开始将其纳入合并范围；从丧失实际控制权之日</w:t>
      </w:r>
    </w:p>
    <w:p>
      <w:pPr>
        <w:pStyle w:val="BodyText"/>
        <w:spacing w:line="316" w:lineRule="auto" w:before="31"/>
        <w:ind w:left="154" w:right="1131"/>
        <w:jc w:val="both"/>
      </w:pPr>
      <w:r>
        <w:rPr>
          <w:spacing w:val="-2"/>
        </w:rPr>
        <w:t>起停止纳入合并范围。对于处置的子公司，处置日前的经营成果和现金流量已经适当地包括在合并利润表和合并现金流量表</w:t>
      </w:r>
      <w:r>
        <w:rPr>
          <w:spacing w:val="-64"/>
        </w:rPr>
        <w:t> </w:t>
      </w:r>
      <w:r>
        <w:rPr>
          <w:spacing w:val="-64"/>
        </w:rPr>
      </w:r>
      <w:r>
        <w:rPr>
          <w:spacing w:val="-2"/>
        </w:rPr>
        <w:t>中；当期处置的子公司，不调整合并资产负债表的期初数。非同一控制下企业合并增加的子公司，其购买日后的经营成果及</w:t>
      </w:r>
      <w:r>
        <w:rPr>
          <w:spacing w:val="-66"/>
        </w:rPr>
        <w:t> </w:t>
      </w:r>
      <w:r>
        <w:rPr>
          <w:spacing w:val="-66"/>
        </w:rPr>
      </w:r>
      <w:r>
        <w:rPr>
          <w:spacing w:val="-2"/>
        </w:rPr>
        <w:t>现金流量已经适当地包括在合并利润表和合并现金流量表中，且不调整合并财务报表的期初数和对比数。同一控制下企业合</w:t>
      </w:r>
      <w:r>
        <w:rPr>
          <w:spacing w:val="-64"/>
        </w:rPr>
        <w:t> </w:t>
      </w:r>
      <w:r>
        <w:rPr>
          <w:spacing w:val="-64"/>
        </w:rPr>
      </w:r>
      <w:r>
        <w:rPr>
          <w:spacing w:val="-2"/>
        </w:rPr>
        <w:t>并增加的子公司，其自合并当期期初至合并日的经营成果和现金流量已经适当地包括在合并利润表和合并现金流量表中，并</w:t>
      </w:r>
      <w:r>
        <w:rPr>
          <w:spacing w:val="-64"/>
        </w:rPr>
        <w:t> </w:t>
      </w:r>
      <w:r>
        <w:rPr>
          <w:spacing w:val="-64"/>
        </w:rPr>
      </w:r>
      <w:r>
        <w:rPr/>
        <w:t>且同时调整合并财务报表的对比数。</w:t>
      </w:r>
    </w:p>
    <w:p>
      <w:pPr>
        <w:pStyle w:val="BodyText"/>
        <w:spacing w:line="316" w:lineRule="auto" w:before="19"/>
        <w:ind w:left="154" w:right="1130" w:firstLine="426"/>
        <w:jc w:val="both"/>
      </w:pPr>
      <w:r>
        <w:rPr/>
        <w:t>在编制合并财务报表时，子公司与本公司采用的会计政策或会计期间不一致的，按照本公司的会计政策和会计期间对 </w:t>
      </w:r>
      <w:r>
        <w:rPr>
          <w:spacing w:val="-2"/>
        </w:rPr>
        <w:t>子公司财务报表进行必要的调整。对于非同一控制下企业合并取得的子公司，以购买日可辨认净资产公允价值为基础对其财</w:t>
      </w:r>
      <w:r>
        <w:rPr>
          <w:spacing w:val="-63"/>
        </w:rPr>
        <w:t> </w:t>
      </w:r>
      <w:r>
        <w:rPr>
          <w:spacing w:val="-63"/>
        </w:rPr>
      </w:r>
      <w:r>
        <w:rPr/>
        <w:t>务报表进行调整。</w:t>
      </w:r>
    </w:p>
    <w:p>
      <w:pPr>
        <w:pStyle w:val="BodyText"/>
        <w:spacing w:line="316" w:lineRule="auto" w:before="19"/>
        <w:ind w:left="580" w:right="1122"/>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9"/>
        <w:ind w:left="154" w:right="1132"/>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w:t>
      </w:r>
      <w:r>
        <w:rPr>
          <w:spacing w:val="-76"/>
        </w:rPr>
        <w:t> </w:t>
      </w:r>
      <w:r>
        <w:rPr/>
        <w:t>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w:t>
      </w:r>
      <w:r>
        <w:rPr>
          <w:spacing w:val="-77"/>
        </w:rPr>
        <w:t> </w:t>
      </w:r>
      <w:r>
        <w:rPr>
          <w:spacing w:val="-77"/>
        </w:rPr>
      </w:r>
      <w:r>
        <w:rPr/>
        <w:t>股东权益。</w:t>
      </w:r>
    </w:p>
    <w:p>
      <w:pPr>
        <w:pStyle w:val="BodyText"/>
        <w:spacing w:line="316" w:lineRule="auto" w:before="32"/>
        <w:ind w:left="154" w:right="1132" w:firstLine="426"/>
        <w:jc w:val="both"/>
      </w:pPr>
      <w:r>
        <w:rPr/>
        <w:t>当因处置部分股权投资或其他原因丧失了对原有子公司的控制权时，对于剩余股权，按照其在丧失控制权日的公允价 </w:t>
      </w:r>
      <w:r>
        <w:rPr>
          <w:spacing w:val="-2"/>
        </w:rPr>
        <w:t>值进行重新计量。处置股权取得的对价与剩余股权公允价值之和，减去按原持股比例计算应享有原有子公司自购买日开始持</w:t>
      </w:r>
      <w:r>
        <w:rPr>
          <w:spacing w:val="-64"/>
        </w:rPr>
        <w:t> </w:t>
      </w:r>
      <w:r>
        <w:rPr>
          <w:spacing w:val="-64"/>
        </w:rPr>
      </w:r>
      <w:r>
        <w:rPr>
          <w:spacing w:val="-2"/>
        </w:rPr>
        <w:t>续计算的净资产的份额之间的差额，计入丧失控制权当期的投资收益。与原有子公司股权投资相关的其他综合收益，在丧失</w:t>
      </w:r>
      <w:r>
        <w:rPr>
          <w:spacing w:val="-66"/>
        </w:rPr>
        <w:t> </w:t>
      </w:r>
      <w:r>
        <w:rPr>
          <w:spacing w:val="-66"/>
        </w:rPr>
      </w:r>
      <w:r>
        <w:rPr>
          <w:spacing w:val="-2"/>
        </w:rPr>
        <w:t>控制权时采用与被购买方直接处置相关资产或负债相同的基础进行会计处理（即，除了在该原有子公司重新计量设定受益计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2"/>
        <w:jc w:val="both"/>
      </w:pPr>
      <w:r>
        <w:rPr>
          <w:spacing w:val="-4"/>
        </w:rPr>
        <w:t>划净负债或净资产导致的变动以外，其余一并转为当期投资收益）。其后，对该部分剩余股权按照《企业会计准则第</w:t>
      </w:r>
      <w:r>
        <w:rPr>
          <w:rFonts w:ascii="Times New Roman" w:hAnsi="Times New Roman" w:cs="Times New Roman" w:eastAsia="Times New Roman" w:hint="default"/>
          <w:spacing w:val="-4"/>
        </w:rPr>
        <w:t>2</w:t>
      </w:r>
      <w:r>
        <w:rPr>
          <w:spacing w:val="-4"/>
        </w:rPr>
        <w:t>号</w:t>
      </w:r>
      <w:r>
        <w:rPr>
          <w:rFonts w:ascii="Times New Roman" w:hAnsi="Times New Roman" w:cs="Times New Roman" w:eastAsia="Times New Roman" w:hint="default"/>
          <w:spacing w:val="-4"/>
        </w:rPr>
        <w:t>——</w:t>
      </w:r>
      <w:r>
        <w:rPr>
          <w:rFonts w:ascii="Times New Roman" w:hAnsi="Times New Roman" w:cs="Times New Roman" w:eastAsia="Times New Roman" w:hint="default"/>
          <w:spacing w:val="2"/>
        </w:rPr>
        <w:t> </w:t>
      </w:r>
      <w:r>
        <w:rPr/>
        <w:t>长期股权投资》或《企业会计准则第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金融工具确认和计量》等相关规定进行后续计量，详见本附注五、</w:t>
      </w:r>
      <w:r>
        <w:rPr>
          <w:rFonts w:ascii="Times New Roman" w:hAnsi="Times New Roman" w:cs="Times New Roman" w:eastAsia="Times New Roman" w:hint="default"/>
        </w:rPr>
        <w:t>14“</w:t>
      </w:r>
      <w:r>
        <w:rPr/>
        <w:t>长期股</w:t>
      </w:r>
      <w:r>
        <w:rPr>
          <w:w w:val="100"/>
        </w:rPr>
        <w:t> </w:t>
      </w:r>
      <w:r>
        <w:rPr/>
        <w:t>权投资</w:t>
      </w:r>
      <w:r>
        <w:rPr>
          <w:rFonts w:ascii="Times New Roman" w:hAnsi="Times New Roman" w:cs="Times New Roman" w:eastAsia="Times New Roman" w:hint="default"/>
        </w:rPr>
        <w:t>”</w:t>
      </w:r>
      <w:r>
        <w:rPr/>
        <w:t>或本附注五、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2" w:lineRule="auto" w:before="53"/>
        <w:ind w:right="1033" w:firstLine="290"/>
        <w:jc w:val="left"/>
      </w:pPr>
      <w:r>
        <w:rPr/>
        <w:t>本公司通过多次交易分步处置对子公司股权投资直至丧失控制权的，需区分处置对子公司股权投资直至丧失控制权的各 </w:t>
      </w:r>
      <w:r>
        <w:rPr>
          <w:spacing w:val="-2"/>
        </w:rPr>
        <w:t>项交易是否属于一揽子交易。处置对子公司股权投资的各项交易的条款、条件以及经济影响符合以下一种或多种情况，通常</w:t>
      </w:r>
      <w:r>
        <w:rPr>
          <w:spacing w:val="-66"/>
        </w:rPr>
        <w:t> </w:t>
      </w:r>
      <w:r>
        <w:rPr>
          <w:spacing w:val="-66"/>
        </w:rPr>
      </w:r>
      <w:r>
        <w:rPr>
          <w:spacing w:val="-2"/>
        </w:rPr>
        <w:t>表明应将多次交易事项作为一揽子交易进行会计处理：①这些交易是同时或者在考虑了彼此影响的情况下订立的；②这些交</w:t>
      </w:r>
      <w:r>
        <w:rPr>
          <w:spacing w:val="-64"/>
        </w:rPr>
        <w:t> </w:t>
      </w:r>
      <w:r>
        <w:rPr>
          <w:spacing w:val="-64"/>
        </w:rPr>
      </w:r>
      <w:r>
        <w:rPr/>
        <w:t>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不丧失控制权的情况下</w:t>
      </w:r>
      <w:r>
        <w:rPr>
          <w:spacing w:val="-75"/>
        </w:rPr>
        <w:t> </w:t>
      </w:r>
      <w:r>
        <w:rPr>
          <w:spacing w:val="-75"/>
        </w:rPr>
      </w:r>
      <w:r>
        <w:rPr/>
        <w:t>部分处置对子公司的长期股权投资</w:t>
      </w:r>
      <w:r>
        <w:rPr>
          <w:rFonts w:ascii="Times New Roman" w:hAnsi="Times New Roman" w:cs="Times New Roman" w:eastAsia="Times New Roman" w:hint="default"/>
        </w:rPr>
        <w:t>”</w:t>
      </w:r>
      <w:r>
        <w:rPr/>
        <w:t>（详见本附注五、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）④）和</w:t>
      </w:r>
      <w:r>
        <w:rPr>
          <w:rFonts w:ascii="Times New Roman" w:hAnsi="Times New Roman" w:cs="Times New Roman" w:eastAsia="Times New Roman" w:hint="default"/>
        </w:rPr>
        <w:t>“</w:t>
      </w:r>
      <w:r>
        <w:rPr/>
        <w:t>因处置部分股权投资或其他原因丧失了对原有子公</w:t>
      </w:r>
      <w:r>
        <w:rPr>
          <w:spacing w:val="-68"/>
        </w:rPr>
        <w:t> </w:t>
      </w:r>
      <w:r>
        <w:rPr>
          <w:spacing w:val="-68"/>
        </w:rPr>
      </w:r>
      <w:r>
        <w:rPr>
          <w:spacing w:val="-2"/>
        </w:rPr>
        <w:t>司的控制权</w:t>
      </w:r>
      <w:r>
        <w:rPr>
          <w:rFonts w:ascii="Times New Roman" w:hAnsi="Times New Roman" w:cs="Times New Roman" w:eastAsia="Times New Roman" w:hint="default"/>
          <w:spacing w:val="-2"/>
        </w:rPr>
        <w:t>”</w:t>
      </w:r>
      <w:r>
        <w:rPr>
          <w:spacing w:val="-2"/>
        </w:rPr>
        <w:t>（详见前段）适用的原则进行会计处理。处置对子公司股权投资直至丧失控制权的各项交易属于一揽子交易的，</w:t>
      </w:r>
      <w:r>
        <w:rPr>
          <w:spacing w:val="-52"/>
        </w:rPr>
        <w:t> </w:t>
      </w:r>
      <w:r>
        <w:rPr>
          <w:spacing w:val="-52"/>
        </w:rPr>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bookmarkStart w:name="7、合营安排分类及共同经营会计处理方法" w:id="177"/>
      <w:bookmarkEnd w:id="177"/>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290"/>
        <w:jc w:val="both"/>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6"/>
        </w:rPr>
        <w:t> </w:t>
      </w:r>
      <w:r>
        <w:rPr>
          <w:spacing w:val="-66"/>
        </w:rPr>
      </w:r>
      <w:r>
        <w:rPr/>
        <w:t>企业，是指本公司仅对该安排的净资产享有权利的合营安排。</w:t>
      </w:r>
    </w:p>
    <w:p>
      <w:pPr>
        <w:pStyle w:val="BodyText"/>
        <w:spacing w:line="300" w:lineRule="auto" w:before="19"/>
        <w:ind w:right="1158" w:firstLine="290"/>
        <w:jc w:val="both"/>
      </w:pPr>
      <w:r>
        <w:rPr/>
        <w:t>本公司对合营企业的投资采用权益法核算，按照本附注五、</w:t>
      </w:r>
      <w:r>
        <w:rPr>
          <w:rFonts w:ascii="Times New Roman" w:hAnsi="Times New Roman" w:cs="Times New Roman" w:eastAsia="Times New Roman" w:hint="default"/>
        </w:rPr>
        <w:t>14</w:t>
      </w:r>
      <w:r>
        <w:rPr/>
        <w:t>（</w:t>
      </w:r>
      <w:r>
        <w:rPr>
          <w:rFonts w:ascii="Times New Roman" w:hAnsi="Times New Roman" w:cs="Times New Roman" w:eastAsia="Times New Roman" w:hint="default"/>
        </w:rPr>
        <w:t>2</w:t>
      </w:r>
      <w:r>
        <w:rPr/>
        <w:t>）②</w:t>
      </w:r>
      <w:r>
        <w:rPr>
          <w:spacing w:val="-22"/>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中所述的会计政策 处理。</w:t>
      </w:r>
    </w:p>
    <w:p>
      <w:pPr>
        <w:pStyle w:val="BodyText"/>
        <w:spacing w:line="319" w:lineRule="auto" w:before="31"/>
        <w:ind w:right="1132" w:firstLine="290"/>
        <w:jc w:val="both"/>
      </w:pPr>
      <w:r>
        <w:rPr>
          <w:spacing w:val="-1"/>
        </w:rPr>
        <w:t>本公司作为合营方对共同经营，确认本公司单独持有的资产、单独所承担的负债，以及按本公司份额确认共同持有的资</w:t>
      </w:r>
      <w:r>
        <w:rPr/>
        <w:t> </w:t>
      </w:r>
      <w:r>
        <w:rPr>
          <w:spacing w:val="-2"/>
        </w:rPr>
        <w:t>产和共同承担的负债；确认出售本公司享有的共同经营产出份额所产生的收入；按本公司份额确认共同经营因出售产出所产</w:t>
      </w:r>
      <w:r>
        <w:rPr>
          <w:spacing w:val="-64"/>
        </w:rPr>
        <w:t> </w:t>
      </w:r>
      <w:r>
        <w:rPr>
          <w:spacing w:val="-64"/>
        </w:rPr>
      </w:r>
      <w:r>
        <w:rPr/>
        <w:t>生的收入；确认本公司单独所发生的费用，以及按本公司份额确认共同经营发生的费用。</w:t>
      </w:r>
    </w:p>
    <w:p>
      <w:pPr>
        <w:pStyle w:val="BodyText"/>
        <w:spacing w:line="312" w:lineRule="auto" w:before="58"/>
        <w:ind w:right="1131"/>
        <w:jc w:val="both"/>
      </w:pPr>
      <w:r>
        <w:rPr>
          <w:spacing w:val="-2"/>
        </w:rPr>
        <w:t>当本公司作为合营方向共同经营投出或出售资产（该资产不构成业务，下同）、或者自共同经营购买资产时，在该等资产出</w:t>
      </w:r>
      <w:r>
        <w:rPr>
          <w:spacing w:val="-66"/>
        </w:rPr>
        <w:t> </w:t>
      </w:r>
      <w:r>
        <w:rPr>
          <w:spacing w:val="-66"/>
        </w:rPr>
      </w:r>
      <w:r>
        <w:rPr>
          <w:spacing w:val="-2"/>
        </w:rPr>
        <w:t>售给第三方之前，本公司仅确认因该交易产生的损益中归属于共同经营其他参与方的部分。该等资产发生符合《企业会计准</w:t>
      </w:r>
      <w:r>
        <w:rPr>
          <w:spacing w:val="-65"/>
        </w:rPr>
        <w:t> </w:t>
      </w:r>
      <w:r>
        <w:rPr>
          <w:spacing w:val="-65"/>
        </w:rPr>
      </w:r>
      <w:r>
        <w:rPr/>
        <w:t>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资产减值》等规定的资产减值损失的，对于由本公司向共同经营投出或出售资产的情况，本公司全额确认该损</w:t>
      </w:r>
      <w:r>
        <w:rPr>
          <w:spacing w:val="-83"/>
        </w:rPr>
        <w:t> </w:t>
      </w:r>
      <w:r>
        <w:rPr>
          <w:spacing w:val="-83"/>
        </w:rPr>
      </w:r>
      <w:r>
        <w:rPr/>
        <w:t>失；对于本公司自共同经营购买资产的情况，本公司按承担的份额确认该损失。</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bookmarkStart w:name="8、现金及现金等价物的确定标准" w:id="178"/>
      <w:bookmarkEnd w:id="178"/>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right="1132" w:firstLine="290"/>
        <w:jc w:val="both"/>
      </w:pPr>
      <w:r>
        <w:rPr>
          <w:spacing w:val="-1"/>
        </w:rPr>
        <w:t>本公司现金及现金等价物包括库存现金、可以随时用于支付的存款以及本公司持有的期限短（一般为从购买日起三个月</w:t>
      </w:r>
      <w:r>
        <w:rPr/>
        <w:t> 内到期）、流动性强、易于转换为已知金额现金、价值变动风险很小的投资。</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9、外币业务和外币报表折算" w:id="179"/>
      <w:bookmarkEnd w:id="179"/>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80" w:right="1122"/>
        <w:jc w:val="left"/>
      </w:pPr>
      <w:r>
        <w:rPr/>
        <w:t>（</w:t>
      </w:r>
      <w:r>
        <w:rPr>
          <w:rFonts w:ascii="Times New Roman" w:hAnsi="Times New Roman" w:cs="Times New Roman" w:eastAsia="Times New Roman" w:hint="default"/>
        </w:rPr>
        <w:t>1</w:t>
      </w:r>
      <w:r>
        <w:rPr/>
        <w:t>）外币交易的折算方法 本公司发生的外币交易在初始确认时，按交易日的即期汇率（通常指中国人民银行公布的当日外汇牌价的中间价，下</w:t>
      </w:r>
    </w:p>
    <w:p>
      <w:pPr>
        <w:pStyle w:val="BodyText"/>
        <w:spacing w:line="316" w:lineRule="auto" w:before="31"/>
        <w:ind w:left="154" w:right="1133"/>
        <w:jc w:val="both"/>
      </w:pPr>
      <w:r>
        <w:rPr>
          <w:spacing w:val="-2"/>
        </w:rPr>
        <w:t>同）折算为记账本位币金额，但公司发生的外币兑换业务或涉及外币兑换的交易事项，按照实际采用的汇率折算为记账本位</w:t>
      </w:r>
      <w:r>
        <w:rPr>
          <w:spacing w:val="-66"/>
        </w:rPr>
        <w:t> </w:t>
      </w:r>
      <w:r>
        <w:rPr>
          <w:spacing w:val="-66"/>
        </w:rPr>
      </w:r>
      <w:r>
        <w:rPr/>
        <w:t>币金额。</w:t>
      </w:r>
    </w:p>
    <w:p>
      <w:pPr>
        <w:pStyle w:val="BodyText"/>
        <w:spacing w:line="300" w:lineRule="auto" w:before="19"/>
        <w:ind w:left="580" w:right="1122"/>
        <w:jc w:val="left"/>
      </w:pPr>
      <w:r>
        <w:rPr/>
        <w:t>（</w:t>
      </w:r>
      <w:r>
        <w:rPr>
          <w:rFonts w:ascii="Times New Roman" w:hAnsi="Times New Roman" w:cs="Times New Roman" w:eastAsia="Times New Roman" w:hint="default"/>
        </w:rPr>
        <w:t>2</w:t>
      </w:r>
      <w:r>
        <w:rPr/>
        <w:t>）对于外币货币性项目和外币非货币性项目的折算方法 资产负债表日，对于外币货币性项目采用资产负债表日即期汇率折算，由此产生的汇兑差额，除：①属于与购建符合</w:t>
      </w:r>
    </w:p>
    <w:p>
      <w:pPr>
        <w:pStyle w:val="BodyText"/>
        <w:spacing w:line="316" w:lineRule="auto" w:before="31"/>
        <w:ind w:right="1130"/>
        <w:jc w:val="both"/>
      </w:pPr>
      <w:r>
        <w:rPr>
          <w:spacing w:val="-2"/>
        </w:rPr>
        <w:t>资本化条件的资产相关的外币专门借款产生的汇兑差额按照借款费用资本化的原则处理；</w:t>
      </w:r>
      <w:r>
        <w:rPr>
          <w:color w:val="FF0000"/>
          <w:spacing w:val="-2"/>
        </w:rPr>
        <w:t>②</w:t>
      </w:r>
      <w:r>
        <w:rPr>
          <w:spacing w:val="-2"/>
        </w:rPr>
        <w:t>可供出售的外币货币性项目除摊</w:t>
      </w:r>
      <w:r>
        <w:rPr>
          <w:spacing w:val="-63"/>
        </w:rPr>
        <w:t> </w:t>
      </w:r>
      <w:r>
        <w:rPr>
          <w:spacing w:val="-63"/>
        </w:rPr>
      </w:r>
      <w:r>
        <w:rPr/>
        <w:t>余成本之外的其他账面余额变动产生的汇兑差额计入其他综合收益之外，均计入当期损益。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5" w:firstLine="426"/>
        <w:jc w:val="both"/>
      </w:pPr>
      <w:r>
        <w:rPr/>
        <w:t>编制合并财务报表涉及境外经营的，如有实质上构成对境外经营净投资的外币货币性项目，因汇率变动而产生的汇兑 差额，计入其他综合收益；处置境外经营时，转入处置当期损益。</w:t>
      </w:r>
    </w:p>
    <w:p>
      <w:pPr>
        <w:pStyle w:val="BodyText"/>
        <w:spacing w:line="319" w:lineRule="auto" w:before="19"/>
        <w:ind w:right="1133" w:firstLine="426"/>
        <w:jc w:val="both"/>
      </w:pPr>
      <w:r>
        <w:rPr/>
        <w:t>以历史成本计量的外币非货币性项目，仍采用交易发生日的即期汇率折算的记账本位币金额计量。以公允价值计量的 </w:t>
      </w:r>
      <w:r>
        <w:rPr>
          <w:spacing w:val="-2"/>
        </w:rPr>
        <w:t>外币非货币性项目，采用公允价值确定日的即期汇率折算，折算后的记账本位币金额与原记账本位币金额的差额，作为公允</w:t>
      </w:r>
      <w:r>
        <w:rPr>
          <w:spacing w:val="-66"/>
        </w:rPr>
        <w:t> </w:t>
      </w:r>
      <w:r>
        <w:rPr>
          <w:spacing w:val="-66"/>
        </w:rPr>
      </w:r>
      <w:r>
        <w:rPr/>
        <w:t>价值变动（含汇率变动）处理，计入当期损益或确认为其他综合收益。</w:t>
      </w:r>
    </w:p>
    <w:p>
      <w:pPr>
        <w:pStyle w:val="BodyText"/>
        <w:spacing w:line="300" w:lineRule="auto" w:before="17"/>
        <w:ind w:left="580" w:right="1122"/>
        <w:jc w:val="left"/>
      </w:pPr>
      <w:r>
        <w:rPr/>
        <w:t>（</w:t>
      </w:r>
      <w:r>
        <w:rPr>
          <w:rFonts w:ascii="Times New Roman" w:hAnsi="Times New Roman" w:cs="Times New Roman" w:eastAsia="Times New Roman" w:hint="default"/>
        </w:rPr>
        <w:t>3</w:t>
      </w:r>
      <w:r>
        <w:rPr/>
        <w:t>）外币财务报表的折算方法 编制合并财务报表涉及境外经营的，如有实质上构成对境外经营净投资的外币货币性项目，因汇率变动而产生的汇兑</w:t>
      </w:r>
    </w:p>
    <w:p>
      <w:pPr>
        <w:pStyle w:val="BodyText"/>
        <w:spacing w:line="300" w:lineRule="auto" w:before="31"/>
        <w:ind w:left="580" w:right="1122" w:hanging="426"/>
        <w:jc w:val="left"/>
      </w:pPr>
      <w:r>
        <w:rPr/>
        <w:t>差额，作为</w:t>
      </w:r>
      <w:r>
        <w:rPr>
          <w:rFonts w:ascii="Times New Roman" w:hAnsi="Times New Roman" w:cs="Times New Roman" w:eastAsia="Times New Roman" w:hint="default"/>
        </w:rPr>
        <w:t>“</w:t>
      </w:r>
      <w:r>
        <w:rPr/>
        <w:t>外币报表折算差额</w:t>
      </w:r>
      <w:r>
        <w:rPr>
          <w:rFonts w:ascii="Times New Roman" w:hAnsi="Times New Roman" w:cs="Times New Roman" w:eastAsia="Times New Roman" w:hint="default"/>
        </w:rPr>
        <w:t>”</w:t>
      </w:r>
      <w:r>
        <w:rPr/>
        <w:t>确认为其他综合收益；处置境外经营时，计入处置当期损益。 境外经营的外币财务报表按以下方法折算为人民币报表：资产负债表中的资产和负债项目，采用资产负债表日的即期</w:t>
      </w:r>
    </w:p>
    <w:p>
      <w:pPr>
        <w:pStyle w:val="BodyText"/>
        <w:spacing w:line="314" w:lineRule="auto" w:before="31"/>
        <w:ind w:left="154" w:right="0"/>
        <w:jc w:val="left"/>
      </w:pPr>
      <w:r>
        <w:rPr/>
        <w:t>汇率折算；股东权益类项目除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项目外，其他项目采用发生时的即期汇率折算。利润表中的收入和费用项目，采 </w:t>
      </w:r>
      <w:r>
        <w:rPr>
          <w:spacing w:val="-2"/>
        </w:rPr>
        <w:t>用交易发生日的当期平均汇率折算。年初未分配利润为上一年折算后的年末未分配利润；年末未分配利润按折算后的利润分</w:t>
      </w:r>
      <w:r>
        <w:rPr>
          <w:spacing w:val="-64"/>
        </w:rPr>
        <w:t> </w:t>
      </w:r>
      <w:r>
        <w:rPr>
          <w:spacing w:val="-64"/>
        </w:rPr>
      </w:r>
      <w:r>
        <w:rPr>
          <w:spacing w:val="-2"/>
        </w:rPr>
        <w:t>配各项目计算列示；折算后资产类项目与负债类项目和股东权益类项目合计数的差额，作为外币报表折算差额，确认为其他</w:t>
      </w:r>
      <w:r>
        <w:rPr>
          <w:spacing w:val="-66"/>
        </w:rPr>
        <w:t> </w:t>
      </w:r>
      <w:r>
        <w:rPr>
          <w:spacing w:val="-66"/>
        </w:rPr>
      </w:r>
      <w:r>
        <w:rPr>
          <w:spacing w:val="-4"/>
        </w:rPr>
        <w:t>综合收益。处置境外经营并丧失控制权时，将资产负债表中股东权益项目下列示的、与该境外经营相关的外币报表折算差额，</w:t>
      </w:r>
      <w:r>
        <w:rPr>
          <w:spacing w:val="-44"/>
        </w:rPr>
        <w:t> </w:t>
      </w:r>
      <w:r>
        <w:rPr>
          <w:spacing w:val="-44"/>
        </w:rPr>
      </w:r>
      <w:r>
        <w:rPr/>
        <w:t>全部或按处置该境外经营的比例转入处置当期损益。</w:t>
      </w:r>
    </w:p>
    <w:p>
      <w:pPr>
        <w:pStyle w:val="BodyText"/>
        <w:spacing w:line="316" w:lineRule="auto" w:before="20"/>
        <w:ind w:left="154" w:right="1135" w:firstLine="426"/>
        <w:jc w:val="both"/>
      </w:pPr>
      <w:r>
        <w:rPr/>
        <w:t>外币现金流量以及境外子公司的现金流量，采用现金流量发生日的当期平均汇率折算。汇率变动对现金的影响额作为 调节项目，在现金流量表中单独列报。</w:t>
      </w:r>
    </w:p>
    <w:p>
      <w:pPr>
        <w:pStyle w:val="BodyText"/>
        <w:spacing w:line="316" w:lineRule="auto" w:before="19"/>
        <w:ind w:left="580" w:right="1122"/>
        <w:jc w:val="left"/>
      </w:pPr>
      <w:r>
        <w:rPr/>
        <w:t>年初数和上年实际数按照上年财务报表折算后的数额列示。 在处置本公司在境外经营的全部所有者权益或因处置部分股权投资或其他原因丧失了对境外经营控制权时，将资产负</w:t>
      </w:r>
    </w:p>
    <w:p>
      <w:pPr>
        <w:pStyle w:val="BodyText"/>
        <w:spacing w:line="316" w:lineRule="auto" w:before="19"/>
        <w:ind w:left="580" w:right="0" w:hanging="426"/>
        <w:jc w:val="left"/>
      </w:pPr>
      <w:r>
        <w:rPr>
          <w:spacing w:val="-4"/>
        </w:rPr>
        <w:t>债表中股东权益项目下列示的、与该境外经营相关的归属于母公司所有者权益的外币报表折算差额，全部转入处置当期损益。</w:t>
      </w:r>
      <w:r>
        <w:rPr>
          <w:spacing w:val="-44"/>
        </w:rPr>
        <w:t> </w:t>
      </w:r>
      <w:r>
        <w:rPr>
          <w:spacing w:val="-44"/>
        </w:rPr>
      </w:r>
      <w:r>
        <w:rPr/>
        <w:t>在处置部分股权投资或其他原因导致持有境外经营权益比例降低但不丧失对境外经营控制权时，与该境外经营处置部</w:t>
      </w:r>
    </w:p>
    <w:p>
      <w:pPr>
        <w:pStyle w:val="BodyText"/>
        <w:spacing w:line="338" w:lineRule="auto" w:before="19"/>
        <w:ind w:left="154" w:right="0"/>
        <w:jc w:val="left"/>
      </w:pPr>
      <w:r>
        <w:rPr>
          <w:spacing w:val="-4"/>
        </w:rPr>
        <w:t>分相关的外币报表折算差额将归属于少数股东权益，不转入当期损益。在处置境外经营为联营企业或合营企业的部分股权时，</w:t>
      </w:r>
      <w:r>
        <w:rPr>
          <w:spacing w:val="-44"/>
        </w:rPr>
        <w:t> </w:t>
      </w:r>
      <w:r>
        <w:rPr>
          <w:spacing w:val="-44"/>
        </w:rPr>
      </w:r>
      <w:r>
        <w:rPr/>
        <w:t>与该境外经营相关的外币报表折算差额，按处置该境外经营的比例转入处置当期损益。 </w:t>
      </w:r>
      <w:r>
        <w:rPr>
          <w:spacing w:val="-2"/>
        </w:rPr>
        <w:t>注：说明发生外币交易时折算汇率的确定方法、在资产负债表日外币货币性项目采用的折算方法、汇兑损益的处理方法以及</w:t>
      </w:r>
    </w:p>
    <w:p>
      <w:pPr>
        <w:pStyle w:val="BodyText"/>
        <w:spacing w:line="240" w:lineRule="auto" w:before="2"/>
        <w:ind w:left="154" w:right="1122"/>
        <w:jc w:val="left"/>
      </w:pPr>
      <w:r>
        <w:rPr/>
        <w:t>外币报表折算的会计处理方法。</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10、金融工具" w:id="180"/>
      <w:bookmarkEnd w:id="180"/>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3" w:firstLine="480"/>
        <w:jc w:val="both"/>
      </w:pPr>
      <w:r>
        <w:rPr>
          <w:spacing w:val="-1"/>
        </w:rPr>
        <w:t>在本公司成为金融工具合同的一方时确认一项金融资产或金融负债。金融资产和金融负债在初始确认时以公允价值计</w:t>
      </w:r>
      <w:r>
        <w:rPr/>
        <w:t> </w:t>
      </w:r>
      <w:r>
        <w:rPr>
          <w:spacing w:val="-2"/>
        </w:rPr>
        <w:t>量。对于以公允价值计量且其变动计入当期损益的金融资产和金融负债，相关的交易费用直接计入损益；对于其他类别的金</w:t>
      </w:r>
      <w:r>
        <w:rPr>
          <w:spacing w:val="-66"/>
        </w:rPr>
        <w:t> </w:t>
      </w:r>
      <w:r>
        <w:rPr>
          <w:spacing w:val="-66"/>
        </w:rPr>
      </w:r>
      <w:r>
        <w:rPr/>
        <w:t>融资产和金融负债，相关交易费用计入初始确认金额。</w:t>
      </w:r>
    </w:p>
    <w:p>
      <w:pPr>
        <w:pStyle w:val="BodyText"/>
        <w:spacing w:line="300" w:lineRule="auto" w:before="19"/>
        <w:ind w:left="634" w:right="1092"/>
        <w:jc w:val="left"/>
      </w:pPr>
      <w:r>
        <w:rPr/>
        <w:t>（</w:t>
      </w:r>
      <w:r>
        <w:rPr>
          <w:rFonts w:ascii="Times New Roman" w:hAnsi="Times New Roman" w:cs="Times New Roman" w:eastAsia="Times New Roman" w:hint="default"/>
        </w:rPr>
        <w:t>1</w:t>
      </w:r>
      <w:r>
        <w:rPr/>
        <w:t>）金融资产和金融负债的公允价值确定方法 公允价值，是指市场参与者在计量日发生的有序交易中，出售一项资产所能收到或者转移一项负债所需支付的价格。</w:t>
      </w:r>
    </w:p>
    <w:p>
      <w:pPr>
        <w:pStyle w:val="BodyText"/>
        <w:spacing w:line="316" w:lineRule="auto" w:before="31"/>
        <w:ind w:left="154" w:right="0"/>
        <w:jc w:val="left"/>
      </w:pPr>
      <w:r>
        <w:rPr>
          <w:spacing w:val="-2"/>
        </w:rPr>
        <w:t>金融工具存在活跃市场的，本公司采用活跃市场中的报价确定其公允价值。活跃市场中的报价是指易于定期从交易所、经纪</w:t>
      </w:r>
      <w:r>
        <w:rPr>
          <w:spacing w:val="-66"/>
        </w:rPr>
        <w:t> </w:t>
      </w:r>
      <w:r>
        <w:rPr>
          <w:spacing w:val="-66"/>
        </w:rPr>
      </w:r>
      <w:r>
        <w:rPr>
          <w:spacing w:val="-2"/>
        </w:rPr>
        <w:t>商、行业协会、定价服务机构等获得的价格，且代表了在公平交易中实际发生的市场交易的价格。金融工具不存在活跃市场</w:t>
      </w:r>
      <w:r>
        <w:rPr>
          <w:spacing w:val="-66"/>
        </w:rPr>
        <w:t> </w:t>
      </w:r>
      <w:r>
        <w:rPr>
          <w:spacing w:val="-66"/>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633" w:right="1122"/>
        <w:jc w:val="left"/>
      </w:pPr>
      <w:r>
        <w:rPr/>
        <w:t>（</w:t>
      </w:r>
      <w:r>
        <w:rPr>
          <w:rFonts w:ascii="Times New Roman" w:hAnsi="Times New Roman" w:cs="Times New Roman" w:eastAsia="Times New Roman" w:hint="default"/>
        </w:rPr>
        <w:t>2</w:t>
      </w:r>
      <w:r>
        <w:rPr/>
        <w:t>）金融资产的分类、确认和计量 </w:t>
      </w:r>
      <w:r>
        <w:rPr>
          <w:spacing w:val="-1"/>
        </w:rPr>
        <w:t>以常规方式买卖金融资产，按交易日进行会计确认和终止确认。金融资产在初始确认时划分为以公允价值计量且其变</w:t>
      </w:r>
    </w:p>
    <w:p>
      <w:pPr>
        <w:pStyle w:val="BodyText"/>
        <w:spacing w:line="240" w:lineRule="auto" w:before="31"/>
        <w:ind w:right="1122"/>
        <w:jc w:val="left"/>
      </w:pPr>
      <w:r>
        <w:rPr/>
        <w:t>动计入当期损益的金融资产、持有至到期投资、贷款和应收款项以及可供出售金融资产。</w:t>
      </w:r>
    </w:p>
    <w:p>
      <w:pPr>
        <w:pStyle w:val="BodyText"/>
        <w:spacing w:line="319" w:lineRule="auto" w:before="76"/>
        <w:ind w:left="633" w:right="1113"/>
        <w:jc w:val="left"/>
      </w:pPr>
      <w:r>
        <w:rPr/>
        <w:t>①</w:t>
      </w:r>
      <w:r>
        <w:rPr>
          <w:spacing w:val="-18"/>
        </w:rPr>
        <w:t> </w:t>
      </w:r>
      <w:r>
        <w:rPr/>
        <w:t>以公允价值计量且其变动计入当期损益的金融资产</w:t>
      </w:r>
      <w:r>
        <w:rPr/>
        <w:t> 包括交易性金融资产和指定为以公允价值计量且其变动计入当期损益的金融资产。 交易性金融资产是指满足下列条件之一的金融资产：</w:t>
      </w:r>
      <w:r>
        <w:rPr>
          <w:rFonts w:ascii="Times New Roman" w:hAnsi="Times New Roman" w:cs="Times New Roman" w:eastAsia="Times New Roman" w:hint="default"/>
        </w:rPr>
        <w:t>A.</w:t>
      </w:r>
      <w:r>
        <w:rPr/>
        <w:t>取得该金融资产的目的，主要是为了近期内出售；</w:t>
      </w:r>
      <w:r>
        <w:rPr>
          <w:rFonts w:ascii="Times New Roman" w:hAnsi="Times New Roman" w:cs="Times New Roman" w:eastAsia="Times New Roman" w:hint="default"/>
        </w:rPr>
        <w:t>B.</w:t>
      </w:r>
      <w:r>
        <w:rPr/>
        <w:t>属于进行</w:t>
      </w:r>
    </w:p>
    <w:p>
      <w:pPr>
        <w:pStyle w:val="BodyText"/>
        <w:spacing w:line="300" w:lineRule="auto"/>
        <w:ind w:right="1122"/>
        <w:jc w:val="left"/>
      </w:pPr>
      <w:r>
        <w:rPr>
          <w:spacing w:val="-2"/>
        </w:rPr>
        <w:t>集中管理的可辨认金融工具组合的一部分，且有客观证据表明本公司近期采用短期获利方式对该组合进行管理；</w:t>
      </w:r>
      <w:r>
        <w:rPr>
          <w:rFonts w:ascii="Times New Roman" w:hAnsi="Times New Roman" w:cs="Times New Roman" w:eastAsia="Times New Roman" w:hint="default"/>
          <w:spacing w:val="-2"/>
        </w:rPr>
        <w:t>C.</w:t>
      </w:r>
      <w:r>
        <w:rPr>
          <w:spacing w:val="-2"/>
        </w:rPr>
        <w:t>属于衍生</w:t>
      </w:r>
      <w:r>
        <w:rPr>
          <w:spacing w:val="-48"/>
        </w:rPr>
        <w:t> </w:t>
      </w:r>
      <w:r>
        <w:rPr>
          <w:spacing w:val="-2"/>
        </w:rPr>
        <w:t>工具，但是，被指定且为有效套期工具的衍生工具、属于财务担保合同的衍生工具、与在活跃市场中没有报价且其公允价值</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633" w:right="1122" w:hanging="480"/>
        <w:jc w:val="left"/>
      </w:pPr>
      <w:r>
        <w:rPr/>
        <w:t>不能可靠计量的权益工具投资挂钩并须通过交付该权益工具结算的衍生工具除外。 </w:t>
      </w:r>
      <w:r>
        <w:rPr>
          <w:spacing w:val="-1"/>
        </w:rPr>
        <w:t>符合下述条件之一的金融资产，在初始确认时可指定为以公允价值计量且其变动计入当期损益的金融资产：</w:t>
      </w:r>
      <w:r>
        <w:rPr>
          <w:rFonts w:ascii="Times New Roman" w:hAnsi="Times New Roman" w:cs="Times New Roman" w:eastAsia="Times New Roman" w:hint="default"/>
          <w:spacing w:val="-1"/>
        </w:rPr>
        <w:t>A.</w:t>
      </w:r>
      <w:r>
        <w:rPr>
          <w:spacing w:val="-1"/>
        </w:rPr>
        <w:t>该指定</w:t>
      </w:r>
    </w:p>
    <w:p>
      <w:pPr>
        <w:pStyle w:val="BodyText"/>
        <w:spacing w:line="309" w:lineRule="auto"/>
        <w:ind w:right="1130"/>
        <w:jc w:val="both"/>
      </w:pPr>
      <w:r>
        <w:rPr>
          <w:spacing w:val="-2"/>
        </w:rPr>
        <w:t>可以消除或明显减少由于该金融资产的计量基础不同所导致的相关利得或损失在确认或计量方面不一致的情况；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本公司风</w:t>
      </w:r>
      <w:r>
        <w:rPr>
          <w:spacing w:val="-47"/>
        </w:rPr>
        <w:t> </w:t>
      </w:r>
      <w:r>
        <w:rPr>
          <w:spacing w:val="-2"/>
        </w:rPr>
        <w:t>险管理或投资策略的正式书面文件已载明，对该金融资产所在的金融资产组合或金融资产和金融负债组合以公允价值为基础</w:t>
      </w:r>
      <w:r>
        <w:rPr>
          <w:spacing w:val="-64"/>
        </w:rPr>
        <w:t> </w:t>
      </w:r>
      <w:r>
        <w:rPr>
          <w:spacing w:val="-64"/>
        </w:rPr>
      </w:r>
      <w:r>
        <w:rPr/>
        <w:t>进行管理、评价并向关键管理人员报告。</w:t>
      </w:r>
    </w:p>
    <w:p>
      <w:pPr>
        <w:pStyle w:val="BodyText"/>
        <w:spacing w:line="316" w:lineRule="auto" w:before="24"/>
        <w:ind w:right="1130" w:firstLine="480"/>
        <w:jc w:val="both"/>
      </w:pPr>
      <w:r>
        <w:rPr>
          <w:spacing w:val="-1"/>
        </w:rPr>
        <w:t>以公允价值计量且其变动计入当期损益的金融资产采用公允价值进行后续计量，公允价值变动形成的利得或损失以及</w:t>
      </w:r>
      <w:r>
        <w:rPr/>
        <w:t> 与该等金融资产相关的股利和利息收入计入当期损益。</w:t>
      </w:r>
    </w:p>
    <w:p>
      <w:pPr>
        <w:pStyle w:val="BodyText"/>
        <w:spacing w:line="316" w:lineRule="auto" w:before="19"/>
        <w:ind w:left="633" w:right="1122"/>
        <w:jc w:val="left"/>
      </w:pPr>
      <w:r>
        <w:rPr/>
        <w:t>②</w:t>
      </w:r>
      <w:r>
        <w:rPr>
          <w:spacing w:val="-17"/>
        </w:rPr>
        <w:t> </w:t>
      </w:r>
      <w:r>
        <w:rPr/>
        <w:t>持有至到期投资</w:t>
      </w:r>
      <w:r>
        <w:rPr/>
        <w:t> 是指到期日固定、回收金额固定或可确定，且本公司有明确意图和能力持有至到期的非衍生金融资产。 </w:t>
      </w:r>
      <w:r>
        <w:rPr>
          <w:spacing w:val="-1"/>
        </w:rPr>
        <w:t>持有至到期投资采用实际利率法，按摊余成本进行后续计量，在终止确认、发生减值或摊销时产生的利得或损失，计</w:t>
      </w:r>
    </w:p>
    <w:p>
      <w:pPr>
        <w:pStyle w:val="BodyText"/>
        <w:spacing w:line="240" w:lineRule="auto" w:before="19"/>
        <w:ind w:right="1122"/>
        <w:jc w:val="left"/>
      </w:pPr>
      <w:r>
        <w:rPr/>
        <w:t>入当期损益。</w:t>
      </w:r>
    </w:p>
    <w:p>
      <w:pPr>
        <w:pStyle w:val="BodyText"/>
        <w:spacing w:line="316" w:lineRule="auto" w:before="76"/>
        <w:ind w:right="1133" w:firstLine="480"/>
        <w:jc w:val="both"/>
      </w:pPr>
      <w:r>
        <w:rPr>
          <w:spacing w:val="-1"/>
        </w:rPr>
        <w:t>实际利率法是指按照金融资产或金融负债（含一组金融资产或金融负债）的实际利率计算其摊余成本及各期利息收入</w:t>
      </w:r>
      <w:r>
        <w:rPr/>
        <w:t> </w:t>
      </w:r>
      <w:r>
        <w:rPr>
          <w:spacing w:val="-2"/>
        </w:rPr>
        <w:t>或支出的方法。实际利率是指将金融资产或金融负债在预期存续期间或适用的更短期间内的未来现金流量，折现为该金融资</w:t>
      </w:r>
      <w:r>
        <w:rPr>
          <w:spacing w:val="-64"/>
        </w:rPr>
        <w:t> </w:t>
      </w:r>
      <w:r>
        <w:rPr>
          <w:spacing w:val="-64"/>
        </w:rPr>
      </w:r>
      <w:r>
        <w:rPr/>
        <w:t>产或金融负债当前账面价值所使用的利率。</w:t>
      </w:r>
    </w:p>
    <w:p>
      <w:pPr>
        <w:pStyle w:val="BodyText"/>
        <w:spacing w:line="316" w:lineRule="auto" w:before="19"/>
        <w:ind w:right="1131" w:firstLine="480"/>
        <w:jc w:val="both"/>
      </w:pPr>
      <w:r>
        <w:rPr>
          <w:spacing w:val="-1"/>
        </w:rPr>
        <w:t>在计算实际利率时，本公司将在考虑金融资产或金融负债所有合同条款的基础上预计未来现金流量（不考虑未来的信</w:t>
      </w:r>
      <w:r>
        <w:rPr/>
        <w:t> </w:t>
      </w:r>
      <w:r>
        <w:rPr>
          <w:spacing w:val="-2"/>
        </w:rPr>
        <w:t>用损失），同时还将考虑金融资产或金融负债合同各方之间支付或收取的、属于实际利率组成部分的各项收费、交易费用及</w:t>
      </w:r>
      <w:r>
        <w:rPr>
          <w:spacing w:val="-66"/>
        </w:rPr>
        <w:t> </w:t>
      </w:r>
      <w:r>
        <w:rPr>
          <w:spacing w:val="-66"/>
        </w:rPr>
      </w:r>
      <w:r>
        <w:rPr/>
        <w:t>折价或溢价等。</w:t>
      </w:r>
    </w:p>
    <w:p>
      <w:pPr>
        <w:pStyle w:val="BodyText"/>
        <w:spacing w:line="316" w:lineRule="auto" w:before="19"/>
        <w:ind w:left="633" w:right="1122"/>
        <w:jc w:val="left"/>
      </w:pPr>
      <w:r>
        <w:rPr/>
        <w:t>③</w:t>
      </w:r>
      <w:r>
        <w:rPr>
          <w:spacing w:val="-17"/>
        </w:rPr>
        <w:t> </w:t>
      </w:r>
      <w:r>
        <w:rPr/>
        <w:t>贷款和应收款项</w:t>
      </w:r>
      <w:r>
        <w:rPr/>
        <w:t> </w:t>
      </w:r>
      <w:r>
        <w:rPr>
          <w:spacing w:val="-1"/>
        </w:rPr>
        <w:t>是指在活跃市场中没有报价、回收金额固定或可确定的非衍生金融资产。本公司划分为贷款和应收款的金融资产包括</w:t>
      </w:r>
    </w:p>
    <w:p>
      <w:pPr>
        <w:pStyle w:val="BodyText"/>
        <w:spacing w:line="316" w:lineRule="auto" w:before="19"/>
        <w:ind w:left="634" w:right="1122" w:hanging="480"/>
        <w:jc w:val="left"/>
      </w:pPr>
      <w:r>
        <w:rPr/>
        <w:t>应收票据、应收账款、应收利息、应收股利及其他应收款等。 </w:t>
      </w:r>
      <w:r>
        <w:rPr>
          <w:spacing w:val="-1"/>
        </w:rPr>
        <w:t>贷款和应收款项采用实际利率法，按摊余成本进行后续计量，在终止确认、发生减值或摊销时产生的利得或损失，计</w:t>
      </w:r>
    </w:p>
    <w:p>
      <w:pPr>
        <w:pStyle w:val="BodyText"/>
        <w:spacing w:line="240" w:lineRule="auto" w:before="19"/>
        <w:ind w:left="154" w:right="1122"/>
        <w:jc w:val="left"/>
      </w:pPr>
      <w:r>
        <w:rPr/>
        <w:t>入当期损益。</w:t>
      </w:r>
    </w:p>
    <w:p>
      <w:pPr>
        <w:pStyle w:val="BodyText"/>
        <w:spacing w:line="316" w:lineRule="auto" w:before="77"/>
        <w:ind w:left="634" w:right="1272"/>
        <w:jc w:val="left"/>
      </w:pPr>
      <w:r>
        <w:rPr/>
        <w:t>④</w:t>
      </w:r>
      <w:r>
        <w:rPr>
          <w:spacing w:val="-17"/>
        </w:rPr>
        <w:t> </w:t>
      </w:r>
      <w:r>
        <w:rPr/>
        <w:t>可供出售金融资产</w:t>
      </w:r>
      <w:r>
        <w:rPr/>
        <w:t> 包括初始确认时即被指定为可供出售的非衍生金融资产，以及除了以公允价值计量且其变动计入当期损益的金融资</w:t>
      </w:r>
    </w:p>
    <w:p>
      <w:pPr>
        <w:pStyle w:val="BodyText"/>
        <w:spacing w:line="316" w:lineRule="auto" w:before="19"/>
        <w:ind w:left="634" w:right="1122" w:hanging="480"/>
        <w:jc w:val="left"/>
      </w:pPr>
      <w:r>
        <w:rPr/>
        <w:t>产、贷款和应收款项、持有至到期投资以外的金融资产。 </w:t>
      </w:r>
      <w:r>
        <w:rPr>
          <w:spacing w:val="-1"/>
        </w:rPr>
        <w:t>可供出售债务工具投资的期末成本按照摊余成本法确定，即初始确认金额扣除已偿还的本金，加上或减去采用实际利</w:t>
      </w:r>
    </w:p>
    <w:p>
      <w:pPr>
        <w:pStyle w:val="BodyText"/>
        <w:spacing w:line="316" w:lineRule="auto" w:before="19"/>
        <w:ind w:left="154" w:right="1132"/>
        <w:jc w:val="both"/>
      </w:pPr>
      <w:r>
        <w:rPr>
          <w:spacing w:val="-2"/>
        </w:rPr>
        <w:t>率法将该初始确认金额与到期日金额之间的差额进行摊销形成的累计摊销额，并扣除已发生的减值损失后的金额。可供出售</w:t>
      </w:r>
      <w:r>
        <w:rPr>
          <w:spacing w:val="-64"/>
        </w:rPr>
        <w:t> </w:t>
      </w:r>
      <w:r>
        <w:rPr>
          <w:spacing w:val="-64"/>
        </w:rPr>
      </w:r>
      <w:r>
        <w:rPr/>
        <w:t>权益工具投资的期末成本为其初始取得成本。</w:t>
      </w:r>
    </w:p>
    <w:p>
      <w:pPr>
        <w:pStyle w:val="BodyText"/>
        <w:spacing w:line="316" w:lineRule="auto" w:before="19"/>
        <w:ind w:left="154" w:right="1032" w:firstLine="480"/>
        <w:jc w:val="left"/>
      </w:pPr>
      <w:r>
        <w:rPr/>
        <w:t>可供出售金融资产采用公允价值进行后续计量，公允价值变动形成的利得或损失，除减值损失和外币货币性金融资产 与摊余成本相关的汇兑差额计入当期损益外，确认为其他综合收益，在该金融资产终止确认时转出，计入当期损益。但是， </w:t>
      </w: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衍生金融资产，按照成本进行后续计量。</w:t>
      </w:r>
    </w:p>
    <w:p>
      <w:pPr>
        <w:pStyle w:val="BodyText"/>
        <w:spacing w:line="240" w:lineRule="auto" w:before="19"/>
        <w:ind w:left="634" w:right="1122"/>
        <w:jc w:val="left"/>
      </w:pPr>
      <w:r>
        <w:rPr/>
        <w:t>可供出售金融资产持有期间取得的利息及被投资单位宣告发放的现金股利，计入投资收益。</w:t>
      </w:r>
    </w:p>
    <w:p>
      <w:pPr>
        <w:pStyle w:val="BodyText"/>
        <w:spacing w:line="300" w:lineRule="auto" w:before="76"/>
        <w:ind w:left="634" w:right="1122"/>
        <w:jc w:val="left"/>
      </w:pPr>
      <w:r>
        <w:rPr/>
        <w:t>（</w:t>
      </w:r>
      <w:r>
        <w:rPr>
          <w:rFonts w:ascii="Times New Roman" w:hAnsi="Times New Roman" w:cs="Times New Roman" w:eastAsia="Times New Roman" w:hint="default"/>
        </w:rPr>
        <w:t>3</w:t>
      </w:r>
      <w:r>
        <w:rPr/>
        <w:t>）金融资产减值 </w:t>
      </w:r>
      <w:r>
        <w:rPr>
          <w:spacing w:val="-1"/>
        </w:rPr>
        <w:t>除了以公允价值计量且其变动计入当期损益的金融资产外，本公司在每个资产负债表日对其他金融资产的账面价值进</w:t>
      </w:r>
    </w:p>
    <w:p>
      <w:pPr>
        <w:pStyle w:val="BodyText"/>
        <w:spacing w:line="316" w:lineRule="auto" w:before="31"/>
        <w:ind w:left="634" w:right="1122" w:hanging="480"/>
        <w:jc w:val="left"/>
      </w:pPr>
      <w:r>
        <w:rPr/>
        <w:t>行检查，有客观证据表明金融资产发生减值的，计提减值准备。 </w:t>
      </w:r>
      <w:r>
        <w:rPr>
          <w:spacing w:val="-1"/>
        </w:rPr>
        <w:t>本公司对单项金额重大的金融资产单独进行减值测试；对单项金额不重大的金融资产，单独进行减值测试或包括在具</w:t>
      </w:r>
    </w:p>
    <w:p>
      <w:pPr>
        <w:pStyle w:val="BodyText"/>
        <w:spacing w:line="316" w:lineRule="auto" w:before="19"/>
        <w:ind w:left="154" w:right="1131"/>
        <w:jc w:val="both"/>
      </w:pPr>
      <w:r>
        <w:rPr>
          <w:spacing w:val="-2"/>
        </w:rPr>
        <w:t>有类似信用风险特征的金融资产组合中进行减值测试。单独测试未发生减值的金融资产（包括单项金额重大和不重大的金融</w:t>
      </w:r>
      <w:r>
        <w:rPr>
          <w:spacing w:val="-64"/>
        </w:rPr>
        <w:t> </w:t>
      </w:r>
      <w:r>
        <w:rPr>
          <w:spacing w:val="-64"/>
        </w:rPr>
      </w:r>
      <w:r>
        <w:rPr>
          <w:spacing w:val="-2"/>
        </w:rPr>
        <w:t>资产），包括在具有类似信用风险特征的金融资产组合中再进行减值测试。已单项确认减值损失的金融资产，不包括在具有</w:t>
      </w:r>
      <w:r>
        <w:rPr>
          <w:spacing w:val="-66"/>
        </w:rPr>
        <w:t> </w:t>
      </w:r>
      <w:r>
        <w:rPr>
          <w:spacing w:val="-66"/>
        </w:rPr>
      </w:r>
      <w:r>
        <w:rPr/>
        <w:t>类似信用风险特征的金融资产组合中进行减值测试。</w:t>
      </w:r>
    </w:p>
    <w:p>
      <w:pPr>
        <w:pStyle w:val="BodyText"/>
        <w:spacing w:line="316" w:lineRule="auto" w:before="19"/>
        <w:ind w:left="634" w:right="1122"/>
        <w:jc w:val="left"/>
      </w:pPr>
      <w:r>
        <w:rPr/>
        <w:t>①</w:t>
      </w:r>
      <w:r>
        <w:rPr>
          <w:spacing w:val="-17"/>
        </w:rPr>
        <w:t> </w:t>
      </w:r>
      <w:r>
        <w:rPr/>
        <w:t>持有至到期投资、贷款和应收款项减值</w:t>
      </w:r>
      <w:r>
        <w:rPr/>
        <w:t> </w:t>
      </w:r>
      <w:r>
        <w:rPr>
          <w:spacing w:val="-1"/>
        </w:rPr>
        <w:t>以成本或摊余成本计量的金融资产将其账面价值减记至预计未来现金流量现值，减记金额确认为减值损失，计入当期</w:t>
      </w:r>
    </w:p>
    <w:p>
      <w:pPr>
        <w:pStyle w:val="BodyText"/>
        <w:spacing w:line="316" w:lineRule="auto" w:before="19"/>
        <w:ind w:left="154" w:right="1050"/>
        <w:jc w:val="both"/>
      </w:pPr>
      <w:r>
        <w:rPr/>
        <w:t>损益。金融资产在确认减值损失后，如有客观证据表明该金融资产价值已恢复，且客观上与确认该损失后发生的事项有关， </w:t>
      </w:r>
      <w:r>
        <w:rPr>
          <w:spacing w:val="-2"/>
        </w:rPr>
        <w:t>原确认的减值损失予以转回，金融资产转回减值损失后的账面价值不超过假定不计提减值准备情况下该金融资产在转回日的</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摊余成本。</w:t>
      </w:r>
    </w:p>
    <w:p>
      <w:pPr>
        <w:pStyle w:val="BodyText"/>
        <w:spacing w:line="316" w:lineRule="auto" w:before="76"/>
        <w:ind w:left="633" w:right="1122"/>
        <w:jc w:val="left"/>
      </w:pPr>
      <w:r>
        <w:rPr/>
        <w:t>②</w:t>
      </w:r>
      <w:r>
        <w:rPr>
          <w:spacing w:val="-17"/>
        </w:rPr>
        <w:t> </w:t>
      </w:r>
      <w:r>
        <w:rPr/>
        <w:t>可供出售金融资产减值</w:t>
      </w:r>
      <w:r>
        <w:rPr/>
        <w:t> </w:t>
      </w:r>
      <w:r>
        <w:rPr>
          <w:spacing w:val="-1"/>
        </w:rPr>
        <w:t>当综合相关因素判断可供出售权益工具投资公允价值下跌是严重或非暂时性下跌时，表明该可供出售权益工具投资发</w:t>
      </w:r>
    </w:p>
    <w:p>
      <w:pPr>
        <w:pStyle w:val="BodyText"/>
        <w:spacing w:line="300" w:lineRule="auto" w:before="19"/>
        <w:ind w:left="633" w:right="1093" w:hanging="480"/>
        <w:jc w:val="left"/>
      </w:pPr>
      <w:r>
        <w:rPr/>
        <w:t>生减值。其中</w:t>
      </w:r>
      <w:r>
        <w:rPr>
          <w:rFonts w:ascii="Times New Roman" w:hAnsi="Times New Roman" w:cs="Times New Roman" w:eastAsia="Times New Roman" w:hint="default"/>
        </w:rPr>
        <w:t>“</w:t>
      </w:r>
      <w:r>
        <w:rPr/>
        <w:t>严重下跌</w:t>
      </w:r>
      <w:r>
        <w:rPr>
          <w:rFonts w:ascii="Times New Roman" w:hAnsi="Times New Roman" w:cs="Times New Roman" w:eastAsia="Times New Roman" w:hint="default"/>
        </w:rPr>
        <w:t>”</w:t>
      </w:r>
      <w:r>
        <w:rPr/>
        <w:t>是指公允价值下跌幅度累计超过</w:t>
      </w:r>
      <w:r>
        <w:rPr>
          <w:rFonts w:ascii="Times New Roman" w:hAnsi="Times New Roman" w:cs="Times New Roman" w:eastAsia="Times New Roman" w:hint="default"/>
        </w:rPr>
        <w:t>20%</w:t>
      </w:r>
      <w:r>
        <w:rPr/>
        <w:t>；</w:t>
      </w:r>
      <w:r>
        <w:rPr>
          <w:rFonts w:ascii="Times New Roman" w:hAnsi="Times New Roman" w:cs="Times New Roman" w:eastAsia="Times New Roman" w:hint="default"/>
        </w:rPr>
        <w:t>“</w:t>
      </w:r>
      <w:r>
        <w:rPr/>
        <w:t>非暂时性下跌</w:t>
      </w:r>
      <w:r>
        <w:rPr>
          <w:rFonts w:ascii="Times New Roman" w:hAnsi="Times New Roman" w:cs="Times New Roman" w:eastAsia="Times New Roman" w:hint="default"/>
        </w:rPr>
        <w:t>”</w:t>
      </w:r>
      <w:r>
        <w:rPr/>
        <w:t>是指公允价值连续下跌时间超过</w:t>
      </w:r>
      <w:r>
        <w:rPr>
          <w:rFonts w:ascii="Times New Roman" w:hAnsi="Times New Roman" w:cs="Times New Roman" w:eastAsia="Times New Roman" w:hint="default"/>
        </w:rPr>
        <w:t>12</w:t>
      </w:r>
      <w:r>
        <w:rPr/>
        <w:t>个月。 可供出售金融资产发生减值时，将原计入其他综合收益的因公允价值下降形成的累计损失予以转出并计入当期损益，</w:t>
      </w:r>
    </w:p>
    <w:p>
      <w:pPr>
        <w:pStyle w:val="BodyText"/>
        <w:spacing w:line="316" w:lineRule="auto" w:before="31"/>
        <w:ind w:right="1213"/>
        <w:jc w:val="left"/>
      </w:pPr>
      <w:r>
        <w:rPr/>
        <w:t>该转出的累计损失为该资产初始取得成本扣除已收回本金和已摊销金额、当前公允价值和原已计入损益的减值损失后的余 额。</w:t>
      </w:r>
    </w:p>
    <w:p>
      <w:pPr>
        <w:pStyle w:val="BodyText"/>
        <w:spacing w:line="316" w:lineRule="auto" w:before="19"/>
        <w:ind w:left="154" w:right="1133" w:firstLine="480"/>
        <w:jc w:val="both"/>
      </w:pPr>
      <w:r>
        <w:rPr>
          <w:spacing w:val="-1"/>
        </w:rPr>
        <w:t>在确认减值损失后，期后如有客观证据表明该金融资产价值已恢复，且客观上与确认该损失后发生的事项有关，原确</w:t>
      </w:r>
      <w:r>
        <w:rPr/>
        <w:t> </w:t>
      </w:r>
      <w:r>
        <w:rPr>
          <w:spacing w:val="-2"/>
        </w:rPr>
        <w:t>认的减值损失予以转回，可供出售权益工具投资的减值损失转回确认为其他综合收益，可供出售债务工具的减值损失转回计</w:t>
      </w:r>
      <w:r>
        <w:rPr>
          <w:spacing w:val="-64"/>
        </w:rPr>
        <w:t> </w:t>
      </w:r>
      <w:r>
        <w:rPr>
          <w:spacing w:val="-64"/>
        </w:rPr>
      </w:r>
      <w:r>
        <w:rPr/>
        <w:t>入当期损益。</w:t>
      </w:r>
    </w:p>
    <w:p>
      <w:pPr>
        <w:pStyle w:val="BodyText"/>
        <w:spacing w:line="316" w:lineRule="auto" w:before="19"/>
        <w:ind w:left="154" w:right="1131" w:firstLine="480"/>
        <w:jc w:val="both"/>
      </w:pPr>
      <w:r>
        <w:rPr>
          <w:spacing w:val="-1"/>
        </w:rPr>
        <w:t>在活跃市场中没有报价且其公允价值不能可靠计量的权益工具投资，或与该权益工具挂钩并须通过交付该权益工具结</w:t>
      </w:r>
      <w:r>
        <w:rPr/>
        <w:t> 算的衍生金融资产的减值损失，不予转回。</w:t>
      </w:r>
    </w:p>
    <w:p>
      <w:pPr>
        <w:pStyle w:val="BodyText"/>
        <w:spacing w:line="240" w:lineRule="auto" w:before="19"/>
        <w:ind w:left="634" w:right="1122"/>
        <w:jc w:val="left"/>
      </w:pPr>
      <w:r>
        <w:rPr/>
        <w:t>（</w:t>
      </w:r>
      <w:r>
        <w:rPr>
          <w:rFonts w:ascii="Times New Roman" w:hAnsi="Times New Roman" w:cs="Times New Roman" w:eastAsia="Times New Roman" w:hint="default"/>
        </w:rPr>
        <w:t>4</w:t>
      </w:r>
      <w:r>
        <w:rPr/>
        <w:t>）金融资产转移的确认依据和计量方法</w:t>
      </w:r>
    </w:p>
    <w:p>
      <w:pPr>
        <w:pStyle w:val="BodyText"/>
        <w:spacing w:line="316" w:lineRule="auto" w:before="63"/>
        <w:ind w:left="154" w:right="1026" w:firstLine="480"/>
        <w:jc w:val="left"/>
      </w:pPr>
      <w:r>
        <w:rPr>
          <w:spacing w:val="-3"/>
        </w:rPr>
        <w:t>满足下列条件之一的金融资产，予以终止确认：① </w:t>
      </w:r>
      <w:r>
        <w:rPr/>
        <w:t>收取该金融资产现金流量的合同权利终止；②</w:t>
      </w:r>
      <w:r>
        <w:rPr>
          <w:spacing w:val="-45"/>
        </w:rPr>
        <w:t> </w:t>
      </w:r>
      <w:r>
        <w:rPr/>
        <w:t>该金融资产已转移，</w:t>
      </w:r>
      <w:r>
        <w:rPr/>
        <w:t> </w:t>
      </w:r>
      <w:r>
        <w:rPr>
          <w:spacing w:val="-2"/>
        </w:rPr>
        <w:t>且将金融资产所有权上几乎所有的风险和报酬转移给转入方；③该金融资产已转移，虽然企业既没有转移也没有保留金融资</w:t>
      </w:r>
      <w:r>
        <w:rPr>
          <w:spacing w:val="-64"/>
        </w:rPr>
        <w:t> </w:t>
      </w:r>
      <w:r>
        <w:rPr>
          <w:spacing w:val="-64"/>
        </w:rPr>
      </w:r>
      <w:r>
        <w:rPr/>
        <w:t>产所有权上几乎所有的风险和报酬，但是放弃了对该金融资产的控制。</w:t>
      </w:r>
    </w:p>
    <w:p>
      <w:pPr>
        <w:pStyle w:val="BodyText"/>
        <w:spacing w:line="316" w:lineRule="auto" w:before="19"/>
        <w:ind w:left="154" w:right="1133" w:firstLine="480"/>
        <w:jc w:val="both"/>
      </w:pPr>
      <w:r>
        <w:rPr>
          <w:spacing w:val="-1"/>
        </w:rPr>
        <w:t>若企业既没有转移也没有保留金融资产所有权上几乎所有的风险和报酬，且未放弃对该金融资产的控制的，则按照继</w:t>
      </w:r>
      <w:r>
        <w:rPr/>
        <w:t> </w:t>
      </w:r>
      <w:r>
        <w:rPr>
          <w:spacing w:val="-2"/>
        </w:rPr>
        <w:t>续涉入所转移金融资产的程度确认有关金融资产，并相应确认有关负债。继续涉入所转移金融资产的程度，是指该金融资产</w:t>
      </w:r>
      <w:r>
        <w:rPr>
          <w:spacing w:val="-66"/>
        </w:rPr>
        <w:t> </w:t>
      </w:r>
      <w:r>
        <w:rPr>
          <w:spacing w:val="-66"/>
        </w:rPr>
      </w:r>
      <w:r>
        <w:rPr/>
        <w:t>价值变动使企业面临的风险水平。</w:t>
      </w:r>
    </w:p>
    <w:p>
      <w:pPr>
        <w:pStyle w:val="BodyText"/>
        <w:spacing w:line="316" w:lineRule="auto" w:before="19"/>
        <w:ind w:left="154" w:right="1133" w:firstLine="480"/>
        <w:jc w:val="both"/>
      </w:pPr>
      <w:r>
        <w:rPr>
          <w:spacing w:val="-1"/>
        </w:rPr>
        <w:t>金融资产整体转移满足终止确认条件的，将所转移金融资产的账面价值及因转移而收到的对价与原计入其他综合收益</w:t>
      </w:r>
      <w:r>
        <w:rPr/>
        <w:t> 的公允价值变动累计额之和的差额计入当期损益。</w:t>
      </w:r>
    </w:p>
    <w:p>
      <w:pPr>
        <w:pStyle w:val="BodyText"/>
        <w:spacing w:line="319" w:lineRule="auto" w:before="19"/>
        <w:ind w:left="154" w:right="1131" w:firstLine="480"/>
        <w:jc w:val="both"/>
      </w:pPr>
      <w:r>
        <w:rPr>
          <w:spacing w:val="-1"/>
        </w:rPr>
        <w:t>金融资产部分转移满足终止确认条件的，将所转移金融资产的账面价值在终止确认及未终止确认部分之间按其相对的</w:t>
      </w:r>
      <w:r>
        <w:rPr/>
        <w:t> </w:t>
      </w:r>
      <w:r>
        <w:rPr>
          <w:spacing w:val="-2"/>
        </w:rPr>
        <w:t>公允价值进行分摊，并将因转移而收到的对价与应分摊至终止确认部分的原计入其他综合收益的公允价值变动累计额之和与</w:t>
      </w:r>
      <w:r>
        <w:rPr>
          <w:spacing w:val="-64"/>
        </w:rPr>
        <w:t> </w:t>
      </w:r>
      <w:r>
        <w:rPr>
          <w:spacing w:val="-64"/>
        </w:rPr>
      </w:r>
      <w:r>
        <w:rPr/>
        <w:t>分摊的前述账面金额之差额计入当期损益。</w:t>
      </w:r>
    </w:p>
    <w:p>
      <w:pPr>
        <w:pStyle w:val="BodyText"/>
        <w:spacing w:line="316" w:lineRule="auto" w:before="17"/>
        <w:ind w:right="1133" w:firstLine="480"/>
        <w:jc w:val="both"/>
      </w:pPr>
      <w:r>
        <w:rPr>
          <w:spacing w:val="-1"/>
        </w:rPr>
        <w:t>本公司对采用附追索权方式出售的金融资产，或将持有的金融资产背书转让，需确定该金融资产所有权上几乎所有的</w:t>
      </w:r>
      <w:r>
        <w:rPr/>
        <w:t> </w:t>
      </w:r>
      <w:r>
        <w:rPr>
          <w:spacing w:val="-2"/>
        </w:rPr>
        <w:t>风险和报酬是否已经转移。已将该金融资产所有权上几乎所有的风险和报酬转移给转入方的，终止确认该金融资产；保留了</w:t>
      </w:r>
      <w:r>
        <w:rPr>
          <w:spacing w:val="-66"/>
        </w:rPr>
        <w:t> </w:t>
      </w:r>
      <w:r>
        <w:rPr>
          <w:spacing w:val="-66"/>
        </w:rPr>
      </w:r>
      <w:r>
        <w:rPr>
          <w:spacing w:val="-2"/>
        </w:rPr>
        <w:t>金融资产所有权上几乎所有的风险和报酬的，不终止确认该金融资产；既没有转移也没有保留金融资产所有权上几乎所有的</w:t>
      </w:r>
      <w:r>
        <w:rPr>
          <w:spacing w:val="-64"/>
        </w:rPr>
        <w:t> </w:t>
      </w:r>
      <w:r>
        <w:rPr>
          <w:spacing w:val="-64"/>
        </w:rPr>
      </w:r>
      <w:r>
        <w:rPr/>
        <w:t>风险和报酬的，则继续判断企业是否对该资产保留了控制，并根据前面各段所述的原则进行会计处理。</w:t>
      </w:r>
    </w:p>
    <w:p>
      <w:pPr>
        <w:pStyle w:val="BodyText"/>
        <w:spacing w:line="300" w:lineRule="auto" w:before="19"/>
        <w:ind w:left="634" w:right="1272"/>
        <w:jc w:val="left"/>
      </w:pPr>
      <w:r>
        <w:rPr/>
        <w:t>（</w:t>
      </w: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w:t>
      </w:r>
    </w:p>
    <w:p>
      <w:pPr>
        <w:pStyle w:val="BodyText"/>
        <w:spacing w:line="316" w:lineRule="auto" w:before="31"/>
        <w:ind w:left="154" w:right="1122"/>
        <w:jc w:val="left"/>
      </w:pPr>
      <w:r>
        <w:rPr>
          <w:spacing w:val="-2"/>
        </w:rPr>
        <w:t>债，以公允价值计量。对于以公允价值计量且其变动计入当期损益的金融负债，相关的交易费用直接计入当期损益；对于其</w:t>
      </w:r>
      <w:r>
        <w:rPr>
          <w:spacing w:val="-66"/>
        </w:rPr>
        <w:t> </w:t>
      </w:r>
      <w:r>
        <w:rPr>
          <w:spacing w:val="-66"/>
        </w:rPr>
      </w:r>
      <w:r>
        <w:rPr/>
        <w:t>他金融负债，相关交易费用计入初始确认金额。</w:t>
      </w:r>
    </w:p>
    <w:p>
      <w:pPr>
        <w:pStyle w:val="BodyText"/>
        <w:spacing w:line="316" w:lineRule="auto" w:before="19"/>
        <w:ind w:left="634" w:right="1272"/>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w:t>
      </w:r>
    </w:p>
    <w:p>
      <w:pPr>
        <w:pStyle w:val="BodyText"/>
        <w:spacing w:line="316" w:lineRule="auto" w:before="19"/>
        <w:ind w:left="634" w:right="1122" w:hanging="480"/>
        <w:jc w:val="left"/>
      </w:pPr>
      <w:r>
        <w:rPr/>
        <w:t>易性金融资产和在初始确认时指定为以公允价值计量且其变动计入当期损益的金融资产的条件一致。 </w:t>
      </w:r>
      <w:r>
        <w:rPr>
          <w:spacing w:val="-1"/>
        </w:rPr>
        <w:t>以公允价值计量且其变动计入当期损益的金融负债采用公允价值进行后续计量，公允价值的变动形成的利得或损失以</w:t>
      </w:r>
    </w:p>
    <w:p>
      <w:pPr>
        <w:pStyle w:val="BodyText"/>
        <w:spacing w:line="240" w:lineRule="auto" w:before="19"/>
        <w:ind w:left="154" w:right="1122"/>
        <w:jc w:val="left"/>
      </w:pPr>
      <w:r>
        <w:rPr/>
        <w:t>及与该等金融负债相关的股利和利息支出计入当期损益。</w:t>
      </w:r>
    </w:p>
    <w:p>
      <w:pPr>
        <w:pStyle w:val="BodyText"/>
        <w:spacing w:line="316" w:lineRule="auto" w:before="76"/>
        <w:ind w:left="634" w:right="1122"/>
        <w:jc w:val="left"/>
      </w:pPr>
      <w:r>
        <w:rPr/>
        <w:t>②</w:t>
      </w:r>
      <w:r>
        <w:rPr>
          <w:spacing w:val="-17"/>
        </w:rPr>
        <w:t> </w:t>
      </w:r>
      <w:r>
        <w:rPr/>
        <w:t>其他金融负债</w:t>
      </w:r>
      <w:r>
        <w:rPr/>
        <w:t> </w:t>
      </w:r>
      <w:r>
        <w:rPr>
          <w:spacing w:val="-1"/>
        </w:rPr>
        <w:t>与在活跃市场中没有报价、公允价值不能可靠计量的权益工具挂钩并须通过交付该权益工具结算的衍生金融负债，按</w:t>
      </w:r>
    </w:p>
    <w:p>
      <w:pPr>
        <w:pStyle w:val="BodyText"/>
        <w:spacing w:line="319" w:lineRule="auto" w:before="19"/>
        <w:ind w:left="154" w:right="1122"/>
        <w:jc w:val="left"/>
      </w:pPr>
      <w:r>
        <w:rPr>
          <w:spacing w:val="-2"/>
        </w:rPr>
        <w:t>照成本进行后续计量。其他金融负债采用实际利率法，按摊余成本进行后续计量，终止确认或摊销产生的利得或损失计入当</w:t>
      </w:r>
      <w:r>
        <w:rPr>
          <w:spacing w:val="-66"/>
        </w:rPr>
        <w:t> </w:t>
      </w:r>
      <w:r>
        <w:rPr>
          <w:spacing w:val="-66"/>
        </w:rPr>
      </w:r>
      <w:r>
        <w:rPr/>
        <w:t>期损益。</w:t>
      </w:r>
    </w:p>
    <w:p>
      <w:pPr>
        <w:pStyle w:val="BodyText"/>
        <w:spacing w:line="316" w:lineRule="auto" w:before="17"/>
        <w:ind w:left="634" w:right="1122"/>
        <w:jc w:val="left"/>
      </w:pPr>
      <w:r>
        <w:rPr/>
        <w:t>③</w:t>
      </w:r>
      <w:r>
        <w:rPr>
          <w:spacing w:val="-17"/>
        </w:rPr>
        <w:t> </w:t>
      </w:r>
      <w:r>
        <w:rPr/>
        <w:t>财务担保合同及贷款承诺</w:t>
      </w:r>
      <w:r>
        <w:rPr/>
        <w:t> </w:t>
      </w:r>
      <w:r>
        <w:rPr>
          <w:spacing w:val="-1"/>
        </w:rPr>
        <w:t>不属于指定为以公允价值计量且其变动计入当期损益的金融负债的财务担保合同，或没有指定为以公允价值计量且其</w:t>
      </w:r>
    </w:p>
    <w:p>
      <w:pPr>
        <w:pStyle w:val="BodyText"/>
        <w:spacing w:line="240" w:lineRule="auto" w:before="19"/>
        <w:ind w:left="154" w:right="0"/>
        <w:jc w:val="left"/>
        <w:rPr>
          <w:rFonts w:ascii="Times New Roman" w:hAnsi="Times New Roman" w:cs="Times New Roman" w:eastAsia="Times New Roman" w:hint="default"/>
        </w:rPr>
      </w:pPr>
      <w:r>
        <w:rPr/>
        <w:t>变动计入损益并将以低于市场利率贷款的贷款承诺，以公允价值进行初始确认，在初始确认后按照《企业会计准则第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p>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line="240" w:lineRule="auto" w:before="5"/>
        <w:rPr>
          <w:rFonts w:ascii="Times New Roman" w:hAnsi="Times New Roman" w:cs="Times New Roman" w:eastAsia="Times New Roman" w:hint="default"/>
          <w:sz w:val="29"/>
          <w:szCs w:val="29"/>
        </w:rPr>
      </w:pPr>
    </w:p>
    <w:p>
      <w:pPr>
        <w:pStyle w:val="BodyText"/>
        <w:spacing w:line="300" w:lineRule="auto" w:before="44"/>
        <w:ind w:left="154" w:right="1122"/>
        <w:jc w:val="left"/>
      </w:pP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收入》的原则确定的累计摊销额后的余额之中的较</w:t>
      </w:r>
      <w:r>
        <w:rPr>
          <w:spacing w:val="-64"/>
        </w:rPr>
        <w:t> </w:t>
      </w:r>
      <w:r>
        <w:rPr>
          <w:spacing w:val="-64"/>
        </w:rPr>
      </w:r>
      <w:r>
        <w:rPr/>
        <w:t>高者进行后续计量。</w:t>
      </w:r>
    </w:p>
    <w:p>
      <w:pPr>
        <w:pStyle w:val="BodyText"/>
        <w:spacing w:line="300" w:lineRule="auto" w:before="31"/>
        <w:ind w:left="634" w:right="1122"/>
        <w:jc w:val="left"/>
      </w:pPr>
      <w:r>
        <w:rPr/>
        <w:t>（</w:t>
      </w: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金融负债的现时义务全部或部分已经解除的，才能终止确认该金融负债或其一部分。本公司（债务人）与债权人之间</w:t>
      </w:r>
    </w:p>
    <w:p>
      <w:pPr>
        <w:pStyle w:val="BodyText"/>
        <w:spacing w:line="316" w:lineRule="auto" w:before="32"/>
        <w:ind w:left="154" w:right="1122"/>
        <w:jc w:val="left"/>
      </w:pPr>
      <w:r>
        <w:rPr>
          <w:spacing w:val="-2"/>
        </w:rPr>
        <w:t>签订协议，以承担新金融负债方式替换现存金融负债，且新金融负债与现存金融负债的合同条款实质上不同的，终止确认现</w:t>
      </w:r>
      <w:r>
        <w:rPr>
          <w:spacing w:val="-66"/>
        </w:rPr>
        <w:t> </w:t>
      </w:r>
      <w:r>
        <w:rPr>
          <w:spacing w:val="-66"/>
        </w:rPr>
      </w:r>
      <w:r>
        <w:rPr/>
        <w:t>存金融负债，并同时确认新金融负债。</w:t>
      </w:r>
    </w:p>
    <w:p>
      <w:pPr>
        <w:pStyle w:val="BodyText"/>
        <w:spacing w:line="316" w:lineRule="auto" w:before="19"/>
        <w:ind w:left="154" w:right="1130"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pStyle w:val="BodyText"/>
        <w:spacing w:line="300" w:lineRule="auto" w:before="19"/>
        <w:ind w:left="634" w:right="1122"/>
        <w:jc w:val="left"/>
      </w:pPr>
      <w:r>
        <w:rPr/>
        <w:t>（</w:t>
      </w:r>
      <w:r>
        <w:rPr>
          <w:rFonts w:ascii="Times New Roman" w:hAnsi="Times New Roman" w:cs="Times New Roman" w:eastAsia="Times New Roman" w:hint="default"/>
        </w:rPr>
        <w:t>7</w:t>
      </w:r>
      <w:r>
        <w:rPr/>
        <w:t>）衍生工具及嵌入衍生工具 </w:t>
      </w:r>
      <w:r>
        <w:rPr>
          <w:spacing w:val="-1"/>
        </w:rPr>
        <w:t>衍生工具于相关合同签署日以公允价值进行初始计量，并以公允价值进行后续计量。除指定为套期工具且套期高度有</w:t>
      </w:r>
    </w:p>
    <w:p>
      <w:pPr>
        <w:pStyle w:val="BodyText"/>
        <w:spacing w:line="316" w:lineRule="auto" w:before="31"/>
        <w:ind w:left="154" w:right="1122"/>
        <w:jc w:val="left"/>
      </w:pPr>
      <w:r>
        <w:rPr>
          <w:spacing w:val="-2"/>
        </w:rPr>
        <w:t>效的衍生工具，其公允价值变动形成的利得或损失将根据套期关系的性质按照套期会计的要求确定计入损益的期间外，其余</w:t>
      </w:r>
      <w:r>
        <w:rPr>
          <w:spacing w:val="-64"/>
        </w:rPr>
        <w:t> </w:t>
      </w:r>
      <w:r>
        <w:rPr>
          <w:spacing w:val="-64"/>
        </w:rPr>
      </w:r>
      <w:r>
        <w:rPr/>
        <w:t>衍生工具的公允价值变动计入当期损益。</w:t>
      </w:r>
    </w:p>
    <w:p>
      <w:pPr>
        <w:pStyle w:val="BodyText"/>
        <w:spacing w:line="316" w:lineRule="auto" w:before="19"/>
        <w:ind w:left="154" w:right="1131" w:firstLine="480"/>
        <w:jc w:val="both"/>
      </w:pPr>
      <w:r>
        <w:rPr>
          <w:spacing w:val="-1"/>
        </w:rPr>
        <w:t>对包含嵌入衍生工具的混合工具，如未指定为以公允价值计量且其变动计入当期损益的金融资产或金融负债，嵌入衍</w:t>
      </w:r>
      <w:r>
        <w:rPr/>
        <w:t> </w:t>
      </w:r>
      <w:r>
        <w:rPr>
          <w:spacing w:val="-2"/>
        </w:rPr>
        <w:t>生工具与该主合同在经济特征及风险方面不存在紧密关系，且与嵌入衍生工具条件相同，单独存在的工具符合衍生工具定义</w:t>
      </w:r>
      <w:r>
        <w:rPr>
          <w:spacing w:val="-64"/>
        </w:rPr>
        <w:t> </w:t>
      </w:r>
      <w:r>
        <w:rPr>
          <w:spacing w:val="-64"/>
        </w:rPr>
      </w:r>
      <w:r>
        <w:rPr>
          <w:spacing w:val="-2"/>
        </w:rPr>
        <w:t>的，嵌入衍生工具从混合工具中分拆，作为单独的衍生金融工具处理。如果无法在取得时或后续的资产负债表日对嵌入衍生</w:t>
      </w:r>
      <w:r>
        <w:rPr>
          <w:spacing w:val="-66"/>
        </w:rPr>
        <w:t> </w:t>
      </w:r>
      <w:r>
        <w:rPr>
          <w:spacing w:val="-66"/>
        </w:rPr>
      </w:r>
      <w:r>
        <w:rPr/>
        <w:t>工具进行单独计量，则将混合工具整体指定为以公允价值计量且其变动计入当期损益的金融资产或金融负债。</w:t>
      </w:r>
    </w:p>
    <w:p>
      <w:pPr>
        <w:pStyle w:val="BodyText"/>
        <w:spacing w:line="300" w:lineRule="auto" w:before="19"/>
        <w:ind w:left="633" w:right="1122"/>
        <w:jc w:val="left"/>
      </w:pPr>
      <w:r>
        <w:rPr/>
        <w:t>（</w:t>
      </w:r>
      <w:r>
        <w:rPr>
          <w:rFonts w:ascii="Times New Roman" w:hAnsi="Times New Roman" w:cs="Times New Roman" w:eastAsia="Times New Roman" w:hint="default"/>
        </w:rPr>
        <w:t>8</w:t>
      </w:r>
      <w:r>
        <w:rPr/>
        <w:t>）金融资产和金融负债的抵销 </w:t>
      </w:r>
      <w:r>
        <w:rPr>
          <w:spacing w:val="-1"/>
        </w:rPr>
        <w:t>当本公司具有抵销已确认金融资产和金融负债的法定权利，且目前可执行该种法定权利，同时本公司计划以净额结算</w:t>
      </w:r>
    </w:p>
    <w:p>
      <w:pPr>
        <w:pStyle w:val="BodyText"/>
        <w:spacing w:line="316" w:lineRule="auto" w:before="31"/>
        <w:ind w:right="1122"/>
        <w:jc w:val="left"/>
      </w:pPr>
      <w:r>
        <w:rPr>
          <w:spacing w:val="-2"/>
        </w:rPr>
        <w:t>或同时变现该金融资产和清偿该金融负债时，金融资产和金融负债以相互抵销后的金额在资产负债表内列示。除此以外，金</w:t>
      </w:r>
      <w:r>
        <w:rPr>
          <w:spacing w:val="-66"/>
        </w:rPr>
        <w:t> </w:t>
      </w:r>
      <w:r>
        <w:rPr>
          <w:spacing w:val="-66"/>
        </w:rPr>
      </w:r>
      <w:r>
        <w:rPr/>
        <w:t>融资产和金融负债在资产负债表内分别列示，不予相互抵销。</w:t>
      </w:r>
    </w:p>
    <w:p>
      <w:pPr>
        <w:pStyle w:val="BodyText"/>
        <w:spacing w:line="300" w:lineRule="auto" w:before="19"/>
        <w:ind w:left="633" w:right="1122"/>
        <w:jc w:val="left"/>
      </w:pPr>
      <w:r>
        <w:rPr/>
        <w:t>（</w:t>
      </w: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权益工具是指能证明拥有本公司在扣除所有负债后的资产中的剩余权益的合同。本公司发行（含再融资）、回购、出</w:t>
      </w:r>
    </w:p>
    <w:p>
      <w:pPr>
        <w:pStyle w:val="BodyText"/>
        <w:spacing w:line="316" w:lineRule="auto" w:before="32"/>
        <w:ind w:right="1122"/>
        <w:jc w:val="left"/>
      </w:pPr>
      <w:r>
        <w:rPr>
          <w:spacing w:val="-2"/>
        </w:rPr>
        <w:t>售或注销权益工具作为权益的变动处理。本公司不确认权益工具的公允价值变动。与权益性交易相关的交易费用从权益中扣</w:t>
      </w:r>
      <w:r>
        <w:rPr>
          <w:spacing w:val="-64"/>
        </w:rPr>
        <w:t> </w:t>
      </w:r>
      <w:r>
        <w:rPr>
          <w:spacing w:val="-64"/>
        </w:rPr>
      </w:r>
      <w:r>
        <w:rPr/>
        <w:t>减。</w:t>
      </w:r>
    </w:p>
    <w:p>
      <w:pPr>
        <w:pStyle w:val="BodyText"/>
        <w:spacing w:line="240" w:lineRule="auto" w:before="59"/>
        <w:ind w:left="444" w:right="0"/>
        <w:jc w:val="left"/>
      </w:pPr>
      <w:r>
        <w:rPr/>
        <w:t>本公司对权益工具持有方的各种分配（不包括股票股利），减少股东权益。本公司不确认权益工具的公允价值变动额。</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1、应收款项" w:id="181"/>
      <w:bookmarkEnd w:id="181"/>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单项金额重大并单独计提坏账准备的应收款项" w:id="182"/>
      <w:bookmarkEnd w:id="182"/>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2）按信用风险特征组合计提坏账准备的应收款项" w:id="183"/>
      <w:bookmarkEnd w:id="183"/>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无风险的组合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合并范围内公司往来款项的组合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职工周转用备用金的组合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left="154" w:right="1122"/>
        <w:jc w:val="left"/>
      </w:pPr>
      <w:r>
        <w:rPr/>
        <w:t>组合中，采用账龄分析法计提坏账准备的：</w:t>
      </w:r>
    </w:p>
    <w:p>
      <w:pPr>
        <w:pStyle w:val="BodyText"/>
        <w:spacing w:line="240" w:lineRule="auto" w:before="117"/>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组合中，采用余额百分比法计提坏账准备的：</w:t>
      </w:r>
    </w:p>
    <w:p>
      <w:pPr>
        <w:pStyle w:val="BodyText"/>
        <w:spacing w:line="340" w:lineRule="auto" w:before="116"/>
        <w:ind w:right="75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0"/>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单项金额不重大但单独计提坏账准备的应收款项" w:id="184"/>
      <w:bookmarkEnd w:id="184"/>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 低于其账面价值的差额，确认减值损失，计提坏账准备：应 收关联方款项；与对方存在争议或涉及诉讼、仲裁的应收款 项；已有明显迹象表明债务人很可能无法履行还款义务的应 收款项等等。</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个别认定法</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12、存货" w:id="185"/>
      <w:bookmarkEnd w:id="185"/>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7692"/>
        <w:jc w:val="left"/>
      </w:pPr>
      <w:r>
        <w:rPr/>
        <w:t>公司是否需要遵守特殊行业的披露要求 否</w:t>
      </w:r>
    </w:p>
    <w:p>
      <w:pPr>
        <w:pStyle w:val="BodyText"/>
        <w:spacing w:line="300" w:lineRule="auto" w:before="25"/>
        <w:ind w:left="580" w:right="4566"/>
        <w:jc w:val="left"/>
      </w:pPr>
      <w:r>
        <w:rPr/>
        <w:t>（</w:t>
      </w:r>
      <w:r>
        <w:rPr>
          <w:rFonts w:ascii="Times New Roman" w:hAnsi="Times New Roman" w:cs="Times New Roman" w:eastAsia="Times New Roman" w:hint="default"/>
        </w:rPr>
        <w:t>1</w:t>
      </w:r>
      <w:r>
        <w:rPr/>
        <w:t>）存货的分类 存货主要包括原材料、委托加工物资、在产品、周转材料、库存商品等。</w:t>
      </w:r>
    </w:p>
    <w:p>
      <w:pPr>
        <w:pStyle w:val="BodyText"/>
        <w:spacing w:line="300" w:lineRule="auto" w:before="31"/>
        <w:ind w:left="580" w:right="1326"/>
        <w:jc w:val="left"/>
      </w:pPr>
      <w:r>
        <w:rPr/>
        <w:t>（</w:t>
      </w:r>
      <w:r>
        <w:rPr>
          <w:rFonts w:ascii="Times New Roman" w:hAnsi="Times New Roman" w:cs="Times New Roman" w:eastAsia="Times New Roman" w:hint="default"/>
        </w:rPr>
        <w:t>2</w:t>
      </w:r>
      <w:r>
        <w:rPr/>
        <w:t>）存货取得和发出的计价方法 存货在取得时按实际成本计价，存货成本包括采购成本、加工成本和其他成本。领用和发出时按加权平均法计价。</w:t>
      </w:r>
    </w:p>
    <w:p>
      <w:pPr>
        <w:pStyle w:val="BodyText"/>
        <w:spacing w:line="300" w:lineRule="auto" w:before="31"/>
        <w:ind w:left="580" w:right="1146"/>
        <w:jc w:val="left"/>
      </w:pPr>
      <w:r>
        <w:rPr/>
        <w:t>（</w:t>
      </w:r>
      <w:r>
        <w:rPr>
          <w:rFonts w:ascii="Times New Roman" w:hAnsi="Times New Roman" w:cs="Times New Roman" w:eastAsia="Times New Roman" w:hint="default"/>
        </w:rPr>
        <w:t>3</w:t>
      </w:r>
      <w:r>
        <w:rPr/>
        <w:t>）存货可变现净值的确认和跌价准备的计提方法 可变现净值是指在日常活动中，存货的估计售价减去至完工时估计将要发生的成本、估计的销售费用以及相关税费后</w:t>
      </w:r>
    </w:p>
    <w:p>
      <w:pPr>
        <w:pStyle w:val="BodyText"/>
        <w:spacing w:line="316" w:lineRule="auto" w:before="31"/>
        <w:ind w:left="580" w:right="0" w:hanging="426"/>
        <w:jc w:val="left"/>
      </w:pPr>
      <w:r>
        <w:rPr>
          <w:spacing w:val="-4"/>
        </w:rPr>
        <w:t>的金额。在确定存货的可变现净值时，以取得的确凿证据为基础，同时考虑持有存货的目的以及资产负债表日后事项的影响。</w:t>
      </w:r>
      <w:r>
        <w:rPr>
          <w:spacing w:val="-44"/>
        </w:rPr>
        <w:t> </w:t>
      </w:r>
      <w:r>
        <w:rPr>
          <w:spacing w:val="-44"/>
        </w:rPr>
      </w:r>
      <w:r>
        <w:rPr/>
        <w:t>在资产负债表日，存货按照成本与可变现净值孰低计量。当其可变现净值低于成本时，提取存货跌价准备。存货跌价</w:t>
      </w:r>
    </w:p>
    <w:p>
      <w:pPr>
        <w:pStyle w:val="BodyText"/>
        <w:spacing w:line="316" w:lineRule="auto" w:before="19"/>
        <w:ind w:left="154" w:right="1131"/>
        <w:jc w:val="both"/>
      </w:pPr>
      <w:r>
        <w:rPr>
          <w:spacing w:val="-2"/>
        </w:rPr>
        <w:t>准备通常按单个存货项目的成本高于其可变现净值的差额提取。对于数量繁多、单价较低的存货，按存货类别计提存货跌价</w:t>
      </w:r>
      <w:r>
        <w:rPr>
          <w:spacing w:val="-65"/>
        </w:rPr>
        <w:t> </w:t>
      </w:r>
      <w:r>
        <w:rPr>
          <w:spacing w:val="-65"/>
        </w:rPr>
      </w:r>
      <w:r>
        <w:rPr>
          <w:spacing w:val="-2"/>
        </w:rPr>
        <w:t>准备；对在同一地区生产和销售的产品系列相关、具有相同或类似最终用途或目的，且难以与其他项目分开计量的存货，可</w:t>
      </w:r>
      <w:r>
        <w:rPr>
          <w:spacing w:val="-66"/>
        </w:rPr>
        <w:t> </w:t>
      </w:r>
      <w:r>
        <w:rPr>
          <w:spacing w:val="-66"/>
        </w:rPr>
      </w:r>
      <w:r>
        <w:rPr/>
        <w:t>合并计提存货跌价准备。</w:t>
      </w:r>
    </w:p>
    <w:p>
      <w:pPr>
        <w:pStyle w:val="BodyText"/>
        <w:spacing w:line="316" w:lineRule="auto" w:before="19"/>
        <w:ind w:left="154" w:right="1146" w:firstLine="426"/>
        <w:jc w:val="left"/>
      </w:pPr>
      <w:r>
        <w:rPr/>
        <w:t>计提存货跌价准备后，如果以前减记存货价值的影响因素已经消失，导致存货的可变现净值高于其账面价值的，在原 已计提的存货跌价准备金额内予以转回，转回的金额计入当期损益。</w:t>
      </w:r>
    </w:p>
    <w:p>
      <w:pPr>
        <w:pStyle w:val="BodyText"/>
        <w:spacing w:line="240" w:lineRule="auto" w:before="19"/>
        <w:ind w:left="580" w:right="1122"/>
        <w:jc w:val="left"/>
      </w:pPr>
      <w:r>
        <w:rPr/>
        <w:t>（</w:t>
      </w:r>
      <w:r>
        <w:rPr>
          <w:rFonts w:ascii="Times New Roman" w:hAnsi="Times New Roman" w:cs="Times New Roman" w:eastAsia="Times New Roman" w:hint="default"/>
        </w:rPr>
        <w:t>4</w:t>
      </w:r>
      <w:r>
        <w:rPr/>
        <w:t>）存货的盘存制度为永续盘存制。</w:t>
      </w:r>
    </w:p>
    <w:p>
      <w:pPr>
        <w:pStyle w:val="BodyText"/>
        <w:spacing w:line="340" w:lineRule="auto" w:before="63"/>
        <w:ind w:left="444" w:right="4342" w:firstLine="135"/>
        <w:jc w:val="left"/>
      </w:pPr>
      <w:r>
        <w:rPr/>
        <w:t>（</w:t>
      </w:r>
      <w:r>
        <w:rPr>
          <w:rFonts w:ascii="Times New Roman" w:hAnsi="Times New Roman" w:cs="Times New Roman" w:eastAsia="Times New Roman" w:hint="default"/>
        </w:rPr>
        <w:t>5</w:t>
      </w:r>
      <w:r>
        <w:rPr/>
        <w:t>）低值易耗品和包装物的摊销方法 低值易耗品于领用时按分次摊销法摊销；包装物于领用时按分次摊销法摊销。</w:t>
      </w:r>
    </w:p>
    <w:p>
      <w:pPr>
        <w:spacing w:line="240" w:lineRule="auto" w:before="1"/>
        <w:rPr>
          <w:rFonts w:ascii="宋体" w:hAnsi="宋体" w:cs="宋体" w:eastAsia="宋体" w:hint="default"/>
          <w:sz w:val="21"/>
          <w:szCs w:val="21"/>
        </w:rPr>
      </w:pPr>
    </w:p>
    <w:p>
      <w:pPr>
        <w:pStyle w:val="Heading3"/>
        <w:spacing w:line="240" w:lineRule="auto"/>
        <w:ind w:left="154" w:right="0"/>
        <w:jc w:val="both"/>
        <w:rPr>
          <w:b w:val="0"/>
          <w:bCs w:val="0"/>
        </w:rPr>
      </w:pPr>
      <w:bookmarkStart w:name="13、持有待售资产" w:id="186"/>
      <w:bookmarkEnd w:id="186"/>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8"/>
        <w:rPr>
          <w:rFonts w:ascii="宋体" w:hAnsi="宋体" w:cs="宋体" w:eastAsia="宋体" w:hint="default"/>
          <w:b/>
          <w:bCs/>
          <w:sz w:val="26"/>
          <w:szCs w:val="26"/>
        </w:rPr>
      </w:pPr>
    </w:p>
    <w:p>
      <w:pPr>
        <w:pStyle w:val="BodyText"/>
        <w:spacing w:line="314" w:lineRule="auto"/>
        <w:ind w:right="1132" w:firstLine="290"/>
        <w:jc w:val="both"/>
      </w:pPr>
      <w:r>
        <w:rPr>
          <w:spacing w:val="-1"/>
        </w:rPr>
        <w:t>本公司若主要通过出售（包括具有商业实质的非货币性资产交换，下同）而非持续使用一项非流动资产或处置组收回其</w:t>
      </w:r>
      <w:r>
        <w:rPr/>
        <w:t> </w:t>
      </w:r>
      <w:r>
        <w:rPr>
          <w:spacing w:val="-2"/>
        </w:rPr>
        <w:t>账面价值的，则将其划分为持有待售类别。具体标准为同时满足以下条件：某项非流动资产或处置组根据类似交易中出售此</w:t>
      </w:r>
      <w:r>
        <w:rPr>
          <w:spacing w:val="-66"/>
        </w:rPr>
        <w:t> </w:t>
      </w:r>
      <w:r>
        <w:rPr>
          <w:spacing w:val="-66"/>
        </w:rPr>
      </w:r>
      <w:r>
        <w:rPr>
          <w:spacing w:val="-2"/>
        </w:rPr>
        <w:t>类资产或处置组的惯例，在当前状况下即可立即出售；本公司已经就出售计划作出决议且获得确定的购买承诺；预计出售将</w:t>
      </w:r>
      <w:r>
        <w:rPr>
          <w:spacing w:val="-66"/>
        </w:rPr>
        <w:t> </w:t>
      </w:r>
      <w:r>
        <w:rPr>
          <w:spacing w:val="-66"/>
        </w:rPr>
      </w:r>
      <w:r>
        <w:rPr>
          <w:spacing w:val="-2"/>
        </w:rPr>
        <w:t>在一年内完成。其中，处置组是指在一项交易中作为整体通过出售或其他方式一并处置的一组资产，以及在该交易中转让的</w:t>
      </w:r>
      <w:r>
        <w:rPr>
          <w:spacing w:val="-66"/>
        </w:rPr>
        <w:t> </w:t>
      </w:r>
      <w:r>
        <w:rPr>
          <w:spacing w:val="-66"/>
        </w:rPr>
      </w:r>
      <w:r>
        <w:rPr/>
        <w:t>与这些资产直接相关的负债。处置组所属的资产组或资产组组合按照《企业会计准则第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w:t>
      </w:r>
      <w:r>
        <w:rPr>
          <w:rFonts w:ascii="Times New Roman" w:hAnsi="Times New Roman" w:cs="Times New Roman" w:eastAsia="Times New Roman" w:hint="default"/>
        </w:rPr>
        <w:t>——</w:t>
      </w:r>
      <w:r>
        <w:rPr/>
        <w:t>资产减值》分摊了企业合 并中取得的商誉的，该处置组应当包含分摊至处置组的商誉。</w:t>
      </w:r>
    </w:p>
    <w:p>
      <w:pPr>
        <w:spacing w:after="0" w:line="314"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033" w:firstLine="290"/>
        <w:jc w:val="left"/>
      </w:pPr>
      <w:r>
        <w:rPr/>
        <w:t>本公司初始计量或在资产负债表日重新计量划分为持有待售的非流动资产和处置组时，其账面价值高于公允价值减去出 售费用后的净额的，将账面价值减记至公允价值减去出售费用后的净额，减记的金额确认为资产减值损失，计入当期损益， </w:t>
      </w:r>
      <w:r>
        <w:rPr>
          <w:spacing w:val="-2"/>
        </w:rPr>
        <w:t>同时计提持有待售资产减值准备。对于处置组，所确认的资产减值损失先抵减处置组中商誉的账面价值，再按比例抵减该处</w:t>
      </w:r>
      <w:r>
        <w:rPr>
          <w:spacing w:val="-66"/>
        </w:rPr>
        <w:t> </w:t>
      </w:r>
      <w:r>
        <w:rPr>
          <w:spacing w:val="-66"/>
        </w:rPr>
      </w:r>
      <w:r>
        <w:rPr>
          <w:spacing w:val="-2"/>
        </w:rPr>
        <w:t>置组内适用《企业会计准则第</w:t>
      </w:r>
      <w:r>
        <w:rPr>
          <w:rFonts w:ascii="Times New Roman" w:hAnsi="Times New Roman" w:cs="Times New Roman" w:eastAsia="Times New Roman" w:hint="default"/>
          <w:spacing w:val="-2"/>
        </w:rPr>
        <w:t>42</w:t>
      </w:r>
      <w:r>
        <w:rPr>
          <w:spacing w:val="-2"/>
        </w:rPr>
        <w:t>号</w:t>
      </w:r>
      <w:r>
        <w:rPr>
          <w:rFonts w:ascii="Times New Roman" w:hAnsi="Times New Roman" w:cs="Times New Roman" w:eastAsia="Times New Roman" w:hint="default"/>
          <w:spacing w:val="-2"/>
        </w:rPr>
        <w:t>——</w:t>
      </w:r>
      <w:r>
        <w:rPr>
          <w:spacing w:val="-2"/>
        </w:rPr>
        <w:t>持有待售的非流动资产、处置组和终止经营》（以下简称</w:t>
      </w:r>
      <w:r>
        <w:rPr>
          <w:rFonts w:ascii="Times New Roman" w:hAnsi="Times New Roman" w:cs="Times New Roman" w:eastAsia="Times New Roman" w:hint="default"/>
          <w:spacing w:val="-2"/>
        </w:rPr>
        <w:t>“</w:t>
      </w:r>
      <w:r>
        <w:rPr>
          <w:spacing w:val="-2"/>
        </w:rPr>
        <w:t>持有待售准则</w:t>
      </w:r>
      <w:r>
        <w:rPr>
          <w:rFonts w:ascii="Times New Roman" w:hAnsi="Times New Roman" w:cs="Times New Roman" w:eastAsia="Times New Roman" w:hint="default"/>
          <w:spacing w:val="-2"/>
        </w:rPr>
        <w:t>”</w:t>
      </w:r>
      <w:r>
        <w:rPr>
          <w:spacing w:val="-2"/>
        </w:rPr>
        <w:t>）的计量规</w:t>
      </w:r>
      <w:r>
        <w:rPr>
          <w:spacing w:val="-42"/>
        </w:rPr>
        <w:t> </w:t>
      </w:r>
      <w:r>
        <w:rPr>
          <w:spacing w:val="-42"/>
        </w:rPr>
      </w:r>
      <w:r>
        <w:rPr>
          <w:spacing w:val="-2"/>
        </w:rPr>
        <w:t>定的各项非流动资产的账面价值。后续资产负债表日持有待售的处置组公允价值减去出售费用后的净额增加的，以前减记的</w:t>
      </w:r>
      <w:r>
        <w:rPr>
          <w:spacing w:val="-64"/>
        </w:rPr>
        <w:t> </w:t>
      </w:r>
      <w:r>
        <w:rPr>
          <w:spacing w:val="-64"/>
        </w:rPr>
      </w:r>
      <w:r>
        <w:rPr/>
        <w:t>金额应当予以恢复，并在划分为持有待售类别后适用持有待售准则计量规定的非流动资产确认的资产减值损失金额内转回， </w:t>
      </w:r>
      <w:r>
        <w:rPr>
          <w:spacing w:val="-2"/>
        </w:rPr>
        <w:t>转回金额计入当期损益，并根据处置组中除商誉外适用持有待售准则计量规定的各项非流动资产账面价值所占比重按比例增</w:t>
      </w:r>
      <w:r>
        <w:rPr>
          <w:spacing w:val="-64"/>
        </w:rPr>
        <w:t> </w:t>
      </w:r>
      <w:r>
        <w:rPr>
          <w:spacing w:val="-64"/>
        </w:rPr>
      </w:r>
      <w:r>
        <w:rPr>
          <w:spacing w:val="-2"/>
        </w:rPr>
        <w:t>加其账面价值；已抵减的商誉账面价值，以及适用持有待售准则计量规定的非流动资产在划分为持有待售类别前确认的资产</w:t>
      </w:r>
      <w:r>
        <w:rPr>
          <w:spacing w:val="-64"/>
        </w:rPr>
        <w:t> </w:t>
      </w:r>
      <w:r>
        <w:rPr>
          <w:spacing w:val="-64"/>
        </w:rPr>
      </w:r>
      <w:r>
        <w:rPr/>
        <w:t>减值损失不得转回。</w:t>
      </w:r>
    </w:p>
    <w:p>
      <w:pPr>
        <w:pStyle w:val="BodyText"/>
        <w:spacing w:line="316" w:lineRule="auto" w:before="19"/>
        <w:ind w:right="1122" w:firstLine="290"/>
        <w:jc w:val="left"/>
      </w:pPr>
      <w:r>
        <w:rPr>
          <w:spacing w:val="-1"/>
        </w:rPr>
        <w:t>持有待售的非流动资产或处置组中的非流动资产不计提折旧或摊销，持有待售的处置组中负债的利息和其他费用继续予</w:t>
      </w:r>
      <w:r>
        <w:rPr/>
        <w:t> 以确认。</w:t>
      </w:r>
    </w:p>
    <w:p>
      <w:pPr>
        <w:pStyle w:val="BodyText"/>
        <w:spacing w:line="309" w:lineRule="auto" w:before="59"/>
        <w:ind w:right="1130" w:firstLine="290"/>
        <w:jc w:val="both"/>
      </w:pPr>
      <w:r>
        <w:rPr>
          <w:spacing w:val="-1"/>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w:t>
      </w:r>
      <w:r>
        <w:rPr>
          <w:spacing w:val="-82"/>
        </w:rPr>
        <w:t> </w:t>
      </w:r>
      <w:r>
        <w:rPr>
          <w:spacing w:val="-82"/>
        </w:rPr>
      </w:r>
      <w:r>
        <w:rPr/>
        <w:t>售类别情况下本应确认的折旧、摊销或减值等进行调整后的金额；（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bookmarkStart w:name="14、长期股权投资" w:id="187"/>
      <w:bookmarkEnd w:id="187"/>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1" w:firstLine="426"/>
        <w:jc w:val="both"/>
      </w:pPr>
      <w:r>
        <w:rPr/>
        <w:t>本部分所指的长期股权投资是指本公司对被投资单位具有控制、共同控制或重大影响的长期股权投资。本公司对被投 </w:t>
      </w:r>
      <w:r>
        <w:rPr>
          <w:spacing w:val="-2"/>
        </w:rPr>
        <w:t>资单位不具有控制、共同控制或重大影响的长期股权投资，作为可供出售金融资产或以公允价值计量且其变动计入当期损益</w:t>
      </w:r>
      <w:r>
        <w:rPr>
          <w:spacing w:val="-64"/>
        </w:rPr>
        <w:t> </w:t>
      </w:r>
      <w:r>
        <w:rPr>
          <w:spacing w:val="-64"/>
        </w:rPr>
      </w:r>
      <w:r>
        <w:rPr/>
        <w:t>的金融资产核算，其会计政策详见附注五、</w:t>
      </w:r>
      <w:r>
        <w:rPr>
          <w:rFonts w:ascii="Times New Roman" w:hAnsi="Times New Roman" w:cs="Times New Roman" w:eastAsia="Times New Roman" w:hint="default"/>
        </w:rPr>
        <w:t>10“</w:t>
      </w:r>
      <w:r>
        <w:rPr/>
        <w:t>金融工具</w:t>
      </w:r>
      <w:r>
        <w:rPr>
          <w:rFonts w:ascii="Times New Roman" w:hAnsi="Times New Roman" w:cs="Times New Roman" w:eastAsia="Times New Roman" w:hint="default"/>
        </w:rPr>
        <w:t>”</w:t>
      </w:r>
      <w:r>
        <w:rPr/>
        <w:t>。</w:t>
      </w:r>
    </w:p>
    <w:p>
      <w:pPr>
        <w:pStyle w:val="BodyText"/>
        <w:spacing w:line="319" w:lineRule="auto"/>
        <w:ind w:right="1133" w:firstLine="426"/>
        <w:jc w:val="both"/>
      </w:pPr>
      <w:r>
        <w:rPr/>
        <w:t>共同控制，是指本公司按照相关约定对某项安排所共有的控制，并且该安排的相关活动必须经过分享控制权的参与方 </w:t>
      </w:r>
      <w:r>
        <w:rPr>
          <w:spacing w:val="-2"/>
        </w:rPr>
        <w:t>一致同意后才能决策。重大影响，是指本公司对被投资单位的财务和经营政策有参与决策的权力，但并不能够控制或者与其</w:t>
      </w:r>
      <w:r>
        <w:rPr>
          <w:spacing w:val="-66"/>
        </w:rPr>
        <w:t> </w:t>
      </w:r>
      <w:r>
        <w:rPr>
          <w:spacing w:val="-66"/>
        </w:rPr>
      </w:r>
      <w:r>
        <w:rPr/>
        <w:t>他方一起共同控制这些政策的制定。</w:t>
      </w:r>
    </w:p>
    <w:p>
      <w:pPr>
        <w:pStyle w:val="BodyText"/>
        <w:spacing w:line="300" w:lineRule="auto" w:before="17"/>
        <w:ind w:left="580" w:right="1146"/>
        <w:jc w:val="left"/>
      </w:pPr>
      <w:r>
        <w:rPr/>
        <w:t>（</w:t>
      </w:r>
      <w:r>
        <w:rPr>
          <w:rFonts w:ascii="Times New Roman" w:hAnsi="Times New Roman" w:cs="Times New Roman" w:eastAsia="Times New Roman" w:hint="default"/>
        </w:rPr>
        <w:t>1</w:t>
      </w:r>
      <w:r>
        <w:rPr/>
        <w:t>）投资成本的确定 对于同一控制下的企业合并取得的长期股权投资，在合并日按照被合并方所有者权益在最终控制方合并财务报表中的</w:t>
      </w:r>
    </w:p>
    <w:p>
      <w:pPr>
        <w:pStyle w:val="BodyText"/>
        <w:spacing w:line="314" w:lineRule="auto" w:before="31"/>
        <w:ind w:right="1131"/>
        <w:jc w:val="both"/>
      </w:pPr>
      <w:r>
        <w:rPr>
          <w:spacing w:val="-2"/>
        </w:rPr>
        <w:t>账面价值的份额作为长期股权投资的初始投资成本。长期股权投资初始投资成本与支付的现金、转让的非现金资产以及所承</w:t>
      </w:r>
      <w:r>
        <w:rPr>
          <w:spacing w:val="-64"/>
        </w:rPr>
        <w:t> </w:t>
      </w:r>
      <w:r>
        <w:rPr>
          <w:spacing w:val="-64"/>
        </w:rPr>
      </w:r>
      <w:r>
        <w:rPr>
          <w:spacing w:val="-2"/>
        </w:rPr>
        <w:t>担债务账面价值之间的差额，调整资本公积；资本公积不足冲减的，调整留存收益。以发行权益性证券作为合并对价的，在</w:t>
      </w:r>
      <w:r>
        <w:rPr>
          <w:spacing w:val="-66"/>
        </w:rPr>
        <w:t> </w:t>
      </w:r>
      <w:r>
        <w:rPr>
          <w:spacing w:val="-66"/>
        </w:rPr>
      </w:r>
      <w:r>
        <w:rPr>
          <w:spacing w:val="-2"/>
        </w:rPr>
        <w:t>合并日按照被合并方所有者权益在最终控制方合并财务报表中的账面价值的份额作为长期股权投资的初始投资成本，按照发</w:t>
      </w:r>
      <w:r>
        <w:rPr>
          <w:spacing w:val="-64"/>
        </w:rPr>
        <w:t> </w:t>
      </w:r>
      <w:r>
        <w:rPr>
          <w:spacing w:val="-64"/>
        </w:rPr>
      </w:r>
      <w:r>
        <w:rPr>
          <w:spacing w:val="-2"/>
        </w:rPr>
        <w:t>行股份的面值总额作为股本，长期股权投资初始投资成本与所发行股份面值总额之间的差额，调整资本公积；资本公积不足</w:t>
      </w:r>
      <w:r>
        <w:rPr>
          <w:spacing w:val="-66"/>
        </w:rPr>
        <w:t> </w:t>
      </w:r>
      <w:r>
        <w:rPr>
          <w:spacing w:val="-66"/>
        </w:rPr>
      </w:r>
      <w:r>
        <w:rPr>
          <w:spacing w:val="-2"/>
        </w:rPr>
        <w:t>冲减的，调整留存收益。通过多次交易分步取得同一控制下被合并方的股权，最终形成同一控制下企业合并的，应分别是否</w:t>
      </w:r>
      <w:r>
        <w:rPr>
          <w:spacing w:val="-66"/>
        </w:rPr>
        <w:t> </w:t>
      </w:r>
      <w:r>
        <w:rPr>
          <w:spacing w:val="-66"/>
        </w:rPr>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进行处理：属于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的，将各项交易作为一项取得控制权的交易进行会计处理。不属于</w:t>
      </w:r>
      <w:r>
        <w:rPr>
          <w:rFonts w:ascii="Times New Roman" w:hAnsi="Times New Roman" w:cs="Times New Roman" w:eastAsia="Times New Roman" w:hint="default"/>
        </w:rPr>
        <w:t>“</w:t>
      </w:r>
      <w:r>
        <w:rPr/>
        <w:t>一揽子 交易</w:t>
      </w:r>
      <w:r>
        <w:rPr>
          <w:rFonts w:ascii="Times New Roman" w:hAnsi="Times New Roman" w:cs="Times New Roman" w:eastAsia="Times New Roman" w:hint="default"/>
        </w:rPr>
        <w:t>”</w:t>
      </w:r>
      <w:r>
        <w:rPr/>
        <w:t>的，在合并日按照应享有被合并方所有者权益在最终控制方合并财务报表中的账面价值的份额作为长期股权投资的初 </w:t>
      </w:r>
      <w:r>
        <w:rPr>
          <w:spacing w:val="-2"/>
        </w:rPr>
        <w:t>始投资成本，长期股权投资初始投资成本与达到合并前的长期股权投资账面价值加上合并日进一步取得股份新支付对价的账</w:t>
      </w:r>
      <w:r>
        <w:rPr>
          <w:spacing w:val="-64"/>
        </w:rPr>
        <w:t> </w:t>
      </w:r>
      <w:r>
        <w:rPr>
          <w:spacing w:val="-64"/>
        </w:rPr>
      </w:r>
      <w:r>
        <w:rPr>
          <w:spacing w:val="-2"/>
        </w:rPr>
        <w:t>面价值之和的差额，调整资本公积；资本公积不足冲减的，调整留存收益。合并日之前持有的股权投资因采用权益法核算或</w:t>
      </w:r>
      <w:r>
        <w:rPr>
          <w:spacing w:val="-66"/>
        </w:rPr>
        <w:t> </w:t>
      </w:r>
      <w:r>
        <w:rPr>
          <w:spacing w:val="-66"/>
        </w:rPr>
      </w:r>
      <w:r>
        <w:rPr/>
        <w:t>为可供出售金融资产而确认的其他综合收益，暂不进行会计处理。</w:t>
      </w:r>
    </w:p>
    <w:p>
      <w:pPr>
        <w:pStyle w:val="BodyText"/>
        <w:spacing w:line="312" w:lineRule="auto" w:before="20"/>
        <w:ind w:left="154" w:right="1130" w:firstLine="426"/>
        <w:jc w:val="both"/>
      </w:pPr>
      <w:r>
        <w:rPr/>
        <w:t>对于非同一控制下的企业合并取得的长期股权投资，在购买日按照合并成本作为长期股权投资的初始投资成本，合并 </w:t>
      </w:r>
      <w:r>
        <w:rPr>
          <w:spacing w:val="-2"/>
        </w:rPr>
        <w:t>成本包括购买方付出的资产、发生或承担的负债、发行的权益性证券的公允价值之和。通过多次交易分步取得被购买方的股</w:t>
      </w:r>
      <w:r>
        <w:rPr>
          <w:spacing w:val="-66"/>
        </w:rPr>
        <w:t> </w:t>
      </w:r>
      <w:r>
        <w:rPr>
          <w:spacing w:val="-66"/>
        </w:rPr>
      </w:r>
      <w:r>
        <w:rPr>
          <w:spacing w:val="-1"/>
        </w:rPr>
        <w:t>权，最终形成非同一控制下的企业合并的，应分别是否属于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进行处理：属于</w:t>
      </w:r>
      <w:r>
        <w:rPr>
          <w:rFonts w:ascii="Times New Roman" w:hAnsi="Times New Roman" w:cs="Times New Roman" w:eastAsia="Times New Roman" w:hint="default"/>
          <w:spacing w:val="-1"/>
        </w:rPr>
        <w:t>“</w:t>
      </w:r>
      <w:r>
        <w:rPr>
          <w:spacing w:val="-1"/>
        </w:rPr>
        <w:t>一揽子交易</w:t>
      </w:r>
      <w:r>
        <w:rPr>
          <w:rFonts w:ascii="Times New Roman" w:hAnsi="Times New Roman" w:cs="Times New Roman" w:eastAsia="Times New Roman" w:hint="default"/>
          <w:spacing w:val="-1"/>
        </w:rPr>
        <w:t>”</w:t>
      </w:r>
      <w:r>
        <w:rPr>
          <w:spacing w:val="-1"/>
        </w:rPr>
        <w:t>的，将各项交易作为</w:t>
      </w:r>
      <w:r>
        <w:rPr>
          <w:spacing w:val="-78"/>
        </w:rPr>
        <w:t> </w:t>
      </w:r>
      <w:r>
        <w:rPr>
          <w:spacing w:val="-78"/>
        </w:rPr>
      </w:r>
      <w:r>
        <w:rPr>
          <w:spacing w:val="-2"/>
        </w:rPr>
        <w:t>一项取得控制权的交易进行会计处理。不属于</w:t>
      </w:r>
      <w:r>
        <w:rPr>
          <w:rFonts w:ascii="Times New Roman" w:hAnsi="Times New Roman" w:cs="Times New Roman" w:eastAsia="Times New Roman" w:hint="default"/>
          <w:spacing w:val="-2"/>
        </w:rPr>
        <w:t>“</w:t>
      </w:r>
      <w:r>
        <w:rPr>
          <w:spacing w:val="-2"/>
        </w:rPr>
        <w:t>一揽子交易</w:t>
      </w:r>
      <w:r>
        <w:rPr>
          <w:rFonts w:ascii="Times New Roman" w:hAnsi="Times New Roman" w:cs="Times New Roman" w:eastAsia="Times New Roman" w:hint="default"/>
          <w:spacing w:val="-2"/>
        </w:rPr>
        <w:t>”</w:t>
      </w:r>
      <w:r>
        <w:rPr>
          <w:spacing w:val="-2"/>
        </w:rPr>
        <w:t>的，按照原持有被购买方的股权投资账面价值加上新增投资成本</w:t>
      </w:r>
      <w:r>
        <w:rPr>
          <w:spacing w:val="-44"/>
        </w:rPr>
        <w:t> </w:t>
      </w:r>
      <w:r>
        <w:rPr>
          <w:spacing w:val="-44"/>
        </w:rPr>
      </w:r>
      <w:r>
        <w:rPr>
          <w:spacing w:val="-2"/>
        </w:rPr>
        <w:t>之和，作为改按成本法核算的长期股权投资的初始投资成本。原持有的股权采用权益法核算的，相关其他综合收益暂不进行</w:t>
      </w:r>
      <w:r>
        <w:rPr>
          <w:spacing w:val="-65"/>
        </w:rPr>
        <w:t> </w:t>
      </w:r>
      <w:r>
        <w:rPr>
          <w:spacing w:val="-65"/>
        </w:rPr>
      </w:r>
      <w:r>
        <w:rPr>
          <w:spacing w:val="-2"/>
        </w:rPr>
        <w:t>会计处理。原持有股权投资为可供出售金融资产的，其公允价值与账面价值之间的差额，以及原计入其他综合收益的累计公</w:t>
      </w:r>
      <w:r>
        <w:rPr>
          <w:spacing w:val="-66"/>
        </w:rPr>
        <w:t> </w:t>
      </w:r>
      <w:r>
        <w:rPr>
          <w:spacing w:val="-66"/>
        </w:rPr>
      </w:r>
      <w:r>
        <w:rPr/>
        <w:t>允价值变动转入当期损益。</w:t>
      </w:r>
    </w:p>
    <w:p>
      <w:pPr>
        <w:pStyle w:val="BodyText"/>
        <w:spacing w:line="316" w:lineRule="auto" w:before="22"/>
        <w:ind w:left="154" w:right="1164" w:firstLine="426"/>
        <w:jc w:val="both"/>
      </w:pPr>
      <w:r>
        <w:rPr/>
        <w:t>合并方或购买方为企业合并发生的审计、法律服务、评估咨询等中介费用以及其他相关管理费用，于发生时计入当期 损益。</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4" w:lineRule="auto" w:before="44"/>
        <w:ind w:right="1131" w:firstLine="426"/>
        <w:jc w:val="both"/>
      </w:pPr>
      <w:r>
        <w:rPr/>
        <w:t>除企业合并形成的长期股权投资外的其他股权投资，按成本进行初始计量，该成本视长期股权投资取得方式的不同， </w:t>
      </w:r>
      <w:r>
        <w:rPr>
          <w:spacing w:val="-2"/>
        </w:rPr>
        <w:t>分别按照本公司实际支付的现金购买价款、本公司发行的权益性证券的公允价值、投资合同或协议约定的价值、非货币性资</w:t>
      </w:r>
      <w:r>
        <w:rPr>
          <w:spacing w:val="-66"/>
        </w:rPr>
        <w:t> </w:t>
      </w:r>
      <w:r>
        <w:rPr>
          <w:spacing w:val="-66"/>
        </w:rPr>
      </w:r>
      <w:r>
        <w:rPr>
          <w:spacing w:val="-2"/>
        </w:rPr>
        <w:t>产交换交易中换出资产的公允价值或原账面价值、该项长期股权投资自身的公允价值等方式确定。与取得长期股权投资直接</w:t>
      </w:r>
      <w:r>
        <w:rPr>
          <w:spacing w:val="-64"/>
        </w:rPr>
        <w:t> </w:t>
      </w:r>
      <w:r>
        <w:rPr>
          <w:spacing w:val="-64"/>
        </w:rPr>
      </w:r>
      <w:r>
        <w:rPr>
          <w:spacing w:val="-2"/>
        </w:rPr>
        <w:t>相关的费用、税金及其他必要支出也计入投资成本。对于因追加投资能够对被投资单位实施重大影响或实施共同控制但不构</w:t>
      </w:r>
      <w:r>
        <w:rPr>
          <w:spacing w:val="-64"/>
        </w:rPr>
        <w:t> </w:t>
      </w:r>
      <w:r>
        <w:rPr>
          <w:spacing w:val="-64"/>
        </w:rPr>
      </w:r>
      <w:r>
        <w:rPr>
          <w:spacing w:val="-2"/>
        </w:rPr>
        <w:t>成控制的，长期股权投资成本为按照《企业会计准则第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金融工具确认和计量》确定的原持有股权投资的公允价值加</w:t>
      </w:r>
      <w:r>
        <w:rPr>
          <w:spacing w:val="-64"/>
        </w:rPr>
        <w:t> </w:t>
      </w:r>
      <w:r>
        <w:rPr>
          <w:spacing w:val="-64"/>
        </w:rPr>
      </w:r>
      <w:r>
        <w:rPr/>
        <w:t>上新增投资成本之和。</w:t>
      </w:r>
    </w:p>
    <w:p>
      <w:pPr>
        <w:pStyle w:val="BodyText"/>
        <w:spacing w:line="300" w:lineRule="auto" w:before="20"/>
        <w:ind w:left="580" w:right="1146"/>
        <w:jc w:val="left"/>
      </w:pPr>
      <w:r>
        <w:rPr/>
        <w:t>（</w:t>
      </w:r>
      <w:r>
        <w:rPr>
          <w:rFonts w:ascii="Times New Roman" w:hAnsi="Times New Roman" w:cs="Times New Roman" w:eastAsia="Times New Roman" w:hint="default"/>
        </w:rPr>
        <w:t>2</w:t>
      </w:r>
      <w:r>
        <w:rPr/>
        <w:t>）后续计量及损益确认方法 对被投资单位具有共同控制（构成共同经营者除外）或重大影响的长期股权投资，采用权益法核算。此外，公司财务</w:t>
      </w:r>
    </w:p>
    <w:p>
      <w:pPr>
        <w:pStyle w:val="BodyText"/>
        <w:spacing w:line="240" w:lineRule="auto" w:before="31"/>
        <w:ind w:left="154" w:right="1122"/>
        <w:jc w:val="left"/>
      </w:pPr>
      <w:r>
        <w:rPr/>
        <w:t>报表采用成本法核算能够对被投资单位实施控制的长期股权投资。</w:t>
      </w:r>
    </w:p>
    <w:p>
      <w:pPr>
        <w:pStyle w:val="BodyText"/>
        <w:spacing w:line="316" w:lineRule="auto" w:before="76"/>
        <w:ind w:left="580" w:right="1146"/>
        <w:jc w:val="left"/>
      </w:pPr>
      <w:r>
        <w:rPr/>
        <w:t>①</w:t>
      </w:r>
      <w:r>
        <w:rPr>
          <w:spacing w:val="-17"/>
        </w:rPr>
        <w:t> </w:t>
      </w:r>
      <w:r>
        <w:rPr/>
        <w:t>成本法核算的长期股权投资</w:t>
      </w:r>
      <w:r>
        <w:rPr/>
        <w:t> 采用成本法核算时，长期股权投资按初始投资成本计价，追加或收回投资调整长期股权投资的成本。除取得投资时实</w:t>
      </w:r>
    </w:p>
    <w:p>
      <w:pPr>
        <w:pStyle w:val="BodyText"/>
        <w:spacing w:line="316" w:lineRule="auto" w:before="19"/>
        <w:ind w:left="154" w:right="1122"/>
        <w:jc w:val="left"/>
      </w:pPr>
      <w:r>
        <w:rPr>
          <w:spacing w:val="-2"/>
        </w:rPr>
        <w:t>际支付的价款或者对价中包含的已宣告但尚未发放的现金股利或者利润外，当期投资收益按照享有被投资单位宣告发放的现</w:t>
      </w:r>
      <w:r>
        <w:rPr>
          <w:spacing w:val="-64"/>
        </w:rPr>
        <w:t> </w:t>
      </w:r>
      <w:r>
        <w:rPr>
          <w:spacing w:val="-64"/>
        </w:rPr>
      </w:r>
      <w:r>
        <w:rPr/>
        <w:t>金股利或利润确认。</w:t>
      </w:r>
    </w:p>
    <w:p>
      <w:pPr>
        <w:pStyle w:val="BodyText"/>
        <w:spacing w:line="316" w:lineRule="auto" w:before="19"/>
        <w:ind w:left="580" w:right="1146"/>
        <w:jc w:val="left"/>
      </w:pPr>
      <w:r>
        <w:rPr/>
        <w:t>②</w:t>
      </w:r>
      <w:r>
        <w:rPr>
          <w:spacing w:val="-17"/>
        </w:rPr>
        <w:t> </w:t>
      </w:r>
      <w:r>
        <w:rPr/>
        <w:t>权益法核算的长期股权投资</w:t>
      </w:r>
      <w:r>
        <w:rPr/>
        <w:t> 采用权益法核算时，长期股权投资的初始投资成本大于投资时应享有被投资单位可辨认净资产公允价值份额的，不调</w:t>
      </w:r>
    </w:p>
    <w:p>
      <w:pPr>
        <w:pStyle w:val="BodyText"/>
        <w:spacing w:line="316" w:lineRule="auto" w:before="19"/>
        <w:ind w:left="154" w:right="1122"/>
        <w:jc w:val="left"/>
      </w:pPr>
      <w:r>
        <w:rPr>
          <w:spacing w:val="-2"/>
        </w:rPr>
        <w:t>整长期股权投资的初始投资成本；初始投资成本小于投资时应享有被投资单位可辨认净资产公允价值份额的，其差额计入当</w:t>
      </w:r>
      <w:r>
        <w:rPr>
          <w:spacing w:val="-64"/>
        </w:rPr>
        <w:t> </w:t>
      </w:r>
      <w:r>
        <w:rPr>
          <w:spacing w:val="-64"/>
        </w:rPr>
      </w:r>
      <w:r>
        <w:rPr/>
        <w:t>期损益，同时调整长期股权投资的成本。</w:t>
      </w:r>
    </w:p>
    <w:p>
      <w:pPr>
        <w:pStyle w:val="BodyText"/>
        <w:spacing w:line="316" w:lineRule="auto" w:before="19"/>
        <w:ind w:right="1033" w:firstLine="426"/>
        <w:jc w:val="left"/>
      </w:pPr>
      <w:r>
        <w:rPr/>
        <w:t>采用权益法核算时，按照应享有或应分担的被投资单位实现的净损益和其他综合收益的份额，分别确认投资收益和其 </w:t>
      </w:r>
      <w:r>
        <w:rPr>
          <w:spacing w:val="-2"/>
        </w:rPr>
        <w:t>他综合收益，同时调整长期股权投资的账面价值；按照被投资单位宣告分派的利润或现金股利计算应享有的部分，相应减少</w:t>
      </w:r>
      <w:r>
        <w:rPr>
          <w:spacing w:val="-66"/>
        </w:rPr>
        <w:t> </w:t>
      </w:r>
      <w:r>
        <w:rPr>
          <w:spacing w:val="-66"/>
        </w:rPr>
      </w:r>
      <w:r>
        <w:rPr>
          <w:spacing w:val="-2"/>
        </w:rPr>
        <w:t>长期股权投资的账面价值；对于被投资单位除净损益、其他综合收益和利润分配以外所有者权益的其他变动，调整长期股权</w:t>
      </w:r>
      <w:r>
        <w:rPr>
          <w:spacing w:val="-66"/>
        </w:rPr>
        <w:t> </w:t>
      </w:r>
      <w:r>
        <w:rPr>
          <w:spacing w:val="-66"/>
        </w:rPr>
      </w:r>
      <w:r>
        <w:rPr>
          <w:spacing w:val="-2"/>
        </w:rPr>
        <w:t>投资的账面价值并计入资本公积。在确认应享有被投资单位净损益的份额时，以取得投资时被投资单位各项可辨认资产等的</w:t>
      </w:r>
      <w:r>
        <w:rPr>
          <w:spacing w:val="-64"/>
        </w:rPr>
        <w:t> </w:t>
      </w:r>
      <w:r>
        <w:rPr>
          <w:spacing w:val="-64"/>
        </w:rPr>
      </w:r>
      <w:r>
        <w:rPr>
          <w:spacing w:val="-2"/>
        </w:rPr>
        <w:t>公允价值为基础，对被投资单位的净利润进行调整后确认。被投资单位采用的会计政策及会计期间与本公司不一致的，按照</w:t>
      </w:r>
      <w:r>
        <w:rPr>
          <w:spacing w:val="-66"/>
        </w:rPr>
        <w:t> </w:t>
      </w:r>
      <w:r>
        <w:rPr>
          <w:spacing w:val="-66"/>
        </w:rPr>
      </w:r>
      <w:r>
        <w:rPr>
          <w:spacing w:val="-2"/>
        </w:rPr>
        <w:t>本公司的会计政策及会计期间对被投资单位的财务报表进行调整，并据以确认投资收益和其他综合收益。对于本公司与联营</w:t>
      </w:r>
      <w:r>
        <w:rPr>
          <w:spacing w:val="-64"/>
        </w:rPr>
        <w:t> </w:t>
      </w:r>
      <w:r>
        <w:rPr>
          <w:spacing w:val="-64"/>
        </w:rPr>
      </w:r>
      <w:r>
        <w:rPr>
          <w:spacing w:val="-2"/>
        </w:rPr>
        <w:t>企业及合营企业之间发生的交易，投出或出售的资产不构成业务的，未实现内部交易损益按照享有的比例计算归属于本公司</w:t>
      </w:r>
      <w:r>
        <w:rPr>
          <w:spacing w:val="-64"/>
        </w:rPr>
        <w:t> </w:t>
      </w:r>
      <w:r>
        <w:rPr>
          <w:spacing w:val="-64"/>
        </w:rPr>
      </w:r>
      <w:r>
        <w:rPr>
          <w:spacing w:val="-2"/>
        </w:rPr>
        <w:t>的部分予以抵销，在此基础上确认投资损益。但本公司与被投资单位发生的未实现内部交易损失，属于所转让资产减值损失</w:t>
      </w:r>
      <w:r>
        <w:rPr>
          <w:spacing w:val="-66"/>
        </w:rPr>
        <w:t> </w:t>
      </w:r>
      <w:r>
        <w:rPr>
          <w:spacing w:val="-66"/>
        </w:rPr>
      </w:r>
      <w:r>
        <w:rPr/>
        <w:t>的，不予以抵销。本公司向合营企业或联营企业投出的资产构成业务的，投资方因此取得长期股权投资但未取得控制权的， </w:t>
      </w:r>
      <w:r>
        <w:rPr>
          <w:spacing w:val="-2"/>
        </w:rPr>
        <w:t>以投出业务的公允价值作为新增长期股权投资的初始投资成本，初始投资成本与投出业务的账面价值之差，全额计入当期损</w:t>
      </w:r>
      <w:r>
        <w:rPr>
          <w:spacing w:val="-64"/>
        </w:rPr>
        <w:t> </w:t>
      </w:r>
      <w:r>
        <w:rPr>
          <w:spacing w:val="-64"/>
        </w:rPr>
      </w:r>
      <w:r>
        <w:rPr>
          <w:spacing w:val="-2"/>
        </w:rPr>
        <w:t>益。本公司向合营企业或联营企业出售的资产构成业务的，取得的对价与业务的账面价值之差，全额计入当期损益。本公司</w:t>
      </w:r>
      <w:r>
        <w:rPr>
          <w:spacing w:val="-66"/>
        </w:rPr>
        <w:t> </w:t>
      </w:r>
      <w:r>
        <w:rPr>
          <w:spacing w:val="-66"/>
        </w:rPr>
      </w:r>
      <w:r>
        <w:rPr>
          <w:spacing w:val="-2"/>
        </w:rPr>
        <w:t>自联营企业及合营企业购入的资产构成业务的，按《企业会计准则第</w:t>
      </w:r>
      <w:r>
        <w:rPr>
          <w:rFonts w:ascii="Times New Roman" w:hAnsi="Times New Roman" w:cs="Times New Roman" w:eastAsia="Times New Roman" w:hint="default"/>
          <w:spacing w:val="-2"/>
        </w:rPr>
        <w:t>20</w:t>
      </w:r>
      <w:r>
        <w:rPr>
          <w:spacing w:val="-2"/>
        </w:rPr>
        <w:t>号</w:t>
      </w:r>
      <w:r>
        <w:rPr>
          <w:rFonts w:ascii="Times New Roman" w:hAnsi="Times New Roman" w:cs="Times New Roman" w:eastAsia="Times New Roman" w:hint="default"/>
          <w:spacing w:val="-2"/>
        </w:rPr>
        <w:t>——</w:t>
      </w:r>
      <w:r>
        <w:rPr>
          <w:spacing w:val="-2"/>
        </w:rPr>
        <w:t>企业合并》的规定进行会计处理，全额确认与</w:t>
      </w:r>
      <w:r>
        <w:rPr>
          <w:spacing w:val="-64"/>
        </w:rPr>
        <w:t> </w:t>
      </w:r>
      <w:r>
        <w:rPr>
          <w:spacing w:val="-64"/>
        </w:rPr>
      </w:r>
      <w:r>
        <w:rPr/>
        <w:t>交易相关的利得或损失。</w:t>
      </w:r>
    </w:p>
    <w:p>
      <w:pPr>
        <w:pStyle w:val="BodyText"/>
        <w:spacing w:line="316" w:lineRule="auto" w:before="19"/>
        <w:ind w:right="1131" w:firstLine="426"/>
        <w:jc w:val="both"/>
      </w:pPr>
      <w:r>
        <w:rPr/>
        <w:t>在确认应分担被投资单位发生的净亏损时，以长期股权投资的账面价值和其他实质上构成对被投资单位净投资的长期 </w:t>
      </w:r>
      <w:r>
        <w:rPr>
          <w:spacing w:val="-2"/>
        </w:rPr>
        <w:t>权益减记至零为限。此外，如本公司对被投资单位负有承担额外损失的义务，则按预计承担的义务确认预计负债，计入当期</w:t>
      </w:r>
      <w:r>
        <w:rPr>
          <w:spacing w:val="-66"/>
        </w:rPr>
        <w:t> </w:t>
      </w:r>
      <w:r>
        <w:rPr>
          <w:spacing w:val="-66"/>
        </w:rPr>
      </w:r>
      <w:r>
        <w:rPr/>
        <w:t>投资损失。被投资单位以后期间实现净利润的，本公司在收益分享额弥补未确认的亏损分担额后，恢复确认收益分享额。</w:t>
      </w:r>
    </w:p>
    <w:p>
      <w:pPr>
        <w:pStyle w:val="BodyText"/>
        <w:spacing w:line="316" w:lineRule="auto" w:before="19"/>
        <w:ind w:left="580" w:right="1146"/>
        <w:jc w:val="left"/>
      </w:pPr>
      <w:r>
        <w:rPr/>
        <w:t>③</w:t>
      </w:r>
      <w:r>
        <w:rPr>
          <w:spacing w:val="-17"/>
        </w:rPr>
        <w:t> </w:t>
      </w:r>
      <w:r>
        <w:rPr/>
        <w:t>收购少数股权</w:t>
      </w:r>
      <w:r>
        <w:rPr/>
        <w:t> 在编制合并财务报表时，因购买少数股权新增的长期股权投资与按照新增持股比例计算应享有子公司自购买日（或合</w:t>
      </w:r>
    </w:p>
    <w:p>
      <w:pPr>
        <w:pStyle w:val="BodyText"/>
        <w:spacing w:line="240" w:lineRule="auto" w:before="19"/>
        <w:ind w:left="154" w:right="1122"/>
        <w:jc w:val="left"/>
      </w:pPr>
      <w:r>
        <w:rPr/>
        <w:t>并日）开始持续计算的净资产份额之间的差额，调整资本公积，资本公积不足冲减的，调整留存收益。</w:t>
      </w:r>
    </w:p>
    <w:p>
      <w:pPr>
        <w:pStyle w:val="BodyText"/>
        <w:spacing w:line="316" w:lineRule="auto" w:before="76"/>
        <w:ind w:left="580" w:right="1146"/>
        <w:jc w:val="left"/>
      </w:pPr>
      <w:r>
        <w:rPr/>
        <w:t>④</w:t>
      </w:r>
      <w:r>
        <w:rPr>
          <w:spacing w:val="-17"/>
        </w:rPr>
        <w:t> </w:t>
      </w:r>
      <w:r>
        <w:rPr/>
        <w:t>处置长期股权投资</w:t>
      </w:r>
      <w:r>
        <w:rPr/>
        <w:t> 在合并财务报表中，母公司在不丧失控制权的情况下部分处置对子公司的长期股权投资，处置价款与处置长期股权投</w:t>
      </w:r>
    </w:p>
    <w:p>
      <w:pPr>
        <w:pStyle w:val="BodyText"/>
        <w:spacing w:line="316" w:lineRule="auto" w:before="19"/>
        <w:ind w:left="154" w:right="1122"/>
        <w:jc w:val="left"/>
      </w:pPr>
      <w:r>
        <w:rPr>
          <w:spacing w:val="-2"/>
        </w:rPr>
        <w:t>资相对应享有子公司净资产的差额计入股东权益；母公司部分处置对子公司的长期股权投资导致丧失对子公司控制权的，按</w:t>
      </w:r>
      <w:r>
        <w:rPr>
          <w:spacing w:val="-64"/>
        </w:rPr>
        <w:t> </w:t>
      </w:r>
      <w:r>
        <w:rPr>
          <w:spacing w:val="-64"/>
        </w:rPr>
      </w:r>
      <w:r>
        <w:rPr/>
        <w:t>本附注五、</w:t>
      </w:r>
      <w:r>
        <w:rPr>
          <w:rFonts w:ascii="Times New Roman" w:hAnsi="Times New Roman" w:cs="Times New Roman" w:eastAsia="Times New Roman" w:hint="default"/>
        </w:rPr>
        <w:t>6</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合并财务报表编制的方法</w:t>
      </w:r>
      <w:r>
        <w:rPr>
          <w:rFonts w:ascii="Times New Roman" w:hAnsi="Times New Roman" w:cs="Times New Roman" w:eastAsia="Times New Roman" w:hint="default"/>
        </w:rPr>
        <w:t>”</w:t>
      </w:r>
      <w:r>
        <w:rPr/>
        <w:t>中所述的相关会计政策处理。</w:t>
      </w:r>
    </w:p>
    <w:p>
      <w:pPr>
        <w:pStyle w:val="BodyText"/>
        <w:spacing w:line="316" w:lineRule="auto"/>
        <w:ind w:left="580" w:right="1146"/>
        <w:jc w:val="left"/>
      </w:pPr>
      <w:r>
        <w:rPr/>
        <w:t>其他情形下的长期股权投资处置，对于处置的股权，其账面价值与实际取得价款的差额，计入当期损益。 采用权益法核算的长期股权投资，处置后的剩余股权仍采用权益法核算的，在处置时将原计入股东权益的其他综合收</w:t>
      </w:r>
    </w:p>
    <w:p>
      <w:pPr>
        <w:pStyle w:val="BodyText"/>
        <w:spacing w:line="316" w:lineRule="auto" w:before="19"/>
        <w:ind w:left="154" w:right="1122"/>
        <w:jc w:val="left"/>
      </w:pPr>
      <w:r>
        <w:rPr>
          <w:spacing w:val="-2"/>
        </w:rPr>
        <w:t>益部分按相应的比例采用与被投资单位直接处置相关资产或负债相同的基础进行会计处理。因被投资方除净损益、其他综合</w:t>
      </w:r>
      <w:r>
        <w:rPr>
          <w:spacing w:val="-64"/>
        </w:rPr>
        <w:t> </w:t>
      </w:r>
      <w:r>
        <w:rPr>
          <w:spacing w:val="-64"/>
        </w:rPr>
      </w:r>
      <w:r>
        <w:rPr/>
        <w:t>收益和利润分配以外的其他所有者权益变动而确认的所有者权益，按比例结转入当期损益。</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31" w:firstLine="426"/>
        <w:jc w:val="both"/>
      </w:pPr>
      <w:r>
        <w:rPr/>
        <w:t>采用成本法核算的长期股权投资，处置后剩余股权仍采用成本法核算的，其在取得对被投资单位的控制之前因采用权 </w:t>
      </w:r>
      <w:r>
        <w:rPr>
          <w:spacing w:val="-2"/>
        </w:rPr>
        <w:t>益法核算或金融工具确认和计量准则核算而确认的其他综合收益，采用与被投资单位直接处置相关资产或负债相同的基础进</w:t>
      </w:r>
      <w:r>
        <w:rPr>
          <w:spacing w:val="-64"/>
        </w:rPr>
        <w:t> </w:t>
      </w:r>
      <w:r>
        <w:rPr>
          <w:spacing w:val="-64"/>
        </w:rPr>
      </w:r>
      <w:r>
        <w:rPr>
          <w:spacing w:val="-2"/>
        </w:rPr>
        <w:t>行会计处理，并按比例结转当期损益；因采用权益法核算而确认的被投资单位净资产中除净损益、其他综合收益和利润分配</w:t>
      </w:r>
      <w:r>
        <w:rPr>
          <w:spacing w:val="-66"/>
        </w:rPr>
        <w:t> </w:t>
      </w:r>
      <w:r>
        <w:rPr>
          <w:spacing w:val="-66"/>
        </w:rPr>
      </w:r>
      <w:r>
        <w:rPr/>
        <w:t>以外的其他所有者权益变动按比例结转当期损益。</w:t>
      </w:r>
    </w:p>
    <w:p>
      <w:pPr>
        <w:pStyle w:val="BodyText"/>
        <w:spacing w:line="316" w:lineRule="auto" w:before="19"/>
        <w:ind w:right="1131" w:firstLine="426"/>
        <w:jc w:val="both"/>
      </w:pPr>
      <w:r>
        <w:rPr/>
        <w:t>本公司因处置部分股权投资丧失了对被投资单位的控制的，在编制个别财务报表时，处置后的剩余股权能够对被投资 </w:t>
      </w:r>
      <w:r>
        <w:rPr>
          <w:spacing w:val="-2"/>
        </w:rPr>
        <w:t>单位实施共同控制或施加重大影响的，改按权益法核算，并对该剩余股权视同自取得时即采用权益法核算进行调整；处置后</w:t>
      </w:r>
      <w:r>
        <w:rPr>
          <w:spacing w:val="-66"/>
        </w:rPr>
        <w:t> </w:t>
      </w:r>
      <w:r>
        <w:rPr>
          <w:spacing w:val="-66"/>
        </w:rPr>
      </w:r>
      <w:r>
        <w:rPr>
          <w:spacing w:val="-2"/>
        </w:rPr>
        <w:t>的剩余股权不能对被投资单位实施共同控制或施加重大影响的，改按金融工具确认和计量准则的有关规定进行会计处理，其</w:t>
      </w:r>
      <w:r>
        <w:rPr>
          <w:spacing w:val="-64"/>
        </w:rPr>
        <w:t> </w:t>
      </w:r>
      <w:r>
        <w:rPr>
          <w:spacing w:val="-64"/>
        </w:rPr>
      </w:r>
      <w:r>
        <w:rPr>
          <w:spacing w:val="-2"/>
        </w:rPr>
        <w:t>在丧失控制之日的公允价值与账面价值之间的差额计入当期损益。对于本公司取得对被投资单位的控制之前，因采用权益法</w:t>
      </w:r>
      <w:r>
        <w:rPr>
          <w:spacing w:val="-64"/>
        </w:rPr>
        <w:t> </w:t>
      </w:r>
      <w:r>
        <w:rPr>
          <w:spacing w:val="-64"/>
        </w:rPr>
      </w:r>
      <w:r>
        <w:rPr>
          <w:spacing w:val="-2"/>
        </w:rPr>
        <w:t>核算或金融工具确认和计量准则核算而确认的其他综合收益，在丧失对被投资单位控制时采用与被投资单位直接处置相关资</w:t>
      </w:r>
      <w:r>
        <w:rPr>
          <w:spacing w:val="-64"/>
        </w:rPr>
        <w:t> </w:t>
      </w:r>
      <w:r>
        <w:rPr>
          <w:spacing w:val="-64"/>
        </w:rPr>
      </w:r>
      <w:r>
        <w:rPr>
          <w:spacing w:val="-2"/>
        </w:rPr>
        <w:t>产或负债相同的基础进行会计处理，因采用权益法核算而确认的被投资单位净资产中除净损益、其他综合收益和利润分配以</w:t>
      </w:r>
      <w:r>
        <w:rPr>
          <w:spacing w:val="-64"/>
        </w:rPr>
        <w:t> </w:t>
      </w:r>
      <w:r>
        <w:rPr>
          <w:spacing w:val="-64"/>
        </w:rPr>
      </w:r>
      <w:r>
        <w:rPr>
          <w:spacing w:val="-2"/>
        </w:rPr>
        <w:t>外的其他所有者权益变动在丧失对被投资单位控制时结转入当期损益。其中，处置后的剩余股权采用权益法核算的，其他综</w:t>
      </w:r>
      <w:r>
        <w:rPr>
          <w:spacing w:val="-66"/>
        </w:rPr>
        <w:t> </w:t>
      </w:r>
      <w:r>
        <w:rPr>
          <w:spacing w:val="-66"/>
        </w:rPr>
      </w:r>
      <w:r>
        <w:rPr>
          <w:spacing w:val="-2"/>
        </w:rPr>
        <w:t>合收益和其他所有者权益按比例结转；处置后的剩余股权改按金融工具确认和计量准则进行会计处理的，其他综合收益和其</w:t>
      </w:r>
      <w:r>
        <w:rPr>
          <w:spacing w:val="-64"/>
        </w:rPr>
        <w:t> </w:t>
      </w:r>
      <w:r>
        <w:rPr>
          <w:spacing w:val="-64"/>
        </w:rPr>
      </w:r>
      <w:r>
        <w:rPr/>
        <w:t>他所有者权益全部结转。</w:t>
      </w:r>
    </w:p>
    <w:p>
      <w:pPr>
        <w:pStyle w:val="BodyText"/>
        <w:spacing w:line="316" w:lineRule="auto" w:before="19"/>
        <w:ind w:right="1122" w:firstLine="426"/>
        <w:jc w:val="left"/>
      </w:pPr>
      <w:r>
        <w:rPr/>
        <w:t>本公司因处置部分股权投资丧失了对被投资单位的共同控制或重大影响的，处置后的剩余股权改按金融工具确认和计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t> </w:t>
      </w:r>
      <w:r>
        <w:rPr>
          <w:spacing w:val="-2"/>
        </w:rPr>
        <w:t>理，因被投资方除净损益、其他综合收益和利润分配以外的其他所有者权益变动而确认的所有者权益，在终止采用权益法时</w:t>
      </w:r>
      <w:r>
        <w:rPr>
          <w:spacing w:val="-66"/>
        </w:rPr>
        <w:t> </w:t>
      </w:r>
      <w:r>
        <w:rPr>
          <w:spacing w:val="-66"/>
        </w:rPr>
      </w:r>
      <w:r>
        <w:rPr/>
        <w:t>全部转入当期投资收益。</w:t>
      </w:r>
    </w:p>
    <w:p>
      <w:pPr>
        <w:pStyle w:val="BodyText"/>
        <w:spacing w:line="316" w:lineRule="auto" w:before="59"/>
        <w:ind w:right="1131"/>
        <w:jc w:val="both"/>
      </w:pP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6"/>
        <w:rPr>
          <w:rFonts w:ascii="宋体" w:hAnsi="宋体" w:cs="宋体" w:eastAsia="宋体" w:hint="default"/>
          <w:sz w:val="22"/>
          <w:szCs w:val="22"/>
        </w:rPr>
      </w:pPr>
    </w:p>
    <w:p>
      <w:pPr>
        <w:pStyle w:val="Heading3"/>
        <w:spacing w:line="240" w:lineRule="auto"/>
        <w:ind w:right="1122"/>
        <w:jc w:val="left"/>
        <w:rPr>
          <w:b w:val="0"/>
          <w:bCs w:val="0"/>
        </w:rPr>
      </w:pPr>
      <w:bookmarkStart w:name="15、投资性房地产" w:id="188"/>
      <w:bookmarkEnd w:id="188"/>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left="154" w:right="8952"/>
        <w:jc w:val="left"/>
      </w:pPr>
      <w:r>
        <w:rPr/>
        <w:t>投资性房地产计量模式 成本法计量 折旧或摊销方法</w:t>
      </w:r>
    </w:p>
    <w:p>
      <w:pPr>
        <w:pStyle w:val="BodyText"/>
        <w:spacing w:line="316" w:lineRule="auto" w:before="25"/>
        <w:ind w:left="154" w:right="1130" w:firstLine="426"/>
        <w:jc w:val="both"/>
      </w:pPr>
      <w:r>
        <w:rPr/>
        <w:t>投资性房地产是指为赚取租金或资本增值，或两者兼有而持有的房地产。包括已出租的土地使用权、持有并准备增值 </w:t>
      </w:r>
      <w:r>
        <w:rPr>
          <w:spacing w:val="-2"/>
        </w:rPr>
        <w:t>后转让的土地使用权、已出租的建筑物等。此外，对于本公司持有以备经营出租的空置建筑物，若董事会（或类似机构）作</w:t>
      </w:r>
      <w:r>
        <w:rPr>
          <w:spacing w:val="-68"/>
        </w:rPr>
        <w:t> </w:t>
      </w:r>
      <w:r>
        <w:rPr>
          <w:spacing w:val="-68"/>
        </w:rPr>
      </w:r>
      <w:r>
        <w:rPr/>
        <w:t>出书面决议，明确表示将其用于经营出租且持有意图短期内不再发生变化的，也作为投资性房地产列报。</w:t>
      </w:r>
    </w:p>
    <w:p>
      <w:pPr>
        <w:pStyle w:val="BodyText"/>
        <w:spacing w:line="316" w:lineRule="auto" w:before="19"/>
        <w:ind w:left="154" w:right="1164" w:firstLine="426"/>
        <w:jc w:val="both"/>
      </w:pPr>
      <w:r>
        <w:rPr/>
        <w:t>投资性房地产按成本进行初始计量。与投资性房地产有关的后续支出，如果与该资产有关的经济利益很可能流入且其 成本能可靠地计量，则计入投资性房地产成本。其他后续支出，在发生时计入当期损益。</w:t>
      </w:r>
    </w:p>
    <w:p>
      <w:pPr>
        <w:pStyle w:val="BodyText"/>
        <w:spacing w:line="309" w:lineRule="auto" w:before="19"/>
        <w:ind w:left="579" w:right="1147"/>
        <w:jc w:val="left"/>
      </w:pPr>
      <w:r>
        <w:rPr/>
        <w:t>本公司采用成本模式对投资性房地产进行后续计量，并按照与房屋建筑物或土地使用权一致的政策进行折旧或摊销。 投资性房地产的减值测试方法和减值准备计提方法详见附注五、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 自用房地产或存货转换为投资性房地产或投资性房地产转换为自用房地产时，按转换前的账面价值作为转换后的入账</w:t>
      </w:r>
    </w:p>
    <w:p>
      <w:pPr>
        <w:pStyle w:val="BodyText"/>
        <w:spacing w:line="240" w:lineRule="auto" w:before="24"/>
        <w:ind w:right="1122"/>
        <w:jc w:val="left"/>
      </w:pPr>
      <w:r>
        <w:rPr/>
        <w:t>价值。</w:t>
      </w:r>
    </w:p>
    <w:p>
      <w:pPr>
        <w:pStyle w:val="BodyText"/>
        <w:spacing w:line="316" w:lineRule="auto" w:before="76"/>
        <w:ind w:right="0" w:firstLine="426"/>
        <w:jc w:val="left"/>
      </w:pPr>
      <w:r>
        <w:rPr/>
        <w:t>投资性房地产的用途改变为自用时，自改变之日起，将该投资性房地产转换为固定资产或无形资产。自用房地产的用 </w:t>
      </w:r>
      <w:r>
        <w:rPr>
          <w:spacing w:val="-2"/>
        </w:rPr>
        <w:t>途改变为赚取租金或资本增值时，自改变之日起，将固定资产或无形资产转换为投资性房地产。发生转换时，转换为采用成</w:t>
      </w:r>
      <w:r>
        <w:rPr>
          <w:spacing w:val="-66"/>
        </w:rPr>
        <w:t> </w:t>
      </w:r>
      <w:r>
        <w:rPr>
          <w:spacing w:val="-66"/>
        </w:rPr>
      </w:r>
      <w:r>
        <w:rPr>
          <w:spacing w:val="-4"/>
        </w:rPr>
        <w:t>本模式计量的投资性房地产的，以转换前的账面价值作为转换后的入账价值；转换为以公允价值模式计量的投资性房地产的，</w:t>
      </w:r>
      <w:r>
        <w:rPr>
          <w:spacing w:val="-44"/>
        </w:rPr>
        <w:t> </w:t>
      </w:r>
      <w:r>
        <w:rPr>
          <w:spacing w:val="-44"/>
        </w:rPr>
      </w:r>
      <w:r>
        <w:rPr/>
        <w:t>以转换日的公允价值作为转换后的入账价值。</w:t>
      </w:r>
    </w:p>
    <w:p>
      <w:pPr>
        <w:pStyle w:val="BodyText"/>
        <w:spacing w:line="319" w:lineRule="auto" w:before="60"/>
        <w:ind w:right="1122" w:firstLine="290"/>
        <w:jc w:val="left"/>
      </w:pPr>
      <w:r>
        <w:rPr>
          <w:spacing w:val="-1"/>
        </w:rPr>
        <w:t>当投资性房地产被处置、或者永久退出使用且预计不能从其处置中取得经济利益时，终止确认该项投资性房地产。投资</w:t>
      </w:r>
      <w:r>
        <w:rPr/>
        <w:t> 性房地产出售、转让、报废或毁损的处置收入扣除其账面价值和相关税费后计入当期损益。</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16、固定资产" w:id="189"/>
      <w:bookmarkEnd w:id="189"/>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0"/>
        <w:jc w:val="both"/>
        <w:rPr>
          <w:b w:val="0"/>
          <w:bCs w:val="0"/>
        </w:rPr>
      </w:pPr>
      <w:bookmarkStart w:name="（1）确认条件" w:id="190"/>
      <w:bookmarkEnd w:id="190"/>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jc w:val="both"/>
      </w:pPr>
      <w:r>
        <w:rPr>
          <w:spacing w:val="-2"/>
        </w:rPr>
        <w:t>固定资产是指为生产商品、提供劳务、出租或经营管理而持有的，使用寿命超过一个会计年度的有形资产。固定资产仅在与</w:t>
      </w:r>
      <w:r>
        <w:rPr>
          <w:spacing w:val="-66"/>
        </w:rPr>
        <w:t> </w:t>
      </w:r>
      <w:r>
        <w:rPr>
          <w:spacing w:val="-66"/>
        </w:rPr>
      </w:r>
      <w:r>
        <w:rPr>
          <w:spacing w:val="-2"/>
        </w:rPr>
        <w:t>其有关的经济利益很可能流入本公司，且其成本能够可靠地计量时才予以确认。固定资产按成本并考虑预计弃置费用因素的</w:t>
      </w:r>
      <w:r>
        <w:rPr>
          <w:spacing w:val="-64"/>
        </w:rPr>
        <w:t> </w:t>
      </w:r>
      <w:r>
        <w:rPr>
          <w:spacing w:val="-64"/>
        </w:rPr>
      </w:r>
      <w:r>
        <w:rPr/>
        <w:t>影响进行初始计量。</w:t>
      </w:r>
    </w:p>
    <w:p>
      <w:pPr>
        <w:spacing w:line="240" w:lineRule="auto" w:before="3"/>
        <w:rPr>
          <w:rFonts w:ascii="宋体" w:hAnsi="宋体" w:cs="宋体" w:eastAsia="宋体" w:hint="default"/>
          <w:sz w:val="22"/>
          <w:szCs w:val="22"/>
        </w:rPr>
      </w:pPr>
    </w:p>
    <w:p>
      <w:pPr>
        <w:pStyle w:val="Heading3"/>
        <w:spacing w:line="240" w:lineRule="auto"/>
        <w:ind w:left="154" w:right="0"/>
        <w:jc w:val="both"/>
        <w:rPr>
          <w:b w:val="0"/>
          <w:bCs w:val="0"/>
        </w:rPr>
      </w:pPr>
      <w:bookmarkStart w:name="（2）折旧方法" w:id="191"/>
      <w:bookmarkEnd w:id="191"/>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办公和其他设备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3）融资租入固定资产的认定依据、计价和折旧方法" w:id="192"/>
      <w:bookmarkEnd w:id="192"/>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360"/>
        <w:jc w:val="both"/>
      </w:pPr>
      <w:r>
        <w:rPr>
          <w:spacing w:val="-2"/>
        </w:rPr>
        <w:t>融资租赁为实质上转移了与资产所有权有关的全部风险和报酬的租赁，其所有权最终可能转移，也可能不转移。以融资</w:t>
      </w:r>
      <w:r>
        <w:rPr/>
        <w:t> </w:t>
      </w:r>
      <w:r>
        <w:rPr>
          <w:spacing w:val="-2"/>
        </w:rPr>
        <w:t>租赁方式租入的固定资产采用与自有固定资产一致的政策计提租赁资产折旧。能够合理确定租赁期届满时取得租赁资产所有</w:t>
      </w:r>
      <w:r>
        <w:rPr>
          <w:spacing w:val="-64"/>
        </w:rPr>
        <w:t> </w:t>
      </w:r>
      <w:r>
        <w:rPr>
          <w:spacing w:val="-64"/>
        </w:rPr>
      </w:r>
      <w:r>
        <w:rPr>
          <w:spacing w:val="-2"/>
        </w:rPr>
        <w:t>权的，在租赁资产使用寿命内计提折旧；无法合理确定租赁期届满能够取得租赁资产所有权的，在租赁期与租赁资产使用寿</w:t>
      </w:r>
      <w:r>
        <w:rPr>
          <w:spacing w:val="-66"/>
        </w:rPr>
        <w:t> </w:t>
      </w:r>
      <w:r>
        <w:rPr>
          <w:spacing w:val="-66"/>
        </w:rPr>
      </w:r>
      <w:r>
        <w:rPr/>
        <w:t>命两者中较短的期间内计提折旧。</w:t>
      </w:r>
    </w:p>
    <w:p>
      <w:pPr>
        <w:spacing w:line="240" w:lineRule="auto" w:before="3"/>
        <w:rPr>
          <w:rFonts w:ascii="宋体" w:hAnsi="宋体" w:cs="宋体" w:eastAsia="宋体" w:hint="default"/>
          <w:sz w:val="22"/>
          <w:szCs w:val="22"/>
        </w:rPr>
      </w:pPr>
    </w:p>
    <w:p>
      <w:pPr>
        <w:pStyle w:val="Heading3"/>
        <w:spacing w:line="240" w:lineRule="auto"/>
        <w:ind w:left="154" w:right="1122"/>
        <w:jc w:val="left"/>
        <w:rPr>
          <w:b w:val="0"/>
          <w:bCs w:val="0"/>
        </w:rPr>
      </w:pPr>
      <w:bookmarkStart w:name="17、在建工程" w:id="193"/>
      <w:bookmarkEnd w:id="193"/>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16" w:lineRule="auto" w:before="26"/>
        <w:ind w:left="154" w:right="1122" w:firstLine="290"/>
        <w:jc w:val="left"/>
      </w:pPr>
      <w:r>
        <w:rPr>
          <w:spacing w:val="-1"/>
        </w:rPr>
        <w:t>在建工程成本按实际工程支出确定，包括在建期间发生的各项工程支出、工程达到预定可使用状态前的资本化的借款费</w:t>
      </w:r>
      <w:r>
        <w:rPr/>
        <w:t> 用以及其他相关费用等。在建工程在达到预定可使用状态后结转为固定资产。</w:t>
      </w:r>
    </w:p>
    <w:p>
      <w:pPr>
        <w:pStyle w:val="BodyText"/>
        <w:spacing w:line="240" w:lineRule="auto" w:before="19"/>
        <w:ind w:left="444" w:right="1122"/>
        <w:jc w:val="left"/>
      </w:pPr>
      <w:r>
        <w:rPr/>
        <w:t>在建工程的减值测试方法和减值准备计提方法详见附注五、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3"/>
        <w:spacing w:line="240" w:lineRule="auto"/>
        <w:ind w:right="1122"/>
        <w:jc w:val="left"/>
        <w:rPr>
          <w:b w:val="0"/>
          <w:bCs w:val="0"/>
        </w:rPr>
      </w:pPr>
      <w:bookmarkStart w:name="18、借款费用" w:id="194"/>
      <w:bookmarkEnd w:id="194"/>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2" w:firstLine="426"/>
        <w:jc w:val="both"/>
      </w:pPr>
      <w:r>
        <w:rPr/>
        <w:t>借款费用包括借款利息、折价或溢价的摊销、辅助费用以及因外币借款而发生的汇兑差额等。可直接归属于符合资本 </w:t>
      </w:r>
      <w:r>
        <w:rPr>
          <w:spacing w:val="-2"/>
        </w:rPr>
        <w:t>化条件的资产的购建或者生产的借款费用，在资产支出已经发生、借款费用已经发生、为使资产达到预定可使用或可销售状</w:t>
      </w:r>
      <w:r>
        <w:rPr>
          <w:spacing w:val="-66"/>
        </w:rPr>
        <w:t> </w:t>
      </w:r>
      <w:r>
        <w:rPr>
          <w:spacing w:val="-66"/>
        </w:rPr>
      </w:r>
      <w:r>
        <w:rPr>
          <w:spacing w:val="-2"/>
        </w:rPr>
        <w:t>态所必要的购建或生产活动已经开始时，开始资本化；构建或者生产的符合资本化条件的资产达到预定可使用状态或者可销</w:t>
      </w:r>
      <w:r>
        <w:rPr>
          <w:spacing w:val="-64"/>
        </w:rPr>
        <w:t> </w:t>
      </w:r>
      <w:r>
        <w:rPr>
          <w:spacing w:val="-64"/>
        </w:rPr>
      </w:r>
      <w:r>
        <w:rPr/>
        <w:t>售状态时，停止资本化。其余借款费用在发生当期确认为费用。</w:t>
      </w:r>
    </w:p>
    <w:p>
      <w:pPr>
        <w:pStyle w:val="BodyText"/>
        <w:spacing w:line="316" w:lineRule="auto" w:before="19"/>
        <w:ind w:left="154" w:right="1131" w:firstLine="426"/>
        <w:jc w:val="both"/>
      </w:pPr>
      <w:r>
        <w:rPr/>
        <w:t>专门借款当期实际发生的利息费用，减去尚未动用的借款资金存入银行取得的利息收入或进行暂时性投资取得的投资 </w:t>
      </w:r>
      <w:r>
        <w:rPr>
          <w:spacing w:val="-2"/>
        </w:rPr>
        <w:t>收益后的金额予以资本化；一般借款根据累计资产支出超过专门借款部分的资产支出加权平均数乘以所占用一般借款的资本</w:t>
      </w:r>
      <w:r>
        <w:rPr>
          <w:spacing w:val="-64"/>
        </w:rPr>
        <w:t> </w:t>
      </w:r>
      <w:r>
        <w:rPr>
          <w:spacing w:val="-64"/>
        </w:rPr>
      </w:r>
      <w:r>
        <w:rPr/>
        <w:t>化率，确定资本化金额。资本化率根据一般借款的加权平均利率计算确定。</w:t>
      </w:r>
    </w:p>
    <w:p>
      <w:pPr>
        <w:pStyle w:val="BodyText"/>
        <w:spacing w:line="316" w:lineRule="auto" w:before="19"/>
        <w:ind w:left="580" w:right="1146"/>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符合资本化条件的资产指需要经过相当长时间的购建或者生产活动才能达到预定可使用或可销售状态的固定资产、投</w:t>
      </w:r>
    </w:p>
    <w:p>
      <w:pPr>
        <w:spacing w:after="0" w:line="316"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60" w:lineRule="auto" w:before="44"/>
        <w:ind w:left="444" w:right="1122" w:hanging="291"/>
        <w:jc w:val="left"/>
      </w:pPr>
      <w:r>
        <w:rPr/>
        <w:t>资性房地产和存货等资产。 如果符合资本化条件的资产在购建或生产过程中发生非正常中断、并且中断时间连续超过</w:t>
      </w:r>
      <w:r>
        <w:rPr>
          <w:rFonts w:ascii="Times New Roman" w:hAnsi="Times New Roman" w:cs="Times New Roman" w:eastAsia="Times New Roman" w:hint="default"/>
        </w:rPr>
        <w:t>3</w:t>
      </w:r>
      <w:r>
        <w:rPr/>
        <w:t>个月的，暂停借款费用的资</w:t>
      </w:r>
    </w:p>
    <w:p>
      <w:pPr>
        <w:pStyle w:val="BodyText"/>
        <w:spacing w:line="199" w:lineRule="exact"/>
        <w:ind w:right="1122"/>
        <w:jc w:val="left"/>
      </w:pPr>
      <w:r>
        <w:rPr/>
        <w:t>本化，直至资产的购建或生产活动重新开始。</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9、生物资产" w:id="195"/>
      <w:bookmarkEnd w:id="195"/>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20、油气资产" w:id="196"/>
      <w:bookmarkEnd w:id="196"/>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21、无形资产" w:id="197"/>
      <w:bookmarkEnd w:id="197"/>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计价方法、使用寿命、减值测试" w:id="198"/>
      <w:bookmarkEnd w:id="198"/>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1028"/>
        <w:jc w:val="left"/>
      </w:pPr>
      <w:r>
        <w:rPr/>
        <w:t>无形资产是指本公司拥有或者控制的没有实物形态的可辨认非货币性资产。 </w:t>
      </w:r>
      <w:r>
        <w:rPr>
          <w:spacing w:val="-2"/>
        </w:rPr>
        <w:t>无形资产按成本进行初始计量。与无形资产有关的支出，如果相关的经济利益很可能流入本公司且其成本能可靠地计量，</w:t>
      </w:r>
    </w:p>
    <w:p>
      <w:pPr>
        <w:pStyle w:val="BodyText"/>
        <w:spacing w:line="316" w:lineRule="auto" w:before="19"/>
        <w:ind w:left="444" w:right="1122" w:hanging="291"/>
        <w:jc w:val="left"/>
      </w:pPr>
      <w:r>
        <w:rPr/>
        <w:t>则计入无形资产成本。除此以外的其他项目的支出，在发生时计入当期损益。 </w:t>
      </w:r>
      <w:r>
        <w:rPr>
          <w:spacing w:val="-1"/>
        </w:rPr>
        <w:t>取得的土地使用权通常作为无形资产核算。自行开发建造厂房等建筑物，相关的土地使用权支出和建筑物建造成本则分</w:t>
      </w:r>
    </w:p>
    <w:p>
      <w:pPr>
        <w:pStyle w:val="BodyText"/>
        <w:spacing w:line="316" w:lineRule="auto" w:before="19"/>
        <w:ind w:left="154" w:right="1122"/>
        <w:jc w:val="left"/>
      </w:pPr>
      <w:r>
        <w:rPr>
          <w:spacing w:val="-2"/>
        </w:rPr>
        <w:t>别作为无形资产和固定资产核算。如为外购的房屋及建筑物，则将有关价款在土地使用权和建筑物之间进行分配，难以合理</w:t>
      </w:r>
      <w:r>
        <w:rPr>
          <w:spacing w:val="-66"/>
        </w:rPr>
        <w:t> </w:t>
      </w:r>
      <w:r>
        <w:rPr>
          <w:spacing w:val="-66"/>
        </w:rPr>
      </w:r>
      <w:r>
        <w:rPr/>
        <w:t>分配的，全部作为固定资产处理。</w:t>
      </w:r>
    </w:p>
    <w:p>
      <w:pPr>
        <w:pStyle w:val="BodyText"/>
        <w:spacing w:line="316" w:lineRule="auto" w:before="19"/>
        <w:ind w:left="154" w:right="1133" w:firstLine="290"/>
        <w:jc w:val="both"/>
      </w:pPr>
      <w:r>
        <w:rPr>
          <w:spacing w:val="-1"/>
        </w:rPr>
        <w:t>使用寿命有限的无形资产自可供使用时起，对其原值减去预计净残值和已计提的减值准备累计金额在其预计使用寿命内</w:t>
      </w:r>
      <w:r>
        <w:rPr/>
        <w:t> 采用直线法分期平均摊销。使用寿命不确定的无形资产不予摊销。</w:t>
      </w:r>
    </w:p>
    <w:p>
      <w:pPr>
        <w:pStyle w:val="BodyText"/>
        <w:spacing w:line="319" w:lineRule="auto" w:before="19"/>
        <w:ind w:left="154" w:right="1131" w:firstLine="290"/>
        <w:jc w:val="both"/>
      </w:pPr>
      <w:r>
        <w:rPr>
          <w:spacing w:val="-1"/>
        </w:rPr>
        <w:t>期末，对使用寿命有限的无形资产的使用寿命和摊销方法进行复核，如发生变更则作为会计估计变更处理。此外，还对</w:t>
      </w:r>
      <w:r>
        <w:rPr/>
        <w:t> </w:t>
      </w:r>
      <w:r>
        <w:rPr>
          <w:spacing w:val="-2"/>
        </w:rPr>
        <w:t>使用寿命不确定的无形资产的使用寿命进行复核，如果有证据表明该无形资产为企业带来经济利益的期限是可预见的，则估</w:t>
      </w:r>
      <w:r>
        <w:rPr>
          <w:spacing w:val="-64"/>
        </w:rPr>
        <w:t> </w:t>
      </w:r>
      <w:r>
        <w:rPr>
          <w:spacing w:val="-64"/>
        </w:rPr>
      </w:r>
      <w:r>
        <w:rPr/>
        <w:t>计其使用寿命并按照使用寿命有限的无形资产的摊销政策进行摊销。</w:t>
      </w:r>
    </w:p>
    <w:p>
      <w:pPr>
        <w:pStyle w:val="BodyText"/>
        <w:spacing w:line="240" w:lineRule="auto" w:before="58"/>
        <w:ind w:left="444" w:right="1122"/>
        <w:jc w:val="left"/>
      </w:pPr>
      <w:r>
        <w:rPr/>
        <w:t>无形资产的减值测试方法和减值准备计提方法详见附注五、</w:t>
      </w:r>
      <w:r>
        <w:rPr>
          <w:rFonts w:ascii="Times New Roman" w:hAnsi="Times New Roman" w:cs="Times New Roman" w:eastAsia="Times New Roman" w:hint="default"/>
        </w:rPr>
        <w:t>22“</w:t>
      </w:r>
      <w:r>
        <w:rPr/>
        <w:t>长期资产减值</w:t>
      </w:r>
      <w:r>
        <w:rPr>
          <w:rFonts w:ascii="Times New Roman" w:hAnsi="Times New Roman" w:cs="Times New Roman" w:eastAsia="Times New Roman" w:hint="default"/>
        </w:rPr>
        <w:t>”</w:t>
      </w:r>
      <w:r>
        <w:rPr/>
        <w:t>。</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内部研究开发支出会计政策" w:id="199"/>
      <w:bookmarkEnd w:id="199"/>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633" w:right="1633"/>
        <w:jc w:val="left"/>
      </w:pPr>
      <w:r>
        <w:rPr/>
        <w:t>本公司内部研究开发项目的支出分为研究阶段支出与开发阶段支出。 研究阶段的支出，于发生时计入当期损益。 开发阶段的支出同时满足下列条件的，确认为无形资产，不能满足下述条件的开发阶段的支出计入当期损益：</w:t>
      </w:r>
    </w:p>
    <w:p>
      <w:pPr>
        <w:pStyle w:val="BodyText"/>
        <w:spacing w:line="240" w:lineRule="auto" w:before="19"/>
        <w:ind w:left="633" w:right="1122"/>
        <w:jc w:val="left"/>
      </w:pPr>
      <w:r>
        <w:rPr/>
        <w:t>①</w:t>
      </w:r>
      <w:r>
        <w:rPr>
          <w:spacing w:val="-19"/>
        </w:rPr>
        <w:t> </w:t>
      </w:r>
      <w:r>
        <w:rPr/>
        <w:t>完成该无形资产以使其能够使用或出售在技术上具有可行性；</w:t>
      </w:r>
    </w:p>
    <w:p>
      <w:pPr>
        <w:pStyle w:val="BodyText"/>
        <w:spacing w:line="240" w:lineRule="auto" w:before="76"/>
        <w:ind w:left="633" w:right="1122"/>
        <w:jc w:val="left"/>
      </w:pPr>
      <w:r>
        <w:rPr/>
        <w:t>②</w:t>
      </w:r>
      <w:r>
        <w:rPr>
          <w:spacing w:val="-19"/>
        </w:rPr>
        <w:t> </w:t>
      </w:r>
      <w:r>
        <w:rPr/>
        <w:t>具有完成该无形资产并使用或出售的意图；</w:t>
      </w:r>
    </w:p>
    <w:p>
      <w:pPr>
        <w:pStyle w:val="BodyText"/>
        <w:spacing w:line="316" w:lineRule="auto" w:before="76"/>
        <w:ind w:right="1202" w:firstLine="480"/>
        <w:jc w:val="left"/>
      </w:pPr>
      <w:r>
        <w:rPr/>
        <w:t>③</w:t>
      </w:r>
      <w:r>
        <w:rPr>
          <w:spacing w:val="-19"/>
        </w:rPr>
        <w:t> </w:t>
      </w:r>
      <w:r>
        <w:rPr/>
        <w:t>无形资产产生经济利益的方式，包括能够证明运用该无形资产生产的产品存在市场或无形资产自身存在市场，无</w:t>
      </w:r>
      <w:r>
        <w:rPr/>
        <w:t> 形资产将在内部使用的，能够证明其有用性；</w:t>
      </w:r>
    </w:p>
    <w:p>
      <w:pPr>
        <w:pStyle w:val="BodyText"/>
        <w:spacing w:line="240" w:lineRule="auto" w:before="19"/>
        <w:ind w:left="633" w:right="1122"/>
        <w:jc w:val="left"/>
      </w:pPr>
      <w:r>
        <w:rPr/>
        <w:t>④</w:t>
      </w:r>
      <w:r>
        <w:rPr>
          <w:spacing w:val="-19"/>
        </w:rPr>
        <w:t> </w:t>
      </w:r>
      <w:r>
        <w:rPr/>
        <w:t>有足够的技术、财务资源和其他资源支持，以完成该无形资产的开发，并有能力使用或出售该无形资产；</w:t>
      </w:r>
    </w:p>
    <w:p>
      <w:pPr>
        <w:pStyle w:val="BodyText"/>
        <w:spacing w:line="360" w:lineRule="auto" w:before="76"/>
        <w:ind w:right="4273" w:firstLine="480"/>
        <w:jc w:val="left"/>
      </w:pPr>
      <w:r>
        <w:rPr/>
        <w:t>⑤</w:t>
      </w:r>
      <w:r>
        <w:rPr>
          <w:spacing w:val="-18"/>
        </w:rPr>
        <w:t> </w:t>
      </w:r>
      <w:r>
        <w:rPr/>
        <w:t>归属于该无形资产开发阶段的支出能够可靠地计量。</w:t>
      </w:r>
      <w:r>
        <w:rPr/>
        <w:t> 无法区分研究阶段支出和开发阶段支出的，将发生的研发支出全部计入当期损益。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42"/>
        <w:ind w:right="1122"/>
        <w:jc w:val="left"/>
        <w:rPr>
          <w:b w:val="0"/>
          <w:bCs w:val="0"/>
        </w:rPr>
      </w:pPr>
      <w:bookmarkStart w:name="22、长期资产减值" w:id="200"/>
      <w:bookmarkEnd w:id="200"/>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50" w:firstLine="426"/>
        <w:jc w:val="both"/>
      </w:pPr>
      <w:r>
        <w:rPr/>
        <w:t>对于固定资产、在建工程、使用寿命有限的无形资产、以成本模式计量的投资性房地产及对子公司、合营企业、联营 </w:t>
      </w:r>
      <w:r>
        <w:rPr>
          <w:spacing w:val="-2"/>
        </w:rPr>
        <w:t>企业的长期股权投资等非流动非金融资产，本公司于资产负债表日判断是否存在减值迹象。如存在减值迹象的，则估计其可</w:t>
      </w:r>
      <w:r>
        <w:rPr>
          <w:spacing w:val="-66"/>
        </w:rPr>
        <w:t> </w:t>
      </w:r>
      <w:r>
        <w:rPr>
          <w:spacing w:val="-66"/>
        </w:rPr>
      </w:r>
      <w:r>
        <w:rPr/>
        <w:t>收回金额，进行减值测试。商誉、使用寿命不确定的无形资产和尚未达到可使用状态的无形资产，无论是否存在减值迹象，</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79" w:right="1122" w:hanging="426"/>
        <w:jc w:val="left"/>
      </w:pPr>
      <w:r>
        <w:rPr/>
        <w:t>每年均进行减值测试。 减值测试结果表明资产的可收回金额低于其账面价值的，按其差额计提减值准备并计入减值损失。可收回金额为资产</w:t>
      </w:r>
    </w:p>
    <w:p>
      <w:pPr>
        <w:pStyle w:val="BodyText"/>
        <w:spacing w:line="316" w:lineRule="auto" w:before="19"/>
        <w:ind w:right="1131"/>
        <w:jc w:val="both"/>
      </w:pPr>
      <w:r>
        <w:rPr>
          <w:spacing w:val="-2"/>
        </w:rPr>
        <w:t>的公允价值减去处置费用后的净额与资产预计未来现金流量的现值两者之间的较高者。资产的公允价值根据公平交易中销售</w:t>
      </w:r>
      <w:r>
        <w:rPr>
          <w:spacing w:val="-64"/>
        </w:rPr>
        <w:t> </w:t>
      </w:r>
      <w:r>
        <w:rPr>
          <w:spacing w:val="-64"/>
        </w:rPr>
      </w:r>
      <w:r>
        <w:rPr>
          <w:spacing w:val="-2"/>
        </w:rPr>
        <w:t>协议价格确定；不存在销售协议但存在资产活跃市场的，公允价值按照该资产的买方出价确定；不存在销售协议和资产活跃</w:t>
      </w:r>
      <w:r>
        <w:rPr>
          <w:spacing w:val="-66"/>
        </w:rPr>
        <w:t> </w:t>
      </w:r>
      <w:r>
        <w:rPr>
          <w:spacing w:val="-66"/>
        </w:rPr>
      </w:r>
      <w:r>
        <w:rPr>
          <w:spacing w:val="-2"/>
        </w:rPr>
        <w:t>市场的，则以可获取的最佳信息为基础估计资产的公允价值。处置费用包括与资产处置有关的法律费用、相关税费、搬运费</w:t>
      </w:r>
      <w:r>
        <w:rPr>
          <w:spacing w:val="-66"/>
        </w:rPr>
        <w:t> </w:t>
      </w:r>
      <w:r>
        <w:rPr>
          <w:spacing w:val="-66"/>
        </w:rPr>
      </w:r>
      <w:r>
        <w:rPr>
          <w:spacing w:val="-2"/>
        </w:rPr>
        <w:t>以及为使资产达到可销售状态所发生的直接费用。资产预计未来现金流量的现值，按照资产在持续使用过程中和最终处置时</w:t>
      </w:r>
      <w:r>
        <w:rPr>
          <w:spacing w:val="-64"/>
        </w:rPr>
        <w:t> </w:t>
      </w:r>
      <w:r>
        <w:rPr>
          <w:spacing w:val="-64"/>
        </w:rPr>
      </w:r>
      <w:r>
        <w:rPr>
          <w:spacing w:val="-2"/>
        </w:rPr>
        <w:t>所产生的预计未来现金流量，选择恰当的折现率对其进行折现后的金额加以确定。资产减值准备按单项资产为基础计算并确</w:t>
      </w:r>
      <w:r>
        <w:rPr>
          <w:spacing w:val="-64"/>
        </w:rPr>
        <w:t> </w:t>
      </w:r>
      <w:r>
        <w:rPr>
          <w:spacing w:val="-64"/>
        </w:rPr>
      </w:r>
      <w:r>
        <w:rPr>
          <w:spacing w:val="-2"/>
        </w:rPr>
        <w:t>认，如果难以对单项资产的可收回金额进行估计的，以该资产所属的资产组确定资产组的可收回金额。资产组是能够独立产</w:t>
      </w:r>
      <w:r>
        <w:rPr>
          <w:spacing w:val="-65"/>
        </w:rPr>
        <w:t> </w:t>
      </w:r>
      <w:r>
        <w:rPr>
          <w:spacing w:val="-65"/>
        </w:rPr>
      </w:r>
      <w:r>
        <w:rPr/>
        <w:t>生现金流入的最小资产组合。</w:t>
      </w:r>
    </w:p>
    <w:p>
      <w:pPr>
        <w:pStyle w:val="BodyText"/>
        <w:spacing w:line="316" w:lineRule="auto" w:before="19"/>
        <w:ind w:right="1132" w:firstLine="426"/>
        <w:jc w:val="both"/>
      </w:pPr>
      <w:r>
        <w:rPr/>
        <w:t>在财务报表中单独列示的商誉，在进行减值测试时，将商誉的账面价值分摊至预期从企业合并的协同效应中受益的资 </w:t>
      </w:r>
      <w:r>
        <w:rPr>
          <w:spacing w:val="-2"/>
        </w:rPr>
        <w:t>产组或资产组组合。测试结果表明包含分摊的商誉的资产组或资产组组合的可收回金额低于其账面价值的，确认相应的减值</w:t>
      </w:r>
      <w:r>
        <w:rPr>
          <w:spacing w:val="-64"/>
        </w:rPr>
        <w:t> </w:t>
      </w:r>
      <w:r>
        <w:rPr>
          <w:spacing w:val="-64"/>
        </w:rPr>
      </w:r>
      <w:r>
        <w:rPr>
          <w:spacing w:val="-2"/>
        </w:rPr>
        <w:t>损失。减值损失金额先抵减分摊至该资产组或资产组组合的商誉的账面价值，再根据资产组或资产组组合中除商誉以外的其</w:t>
      </w:r>
      <w:r>
        <w:rPr>
          <w:spacing w:val="-64"/>
        </w:rPr>
        <w:t> </w:t>
      </w:r>
      <w:r>
        <w:rPr>
          <w:spacing w:val="-64"/>
        </w:rPr>
      </w:r>
      <w:r>
        <w:rPr/>
        <w:t>他各项资产的账面价值所占比重，按比例抵减其他各项资产的账面价值。</w:t>
      </w:r>
    </w:p>
    <w:p>
      <w:pPr>
        <w:pStyle w:val="BodyText"/>
        <w:spacing w:line="240" w:lineRule="auto" w:before="19"/>
        <w:ind w:left="579" w:right="1122"/>
        <w:jc w:val="left"/>
      </w:pPr>
      <w:r>
        <w:rPr/>
        <w:t>上述资产减值损失一经确认，以后期间不予转回价值得以恢复的部分。</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4"/>
          <w:szCs w:val="14"/>
        </w:rPr>
      </w:pPr>
    </w:p>
    <w:p>
      <w:pPr>
        <w:pStyle w:val="Heading3"/>
        <w:spacing w:line="240" w:lineRule="auto"/>
        <w:ind w:right="0"/>
        <w:jc w:val="both"/>
        <w:rPr>
          <w:b w:val="0"/>
          <w:bCs w:val="0"/>
        </w:rPr>
      </w:pPr>
      <w:bookmarkStart w:name="23、长期待摊费用" w:id="201"/>
      <w:bookmarkEnd w:id="201"/>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290"/>
        <w:jc w:val="left"/>
      </w:pPr>
      <w:r>
        <w:rPr>
          <w:spacing w:val="-1"/>
        </w:rPr>
        <w:t>长期待摊费用为已经发生但应由报告期和以后各期负担的分摊期限在一年以上的各项费用。本公司的长期待摊费用主要</w:t>
      </w:r>
      <w:r>
        <w:rPr/>
        <w:t> 包括固定资产改良支出、模具、土地租赁费、融资管理费以及其他。长期待摊费用在预计受益期间按直线法摊销。</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right="0"/>
        <w:jc w:val="both"/>
        <w:rPr>
          <w:b w:val="0"/>
          <w:bCs w:val="0"/>
        </w:rPr>
      </w:pPr>
      <w:bookmarkStart w:name="24、职工薪酬" w:id="202"/>
      <w:bookmarkEnd w:id="202"/>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短期薪酬的会计处理方法" w:id="203"/>
      <w:bookmarkEnd w:id="203"/>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480"/>
        <w:jc w:val="both"/>
      </w:pPr>
      <w:r>
        <w:rPr>
          <w:spacing w:val="-1"/>
        </w:rPr>
        <w:t>短期薪酬主要包括工资、奖金、津贴和补贴、职工福利费、医疗保险费、生育保险费、工伤保险费、住房公积金、工</w:t>
      </w:r>
      <w:r>
        <w:rPr/>
        <w:t> </w:t>
      </w:r>
      <w:r>
        <w:rPr>
          <w:spacing w:val="-2"/>
        </w:rPr>
        <w:t>会经费和职工教育经费、非货币性福利等。本公司在职工为本公司提供服务的会计期间将实际发生的短期职工薪酬确认为负</w:t>
      </w:r>
      <w:r>
        <w:rPr>
          <w:spacing w:val="-64"/>
        </w:rPr>
        <w:t> </w:t>
      </w:r>
      <w:r>
        <w:rPr>
          <w:spacing w:val="-64"/>
        </w:rPr>
      </w:r>
      <w:r>
        <w:rPr/>
        <w:t>债，并计入当期损益或相关资产成本。其中非货币性福利按公允价值计量。</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离职后福利的会计处理方法" w:id="204"/>
      <w:bookmarkEnd w:id="204"/>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2" w:firstLine="480"/>
        <w:jc w:val="both"/>
      </w:pPr>
      <w:r>
        <w:rPr>
          <w:spacing w:val="-3"/>
        </w:rPr>
        <w:t>离职后福利主要包括基本养老保险、失业保险以及年金等。离职后福利计划包括设定提存计划。采用设定提存计划的，</w:t>
      </w:r>
      <w:r>
        <w:rPr/>
        <w:t> 相应的应缴存金额于发生时计入相关资产成本或当期损益。</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3）辞退福利的会计处理方法" w:id="205"/>
      <w:bookmarkEnd w:id="205"/>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4" w:right="1131" w:firstLine="480"/>
        <w:jc w:val="both"/>
      </w:pPr>
      <w:r>
        <w:rPr>
          <w:spacing w:val="-1"/>
        </w:rPr>
        <w:t>在职工劳动合同到期之前解除与职工的劳动关系，或为鼓励职工自愿接受裁减而提出给予补偿的建议，在本公司不能</w:t>
      </w:r>
      <w:r>
        <w:rPr/>
        <w:t> </w:t>
      </w:r>
      <w:r>
        <w:rPr>
          <w:spacing w:val="-2"/>
        </w:rPr>
        <w:t>单方面撤回因解除劳动关系计划或裁减建议所提供的辞退福利时，和本公司确认与涉及支付辞退福利的重组相关的成本两者</w:t>
      </w:r>
      <w:r>
        <w:rPr>
          <w:spacing w:val="-64"/>
        </w:rPr>
        <w:t> </w:t>
      </w:r>
      <w:r>
        <w:rPr>
          <w:spacing w:val="-64"/>
        </w:rPr>
      </w:r>
      <w:r>
        <w:rPr>
          <w:spacing w:val="-2"/>
        </w:rPr>
        <w:t>孰早日，确认辞退福利产生的职工薪酬负债，并计入当期损益。但辞退福利预期在年度报告期结束后十二个月不能完全支付</w:t>
      </w:r>
      <w:r>
        <w:rPr>
          <w:spacing w:val="-66"/>
        </w:rPr>
        <w:t> </w:t>
      </w:r>
      <w:r>
        <w:rPr>
          <w:spacing w:val="-66"/>
        </w:rPr>
      </w:r>
      <w:r>
        <w:rPr/>
        <w:t>的，按照其他长期职工薪酬处理。</w:t>
      </w:r>
    </w:p>
    <w:p>
      <w:pPr>
        <w:pStyle w:val="BodyText"/>
        <w:spacing w:line="316" w:lineRule="auto" w:before="17"/>
        <w:ind w:left="154" w:right="1133" w:firstLine="480"/>
        <w:jc w:val="both"/>
      </w:pPr>
      <w:r>
        <w:rPr>
          <w:spacing w:val="-1"/>
        </w:rPr>
        <w:t>职工内部退休计划采用与上述辞退福利相同的原则处理。本公司将自职工停止提供服务日至正常退休日的期间拟支付</w:t>
      </w:r>
      <w:r>
        <w:rPr/>
        <w:t> 的内退人员工资和缴纳的社会保险费等，在符合预计负债确认条件时，计入当期损益（辞退福利）。</w:t>
      </w:r>
    </w:p>
    <w:p>
      <w:pPr>
        <w:spacing w:after="0" w:line="316"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6"/>
        <w:ind w:right="0"/>
        <w:jc w:val="both"/>
        <w:rPr>
          <w:b w:val="0"/>
          <w:bCs w:val="0"/>
        </w:rPr>
      </w:pPr>
      <w:bookmarkStart w:name="（4）其他长期职工福利的会计处理方法" w:id="206"/>
      <w:bookmarkEnd w:id="206"/>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2" w:firstLine="290"/>
        <w:jc w:val="left"/>
      </w:pPr>
      <w:r>
        <w:rPr>
          <w:spacing w:val="-1"/>
        </w:rPr>
        <w:t>本公司向职工提供的其他长期职工福利，符合设定提存计划的，按照设定提存计划进行会计处理，除此之外按照设定受</w:t>
      </w:r>
      <w:r>
        <w:rPr/>
        <w:t> 益计划进行会计处理。</w:t>
      </w:r>
    </w:p>
    <w:p>
      <w:pPr>
        <w:spacing w:line="240" w:lineRule="auto" w:before="7"/>
        <w:rPr>
          <w:rFonts w:ascii="宋体" w:hAnsi="宋体" w:cs="宋体" w:eastAsia="宋体" w:hint="default"/>
          <w:sz w:val="22"/>
          <w:szCs w:val="22"/>
        </w:rPr>
      </w:pPr>
    </w:p>
    <w:p>
      <w:pPr>
        <w:pStyle w:val="Heading3"/>
        <w:spacing w:line="240" w:lineRule="auto"/>
        <w:ind w:right="0"/>
        <w:jc w:val="both"/>
        <w:rPr>
          <w:b w:val="0"/>
          <w:bCs w:val="0"/>
        </w:rPr>
      </w:pPr>
      <w:bookmarkStart w:name="25、预计负债" w:id="207"/>
      <w:bookmarkEnd w:id="207"/>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480"/>
        <w:jc w:val="both"/>
      </w:pPr>
      <w:r>
        <w:rPr>
          <w:spacing w:val="-1"/>
        </w:rPr>
        <w:t>当与或有事项相关的义务同时符合以下条件，确认为预计负债：（</w:t>
      </w:r>
      <w:r>
        <w:rPr>
          <w:rFonts w:ascii="Times New Roman" w:hAnsi="Times New Roman" w:cs="Times New Roman" w:eastAsia="Times New Roman" w:hint="default"/>
          <w:spacing w:val="-1"/>
        </w:rPr>
        <w:t>1</w:t>
      </w:r>
      <w:r>
        <w:rPr>
          <w:spacing w:val="-1"/>
        </w:rPr>
        <w:t>）该义务是本公司承担的现时义务；（</w:t>
      </w:r>
      <w:r>
        <w:rPr>
          <w:rFonts w:ascii="Times New Roman" w:hAnsi="Times New Roman" w:cs="Times New Roman" w:eastAsia="Times New Roman" w:hint="default"/>
          <w:spacing w:val="-1"/>
        </w:rPr>
        <w:t>2</w:t>
      </w:r>
      <w:r>
        <w:rPr>
          <w:spacing w:val="-1"/>
        </w:rPr>
        <w:t>）履行该</w:t>
      </w:r>
      <w:r>
        <w:rPr/>
        <w:t> 义务很可能导致经济利益流出；（</w:t>
      </w:r>
      <w:r>
        <w:rPr>
          <w:rFonts w:ascii="Times New Roman" w:hAnsi="Times New Roman" w:cs="Times New Roman" w:eastAsia="Times New Roman" w:hint="default"/>
        </w:rPr>
        <w:t>3</w:t>
      </w:r>
      <w:r>
        <w:rPr/>
        <w:t>）该义务的金额能够可靠地计量。</w:t>
      </w:r>
    </w:p>
    <w:p>
      <w:pPr>
        <w:pStyle w:val="BodyText"/>
        <w:spacing w:line="316" w:lineRule="auto" w:before="13"/>
        <w:ind w:left="154" w:right="1133" w:firstLine="480"/>
        <w:jc w:val="both"/>
      </w:pPr>
      <w:r>
        <w:rPr>
          <w:spacing w:val="-1"/>
        </w:rPr>
        <w:t>在资产负债表日，考虑与或有事项有关的风险、不确定性和货币时间价值等因素，按照履行相关现时义务所需支出的</w:t>
      </w:r>
      <w:r>
        <w:rPr/>
        <w:t> 最佳估计数对预计负债进行计量。</w:t>
      </w:r>
    </w:p>
    <w:p>
      <w:pPr>
        <w:pStyle w:val="BodyText"/>
        <w:spacing w:line="316" w:lineRule="auto" w:before="19"/>
        <w:ind w:left="154" w:right="1110" w:firstLine="480"/>
        <w:jc w:val="both"/>
      </w:pPr>
      <w:r>
        <w:rPr/>
        <w:t>如果清偿预计负债所需支出全部或部分预期由第三方补偿的，补偿金额在基本确定能够收到时，作为资产单独确认， 且确认的补偿金额不超过预计负债的账面价值。</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5"/>
        <w:ind w:left="154" w:right="0"/>
        <w:jc w:val="both"/>
        <w:rPr>
          <w:b w:val="0"/>
          <w:bCs w:val="0"/>
        </w:rPr>
      </w:pPr>
      <w:bookmarkStart w:name="26、股份支付" w:id="208"/>
      <w:bookmarkEnd w:id="208"/>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1122"/>
        <w:jc w:val="left"/>
      </w:pPr>
      <w:r>
        <w:rPr/>
        <w:t>（</w:t>
      </w:r>
      <w:r>
        <w:rPr>
          <w:rFonts w:ascii="Times New Roman" w:hAnsi="Times New Roman" w:cs="Times New Roman" w:eastAsia="Times New Roman" w:hint="default"/>
        </w:rPr>
        <w:t>1</w:t>
      </w:r>
      <w:r>
        <w:rPr/>
        <w:t>）股份支付的会计处理方法 </w:t>
      </w:r>
      <w:r>
        <w:rPr>
          <w:spacing w:val="-1"/>
        </w:rPr>
        <w:t>股份支付是为了获取职工或其他方提供服务而授予权益工具或者承担以权益工具为基础确定的负债的交易。股份支付</w:t>
      </w:r>
    </w:p>
    <w:p>
      <w:pPr>
        <w:pStyle w:val="BodyText"/>
        <w:spacing w:line="240" w:lineRule="auto" w:before="31"/>
        <w:ind w:left="154" w:right="0"/>
        <w:jc w:val="both"/>
      </w:pPr>
      <w:r>
        <w:rPr/>
        <w:t>分为以权益结算的股份支付和以现金结算的股份支付。</w:t>
      </w:r>
    </w:p>
    <w:p>
      <w:pPr>
        <w:pStyle w:val="BodyText"/>
        <w:spacing w:line="316" w:lineRule="auto" w:before="77"/>
        <w:ind w:left="634" w:right="1122"/>
        <w:jc w:val="left"/>
      </w:pPr>
      <w:r>
        <w:rPr/>
        <w:t>①</w:t>
      </w:r>
      <w:r>
        <w:rPr>
          <w:spacing w:val="-17"/>
        </w:rPr>
        <w:t> </w:t>
      </w:r>
      <w:r>
        <w:rPr/>
        <w:t>以权益结算的股份支付</w:t>
      </w:r>
      <w:r>
        <w:rPr/>
        <w:t> </w:t>
      </w:r>
      <w:r>
        <w:rPr>
          <w:spacing w:val="-1"/>
        </w:rPr>
        <w:t>用以换取职工提供的服务的权益结算的股份支付，以授予职工权益工具在授予日的公允价值计量。该公允价值的金额</w:t>
      </w:r>
    </w:p>
    <w:p>
      <w:pPr>
        <w:pStyle w:val="BodyText"/>
        <w:spacing w:line="316" w:lineRule="auto" w:before="19"/>
        <w:ind w:left="154" w:right="1132"/>
        <w:jc w:val="both"/>
      </w:pPr>
      <w:r>
        <w:rPr>
          <w:spacing w:val="-2"/>
        </w:rPr>
        <w:t>在完成等待期内的服务或达到规定业绩条件才可行权的情况下，在等待期内以对可行权权益工具数量的最佳估计为基础，按</w:t>
      </w:r>
      <w:r>
        <w:rPr>
          <w:spacing w:val="-64"/>
        </w:rPr>
        <w:t> </w:t>
      </w:r>
      <w:r>
        <w:rPr>
          <w:spacing w:val="-64"/>
        </w:rPr>
      </w:r>
      <w:r>
        <w:rPr/>
        <w:t>直线法计算计入相关成本或费用</w:t>
      </w:r>
      <w:r>
        <w:rPr>
          <w:rFonts w:ascii="Times New Roman" w:hAnsi="Times New Roman" w:cs="Times New Roman" w:eastAsia="Times New Roman" w:hint="default"/>
        </w:rPr>
        <w:t>/</w:t>
      </w:r>
      <w:r>
        <w:rPr/>
        <w:t>在授予后立即可行权时，在授予日计入相关成本或费用，相应增加资本公积。</w:t>
      </w:r>
    </w:p>
    <w:p>
      <w:pPr>
        <w:pStyle w:val="BodyText"/>
        <w:spacing w:line="316" w:lineRule="auto"/>
        <w:ind w:left="154" w:right="1130" w:firstLine="480"/>
        <w:jc w:val="both"/>
      </w:pPr>
      <w:r>
        <w:rPr>
          <w:spacing w:val="-1"/>
        </w:rPr>
        <w:t>在等待期内每个资产负债表日，本公司根据最新取得的可行权职工人数变动等后续信息做出最佳估计，修正预计可行</w:t>
      </w:r>
      <w:r>
        <w:rPr/>
        <w:t> 权的权益工具数量。上述估计的影响计入当期相关成本或费用，并相应调整资本公积。</w:t>
      </w:r>
    </w:p>
    <w:p>
      <w:pPr>
        <w:pStyle w:val="BodyText"/>
        <w:spacing w:line="316" w:lineRule="auto" w:before="19"/>
        <w:ind w:left="154" w:right="1133" w:firstLine="480"/>
        <w:jc w:val="both"/>
      </w:pPr>
      <w:r>
        <w:rPr>
          <w:spacing w:val="-1"/>
        </w:rPr>
        <w:t>用以换取其他方服务的权益结算的股份支付，如果其他方服务的公允价值能够可靠计量，按照其他方服务在取得日的</w:t>
      </w:r>
      <w:r>
        <w:rPr/>
        <w:t> </w:t>
      </w:r>
      <w:r>
        <w:rPr>
          <w:spacing w:val="-2"/>
        </w:rPr>
        <w:t>公允价值计量，如果其他方服务的公允价值不能可靠计量，但权益工具的公允价值能够可靠计量的，按照权益工具在服务取</w:t>
      </w:r>
      <w:r>
        <w:rPr>
          <w:spacing w:val="-66"/>
        </w:rPr>
        <w:t> </w:t>
      </w:r>
      <w:r>
        <w:rPr>
          <w:spacing w:val="-66"/>
        </w:rPr>
      </w:r>
      <w:r>
        <w:rPr/>
        <w:t>得日的公允价值计量，计入相关成本或费用，相应增加股东权益。</w:t>
      </w:r>
    </w:p>
    <w:p>
      <w:pPr>
        <w:pStyle w:val="BodyText"/>
        <w:spacing w:line="316" w:lineRule="auto" w:before="19"/>
        <w:ind w:left="634" w:right="1122"/>
        <w:jc w:val="left"/>
      </w:pPr>
      <w:r>
        <w:rPr/>
        <w:t>②</w:t>
      </w:r>
      <w:r>
        <w:rPr>
          <w:spacing w:val="-17"/>
        </w:rPr>
        <w:t> </w:t>
      </w:r>
      <w:r>
        <w:rPr/>
        <w:t>以现金结算的股份支付</w:t>
      </w:r>
      <w:r>
        <w:rPr/>
        <w:t> </w:t>
      </w:r>
      <w:r>
        <w:rPr>
          <w:spacing w:val="-1"/>
        </w:rPr>
        <w:t>以现金结算的股份支付，按照本公司承担的以股份或其他权益工具为基础确定的负债的公允价值计量。如授予后立即</w:t>
      </w:r>
    </w:p>
    <w:p>
      <w:pPr>
        <w:pStyle w:val="BodyText"/>
        <w:spacing w:line="316" w:lineRule="auto" w:before="19"/>
        <w:ind w:left="154" w:right="1131"/>
        <w:jc w:val="both"/>
      </w:pPr>
      <w:r>
        <w:rPr>
          <w:spacing w:val="-2"/>
        </w:rPr>
        <w:t>可行权，在授予日计入相关成本或费用，相应增加负债；如须完成等待期内的服务或达到规定业绩条件以后才可行权，在等</w:t>
      </w:r>
      <w:r>
        <w:rPr>
          <w:spacing w:val="-66"/>
        </w:rPr>
        <w:t> </w:t>
      </w:r>
      <w:r>
        <w:rPr>
          <w:spacing w:val="-66"/>
        </w:rPr>
      </w:r>
      <w:r>
        <w:rPr>
          <w:spacing w:val="-2"/>
        </w:rPr>
        <w:t>待期的每个资产负债表日，以对可行权情况的最佳估计为基础，按照本公司承担负债的公允价值金额，将当期取得的服务计</w:t>
      </w:r>
      <w:r>
        <w:rPr>
          <w:spacing w:val="-66"/>
        </w:rPr>
        <w:t> </w:t>
      </w:r>
      <w:r>
        <w:rPr>
          <w:spacing w:val="-66"/>
        </w:rPr>
      </w:r>
      <w:r>
        <w:rPr/>
        <w:t>入成本或费用，相应增加负债。</w:t>
      </w:r>
    </w:p>
    <w:p>
      <w:pPr>
        <w:pStyle w:val="BodyText"/>
        <w:spacing w:line="240" w:lineRule="auto" w:before="19"/>
        <w:ind w:left="634" w:right="1122"/>
        <w:jc w:val="left"/>
      </w:pPr>
      <w:r>
        <w:rPr/>
        <w:t>在相关负债结算前的每个资产负债表日以及结算日，对负债的公允价值重新计量，其变动计入当期损益。</w:t>
      </w:r>
    </w:p>
    <w:p>
      <w:pPr>
        <w:pStyle w:val="BodyText"/>
        <w:spacing w:line="300" w:lineRule="auto" w:before="76"/>
        <w:ind w:left="634" w:right="1122"/>
        <w:jc w:val="left"/>
      </w:pPr>
      <w:r>
        <w:rPr/>
        <w:t>（</w:t>
      </w:r>
      <w:r>
        <w:rPr>
          <w:rFonts w:ascii="Times New Roman" w:hAnsi="Times New Roman" w:cs="Times New Roman" w:eastAsia="Times New Roman" w:hint="default"/>
        </w:rPr>
        <w:t>2</w:t>
      </w:r>
      <w:r>
        <w:rPr/>
        <w:t>）修改、终止股份支付计划的相关会计处理 </w:t>
      </w:r>
      <w:r>
        <w:rPr>
          <w:spacing w:val="-1"/>
        </w:rPr>
        <w:t>本公司对股份支付计划进行修改时，若修改增加了所授予权益工具的公允价值，按照权益工具公允价值的增加相应确</w:t>
      </w:r>
    </w:p>
    <w:p>
      <w:pPr>
        <w:pStyle w:val="BodyText"/>
        <w:spacing w:line="319" w:lineRule="auto" w:before="31"/>
        <w:ind w:left="154" w:right="1131"/>
        <w:jc w:val="both"/>
      </w:pPr>
      <w:r>
        <w:rPr>
          <w:spacing w:val="-2"/>
        </w:rPr>
        <w:t>认取得服务的增加。权益工具公允价值的增加是指修改前后的权益工具在修改日的公允价值之间的差额。若修改减少了股份</w:t>
      </w:r>
      <w:r>
        <w:rPr>
          <w:spacing w:val="-64"/>
        </w:rPr>
        <w:t> </w:t>
      </w:r>
      <w:r>
        <w:rPr>
          <w:spacing w:val="-64"/>
        </w:rPr>
      </w:r>
      <w:r>
        <w:rPr>
          <w:spacing w:val="-2"/>
        </w:rPr>
        <w:t>支付公允价值总额或采用了其他不利于职工的方式，则仍继续对取得的服务进行会计处理，视同该变更从未发生，除非本公</w:t>
      </w:r>
      <w:r>
        <w:rPr>
          <w:spacing w:val="-66"/>
        </w:rPr>
        <w:t> </w:t>
      </w:r>
      <w:r>
        <w:rPr>
          <w:spacing w:val="-66"/>
        </w:rPr>
      </w:r>
      <w:r>
        <w:rPr/>
        <w:t>司取消了部分或全部已授予的权益工具。</w:t>
      </w:r>
    </w:p>
    <w:p>
      <w:pPr>
        <w:pStyle w:val="BodyText"/>
        <w:spacing w:line="316" w:lineRule="auto" w:before="17"/>
        <w:ind w:left="154" w:right="1133" w:firstLine="480"/>
        <w:jc w:val="both"/>
      </w:pPr>
      <w:r>
        <w:rPr>
          <w:spacing w:val="-1"/>
        </w:rPr>
        <w:t>在等待期内，如果取消了授予的权益工具，本公司对取消所授予的权益性工具作为加速行权处理，将剩余等待期内应</w:t>
      </w:r>
      <w:r>
        <w:rPr/>
        <w:t> </w:t>
      </w:r>
      <w:r>
        <w:rPr>
          <w:spacing w:val="-2"/>
        </w:rPr>
        <w:t>确认的金额立即计入当期损益，同时确认资本公积。职工或其他方能够选择满足非可行权条件但在等待期内未满足的，本公</w:t>
      </w:r>
      <w:r>
        <w:rPr>
          <w:spacing w:val="-66"/>
        </w:rPr>
        <w:t> </w:t>
      </w:r>
      <w:r>
        <w:rPr>
          <w:spacing w:val="-66"/>
        </w:rPr>
      </w:r>
      <w:r>
        <w:rPr/>
        <w:t>司将其作为授予权益工具的取消处理。</w:t>
      </w:r>
    </w:p>
    <w:p>
      <w:pPr>
        <w:spacing w:after="0" w:line="316" w:lineRule="auto"/>
        <w:jc w:val="both"/>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633" w:right="1122"/>
        <w:jc w:val="left"/>
      </w:pPr>
      <w:r>
        <w:rPr/>
        <w:t>（</w:t>
      </w:r>
      <w:r>
        <w:rPr>
          <w:rFonts w:ascii="Times New Roman" w:hAnsi="Times New Roman" w:cs="Times New Roman" w:eastAsia="Times New Roman" w:hint="default"/>
        </w:rPr>
        <w:t>3</w:t>
      </w:r>
      <w:r>
        <w:rPr/>
        <w:t>）涉及本公司与本公司股东或实际控制人的股份支付交易的会计处理 </w:t>
      </w:r>
      <w:r>
        <w:rPr>
          <w:spacing w:val="-1"/>
        </w:rPr>
        <w:t>涉及本公司与本公司股东或实际控制人的股份支付交易，结算企业与接受服务企业中其一在本公司内，另一在本公司</w:t>
      </w:r>
    </w:p>
    <w:p>
      <w:pPr>
        <w:pStyle w:val="BodyText"/>
        <w:spacing w:line="240" w:lineRule="auto" w:before="31"/>
        <w:ind w:right="1122"/>
        <w:jc w:val="left"/>
      </w:pPr>
      <w:r>
        <w:rPr/>
        <w:t>外的，在本公司合并财务报表中按照以下规定进行会计处理：</w:t>
      </w:r>
    </w:p>
    <w:p>
      <w:pPr>
        <w:pStyle w:val="BodyText"/>
        <w:spacing w:line="319" w:lineRule="auto" w:before="76"/>
        <w:ind w:left="154" w:right="1201" w:firstLine="480"/>
        <w:jc w:val="left"/>
      </w:pPr>
      <w:r>
        <w:rPr/>
        <w:t>①</w:t>
      </w:r>
      <w:r>
        <w:rPr>
          <w:spacing w:val="-19"/>
        </w:rPr>
        <w:t> </w:t>
      </w:r>
      <w:r>
        <w:rPr/>
        <w:t>结算企业以其本身权益工具结算的，将该股份支付交易作为权益结算的股份支付处理；除此之外，作为现金结算</w:t>
      </w:r>
      <w:r>
        <w:rPr/>
        <w:t> 的股份支付处理。</w:t>
      </w:r>
    </w:p>
    <w:p>
      <w:pPr>
        <w:pStyle w:val="BodyText"/>
        <w:spacing w:line="316" w:lineRule="auto" w:before="17"/>
        <w:ind w:right="1122" w:firstLine="480"/>
        <w:jc w:val="left"/>
      </w:pPr>
      <w:r>
        <w:rPr>
          <w:spacing w:val="-1"/>
        </w:rPr>
        <w:t>结算企业是接受服务企业的投资者的，按照授予日权益工具的公允价值或应承担负债的公允价值确认为对接受服务企</w:t>
      </w:r>
      <w:r>
        <w:rPr/>
        <w:t> 业的长期股权投资，同时确认资本公积（其他资本公积）或负债。</w:t>
      </w:r>
    </w:p>
    <w:p>
      <w:pPr>
        <w:pStyle w:val="BodyText"/>
        <w:spacing w:line="316" w:lineRule="auto" w:before="19"/>
        <w:ind w:left="154" w:right="1122" w:firstLine="480"/>
        <w:jc w:val="left"/>
      </w:pPr>
      <w:r>
        <w:rPr/>
        <w:t>②</w:t>
      </w:r>
      <w:r>
        <w:rPr>
          <w:spacing w:val="-18"/>
        </w:rPr>
        <w:t> </w:t>
      </w:r>
      <w:r>
        <w:rPr/>
        <w:t>接受服务企业没有结算义务或授予本企业职工的是其本身权益工具的，将该股份支付交易作为权益结算的股份支</w:t>
      </w:r>
      <w:r>
        <w:rPr/>
        <w:t> </w:t>
      </w:r>
      <w:r>
        <w:rPr>
          <w:spacing w:val="-2"/>
        </w:rPr>
        <w:t>付处理；接受服务企业具有结算义务且授予本企业职工的并非其本身权益工具的，将该股份支付交易作为现金结算的股份支</w:t>
      </w:r>
      <w:r>
        <w:rPr>
          <w:spacing w:val="-64"/>
        </w:rPr>
        <w:t> </w:t>
      </w:r>
      <w:r>
        <w:rPr>
          <w:spacing w:val="-64"/>
        </w:rPr>
      </w:r>
      <w:r>
        <w:rPr/>
        <w:t>付处理。</w:t>
      </w:r>
    </w:p>
    <w:p>
      <w:pPr>
        <w:pStyle w:val="BodyText"/>
        <w:spacing w:line="316" w:lineRule="auto" w:before="19"/>
        <w:ind w:left="154" w:right="1122" w:firstLine="480"/>
        <w:jc w:val="left"/>
      </w:pPr>
      <w:r>
        <w:rPr>
          <w:spacing w:val="-1"/>
        </w:rPr>
        <w:t>本公司内各企业之间发生的股份支付交易，接受服务企业和结算企业不是同一企业的，在接受服务企业和结算企业各</w:t>
      </w:r>
      <w:r>
        <w:rPr/>
        <w:t> 自的个别财务报表中对该股份支付交易的确认和计量，比照上述原则处理。</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7、优先股、永续债等其他金融工具" w:id="209"/>
      <w:bookmarkEnd w:id="209"/>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8、收入" w:id="210"/>
      <w:bookmarkEnd w:id="210"/>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692"/>
        <w:jc w:val="left"/>
      </w:pPr>
      <w:r>
        <w:rPr/>
        <w:t>公司是否需要遵守特殊行业的披露要求 否</w:t>
      </w:r>
    </w:p>
    <w:p>
      <w:pPr>
        <w:pStyle w:val="BodyText"/>
        <w:spacing w:line="300" w:lineRule="auto" w:before="28"/>
        <w:ind w:left="634" w:right="1122"/>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在已将商品所有权上的主要风险和报酬转移给买方，既没有保留通常与所有权相联系的继续管理权，也没有对已售商</w:t>
      </w:r>
    </w:p>
    <w:p>
      <w:pPr>
        <w:pStyle w:val="BodyText"/>
        <w:spacing w:line="319" w:lineRule="auto" w:before="31"/>
        <w:ind w:left="154" w:right="1122"/>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pStyle w:val="BodyText"/>
        <w:spacing w:line="240" w:lineRule="auto" w:before="17"/>
        <w:ind w:left="634" w:right="1122"/>
        <w:jc w:val="left"/>
      </w:pPr>
      <w:r>
        <w:rPr/>
        <w:t>商品国内销售在货物交付时确认收入；商品出口销售在货物已报关、装船后确认收入或提货确认收入。</w:t>
      </w:r>
    </w:p>
    <w:p>
      <w:pPr>
        <w:pStyle w:val="BodyText"/>
        <w:spacing w:line="300" w:lineRule="auto" w:before="76"/>
        <w:ind w:left="634" w:right="1122"/>
        <w:jc w:val="left"/>
      </w:pPr>
      <w:r>
        <w:rPr/>
        <w:t>（</w:t>
      </w:r>
      <w:r>
        <w:rPr>
          <w:rFonts w:ascii="Times New Roman" w:hAnsi="Times New Roman" w:cs="Times New Roman" w:eastAsia="Times New Roman" w:hint="default"/>
        </w:rPr>
        <w:t>2</w:t>
      </w:r>
      <w:r>
        <w:rPr/>
        <w:t>）提供劳务收入 </w:t>
      </w:r>
      <w:r>
        <w:rPr>
          <w:spacing w:val="-1"/>
        </w:rPr>
        <w:t>在提供劳务交易的结果能够可靠估计的情况下，于资产负债表日按照完工百分比法确认提供的劳务收入。劳务交易的</w:t>
      </w:r>
    </w:p>
    <w:p>
      <w:pPr>
        <w:pStyle w:val="BodyText"/>
        <w:spacing w:line="316" w:lineRule="auto" w:before="31"/>
        <w:ind w:left="634" w:right="0" w:hanging="480"/>
        <w:jc w:val="left"/>
      </w:pPr>
      <w:r>
        <w:rPr/>
        <w:t>完工进度按已经发生的劳务成本占估计总成本的比例确定。 </w:t>
      </w:r>
      <w:r>
        <w:rPr>
          <w:spacing w:val="-3"/>
        </w:rPr>
        <w:t>提供劳务交易的结果能够可靠估计是指同时满足：①收入的金额能够可靠地计量；②相关的经济利益很可能流入企业；</w:t>
      </w:r>
    </w:p>
    <w:p>
      <w:pPr>
        <w:pStyle w:val="BodyText"/>
        <w:spacing w:line="316" w:lineRule="auto" w:before="19"/>
        <w:ind w:left="633" w:right="1093" w:hanging="480"/>
        <w:jc w:val="left"/>
      </w:pPr>
      <w:r>
        <w:rPr/>
        <w:t>③交易的完工程度能够可靠地确定；④交易中已发生和将发生的成本能够可靠地计量。 如果提供劳务交易的结果不能够可靠估计，则按已经发生并预计能够得到补偿的劳务成本金额确认提供的劳务收入，</w:t>
      </w:r>
    </w:p>
    <w:p>
      <w:pPr>
        <w:pStyle w:val="BodyText"/>
        <w:spacing w:line="316" w:lineRule="auto" w:before="19"/>
        <w:ind w:left="633" w:right="1122" w:hanging="480"/>
        <w:jc w:val="left"/>
      </w:pPr>
      <w:r>
        <w:rPr/>
        <w:t>并将已发生的劳务成本作为当期费用。已经发生的劳务成本如预计不能得到补偿的，则不确认收入。 </w:t>
      </w:r>
      <w:r>
        <w:rPr>
          <w:spacing w:val="-1"/>
        </w:rPr>
        <w:t>本公司与其他企业签订的合同或协议包括销售商品和提供劳务时，如销售商品部分和提供劳务部分能够区分并单独计</w:t>
      </w:r>
    </w:p>
    <w:p>
      <w:pPr>
        <w:pStyle w:val="BodyText"/>
        <w:spacing w:line="316" w:lineRule="auto" w:before="19"/>
        <w:ind w:right="1122"/>
        <w:jc w:val="left"/>
      </w:pPr>
      <w:r>
        <w:rPr>
          <w:spacing w:val="-2"/>
        </w:rPr>
        <w:t>量的，将销售商品部分和提供劳务部分分别处理；如销售商品部分和提供劳务部分不能够区分，或虽能区分但不能够单独计</w:t>
      </w:r>
      <w:r>
        <w:rPr>
          <w:spacing w:val="-66"/>
        </w:rPr>
        <w:t> </w:t>
      </w:r>
      <w:r>
        <w:rPr>
          <w:spacing w:val="-66"/>
        </w:rPr>
      </w:r>
      <w:r>
        <w:rPr/>
        <w:t>量的，将该合同全部作为销售商品处理。</w:t>
      </w:r>
    </w:p>
    <w:p>
      <w:pPr>
        <w:pStyle w:val="BodyText"/>
        <w:spacing w:line="300" w:lineRule="auto" w:before="19"/>
        <w:ind w:left="634" w:right="6492"/>
        <w:jc w:val="left"/>
      </w:pPr>
      <w:r>
        <w:rPr/>
        <w:t>（</w:t>
      </w:r>
      <w:r>
        <w:rPr>
          <w:rFonts w:ascii="Times New Roman" w:hAnsi="Times New Roman" w:cs="Times New Roman" w:eastAsia="Times New Roman" w:hint="default"/>
        </w:rPr>
        <w:t>3</w:t>
      </w:r>
      <w:r>
        <w:rPr/>
        <w:t>）使用费收入 根据有关合同或协议，按权责发生制确认收入。</w:t>
      </w:r>
    </w:p>
    <w:p>
      <w:pPr>
        <w:pStyle w:val="BodyText"/>
        <w:spacing w:line="340" w:lineRule="auto" w:before="31"/>
        <w:ind w:left="154" w:right="6072" w:firstLine="480"/>
        <w:jc w:val="left"/>
      </w:pPr>
      <w:r>
        <w:rPr/>
        <w:t>（</w:t>
      </w:r>
      <w:r>
        <w:rPr>
          <w:rFonts w:ascii="Times New Roman" w:hAnsi="Times New Roman" w:cs="Times New Roman" w:eastAsia="Times New Roman" w:hint="default"/>
        </w:rPr>
        <w:t>4</w:t>
      </w:r>
      <w:r>
        <w:rPr/>
        <w:t>）利息收入 按照他人使用本公司货币资金的时间和实际利率计算确定。</w:t>
      </w:r>
    </w:p>
    <w:p>
      <w:pPr>
        <w:spacing w:line="240" w:lineRule="auto" w:before="12"/>
        <w:rPr>
          <w:rFonts w:ascii="宋体" w:hAnsi="宋体" w:cs="宋体" w:eastAsia="宋体" w:hint="default"/>
          <w:sz w:val="20"/>
          <w:szCs w:val="20"/>
        </w:rPr>
      </w:pPr>
    </w:p>
    <w:p>
      <w:pPr>
        <w:pStyle w:val="Heading3"/>
        <w:spacing w:line="240" w:lineRule="auto"/>
        <w:ind w:left="154" w:right="1122"/>
        <w:jc w:val="left"/>
        <w:rPr>
          <w:b w:val="0"/>
          <w:bCs w:val="0"/>
        </w:rPr>
      </w:pPr>
      <w:bookmarkStart w:name="29、政府补助" w:id="211"/>
      <w:bookmarkEnd w:id="211"/>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与资产相关的政府补助判断依据及会计处理方法" w:id="212"/>
      <w:bookmarkEnd w:id="212"/>
      <w:r>
        <w:rPr>
          <w:b w:val="0"/>
          <w:bCs w:val="0"/>
        </w:rPr>
      </w: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1122"/>
        <w:jc w:val="left"/>
      </w:pPr>
      <w:r>
        <w:rPr/>
        <w:t>本公司将所取得的用于购建或以其他方式形成长期资产的政府补助界定为与资产相关的政府补助。</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122" w:firstLine="290"/>
        <w:jc w:val="left"/>
      </w:pPr>
      <w:r>
        <w:rPr>
          <w:spacing w:val="-1"/>
        </w:rPr>
        <w:t>与资产相关的政府补助，确认为递延收益，并在相关资产的使用寿命内按照合理、系统的方法分期计入当期损益或冲减</w:t>
      </w:r>
      <w:r>
        <w:rPr/>
        <w:t> 相关资产的账面价值。</w:t>
      </w:r>
    </w:p>
    <w:p>
      <w:pPr>
        <w:spacing w:line="240" w:lineRule="auto" w:before="7"/>
        <w:rPr>
          <w:rFonts w:ascii="宋体" w:hAnsi="宋体" w:cs="宋体" w:eastAsia="宋体" w:hint="default"/>
          <w:sz w:val="22"/>
          <w:szCs w:val="22"/>
        </w:rPr>
      </w:pPr>
    </w:p>
    <w:p>
      <w:pPr>
        <w:pStyle w:val="Heading3"/>
        <w:spacing w:line="240" w:lineRule="auto"/>
        <w:ind w:right="1122"/>
        <w:jc w:val="left"/>
        <w:rPr>
          <w:b w:val="0"/>
          <w:bCs w:val="0"/>
        </w:rPr>
      </w:pPr>
      <w:bookmarkStart w:name="（2）与收益相关的政府补助判断依据及会计处理方法" w:id="213"/>
      <w:bookmarkEnd w:id="213"/>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444" w:right="1122" w:firstLine="166"/>
        <w:jc w:val="left"/>
      </w:pPr>
      <w:r>
        <w:rPr/>
        <w:t>其余政府补助界定为与收益相关的政府补助。 </w:t>
      </w:r>
      <w:r>
        <w:rPr>
          <w:spacing w:val="-1"/>
        </w:rPr>
        <w:t>与收益相关的政府补助，用于补偿以后期间的相关成本费用或损失的，确认为递延收益，并在确认相关成本费用或损失</w:t>
      </w:r>
    </w:p>
    <w:p>
      <w:pPr>
        <w:pStyle w:val="BodyText"/>
        <w:spacing w:line="316" w:lineRule="auto" w:before="19"/>
        <w:ind w:left="444" w:right="1122" w:hanging="291"/>
        <w:jc w:val="left"/>
      </w:pPr>
      <w:r>
        <w:rPr/>
        <w:t>的期间计入当期损益；用于补偿已经发生的相关成本费用或损失的，直接计入当期损益。 </w:t>
      </w:r>
      <w:r>
        <w:rPr>
          <w:spacing w:val="-1"/>
        </w:rPr>
        <w:t>同时包含与资产相关部分和与收益相关部分的政府补助，区分不同部分分别进行会计处理；难以区分的，将其整体归类</w:t>
      </w:r>
    </w:p>
    <w:p>
      <w:pPr>
        <w:pStyle w:val="BodyText"/>
        <w:spacing w:line="316" w:lineRule="auto" w:before="19"/>
        <w:ind w:left="527" w:right="1199" w:hanging="374"/>
        <w:jc w:val="left"/>
      </w:pPr>
      <w:r>
        <w:rPr/>
        <w:t>为与收益相关的政府补助。 与本公司日常活动相关的政府补助，按照经济业务的实质，计入其他收益或冲减相关成本费用；与日常活动无关的政</w:t>
      </w:r>
    </w:p>
    <w:p>
      <w:pPr>
        <w:pStyle w:val="BodyText"/>
        <w:spacing w:line="360" w:lineRule="auto" w:before="19"/>
        <w:ind w:left="444" w:right="1122" w:hanging="291"/>
        <w:jc w:val="left"/>
      </w:pPr>
      <w:r>
        <w:rPr/>
        <w:t>府补助，计入营业外收支。 </w:t>
      </w:r>
      <w:r>
        <w:rPr>
          <w:spacing w:val="-1"/>
        </w:rPr>
        <w:t>已确认的政府补助需要退回时，存在相关递延收益余额的，冲减相关递延收益账面余额，超出部分计入当期损益或；属</w:t>
      </w:r>
    </w:p>
    <w:p>
      <w:pPr>
        <w:pStyle w:val="BodyText"/>
        <w:spacing w:line="222" w:lineRule="exact"/>
        <w:ind w:right="1122"/>
        <w:jc w:val="left"/>
      </w:pPr>
      <w:r>
        <w:rPr/>
        <w:t>于其他情况的，直接计入当期损益。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1122"/>
        <w:jc w:val="left"/>
        <w:rPr>
          <w:b w:val="0"/>
          <w:bCs w:val="0"/>
        </w:rPr>
      </w:pPr>
      <w:bookmarkStart w:name="30、递延所得税资产/递延所得税负债" w:id="214"/>
      <w:bookmarkEnd w:id="214"/>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0"/>
        <w:jc w:val="left"/>
      </w:pPr>
      <w:r>
        <w:rPr/>
        <w:t>（</w:t>
      </w:r>
      <w:r>
        <w:rPr>
          <w:rFonts w:ascii="Times New Roman" w:hAnsi="Times New Roman" w:cs="Times New Roman" w:eastAsia="Times New Roman" w:hint="default"/>
        </w:rPr>
        <w:t>1</w:t>
      </w:r>
      <w:r>
        <w:rPr/>
        <w:t>）当期所得税 </w:t>
      </w:r>
      <w:r>
        <w:rPr>
          <w:spacing w:val="-3"/>
        </w:rPr>
        <w:t>资产负债表日，对于当期和以前期间形成的当期所得税负债（或资产），以按照税法规定计算的预期应交纳（或返还）</w:t>
      </w:r>
    </w:p>
    <w:p>
      <w:pPr>
        <w:pStyle w:val="BodyText"/>
        <w:spacing w:line="316" w:lineRule="auto" w:before="31"/>
        <w:ind w:left="154" w:right="1122"/>
        <w:jc w:val="left"/>
      </w:pPr>
      <w:r>
        <w:rPr>
          <w:spacing w:val="-2"/>
        </w:rPr>
        <w:t>的所得税金额计量。计算当期所得税费用所依据的应纳税所得额系根据有关税法规定对本年度税前会计利润作相应调整后计</w:t>
      </w:r>
      <w:r>
        <w:rPr>
          <w:spacing w:val="-64"/>
        </w:rPr>
        <w:t> </w:t>
      </w:r>
      <w:r>
        <w:rPr>
          <w:spacing w:val="-64"/>
        </w:rPr>
      </w:r>
      <w:r>
        <w:rPr/>
        <w:t>算得出。</w:t>
      </w:r>
    </w:p>
    <w:p>
      <w:pPr>
        <w:pStyle w:val="BodyText"/>
        <w:spacing w:line="300" w:lineRule="auto" w:before="19"/>
        <w:ind w:left="633" w:right="1122"/>
        <w:jc w:val="left"/>
      </w:pPr>
      <w:r>
        <w:rPr/>
        <w:t>（</w:t>
      </w:r>
      <w:r>
        <w:rPr>
          <w:rFonts w:ascii="Times New Roman" w:hAnsi="Times New Roman" w:cs="Times New Roman" w:eastAsia="Times New Roman" w:hint="default"/>
        </w:rPr>
        <w:t>2</w:t>
      </w:r>
      <w:r>
        <w:rPr/>
        <w:t>）递延所得税资产及递延所得税负债 </w:t>
      </w:r>
      <w:r>
        <w:rPr>
          <w:spacing w:val="-1"/>
        </w:rPr>
        <w:t>某些资产、负债项目的账面价值与其计税基础之间的差额，以及未作为资产和负债确认但按照税法规定可以确定其计</w:t>
      </w:r>
    </w:p>
    <w:p>
      <w:pPr>
        <w:pStyle w:val="BodyText"/>
        <w:spacing w:line="316" w:lineRule="auto" w:before="31"/>
        <w:ind w:right="1122"/>
        <w:jc w:val="left"/>
      </w:pPr>
      <w:r>
        <w:rPr>
          <w:spacing w:val="-2"/>
        </w:rPr>
        <w:t>税基础的项目的账面价值与计税基础之间的差额产生的暂时性差异，采用资产负债表债务法确认递延所得税资产及递延所得</w:t>
      </w:r>
      <w:r>
        <w:rPr>
          <w:spacing w:val="-64"/>
        </w:rPr>
        <w:t> </w:t>
      </w:r>
      <w:r>
        <w:rPr>
          <w:spacing w:val="-64"/>
        </w:rPr>
      </w:r>
      <w:r>
        <w:rPr/>
        <w:t>税负债。</w:t>
      </w:r>
    </w:p>
    <w:p>
      <w:pPr>
        <w:pStyle w:val="BodyText"/>
        <w:spacing w:line="316" w:lineRule="auto" w:before="19"/>
        <w:ind w:left="154" w:right="1131" w:firstLine="480"/>
        <w:jc w:val="both"/>
      </w:pPr>
      <w:r>
        <w:rPr>
          <w:spacing w:val="-1"/>
        </w:rPr>
        <w:t>与商誉的初始确认有关，以及与既不是企业合并、发生时也不影响会计利润和应纳税所得额（或可抵扣亏损）的交易</w:t>
      </w:r>
      <w:r>
        <w:rPr/>
        <w:t> </w:t>
      </w:r>
      <w:r>
        <w:rPr>
          <w:spacing w:val="-2"/>
        </w:rPr>
        <w:t>中产生的资产或负债的初始确认有关的应纳税暂时性差异，不予确认有关的递延所得税负债。此外，对与子公司、联营企业</w:t>
      </w:r>
      <w:r>
        <w:rPr>
          <w:spacing w:val="-66"/>
        </w:rPr>
        <w:t> </w:t>
      </w:r>
      <w:r>
        <w:rPr>
          <w:spacing w:val="-66"/>
        </w:rPr>
      </w:r>
      <w:r>
        <w:rPr>
          <w:spacing w:val="-2"/>
        </w:rPr>
        <w:t>及合营企业投资相关的应纳税暂时性差异，如果本公司能够控制暂时性差异转回的时间，而且该暂时性差异在可预见的未来</w:t>
      </w:r>
      <w:r>
        <w:rPr>
          <w:spacing w:val="-64"/>
        </w:rPr>
        <w:t> </w:t>
      </w:r>
      <w:r>
        <w:rPr>
          <w:spacing w:val="-64"/>
        </w:rPr>
      </w:r>
      <w:r>
        <w:rPr>
          <w:spacing w:val="-2"/>
        </w:rPr>
        <w:t>很可能不会转回，也不予确认有关的递延所得税负债。除上述例外情况，本公司确认其他所有应纳税暂时性差异产生的递延</w:t>
      </w:r>
      <w:r>
        <w:rPr>
          <w:spacing w:val="-66"/>
        </w:rPr>
        <w:t> </w:t>
      </w:r>
      <w:r>
        <w:rPr>
          <w:spacing w:val="-66"/>
        </w:rPr>
      </w:r>
      <w:r>
        <w:rPr/>
        <w:t>所得税负债。</w:t>
      </w:r>
    </w:p>
    <w:p>
      <w:pPr>
        <w:pStyle w:val="BodyText"/>
        <w:spacing w:line="316" w:lineRule="auto" w:before="19"/>
        <w:ind w:left="154" w:right="1131" w:firstLine="480"/>
        <w:jc w:val="both"/>
      </w:pPr>
      <w:r>
        <w:rPr>
          <w:spacing w:val="-1"/>
        </w:rPr>
        <w:t>与既不是企业合并、发生时也不影响会计利润和应纳税所得额（或可抵扣亏损）的交易中产生的资产或负债的初始确</w:t>
      </w:r>
      <w:r>
        <w:rPr/>
        <w:t> </w:t>
      </w:r>
      <w:r>
        <w:rPr>
          <w:spacing w:val="-2"/>
        </w:rPr>
        <w:t>认有关的可抵扣暂时性差异，不予确认有关的递延所得税资产。此外，对与子公司、联营企业及合营企业投资相关的可抵扣</w:t>
      </w:r>
      <w:r>
        <w:rPr>
          <w:spacing w:val="-66"/>
        </w:rPr>
        <w:t> </w:t>
      </w:r>
      <w:r>
        <w:rPr>
          <w:spacing w:val="-66"/>
        </w:rPr>
      </w:r>
      <w:r>
        <w:rPr>
          <w:spacing w:val="-2"/>
        </w:rPr>
        <w:t>暂时性差异，如果暂时性差异在可预见的未来不是很可能转回，或者未来不是很可能获得用来抵扣可抵扣暂时性差异的应纳</w:t>
      </w:r>
      <w:r>
        <w:rPr>
          <w:spacing w:val="-64"/>
        </w:rPr>
        <w:t> </w:t>
      </w:r>
      <w:r>
        <w:rPr>
          <w:spacing w:val="-64"/>
        </w:rPr>
      </w:r>
      <w:r>
        <w:rPr>
          <w:spacing w:val="-2"/>
        </w:rPr>
        <w:t>税所得额，不予确认有关的递延所得税资产。除上述例外情况，本公司以很可能取得用来抵扣可抵扣暂时性差异的应纳税所</w:t>
      </w:r>
      <w:r>
        <w:rPr>
          <w:spacing w:val="-65"/>
        </w:rPr>
        <w:t> </w:t>
      </w:r>
      <w:r>
        <w:rPr>
          <w:spacing w:val="-65"/>
        </w:rPr>
      </w:r>
      <w:r>
        <w:rPr/>
        <w:t>得额为限，确认其他可抵扣暂时性差异产生的递延所得税资产。</w:t>
      </w:r>
    </w:p>
    <w:p>
      <w:pPr>
        <w:pStyle w:val="BodyText"/>
        <w:spacing w:line="316" w:lineRule="auto" w:before="19"/>
        <w:ind w:left="154" w:right="1133" w:firstLine="480"/>
        <w:jc w:val="both"/>
      </w:pPr>
      <w:r>
        <w:rPr>
          <w:spacing w:val="-1"/>
        </w:rPr>
        <w:t>对于能够结转以后年度的可抵扣亏损和税款抵减，以很可能获得用来抵扣可抵扣亏损和税款抵减的未来应纳税所得额</w:t>
      </w:r>
      <w:r>
        <w:rPr/>
        <w:t> 为限，确认相应的递延所得税资产。</w:t>
      </w:r>
    </w:p>
    <w:p>
      <w:pPr>
        <w:pStyle w:val="BodyText"/>
        <w:spacing w:line="316" w:lineRule="auto" w:before="19"/>
        <w:ind w:left="154" w:right="1133" w:firstLine="480"/>
        <w:jc w:val="both"/>
      </w:pPr>
      <w:r>
        <w:rPr>
          <w:spacing w:val="-1"/>
        </w:rPr>
        <w:t>资产负债表日，对于递延所得税资产和递延所得税负债，根据税法规定，按照预期收回相关资产或清偿相关负债期间</w:t>
      </w:r>
      <w:r>
        <w:rPr/>
        <w:t> 的适用税率计量。</w:t>
      </w:r>
    </w:p>
    <w:p>
      <w:pPr>
        <w:pStyle w:val="BodyText"/>
        <w:spacing w:line="316" w:lineRule="auto" w:before="19"/>
        <w:ind w:left="154" w:right="1133" w:firstLine="480"/>
        <w:jc w:val="both"/>
      </w:pPr>
      <w:r>
        <w:rPr>
          <w:spacing w:val="-1"/>
        </w:rPr>
        <w:t>于资产负债表日，对递延所得税资产的账面价值进行复核，如果未来很可能无法获得足够的应纳税所得额用以抵扣递</w:t>
      </w:r>
      <w:r>
        <w:rPr/>
        <w:t> 延所得税资产的利益，则减记递延所得税资产的账面价值。在很可能获得足够的应纳税所得额时，减记的金额予以转回。</w:t>
      </w:r>
    </w:p>
    <w:p>
      <w:pPr>
        <w:pStyle w:val="BodyText"/>
        <w:spacing w:line="300" w:lineRule="auto" w:before="19"/>
        <w:ind w:left="634" w:right="6852"/>
        <w:jc w:val="left"/>
      </w:pPr>
      <w:r>
        <w:rPr/>
        <w:t>（</w:t>
      </w:r>
      <w:r>
        <w:rPr>
          <w:rFonts w:ascii="Times New Roman" w:hAnsi="Times New Roman" w:cs="Times New Roman" w:eastAsia="Times New Roman" w:hint="default"/>
        </w:rPr>
        <w:t>3</w:t>
      </w:r>
      <w:r>
        <w:rPr/>
        <w:t>）所得税费用 所得税费用包括当期所得税和递延所得税。</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16" w:lineRule="auto" w:before="44"/>
        <w:ind w:right="1213" w:firstLine="480"/>
        <w:jc w:val="left"/>
      </w:pPr>
      <w:r>
        <w:rPr/>
        <w:t>除确认为其他综合收益或直接计入股东权益的交易和事项相关的当期所得税和递延所得税计入其他综合收益或股东 权益，以及企业合并产生的递延所得税调整商誉的账面价值外，其余当期所得税和递延所得税费用或收益计入当期损益。</w:t>
      </w:r>
    </w:p>
    <w:p>
      <w:pPr>
        <w:pStyle w:val="BodyText"/>
        <w:spacing w:line="300" w:lineRule="auto" w:before="19"/>
        <w:ind w:left="634" w:right="1122"/>
        <w:jc w:val="left"/>
      </w:pPr>
      <w:r>
        <w:rPr/>
        <w:t>（</w:t>
      </w:r>
      <w:r>
        <w:rPr>
          <w:rFonts w:ascii="Times New Roman" w:hAnsi="Times New Roman" w:cs="Times New Roman" w:eastAsia="Times New Roman" w:hint="default"/>
        </w:rPr>
        <w:t>4</w:t>
      </w:r>
      <w:r>
        <w:rPr/>
        <w:t>）所得税的抵销 </w:t>
      </w:r>
      <w:r>
        <w:rPr>
          <w:spacing w:val="-1"/>
        </w:rPr>
        <w:t>当拥有以净额结算的法定权利，且意图以净额结算或取得资产、清偿负债同时进行时，本公司当期所得税资产及当期</w:t>
      </w:r>
    </w:p>
    <w:p>
      <w:pPr>
        <w:pStyle w:val="BodyText"/>
        <w:spacing w:line="316" w:lineRule="auto" w:before="32"/>
        <w:ind w:left="634" w:right="1122" w:hanging="480"/>
        <w:jc w:val="left"/>
      </w:pPr>
      <w:r>
        <w:rPr/>
        <w:t>所得税负债以抵销后的净额列报。 </w:t>
      </w:r>
      <w:r>
        <w:rPr>
          <w:spacing w:val="-1"/>
        </w:rPr>
        <w:t>当拥有以净额结算当期所得税资产及当期所得税负债的法定权利，且递延所得税资产及递延所得税负债是与同一税收</w:t>
      </w:r>
    </w:p>
    <w:p>
      <w:pPr>
        <w:pStyle w:val="BodyText"/>
        <w:spacing w:line="316" w:lineRule="auto" w:before="19"/>
        <w:ind w:left="154"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债转回的期间内，涉及的纳税主体意图以净额结算当期所得税资产和负债或是同时取得资产、清偿负债时，本公司递延所得</w:t>
      </w:r>
      <w:r>
        <w:rPr>
          <w:spacing w:val="-66"/>
        </w:rPr>
        <w:t> </w:t>
      </w:r>
      <w:r>
        <w:rPr>
          <w:spacing w:val="-66"/>
        </w:rPr>
      </w:r>
      <w:r>
        <w:rPr/>
        <w:t>税资产及递延所得税负债以抵销后的净额列报。</w:t>
      </w:r>
    </w:p>
    <w:p>
      <w:pPr>
        <w:spacing w:line="240" w:lineRule="auto" w:before="7"/>
        <w:rPr>
          <w:rFonts w:ascii="宋体" w:hAnsi="宋体" w:cs="宋体" w:eastAsia="宋体" w:hint="default"/>
          <w:sz w:val="22"/>
          <w:szCs w:val="22"/>
        </w:rPr>
      </w:pPr>
    </w:p>
    <w:p>
      <w:pPr>
        <w:pStyle w:val="Heading3"/>
        <w:spacing w:line="240" w:lineRule="auto"/>
        <w:ind w:left="154" w:right="0"/>
        <w:jc w:val="both"/>
        <w:rPr>
          <w:b w:val="0"/>
          <w:bCs w:val="0"/>
        </w:rPr>
      </w:pPr>
      <w:bookmarkStart w:name="31、租赁" w:id="215"/>
      <w:bookmarkEnd w:id="215"/>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经营租赁的会计处理方法" w:id="216"/>
      <w:bookmarkEnd w:id="216"/>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1122"/>
        <w:jc w:val="left"/>
      </w:pPr>
      <w:r>
        <w:rPr/>
        <w:t>（</w:t>
      </w:r>
      <w:r>
        <w:rPr>
          <w:rFonts w:ascii="Times New Roman" w:hAnsi="Times New Roman" w:cs="Times New Roman" w:eastAsia="Times New Roman" w:hint="default"/>
        </w:rPr>
        <w:t>1</w:t>
      </w:r>
      <w:r>
        <w:rPr/>
        <w:t>）本公司作为承租人记录经营租赁业务 </w:t>
      </w:r>
      <w:r>
        <w:rPr>
          <w:spacing w:val="-1"/>
        </w:rPr>
        <w:t>经营租赁的租金支出在租赁期内的各个期间按直线法计入相关资产成本或当期损益。初始直接费用计入当期损益。或</w:t>
      </w:r>
    </w:p>
    <w:p>
      <w:pPr>
        <w:pStyle w:val="BodyText"/>
        <w:spacing w:line="240" w:lineRule="auto" w:before="31"/>
        <w:ind w:left="154" w:right="0"/>
        <w:jc w:val="both"/>
      </w:pPr>
      <w:r>
        <w:rPr/>
        <w:t>有租金于实际发生时计入当期损益。</w:t>
      </w:r>
    </w:p>
    <w:p>
      <w:pPr>
        <w:pStyle w:val="BodyText"/>
        <w:spacing w:line="312" w:lineRule="auto" w:before="76"/>
        <w:ind w:left="154" w:right="1032" w:firstLine="480"/>
        <w:jc w:val="left"/>
      </w:pPr>
      <w:r>
        <w:rPr/>
        <w:t>（</w:t>
      </w:r>
      <w:r>
        <w:rPr>
          <w:rFonts w:ascii="Times New Roman" w:hAnsi="Times New Roman" w:cs="Times New Roman" w:eastAsia="Times New Roman" w:hint="default"/>
        </w:rPr>
        <w:t>2</w:t>
      </w:r>
      <w:r>
        <w:rPr/>
        <w:t>）本公司作为出租人记录经营租赁业务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 或有租金于实际发生时计入当期损益。</w:t>
      </w:r>
    </w:p>
    <w:p>
      <w:pPr>
        <w:spacing w:line="240" w:lineRule="auto" w:before="11"/>
        <w:rPr>
          <w:rFonts w:ascii="宋体" w:hAnsi="宋体" w:cs="宋体" w:eastAsia="宋体" w:hint="default"/>
          <w:sz w:val="22"/>
          <w:szCs w:val="22"/>
        </w:rPr>
      </w:pPr>
    </w:p>
    <w:p>
      <w:pPr>
        <w:pStyle w:val="Heading3"/>
        <w:spacing w:line="240" w:lineRule="auto"/>
        <w:ind w:left="154" w:right="0"/>
        <w:jc w:val="both"/>
        <w:rPr>
          <w:b w:val="0"/>
          <w:bCs w:val="0"/>
        </w:rPr>
      </w:pPr>
      <w:bookmarkStart w:name="（2）融资租赁的会计处理方法" w:id="217"/>
      <w:bookmarkEnd w:id="217"/>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4" w:right="1092"/>
        <w:jc w:val="left"/>
      </w:pPr>
      <w:r>
        <w:rPr/>
        <w:t>（</w:t>
      </w:r>
      <w:r>
        <w:rPr>
          <w:rFonts w:ascii="Times New Roman" w:hAnsi="Times New Roman" w:cs="Times New Roman" w:eastAsia="Times New Roman" w:hint="default"/>
        </w:rPr>
        <w:t>1</w:t>
      </w:r>
      <w:r>
        <w:rPr/>
        <w:t>）本公司作为承租人记录融资租赁业务 于租赁期开始日，将租赁开始日租赁资产的公允价值与最低租赁付款额现值两者中较低者作为租入资产的入账价值，</w:t>
      </w:r>
    </w:p>
    <w:p>
      <w:pPr>
        <w:pStyle w:val="BodyText"/>
        <w:spacing w:line="316" w:lineRule="auto" w:before="31"/>
        <w:ind w:left="154" w:right="1132"/>
        <w:jc w:val="both"/>
      </w:pPr>
      <w:r>
        <w:rPr>
          <w:spacing w:val="-2"/>
        </w:rPr>
        <w:t>将最低租赁付款额作为长期应付款的入账价值，其差额作为未确认融资费用。此外，在租赁谈判和签订租赁合同过程中发生</w:t>
      </w:r>
      <w:r>
        <w:rPr>
          <w:spacing w:val="-66"/>
        </w:rPr>
        <w:t> </w:t>
      </w:r>
      <w:r>
        <w:rPr>
          <w:spacing w:val="-66"/>
        </w:rPr>
      </w:r>
      <w:r>
        <w:rPr>
          <w:spacing w:val="-2"/>
        </w:rPr>
        <w:t>的，可归属于租赁项目的初始直接费用也计入租入资产价值。最低租赁付款额扣除未确认融资费用后的余额分别长期负债和</w:t>
      </w:r>
      <w:r>
        <w:rPr>
          <w:spacing w:val="-64"/>
        </w:rPr>
        <w:t> </w:t>
      </w:r>
      <w:r>
        <w:rPr>
          <w:spacing w:val="-64"/>
        </w:rPr>
      </w:r>
      <w:r>
        <w:rPr/>
        <w:t>一年内到期的长期负债列示。</w:t>
      </w:r>
    </w:p>
    <w:p>
      <w:pPr>
        <w:pStyle w:val="BodyText"/>
        <w:spacing w:line="240" w:lineRule="auto" w:before="19"/>
        <w:ind w:left="634" w:right="1122"/>
        <w:jc w:val="left"/>
      </w:pPr>
      <w:r>
        <w:rPr/>
        <w:t>未确认融资费用在租赁期内采用实际利率法计算确认当期的融资费用。或有租金于实际发生时计入当期损益。</w:t>
      </w:r>
    </w:p>
    <w:p>
      <w:pPr>
        <w:pStyle w:val="BodyText"/>
        <w:spacing w:line="300" w:lineRule="auto" w:before="76"/>
        <w:ind w:left="634" w:right="1122"/>
        <w:jc w:val="left"/>
      </w:pPr>
      <w:r>
        <w:rPr/>
        <w:t>（</w:t>
      </w:r>
      <w:r>
        <w:rPr>
          <w:rFonts w:ascii="Times New Roman" w:hAnsi="Times New Roman" w:cs="Times New Roman" w:eastAsia="Times New Roman" w:hint="default"/>
        </w:rPr>
        <w:t>2</w:t>
      </w:r>
      <w:r>
        <w:rPr/>
        <w:t>）本公司作为出租人记录融资租赁业务 </w:t>
      </w:r>
      <w:r>
        <w:rPr>
          <w:spacing w:val="-1"/>
        </w:rPr>
        <w:t>于租赁期开始日，将租赁开始日最低租赁收款额与初始直接费用之和作为应收融资租赁款的入账价值，同时记录未担</w:t>
      </w:r>
    </w:p>
    <w:p>
      <w:pPr>
        <w:pStyle w:val="BodyText"/>
        <w:spacing w:line="316" w:lineRule="auto" w:before="31"/>
        <w:ind w:left="154" w:right="1132"/>
        <w:jc w:val="both"/>
      </w:pPr>
      <w:r>
        <w:rPr>
          <w:spacing w:val="-2"/>
        </w:rPr>
        <w:t>保余值；将最低租赁收款额、初始直接费用及未担保余值之和与其现值之和的差额确认为未实现融资收益。应收融资租赁款</w:t>
      </w:r>
      <w:r>
        <w:rPr>
          <w:spacing w:val="-66"/>
        </w:rPr>
        <w:t> </w:t>
      </w:r>
      <w:r>
        <w:rPr>
          <w:spacing w:val="-66"/>
        </w:rPr>
      </w:r>
      <w:r>
        <w:rPr/>
        <w:t>扣除未实现融资收益后的余额分别长期债权和一年内到期的长期债权列示。</w:t>
      </w:r>
    </w:p>
    <w:p>
      <w:pPr>
        <w:pStyle w:val="BodyText"/>
        <w:spacing w:line="240" w:lineRule="auto" w:before="19"/>
        <w:ind w:left="444" w:right="1122"/>
        <w:jc w:val="left"/>
      </w:pPr>
      <w:r>
        <w:rPr/>
        <w:t>未实现融资收益在租赁期内采用实际利率法计算确认当期的融资收入。或有租金于实际发生时计入当期损益。</w:t>
      </w:r>
    </w:p>
    <w:p>
      <w:pPr>
        <w:spacing w:line="240" w:lineRule="auto" w:before="12"/>
        <w:rPr>
          <w:rFonts w:ascii="宋体" w:hAnsi="宋体" w:cs="宋体" w:eastAsia="宋体" w:hint="default"/>
          <w:sz w:val="26"/>
          <w:szCs w:val="26"/>
        </w:rPr>
      </w:pPr>
    </w:p>
    <w:p>
      <w:pPr>
        <w:pStyle w:val="Heading3"/>
        <w:spacing w:line="240" w:lineRule="auto"/>
        <w:ind w:right="0"/>
        <w:jc w:val="both"/>
        <w:rPr>
          <w:b w:val="0"/>
          <w:bCs w:val="0"/>
        </w:rPr>
      </w:pPr>
      <w:bookmarkStart w:name="32、其他重要的会计政策和会计估计" w:id="218"/>
      <w:bookmarkEnd w:id="218"/>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1122"/>
        <w:jc w:val="left"/>
      </w:pPr>
      <w:r>
        <w:rPr/>
        <w:t>（</w:t>
      </w:r>
      <w:r>
        <w:rPr>
          <w:rFonts w:ascii="Times New Roman" w:hAnsi="Times New Roman" w:cs="Times New Roman" w:eastAsia="Times New Roman" w:hint="default"/>
        </w:rPr>
        <w:t>1</w:t>
      </w:r>
      <w:r>
        <w:rPr/>
        <w:t>）终止经营 </w:t>
      </w:r>
      <w:r>
        <w:rPr>
          <w:spacing w:val="-1"/>
        </w:rPr>
        <w:t>终止经营，是指满足下列条件之一的、能够单独区分且已被本公司处置或划分为持有待售类别的组成部分：①该组成</w:t>
      </w:r>
    </w:p>
    <w:p>
      <w:pPr>
        <w:pStyle w:val="BodyText"/>
        <w:spacing w:line="316" w:lineRule="auto" w:before="32"/>
        <w:ind w:right="1131"/>
        <w:jc w:val="both"/>
      </w:pPr>
      <w:r>
        <w:rPr>
          <w:spacing w:val="-2"/>
        </w:rPr>
        <w:t>部分代表一项独立的主要业务或一个单独的主要经营地区；②该组成部分是拟对一项独立的主要业务或一个单独的主要经营</w:t>
      </w:r>
      <w:r>
        <w:rPr>
          <w:spacing w:val="-64"/>
        </w:rPr>
        <w:t> </w:t>
      </w:r>
      <w:r>
        <w:rPr>
          <w:spacing w:val="-64"/>
        </w:rPr>
      </w:r>
      <w:r>
        <w:rPr/>
        <w:t>地区进行处置的一项相关联计划的一部分；③该组成部分是专为了转售而取得的子公司。</w:t>
      </w:r>
    </w:p>
    <w:p>
      <w:pPr>
        <w:pStyle w:val="BodyText"/>
        <w:spacing w:line="240" w:lineRule="auto" w:before="19"/>
        <w:ind w:left="633" w:right="1122"/>
        <w:jc w:val="left"/>
      </w:pPr>
      <w:r>
        <w:rPr/>
        <w:t>终止经营的会计处理方法参见本附注五、</w:t>
      </w:r>
      <w:r>
        <w:rPr>
          <w:rFonts w:ascii="Times New Roman" w:hAnsi="Times New Roman" w:cs="Times New Roman" w:eastAsia="Times New Roman" w:hint="default"/>
        </w:rPr>
        <w:t>13“</w:t>
      </w:r>
      <w:r>
        <w:rPr/>
        <w:t>持有待售资产和处置组</w:t>
      </w:r>
      <w:r>
        <w:rPr>
          <w:rFonts w:ascii="Times New Roman" w:hAnsi="Times New Roman" w:cs="Times New Roman" w:eastAsia="Times New Roman" w:hint="default"/>
        </w:rPr>
        <w:t>”</w:t>
      </w:r>
      <w:r>
        <w:rPr/>
        <w:t>相关描述。</w:t>
      </w:r>
    </w:p>
    <w:p>
      <w:pPr>
        <w:pStyle w:val="BodyText"/>
        <w:spacing w:line="300" w:lineRule="auto" w:before="63"/>
        <w:ind w:left="633" w:right="1993"/>
        <w:jc w:val="left"/>
      </w:pPr>
      <w:r>
        <w:rPr/>
        <w:t>（</w:t>
      </w:r>
      <w:r>
        <w:rPr>
          <w:rFonts w:ascii="Times New Roman" w:hAnsi="Times New Roman" w:cs="Times New Roman" w:eastAsia="Times New Roman" w:hint="default"/>
        </w:rPr>
        <w:t>2</w:t>
      </w:r>
      <w:r>
        <w:rPr/>
        <w:t>）回购股份 股份回购中支付的对价和交易费用减少股东权益，回购、转上或注销本公司股份时，不确认利得或损失。</w:t>
      </w:r>
    </w:p>
    <w:p>
      <w:pPr>
        <w:spacing w:after="0" w:line="30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16" w:lineRule="auto" w:before="44"/>
        <w:ind w:right="1131"/>
        <w:jc w:val="both"/>
      </w:pPr>
      <w:r>
        <w:rPr>
          <w:spacing w:val="-2"/>
        </w:rPr>
        <w:t>转让库存股，按实际收到的金额与库存股账面金额的差额，计入资本公积，资本公积不足冲减的，冲减盈余公积和未分配利</w:t>
      </w:r>
      <w:r>
        <w:rPr>
          <w:spacing w:val="-66"/>
        </w:rPr>
        <w:t> </w:t>
      </w:r>
      <w:r>
        <w:rPr>
          <w:spacing w:val="-66"/>
        </w:rPr>
      </w:r>
      <w:r>
        <w:rPr>
          <w:spacing w:val="-2"/>
        </w:rPr>
        <w:t>润。注销库存股，按股票面值和注销股数减少股本，按注销库存股的账面余额与面值的差额，冲减资本公积，资本公积不足</w:t>
      </w:r>
      <w:r>
        <w:rPr>
          <w:spacing w:val="-66"/>
        </w:rPr>
        <w:t> </w:t>
      </w:r>
      <w:r>
        <w:rPr>
          <w:spacing w:val="-66"/>
        </w:rPr>
      </w:r>
      <w:r>
        <w:rPr/>
        <w:t>冲减的，冲减盈余公积和未分配利润。</w:t>
      </w:r>
    </w:p>
    <w:p>
      <w:pPr>
        <w:spacing w:line="240" w:lineRule="auto" w:before="5"/>
        <w:rPr>
          <w:rFonts w:ascii="宋体" w:hAnsi="宋体" w:cs="宋体" w:eastAsia="宋体" w:hint="default"/>
          <w:sz w:val="22"/>
          <w:szCs w:val="22"/>
        </w:rPr>
      </w:pPr>
    </w:p>
    <w:p>
      <w:pPr>
        <w:pStyle w:val="Heading3"/>
        <w:spacing w:line="240" w:lineRule="auto"/>
        <w:ind w:right="0"/>
        <w:jc w:val="both"/>
        <w:rPr>
          <w:b w:val="0"/>
          <w:bCs w:val="0"/>
        </w:rPr>
      </w:pPr>
      <w:bookmarkStart w:name="33、重要会计政策和会计估计变更" w:id="219"/>
      <w:bookmarkEnd w:id="219"/>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1）重要会计政策变更" w:id="220"/>
      <w:bookmarkEnd w:id="220"/>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董事会审批通过</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00" w:lineRule="auto" w:before="10"/>
        <w:ind w:right="1129" w:firstLine="480"/>
        <w:jc w:val="both"/>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28</w:t>
      </w:r>
      <w:r>
        <w:rPr>
          <w:spacing w:val="-1"/>
        </w:rPr>
        <w:t>日，财政部以财会</w:t>
      </w:r>
      <w:r>
        <w:rPr>
          <w:rFonts w:ascii="Times New Roman" w:hAnsi="Times New Roman" w:cs="Times New Roman" w:eastAsia="Times New Roman" w:hint="default"/>
          <w:spacing w:val="-1"/>
        </w:rPr>
        <w:t>[2017]13</w:t>
      </w:r>
      <w:r>
        <w:rPr>
          <w:spacing w:val="-1"/>
        </w:rPr>
        <w:t>号发布了《企业会计准则第</w:t>
      </w:r>
      <w:r>
        <w:rPr>
          <w:rFonts w:ascii="Times New Roman" w:hAnsi="Times New Roman" w:cs="Times New Roman" w:eastAsia="Times New Roman" w:hint="default"/>
          <w:spacing w:val="-1"/>
        </w:rPr>
        <w:t>42</w:t>
      </w:r>
      <w:r>
        <w:rPr>
          <w:spacing w:val="-1"/>
        </w:rPr>
        <w:t>号</w:t>
      </w:r>
      <w:r>
        <w:rPr>
          <w:rFonts w:ascii="Times New Roman" w:hAnsi="Times New Roman" w:cs="Times New Roman" w:eastAsia="Times New Roman" w:hint="default"/>
          <w:spacing w:val="-1"/>
        </w:rPr>
        <w:t>——</w:t>
      </w:r>
      <w:r>
        <w:rPr>
          <w:spacing w:val="-1"/>
        </w:rPr>
        <w:t>持有待售的非流动资产、处置组和终止经</w:t>
      </w:r>
      <w:r>
        <w:rPr/>
        <w:t> </w:t>
      </w:r>
      <w:r>
        <w:rPr>
          <w:spacing w:val="-3"/>
        </w:rPr>
        <w:t>营》，自</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28</w:t>
      </w:r>
      <w:r>
        <w:rPr>
          <w:spacing w:val="-3"/>
        </w:rPr>
        <w:t>日起实施。</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10</w:t>
      </w:r>
      <w:r>
        <w:rPr>
          <w:spacing w:val="-3"/>
        </w:rPr>
        <w:t>日，财政部以财会</w:t>
      </w:r>
      <w:r>
        <w:rPr>
          <w:rFonts w:ascii="Times New Roman" w:hAnsi="Times New Roman" w:cs="Times New Roman" w:eastAsia="Times New Roman" w:hint="default"/>
          <w:spacing w:val="-3"/>
        </w:rPr>
        <w:t>[2017]15</w:t>
      </w:r>
      <w:r>
        <w:rPr>
          <w:spacing w:val="-3"/>
        </w:rPr>
        <w:t>号发布了《企业会计准则第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43"/>
        </w:rPr>
        <w:t> </w:t>
      </w:r>
      <w:r>
        <w:rPr/>
        <w:t>年修订）》，自</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12</w:t>
      </w:r>
      <w:r>
        <w:rPr/>
        <w:t>日起实施。本公司按照财政部的要求时间开始执行前述两项会计准则。</w:t>
      </w:r>
    </w:p>
    <w:p>
      <w:pPr>
        <w:pStyle w:val="BodyText"/>
        <w:spacing w:line="300" w:lineRule="auto" w:before="13"/>
        <w:ind w:right="1131" w:firstLine="290"/>
        <w:jc w:val="both"/>
      </w:pPr>
      <w:r>
        <w:rPr>
          <w:spacing w:val="-1"/>
        </w:rPr>
        <w:t>执行《企业会计准则第</w:t>
      </w:r>
      <w:r>
        <w:rPr>
          <w:rFonts w:ascii="Times New Roman" w:hAnsi="Times New Roman" w:cs="Times New Roman" w:eastAsia="Times New Roman" w:hint="default"/>
          <w:spacing w:val="-1"/>
        </w:rPr>
        <w:t>16</w:t>
      </w:r>
      <w:r>
        <w:rPr>
          <w:spacing w:val="-1"/>
        </w:rPr>
        <w:t>号</w:t>
      </w:r>
      <w:r>
        <w:rPr>
          <w:rFonts w:ascii="Times New Roman" w:hAnsi="Times New Roman" w:cs="Times New Roman" w:eastAsia="Times New Roman" w:hint="default"/>
          <w:spacing w:val="-1"/>
        </w:rPr>
        <w:t>——</w:t>
      </w:r>
      <w:r>
        <w:rPr>
          <w:spacing w:val="-1"/>
        </w:rPr>
        <w:t>政府补助（</w:t>
      </w:r>
      <w:r>
        <w:rPr>
          <w:rFonts w:ascii="Times New Roman" w:hAnsi="Times New Roman" w:cs="Times New Roman" w:eastAsia="Times New Roman" w:hint="default"/>
          <w:spacing w:val="-1"/>
        </w:rPr>
        <w:t>2017</w:t>
      </w:r>
      <w:r>
        <w:rPr>
          <w:spacing w:val="-1"/>
        </w:rPr>
        <w:t>年修订）》之前，本公司将取得的政府补助计入营业外收入。执行《企</w:t>
      </w:r>
      <w:r>
        <w:rPr/>
        <w:t> </w:t>
      </w:r>
      <w:r>
        <w:rPr>
          <w:spacing w:val="-2"/>
        </w:rPr>
        <w:t>业会计准则第</w:t>
      </w:r>
      <w:r>
        <w:rPr>
          <w:rFonts w:ascii="Times New Roman" w:hAnsi="Times New Roman" w:cs="Times New Roman" w:eastAsia="Times New Roman" w:hint="default"/>
          <w:spacing w:val="-2"/>
        </w:rPr>
        <w:t>16</w:t>
      </w:r>
      <w:r>
        <w:rPr>
          <w:spacing w:val="-2"/>
        </w:rPr>
        <w:t>号</w:t>
      </w:r>
      <w:r>
        <w:rPr>
          <w:rFonts w:ascii="Times New Roman" w:hAnsi="Times New Roman" w:cs="Times New Roman" w:eastAsia="Times New Roman" w:hint="default"/>
          <w:spacing w:val="-2"/>
        </w:rPr>
        <w:t>——</w:t>
      </w:r>
      <w:r>
        <w:rPr>
          <w:spacing w:val="-2"/>
        </w:rPr>
        <w:t>政府补助（</w:t>
      </w:r>
      <w:r>
        <w:rPr>
          <w:rFonts w:ascii="Times New Roman" w:hAnsi="Times New Roman" w:cs="Times New Roman" w:eastAsia="Times New Roman" w:hint="default"/>
          <w:spacing w:val="-2"/>
        </w:rPr>
        <w:t>2017</w:t>
      </w:r>
      <w:r>
        <w:rPr>
          <w:spacing w:val="-2"/>
        </w:rPr>
        <w:t>年修订）》之后，对</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日之后发生的与日常活动相关的政府补助，计入其他</w:t>
      </w:r>
      <w:r>
        <w:rPr>
          <w:spacing w:val="-55"/>
        </w:rPr>
        <w:t> </w:t>
      </w:r>
      <w:r>
        <w:rPr>
          <w:spacing w:val="-55"/>
        </w:rPr>
      </w:r>
      <w:r>
        <w:rPr/>
        <w:t>收益；与日常活动无关的政府补助，计入营业外收支。</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pStyle w:val="Heading3"/>
        <w:spacing w:line="240" w:lineRule="auto"/>
        <w:ind w:left="154" w:right="1122"/>
        <w:jc w:val="left"/>
        <w:rPr>
          <w:b w:val="0"/>
          <w:bCs w:val="0"/>
        </w:rPr>
      </w:pPr>
      <w:bookmarkStart w:name="（2）重要会计估计变更" w:id="221"/>
      <w:bookmarkEnd w:id="221"/>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bookmarkStart w:name="34、其他" w:id="222"/>
      <w:bookmarkEnd w:id="222"/>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3"/>
      <w:bookmarkEnd w:id="223"/>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4"/>
      <w:bookmarkEnd w:id="224"/>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9" w:lineRule="auto" w:before="52"/>
              <w:ind w:left="16" w:right="80"/>
              <w:jc w:val="both"/>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 按扣除当期允许抵扣的进项税额后的差 额计缴增值税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实际缴纳的流转税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left="154" w:right="1122"/>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税收优惠" w:id="225"/>
      <w:bookmarkEnd w:id="22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633" w:right="1122" w:firstLine="240"/>
        <w:jc w:val="left"/>
        <w:rPr>
          <w:rFonts w:ascii="Times New Roman" w:hAnsi="Times New Roman" w:cs="Times New Roman" w:eastAsia="Times New Roman" w:hint="default"/>
        </w:rPr>
      </w:pPr>
      <w:r>
        <w:rPr/>
        <w:t>（</w:t>
      </w:r>
      <w:r>
        <w:rPr>
          <w:rFonts w:ascii="Times New Roman" w:hAnsi="Times New Roman" w:cs="Times New Roman" w:eastAsia="Times New Roman" w:hint="default"/>
        </w:rPr>
        <w:t>1</w:t>
      </w:r>
      <w:r>
        <w:rPr/>
        <w:t>）太阳能光伏发电项目公司 </w:t>
      </w:r>
      <w:r>
        <w:rPr>
          <w:spacing w:val="-1"/>
        </w:rPr>
        <w:t>根据财政部、海关总署、国家税务总局《关于深入实施西部大开发战略有关税收政策问题的通知》（财税〔</w:t>
      </w:r>
      <w:r>
        <w:rPr>
          <w:rFonts w:ascii="Times New Roman" w:hAnsi="Times New Roman" w:cs="Times New Roman" w:eastAsia="Times New Roman" w:hint="default"/>
          <w:spacing w:val="-1"/>
        </w:rPr>
        <w:t>2011</w:t>
      </w:r>
      <w:r>
        <w:rPr>
          <w:spacing w:val="-1"/>
        </w:rPr>
        <w:t>〕</w:t>
      </w:r>
      <w:r>
        <w:rPr>
          <w:rFonts w:ascii="Times New Roman" w:hAnsi="Times New Roman" w:cs="Times New Roman" w:eastAsia="Times New Roman" w:hint="default"/>
          <w:spacing w:val="-1"/>
        </w:rPr>
        <w:t>58</w:t>
      </w:r>
      <w:r>
        <w:rPr>
          <w:rFonts w:ascii="Times New Roman" w:hAnsi="Times New Roman" w:cs="Times New Roman" w:eastAsia="Times New Roman" w:hint="default"/>
        </w:rPr>
      </w:r>
    </w:p>
    <w:p>
      <w:pPr>
        <w:pStyle w:val="BodyText"/>
        <w:spacing w:line="309" w:lineRule="auto" w:before="13"/>
        <w:ind w:left="154" w:right="1032"/>
        <w:jc w:val="left"/>
      </w:pPr>
      <w:r>
        <w:rPr/>
        <w:t>号）以及相关公告和通知，</w:t>
      </w:r>
      <w:r>
        <w:rPr>
          <w:rFonts w:ascii="Times New Roman" w:hAnsi="Times New Roman" w:cs="Times New Roman" w:eastAsia="Times New Roman" w:hint="default"/>
        </w:rPr>
        <w:t>“</w:t>
      </w:r>
      <w:r>
        <w:rPr/>
        <w:t>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日，对设在西部地区的以《西部地区鼓励类产业目录》中规定</w:t>
      </w:r>
      <w:r>
        <w:rPr>
          <w:spacing w:val="-76"/>
        </w:rPr>
        <w:t> </w:t>
      </w:r>
      <w:r>
        <w:rPr>
          <w:spacing w:val="-76"/>
        </w:rPr>
      </w:r>
      <w:r>
        <w:rPr/>
        <w:t>的产业项目为主营业务，且其主营业务收入占企业收入总额</w:t>
      </w:r>
      <w:r>
        <w:rPr>
          <w:rFonts w:ascii="Times New Roman" w:hAnsi="Times New Roman" w:cs="Times New Roman" w:eastAsia="Times New Roman" w:hint="default"/>
        </w:rPr>
        <w:t>70%</w:t>
      </w:r>
      <w:r>
        <w:rPr/>
        <w:t>以上的企业减按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。本公司之孙</w:t>
      </w:r>
      <w:r>
        <w:rPr>
          <w:spacing w:val="-21"/>
        </w:rPr>
        <w:t> </w:t>
      </w:r>
      <w:r>
        <w:rPr>
          <w:spacing w:val="-21"/>
        </w:rPr>
      </w:r>
      <w:r>
        <w:rPr/>
        <w:t>公司新疆爱康电力开发有限公司、青海昱辉新能源有限公司、柯坪嘉盛阳光电力有限公司、九州方园博州新能源有限公司、 </w:t>
      </w:r>
      <w:r>
        <w:rPr>
          <w:spacing w:val="-2"/>
        </w:rPr>
        <w:t>九州方园博乐市新能源有限公司、新疆聚阳能源科技有限公司、特克斯昱辉太阳能开发有限公司、新疆伊阳能源科技有限公</w:t>
      </w:r>
      <w:r>
        <w:rPr>
          <w:spacing w:val="-66"/>
        </w:rPr>
        <w:t> </w:t>
      </w:r>
      <w:r>
        <w:rPr>
          <w:spacing w:val="-66"/>
        </w:rPr>
      </w:r>
      <w:r>
        <w:rPr/>
        <w:t>司符合西部大开发税收优惠政策条件，可按</w:t>
      </w:r>
      <w:r>
        <w:rPr>
          <w:rFonts w:ascii="Times New Roman" w:hAnsi="Times New Roman" w:cs="Times New Roman" w:eastAsia="Times New Roman" w:hint="default"/>
        </w:rPr>
        <w:t>15%</w:t>
      </w:r>
      <w:r>
        <w:rPr/>
        <w:t>的税率缴纳企业所得税。</w:t>
      </w:r>
    </w:p>
    <w:p>
      <w:pPr>
        <w:pStyle w:val="BodyText"/>
        <w:spacing w:line="300" w:lineRule="auto" w:before="5"/>
        <w:ind w:left="634" w:right="1122"/>
        <w:jc w:val="left"/>
      </w:pPr>
      <w:r>
        <w:rPr/>
        <w:t>（</w:t>
      </w:r>
      <w:r>
        <w:rPr>
          <w:rFonts w:ascii="Times New Roman" w:hAnsi="Times New Roman" w:cs="Times New Roman" w:eastAsia="Times New Roman" w:hint="default"/>
        </w:rPr>
        <w:t>2</w:t>
      </w:r>
      <w:r>
        <w:rPr/>
        <w:t>）太阳能光伏发电项目 </w:t>
      </w:r>
      <w:r>
        <w:rPr>
          <w:spacing w:val="-1"/>
        </w:rPr>
        <w:t>根据《中华人民共和国企业所得税法》第二十七条第二款、《企业所得税法实施条例》第八十七条及财政部、国家税</w:t>
      </w:r>
    </w:p>
    <w:p>
      <w:pPr>
        <w:pStyle w:val="BodyText"/>
        <w:spacing w:line="300" w:lineRule="auto" w:before="31"/>
        <w:ind w:right="1132"/>
        <w:jc w:val="both"/>
      </w:pPr>
      <w:r>
        <w:rPr>
          <w:spacing w:val="-2"/>
        </w:rPr>
        <w:t>务总局、国家发展和改革委员会以财税〔</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116</w:t>
      </w:r>
      <w:r>
        <w:rPr>
          <w:spacing w:val="-2"/>
        </w:rPr>
        <w:t>号文发布的《公共基础设施项目企业所得税优惠目录（</w:t>
      </w:r>
      <w:r>
        <w:rPr>
          <w:rFonts w:ascii="Times New Roman" w:hAnsi="Times New Roman" w:cs="Times New Roman" w:eastAsia="Times New Roman" w:hint="default"/>
          <w:spacing w:val="-2"/>
        </w:rPr>
        <w:t>2008</w:t>
      </w:r>
      <w:r>
        <w:rPr>
          <w:spacing w:val="-2"/>
        </w:rPr>
        <w:t>年版）》</w:t>
      </w:r>
      <w:r>
        <w:rPr>
          <w:rFonts w:ascii="Times New Roman" w:hAnsi="Times New Roman" w:cs="Times New Roman" w:eastAsia="Times New Roman" w:hint="default"/>
          <w:spacing w:val="-2"/>
        </w:rPr>
        <w:t>“</w:t>
      </w:r>
      <w:r>
        <w:rPr>
          <w:spacing w:val="-2"/>
        </w:rPr>
        <w:t>由</w:t>
      </w:r>
      <w:r>
        <w:rPr>
          <w:spacing w:val="-46"/>
        </w:rPr>
        <w:t> </w:t>
      </w:r>
      <w:r>
        <w:rPr/>
        <w:t>政府投资主管部门核准的太阳能发电新建项目</w:t>
      </w:r>
      <w:r>
        <w:rPr>
          <w:rFonts w:ascii="Times New Roman" w:hAnsi="Times New Roman" w:cs="Times New Roman" w:eastAsia="Times New Roman" w:hint="default"/>
        </w:rPr>
        <w:t>”</w:t>
      </w:r>
      <w:r>
        <w:rPr/>
        <w:t>条件，自项目取得第一笔生产经营收入所属年度起，第一至第三年免征所得</w:t>
      </w:r>
      <w:r>
        <w:rPr>
          <w:spacing w:val="-76"/>
        </w:rPr>
        <w:t> </w:t>
      </w:r>
      <w:r>
        <w:rPr>
          <w:spacing w:val="-76"/>
        </w:rPr>
      </w:r>
      <w:r>
        <w:rPr/>
        <w:t>税，第四年至第六年减半征收企业所得税。该所得税优惠政策同时适用于本公司以下项目：</w:t>
      </w:r>
    </w:p>
    <w:tbl>
      <w:tblPr>
        <w:tblW w:w="0" w:type="auto"/>
        <w:jc w:val="left"/>
        <w:tblInd w:w="139" w:type="dxa"/>
        <w:tblLayout w:type="fixed"/>
        <w:tblCellMar>
          <w:top w:w="0" w:type="dxa"/>
          <w:left w:w="0" w:type="dxa"/>
          <w:bottom w:w="0" w:type="dxa"/>
          <w:right w:w="0" w:type="dxa"/>
        </w:tblCellMar>
        <w:tblLook w:val="01E0"/>
      </w:tblPr>
      <w:tblGrid>
        <w:gridCol w:w="3376"/>
        <w:gridCol w:w="3710"/>
        <w:gridCol w:w="2573"/>
      </w:tblGrid>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项目优惠起始年度</w:t>
            </w:r>
          </w:p>
        </w:tc>
      </w:tr>
      <w:tr>
        <w:trPr>
          <w:trHeight w:val="342" w:hRule="exact"/>
        </w:trPr>
        <w:tc>
          <w:tcPr>
            <w:tcW w:w="33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602" w:right="0"/>
              <w:jc w:val="left"/>
              <w:rPr>
                <w:rFonts w:ascii="宋体" w:hAnsi="宋体" w:cs="宋体" w:eastAsia="宋体" w:hint="default"/>
                <w:sz w:val="18"/>
                <w:szCs w:val="18"/>
              </w:rPr>
            </w:pPr>
            <w:r>
              <w:rPr>
                <w:rFonts w:ascii="宋体" w:hAnsi="宋体" w:cs="宋体" w:eastAsia="宋体" w:hint="default"/>
                <w:sz w:val="18"/>
                <w:szCs w:val="18"/>
              </w:rPr>
              <w:t>新疆爱康电力开发有限公司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376" w:type="dxa"/>
            <w:vMerge/>
            <w:tcBorders>
              <w:left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新疆精河电厂二期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376" w:type="dxa"/>
            <w:vMerge/>
            <w:tcBorders>
              <w:left w:val="single" w:sz="4" w:space="0" w:color="000000"/>
              <w:bottom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新疆精河电厂三四期</w:t>
            </w:r>
            <w:r>
              <w:rPr>
                <w:rFonts w:ascii="Times New Roman" w:hAnsi="Times New Roman" w:cs="Times New Roman" w:eastAsia="Times New Roman" w:hint="default"/>
                <w:sz w:val="18"/>
                <w:szCs w:val="18"/>
              </w:rPr>
              <w:t>50MW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2" w:hRule="exact"/>
        </w:trPr>
        <w:tc>
          <w:tcPr>
            <w:tcW w:w="3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92" w:right="0"/>
              <w:jc w:val="left"/>
              <w:rPr>
                <w:rFonts w:ascii="宋体" w:hAnsi="宋体" w:cs="宋体" w:eastAsia="宋体" w:hint="default"/>
                <w:sz w:val="18"/>
                <w:szCs w:val="18"/>
              </w:rPr>
            </w:pPr>
            <w:r>
              <w:rPr>
                <w:rFonts w:ascii="宋体" w:hAnsi="宋体" w:cs="宋体" w:eastAsia="宋体" w:hint="default"/>
                <w:sz w:val="18"/>
                <w:szCs w:val="18"/>
              </w:rPr>
              <w:t>青海昱辉新能源有限公司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青海乌兰电厂一期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r>
      <w:tr>
        <w:trPr>
          <w:trHeight w:val="342" w:hRule="exact"/>
        </w:trPr>
        <w:tc>
          <w:tcPr>
            <w:tcW w:w="3376" w:type="dxa"/>
            <w:vMerge/>
            <w:tcBorders>
              <w:left w:val="single" w:sz="4" w:space="0" w:color="000000"/>
              <w:bottom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青海乌兰电厂二期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柯坪嘉盛阳光电力有限公司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新疆柯坪电厂一期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512" w:right="0"/>
              <w:jc w:val="left"/>
              <w:rPr>
                <w:rFonts w:ascii="宋体" w:hAnsi="宋体" w:cs="宋体" w:eastAsia="宋体" w:hint="default"/>
                <w:sz w:val="18"/>
                <w:szCs w:val="18"/>
              </w:rPr>
            </w:pPr>
            <w:r>
              <w:rPr>
                <w:rFonts w:ascii="宋体" w:hAnsi="宋体" w:cs="宋体" w:eastAsia="宋体" w:hint="default"/>
                <w:sz w:val="18"/>
                <w:szCs w:val="18"/>
              </w:rPr>
              <w:t>九州方园博州新能源有限公司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博州电厂一期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r>
      <w:tr>
        <w:trPr>
          <w:trHeight w:val="342" w:hRule="exact"/>
        </w:trPr>
        <w:tc>
          <w:tcPr>
            <w:tcW w:w="3376" w:type="dxa"/>
            <w:vMerge/>
            <w:tcBorders>
              <w:left w:val="single" w:sz="4" w:space="0" w:color="000000"/>
              <w:bottom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博州电厂二三四期</w:t>
            </w:r>
            <w:r>
              <w:rPr>
                <w:rFonts w:ascii="Times New Roman" w:hAnsi="Times New Roman" w:cs="Times New Roman" w:eastAsia="Times New Roman" w:hint="default"/>
                <w:sz w:val="18"/>
                <w:szCs w:val="18"/>
              </w:rPr>
              <w:t>70MW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r>
      <w:tr>
        <w:trPr>
          <w:trHeight w:val="342" w:hRule="exact"/>
        </w:trPr>
        <w:tc>
          <w:tcPr>
            <w:tcW w:w="3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九州方园博乐市新能源有限公司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博州电厂五期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vMerge/>
            <w:tcBorders>
              <w:left w:val="single" w:sz="4" w:space="0" w:color="000000"/>
              <w:bottom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博州电厂六期</w:t>
            </w:r>
            <w:r>
              <w:rPr>
                <w:rFonts w:ascii="Times New Roman" w:hAnsi="Times New Roman" w:cs="Times New Roman" w:eastAsia="Times New Roman" w:hint="default"/>
                <w:sz w:val="18"/>
                <w:szCs w:val="18"/>
              </w:rPr>
              <w:t>60MW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2" w:hRule="exact"/>
        </w:trPr>
        <w:tc>
          <w:tcPr>
            <w:tcW w:w="33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新疆聚阳能源科技有限公司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聚阳一期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vMerge/>
            <w:tcBorders>
              <w:left w:val="single" w:sz="4" w:space="0" w:color="000000"/>
              <w:bottom w:val="single" w:sz="4" w:space="0" w:color="000000"/>
              <w:right w:val="single" w:sz="4" w:space="0" w:color="000000"/>
            </w:tcBorders>
          </w:tcPr>
          <w:p>
            <w:pP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聚阳二期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特克斯昱辉太阳能开发有限公司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特克斯一期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新疆伊阳能源科技有限公司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伊阳一期</w:t>
            </w:r>
            <w:r>
              <w:rPr>
                <w:rFonts w:ascii="Times New Roman" w:hAnsi="Times New Roman" w:cs="Times New Roman" w:eastAsia="Times New Roman" w:hint="default"/>
                <w:sz w:val="18"/>
                <w:szCs w:val="18"/>
              </w:rPr>
              <w:t>30MW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金昌清能电力开发有限公司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金昌清能</w:t>
            </w:r>
            <w:r>
              <w:rPr>
                <w:rFonts w:ascii="Times New Roman" w:hAnsi="Times New Roman" w:cs="Times New Roman" w:eastAsia="Times New Roman" w:hint="default"/>
                <w:sz w:val="18"/>
                <w:szCs w:val="18"/>
              </w:rPr>
              <w:t>100MW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凤庆县爱康电力有限公司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凤庆一二期</w:t>
            </w:r>
            <w:r>
              <w:rPr>
                <w:rFonts w:ascii="Times New Roman" w:hAnsi="Times New Roman" w:cs="Times New Roman" w:eastAsia="Times New Roman" w:hint="default"/>
                <w:sz w:val="18"/>
                <w:szCs w:val="18"/>
              </w:rPr>
              <w:t>40MW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禄劝县爱康能源电力有限公司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禄劝一期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宿州恒康新能源有限公司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宿州一期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342" w:hRule="exact"/>
        </w:trPr>
        <w:tc>
          <w:tcPr>
            <w:tcW w:w="3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南召县中机国能电力有限公司</w:t>
            </w:r>
          </w:p>
        </w:tc>
        <w:tc>
          <w:tcPr>
            <w:tcW w:w="3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南河店</w:t>
            </w:r>
            <w:r>
              <w:rPr>
                <w:rFonts w:ascii="Times New Roman" w:hAnsi="Times New Roman" w:cs="Times New Roman" w:eastAsia="Times New Roman" w:hint="default"/>
                <w:sz w:val="18"/>
                <w:szCs w:val="18"/>
              </w:rPr>
              <w:t>20MW</w:t>
            </w:r>
            <w:r>
              <w:rPr>
                <w:rFonts w:ascii="宋体" w:hAnsi="宋体" w:cs="宋体" w:eastAsia="宋体" w:hint="default"/>
                <w:sz w:val="18"/>
                <w:szCs w:val="18"/>
              </w:rPr>
              <w:t>等项目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bl>
    <w:p>
      <w:pPr>
        <w:pStyle w:val="BodyText"/>
        <w:spacing w:line="328" w:lineRule="auto" w:before="31"/>
        <w:ind w:right="0" w:firstLine="480"/>
        <w:jc w:val="left"/>
      </w:pPr>
      <w:r>
        <w:rPr/>
        <w:t>（</w:t>
      </w:r>
      <w:r>
        <w:rPr>
          <w:rFonts w:ascii="Times New Roman" w:hAnsi="Times New Roman" w:cs="Times New Roman" w:eastAsia="Times New Roman" w:hint="default"/>
        </w:rPr>
        <w:t>3</w:t>
      </w:r>
      <w:r>
        <w:rPr/>
        <w:t>）苏州爱康金属科技有限公司 </w:t>
      </w:r>
      <w:r>
        <w:rPr>
          <w:spacing w:val="-2"/>
        </w:rPr>
        <w:t>本公司之子公司苏州爱康金属科技有限公司被认定为高新技术企业，并收到江苏省科学技术厅、江苏省财政厅、江苏省国家</w:t>
      </w:r>
      <w:r>
        <w:rPr>
          <w:spacing w:val="-66"/>
        </w:rPr>
        <w:t> </w:t>
      </w:r>
      <w:r>
        <w:rPr>
          <w:spacing w:val="-66"/>
        </w:rPr>
      </w:r>
      <w:r>
        <w:rPr>
          <w:spacing w:val="-2"/>
        </w:rPr>
        <w:t>税务局、江苏省地方税务局联合下发的编号为</w:t>
      </w:r>
      <w:r>
        <w:rPr>
          <w:rFonts w:ascii="Times New Roman" w:hAnsi="Times New Roman" w:cs="Times New Roman" w:eastAsia="Times New Roman" w:hint="default"/>
          <w:spacing w:val="-2"/>
        </w:rPr>
        <w:t>GR201732001093</w:t>
      </w:r>
      <w:r>
        <w:rPr>
          <w:spacing w:val="-2"/>
        </w:rPr>
        <w:t>的高新技术企业证书。依照《中华人民共和国企业所得税法》</w:t>
      </w:r>
    </w:p>
    <w:p>
      <w:pPr>
        <w:pStyle w:val="BodyText"/>
        <w:spacing w:line="302" w:lineRule="auto"/>
        <w:ind w:right="1122"/>
        <w:jc w:val="left"/>
      </w:pPr>
      <w:r>
        <w:rPr/>
        <w:t>第二十八条、国家税务总局《关于企业所得税减免税管理问题的通知》（国税发</w:t>
      </w:r>
      <w:r>
        <w:rPr>
          <w:rFonts w:ascii="Times New Roman" w:hAnsi="Times New Roman" w:cs="Times New Roman" w:eastAsia="Times New Roman" w:hint="default"/>
        </w:rPr>
        <w:t>[2008]111</w:t>
      </w:r>
      <w:r>
        <w:rPr/>
        <w:t>号），公司在</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年期</w:t>
      </w:r>
      <w:r>
        <w:rPr>
          <w:spacing w:val="-30"/>
        </w:rPr>
        <w:t> </w:t>
      </w:r>
      <w:r>
        <w:rPr/>
        <w:t>间可按照</w:t>
      </w:r>
      <w:r>
        <w:rPr>
          <w:rFonts w:ascii="Times New Roman" w:hAnsi="Times New Roman" w:cs="Times New Roman" w:eastAsia="Times New Roman" w:hint="default"/>
        </w:rPr>
        <w:t>15%</w:t>
      </w:r>
      <w:r>
        <w:rPr/>
        <w:t>的优惠税率缴纳企业所得税。</w:t>
      </w:r>
    </w:p>
    <w:p>
      <w:pPr>
        <w:spacing w:after="0" w:line="302"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spacing w:line="487" w:lineRule="auto" w:before="35"/>
        <w:ind w:left="153" w:right="7693" w:firstLine="0"/>
        <w:jc w:val="left"/>
        <w:rPr>
          <w:rFonts w:ascii="宋体" w:hAnsi="宋体" w:cs="宋体" w:eastAsia="宋体" w:hint="default"/>
          <w:sz w:val="21"/>
          <w:szCs w:val="21"/>
        </w:rPr>
      </w:pPr>
      <w:bookmarkStart w:name="3、其他" w:id="226"/>
      <w:bookmarkEnd w:id="22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7"/>
      <w:bookmarkEnd w:id="227"/>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8"/>
      <w:bookmarkEnd w:id="228"/>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8"/>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289,514.68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7,241,033.74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712,803,422.02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1,895,035,135.70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2,149,846,787.65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722,702,288.09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2,862,939,724.35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2,624,978,457.53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54,812,775.41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14,410,212.56</w:t>
            </w:r>
          </w:p>
        </w:tc>
      </w:tr>
    </w:tbl>
    <w:p>
      <w:pPr>
        <w:pStyle w:val="BodyText"/>
        <w:spacing w:line="240" w:lineRule="auto" w:before="51"/>
        <w:ind w:left="154" w:right="1122"/>
        <w:jc w:val="left"/>
      </w:pPr>
      <w:r>
        <w:rPr/>
        <w:t>其他说明</w:t>
      </w:r>
    </w:p>
    <w:p>
      <w:pPr>
        <w:pStyle w:val="BodyText"/>
        <w:spacing w:line="300" w:lineRule="auto" w:before="116"/>
        <w:ind w:right="0" w:firstLine="360"/>
        <w:jc w:val="left"/>
      </w:pPr>
      <w:r>
        <w:rPr/>
        <w:t>注：于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日，本公司的所有权受到限制的货币资金为人民币</w:t>
      </w:r>
      <w:r>
        <w:rPr>
          <w:rFonts w:ascii="Times New Roman" w:hAnsi="Times New Roman" w:cs="Times New Roman" w:eastAsia="Times New Roman" w:hint="default"/>
        </w:rPr>
        <w:t>2,149,846,787.65</w:t>
      </w:r>
      <w:r>
        <w:rPr/>
        <w:t>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 </w:t>
      </w:r>
      <w:r>
        <w:rPr>
          <w:rFonts w:ascii="Times New Roman" w:hAnsi="Times New Roman" w:cs="Times New Roman" w:eastAsia="Times New Roman" w:hint="default"/>
          <w:spacing w:val="-2"/>
        </w:rPr>
        <w:t>722,702,288.09</w:t>
      </w:r>
      <w:r>
        <w:rPr>
          <w:spacing w:val="-2"/>
        </w:rPr>
        <w:t>元），其中票据保证金</w:t>
      </w:r>
      <w:r>
        <w:rPr>
          <w:rFonts w:ascii="Times New Roman" w:hAnsi="Times New Roman" w:cs="Times New Roman" w:eastAsia="Times New Roman" w:hint="default"/>
          <w:spacing w:val="-2"/>
        </w:rPr>
        <w:t>301,667,738.00</w:t>
      </w:r>
      <w:r>
        <w:rPr>
          <w:spacing w:val="-2"/>
        </w:rPr>
        <w:t>元，信用证保证金</w:t>
      </w:r>
      <w:r>
        <w:rPr>
          <w:rFonts w:ascii="Times New Roman" w:hAnsi="Times New Roman" w:cs="Times New Roman" w:eastAsia="Times New Roman" w:hint="default"/>
          <w:spacing w:val="-2"/>
        </w:rPr>
        <w:t>40,276,084.94</w:t>
      </w:r>
      <w:r>
        <w:rPr>
          <w:spacing w:val="-2"/>
        </w:rPr>
        <w:t>元，远期外汇合约保证金</w:t>
      </w:r>
      <w:r>
        <w:rPr>
          <w:rFonts w:ascii="Times New Roman" w:hAnsi="Times New Roman" w:cs="Times New Roman" w:eastAsia="Times New Roman" w:hint="default"/>
          <w:spacing w:val="-2"/>
        </w:rPr>
        <w:t>8,938,528.61</w:t>
      </w:r>
      <w:r>
        <w:rPr>
          <w:spacing w:val="-2"/>
        </w:rPr>
        <w:t>元，</w:t>
      </w:r>
      <w:r>
        <w:rPr>
          <w:spacing w:val="-18"/>
        </w:rPr>
        <w:t> </w:t>
      </w:r>
      <w:r>
        <w:rPr>
          <w:spacing w:val="-2"/>
        </w:rPr>
        <w:t>质押定期存款</w:t>
      </w:r>
      <w:r>
        <w:rPr>
          <w:rFonts w:ascii="Times New Roman" w:hAnsi="Times New Roman" w:cs="Times New Roman" w:eastAsia="Times New Roman" w:hint="default"/>
          <w:spacing w:val="-2"/>
        </w:rPr>
        <w:t>1,607,340,000.00</w:t>
      </w:r>
      <w:r>
        <w:rPr>
          <w:spacing w:val="-2"/>
        </w:rPr>
        <w:t>元，保函保证金</w:t>
      </w:r>
      <w:r>
        <w:rPr>
          <w:rFonts w:ascii="Times New Roman" w:hAnsi="Times New Roman" w:cs="Times New Roman" w:eastAsia="Times New Roman" w:hint="default"/>
          <w:spacing w:val="-2"/>
        </w:rPr>
        <w:t>184,322,691.97</w:t>
      </w:r>
      <w:r>
        <w:rPr>
          <w:spacing w:val="-2"/>
        </w:rPr>
        <w:t>元，保理保证金</w:t>
      </w:r>
      <w:r>
        <w:rPr>
          <w:rFonts w:ascii="Times New Roman" w:hAnsi="Times New Roman" w:cs="Times New Roman" w:eastAsia="Times New Roman" w:hint="default"/>
          <w:spacing w:val="-2"/>
        </w:rPr>
        <w:t>3,000,000.00</w:t>
      </w:r>
      <w:r>
        <w:rPr>
          <w:spacing w:val="-2"/>
        </w:rPr>
        <w:t>元，融信通保证金</w:t>
      </w:r>
      <w:r>
        <w:rPr>
          <w:rFonts w:ascii="Times New Roman" w:hAnsi="Times New Roman" w:cs="Times New Roman" w:eastAsia="Times New Roman" w:hint="default"/>
          <w:spacing w:val="-2"/>
        </w:rPr>
        <w:t>401,441.30</w:t>
      </w:r>
      <w:r>
        <w:rPr>
          <w:spacing w:val="-2"/>
        </w:rPr>
        <w:t>元，贸</w:t>
      </w:r>
      <w:r>
        <w:rPr>
          <w:spacing w:val="-18"/>
        </w:rPr>
        <w:t> </w:t>
      </w:r>
      <w:r>
        <w:rPr>
          <w:spacing w:val="-18"/>
        </w:rPr>
      </w:r>
      <w:r>
        <w:rPr/>
        <w:t>易融资保证金</w:t>
      </w:r>
      <w:r>
        <w:rPr>
          <w:rFonts w:ascii="Times New Roman" w:hAnsi="Times New Roman" w:cs="Times New Roman" w:eastAsia="Times New Roman" w:hint="default"/>
        </w:rPr>
        <w:t>3,900,302.83</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122"/>
        <w:jc w:val="left"/>
        <w:rPr>
          <w:b w:val="0"/>
          <w:bCs w:val="0"/>
        </w:rPr>
      </w:pPr>
      <w:bookmarkStart w:name="2、以公允价值计量且其变动计入当期损益的金融资产" w:id="229"/>
      <w:bookmarkEnd w:id="229"/>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衍生金融资产" w:id="230"/>
      <w:bookmarkEnd w:id="23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4、应收票据" w:id="231"/>
      <w:bookmarkEnd w:id="23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应收票据分类列示" w:id="232"/>
      <w:bookmarkEnd w:id="23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42,370,942.31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64,394,806.72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96,999,987.50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48,943,029.07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139,370,929.81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113,337,835.79</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期末公司已质押的应收票据" w:id="233"/>
      <w:bookmarkEnd w:id="233"/>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期末公司已背书或贴现且在资产负债表日尚未到期的应收票据" w:id="234"/>
      <w:bookmarkEnd w:id="234"/>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797,228,477.55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25,639,489.77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822,867,967.32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4）期末公司因出票人未履约而将其转应收账款的票据" w:id="235"/>
      <w:bookmarkEnd w:id="235"/>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应收账款" w:id="236"/>
      <w:bookmarkEnd w:id="236"/>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收账款分类披露" w:id="237"/>
      <w:bookmarkEnd w:id="237"/>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17,266,1</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83.26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14,721,2</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42.56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85.26%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2,544,940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21,618,</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264.81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8,737,634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12,880,630.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1,896,37</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6,137.70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98.77%</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1,896,376</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,137.70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1,600,1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95,279.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98.39%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1,600,195,2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79.47</w:t>
            </w:r>
          </w:p>
        </w:tc>
      </w:tr>
      <w:tr>
        <w:trPr>
          <w:trHeight w:val="1027"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6,308,13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5,958,84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7.13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94.46%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349,284.6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4,604,0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33.81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4,340,405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263,628.05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1,919,95</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0,452.75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20,680,0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89.69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1.08%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1,899,270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,363.06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17,578.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13,078,04</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0.80%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1,613,339,5</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37.99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中国能源建设集团新疆 电力建设公司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山西华富星辰科技有限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1,982,240.00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1,234,460.00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98"/>
              <w:jc w:val="left"/>
              <w:rPr>
                <w:rFonts w:ascii="Times New Roman" w:hAnsi="Times New Roman" w:cs="Times New Roman" w:eastAsia="Times New Roman" w:hint="default"/>
                <w:sz w:val="18"/>
                <w:szCs w:val="18"/>
              </w:rPr>
            </w:pPr>
            <w:r>
              <w:rPr>
                <w:rFonts w:ascii="Times New Roman" w:hAnsi="Times New Roman"/>
                <w:sz w:val="18"/>
              </w:rPr>
              <w:t>SolarWorld</w:t>
            </w:r>
            <w:r>
              <w:rPr>
                <w:rFonts w:ascii="Times New Roman" w:hAnsi="Times New Roman"/>
                <w:spacing w:val="-13"/>
                <w:sz w:val="18"/>
              </w:rPr>
              <w:t> </w:t>
            </w:r>
            <w:r>
              <w:rPr>
                <w:rFonts w:ascii="Times New Roman" w:hAnsi="Times New Roman"/>
                <w:sz w:val="18"/>
              </w:rPr>
              <w:t>Industries</w:t>
            </w:r>
            <w:r>
              <w:rPr>
                <w:rFonts w:ascii="Times New Roman" w:hAnsi="Times New Roman"/>
                <w:w w:val="99"/>
                <w:sz w:val="18"/>
              </w:rPr>
              <w:t> </w:t>
            </w:r>
            <w:r>
              <w:rPr>
                <w:rFonts w:ascii="Times New Roman" w:hAnsi="Times New Roman"/>
                <w:sz w:val="18"/>
              </w:rPr>
              <w:t>Thüringen</w:t>
            </w:r>
            <w:r>
              <w:rPr>
                <w:rFonts w:ascii="Times New Roman" w:hAnsi="Times New Roman"/>
                <w:spacing w:val="-5"/>
                <w:sz w:val="18"/>
              </w:rPr>
              <w:t> </w:t>
            </w:r>
            <w:r>
              <w:rPr>
                <w:rFonts w:ascii="Times New Roman" w:hAns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1,961,588.99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1,961,588.99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Wicro Plastics</w:t>
            </w:r>
            <w:r>
              <w:rPr>
                <w:rFonts w:ascii="Times New Roman"/>
                <w:spacing w:val="-12"/>
                <w:sz w:val="18"/>
              </w:rPr>
              <w:t> </w:t>
            </w:r>
            <w:r>
              <w:rPr>
                <w:rFonts w:ascii="Times New Roman"/>
                <w:sz w:val="18"/>
              </w:rPr>
              <w:t>BV</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1,945,019.10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广西建工集团第二安装 建设有限公司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1,894,685.21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1,605,500.00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1,718,156.97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1,718,156.97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SILLIA VL</w:t>
            </w:r>
            <w:r>
              <w:rPr>
                <w:rFonts w:ascii="Times New Roman"/>
                <w:spacing w:val="-22"/>
                <w:sz w:val="18"/>
              </w:rPr>
              <w:t> </w:t>
            </w:r>
            <w:r>
              <w:rPr>
                <w:rFonts w:ascii="Times New Roman"/>
                <w:sz w:val="18"/>
              </w:rPr>
              <w:t>SAS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1,510,660.91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502,685.55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800,803.52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800,803.39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7"/>
              <w:jc w:val="left"/>
              <w:rPr>
                <w:rFonts w:ascii="Times New Roman" w:hAnsi="Times New Roman" w:cs="Times New Roman" w:eastAsia="Times New Roman" w:hint="default"/>
                <w:sz w:val="18"/>
                <w:szCs w:val="18"/>
              </w:rPr>
            </w:pPr>
            <w:r>
              <w:rPr>
                <w:rFonts w:ascii="Times New Roman"/>
                <w:spacing w:val="-4"/>
                <w:sz w:val="18"/>
              </w:rPr>
              <w:t>ADVANCED</w:t>
            </w:r>
            <w:r>
              <w:rPr>
                <w:rFonts w:ascii="Times New Roman"/>
                <w:spacing w:val="4"/>
                <w:sz w:val="18"/>
              </w:rPr>
              <w:t> </w:t>
            </w:r>
            <w:r>
              <w:rPr>
                <w:rFonts w:ascii="Times New Roman"/>
                <w:sz w:val="18"/>
              </w:rPr>
              <w:t>SOLAR</w:t>
            </w:r>
            <w:r>
              <w:rPr>
                <w:rFonts w:ascii="Times New Roman"/>
                <w:w w:val="99"/>
                <w:sz w:val="18"/>
              </w:rPr>
              <w:t> </w:t>
            </w:r>
            <w:r>
              <w:rPr>
                <w:rFonts w:ascii="Times New Roman"/>
                <w:sz w:val="18"/>
              </w:rPr>
              <w:t>PHOTONICS</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786,149.20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786,149.20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无锡翔康电子有限公司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664,092.36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664,092.36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南京秉创新能源技术有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646,193.00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646,193.00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安徽颐和新能源科技股 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541,594.00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17,266,183.26</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14,721,242.56</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组合中，按账龄分析法计提坏账准备的应收账款：</w:t>
      </w:r>
    </w:p>
    <w:p>
      <w:pPr>
        <w:pStyle w:val="BodyText"/>
        <w:spacing w:line="338" w:lineRule="auto" w:before="117"/>
        <w:ind w:right="64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组合中，采用余额百分比法计提坏账准备的应收账款：</w:t>
      </w:r>
    </w:p>
    <w:p>
      <w:pPr>
        <w:pStyle w:val="BodyText"/>
        <w:spacing w:line="340" w:lineRule="auto" w:before="42"/>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spacing w:line="240" w:lineRule="auto" w:before="11"/>
        <w:rPr>
          <w:rFonts w:ascii="宋体" w:hAnsi="宋体" w:cs="宋体" w:eastAsia="宋体" w:hint="default"/>
          <w:sz w:val="26"/>
          <w:szCs w:val="26"/>
        </w:rPr>
      </w:pPr>
    </w:p>
    <w:p>
      <w:pPr>
        <w:pStyle w:val="BodyText"/>
        <w:spacing w:line="240" w:lineRule="auto"/>
        <w:ind w:left="513" w:right="1122"/>
        <w:jc w:val="left"/>
      </w:pPr>
      <w:r>
        <w:rPr/>
        <w:t>②年末单项金额不重大但单独计提坏账准备的主要应收款项</w:t>
      </w:r>
    </w:p>
    <w:p>
      <w:pPr>
        <w:spacing w:line="240" w:lineRule="auto" w:before="0"/>
        <w:rPr>
          <w:rFonts w:ascii="宋体" w:hAnsi="宋体" w:cs="宋体" w:eastAsia="宋体" w:hint="default"/>
          <w:sz w:val="5"/>
          <w:szCs w:val="5"/>
        </w:rPr>
      </w:pPr>
    </w:p>
    <w:tbl>
      <w:tblPr>
        <w:tblW w:w="0" w:type="auto"/>
        <w:jc w:val="left"/>
        <w:tblInd w:w="139" w:type="dxa"/>
        <w:tblLayout w:type="fixed"/>
        <w:tblCellMar>
          <w:top w:w="0" w:type="dxa"/>
          <w:left w:w="0" w:type="dxa"/>
          <w:bottom w:w="0" w:type="dxa"/>
          <w:right w:w="0" w:type="dxa"/>
        </w:tblCellMar>
        <w:tblLook w:val="01E0"/>
      </w:tblPr>
      <w:tblGrid>
        <w:gridCol w:w="3608"/>
        <w:gridCol w:w="1614"/>
        <w:gridCol w:w="1651"/>
        <w:gridCol w:w="1438"/>
        <w:gridCol w:w="1348"/>
      </w:tblGrid>
      <w:tr>
        <w:trPr>
          <w:trHeight w:val="342" w:hRule="exact"/>
        </w:trPr>
        <w:tc>
          <w:tcPr>
            <w:tcW w:w="360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989"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0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608" w:type="dxa"/>
            <w:vMerge/>
            <w:tcBorders>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Stepbirch</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447,776.90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447,776.90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3608"/>
        <w:gridCol w:w="1614"/>
        <w:gridCol w:w="1651"/>
        <w:gridCol w:w="1438"/>
        <w:gridCol w:w="1348"/>
      </w:tblGrid>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江苏启安建设集团有限公司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372,500.00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24,800.00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6.66</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AU</w:t>
            </w:r>
            <w:r>
              <w:rPr>
                <w:rFonts w:ascii="Times New Roman"/>
                <w:spacing w:val="-4"/>
                <w:sz w:val="18"/>
              </w:rPr>
              <w:t> </w:t>
            </w:r>
            <w:r>
              <w:rPr>
                <w:rFonts w:ascii="Times New Roman"/>
                <w:sz w:val="18"/>
              </w:rPr>
              <w:t>Optronics(Czech)s.r.o</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355,904.87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355,904.87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江苏万丰光伏有限公司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350,486.40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350,486.40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北京科诺伟业科技有限公司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300,000.00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300,000.00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中国水电顾问集团中南勘测设计研究院</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294,796.75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294,796.75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R&amp;L Co.,</w:t>
            </w:r>
            <w:r>
              <w:rPr>
                <w:rFonts w:ascii="Times New Roman"/>
                <w:spacing w:val="-3"/>
                <w:sz w:val="18"/>
              </w:rPr>
              <w:t> </w:t>
            </w:r>
            <w:r>
              <w:rPr>
                <w:rFonts w:ascii="Times New Roman"/>
                <w:sz w:val="18"/>
              </w:rPr>
              <w:t>LTD</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294,740.26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294,740.24</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ASIA INFONET</w:t>
            </w:r>
            <w:r>
              <w:rPr>
                <w:rFonts w:ascii="Times New Roman"/>
                <w:spacing w:val="-2"/>
                <w:sz w:val="18"/>
              </w:rPr>
              <w:t> </w:t>
            </w:r>
            <w:r>
              <w:rPr>
                <w:rFonts w:ascii="Times New Roman"/>
                <w:sz w:val="18"/>
              </w:rPr>
              <w:t>INC</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275,576.75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275,576.75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Q-CELLS</w:t>
            </w:r>
            <w:r>
              <w:rPr>
                <w:rFonts w:ascii="Times New Roman"/>
                <w:spacing w:val="-2"/>
                <w:sz w:val="18"/>
              </w:rPr>
              <w:t> </w:t>
            </w:r>
            <w:r>
              <w:rPr>
                <w:rFonts w:ascii="Times New Roman"/>
                <w:sz w:val="18"/>
              </w:rPr>
              <w:t>SE</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271,640.15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271,640.15</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Jabil Circuit, Poland Sp. z</w:t>
            </w:r>
            <w:r>
              <w:rPr>
                <w:rFonts w:ascii="Times New Roman"/>
                <w:spacing w:val="-6"/>
                <w:sz w:val="18"/>
              </w:rPr>
              <w:t> </w:t>
            </w:r>
            <w:r>
              <w:rPr>
                <w:rFonts w:ascii="Times New Roman"/>
                <w:sz w:val="18"/>
              </w:rPr>
              <w:t>o.o.</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263,729.20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263,729.20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润峰电力有限公司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234,901.00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234,901.00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河南神行保健科技股份有限公司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222,934.77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222,934.77</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阳原东润新能源开发有限公司</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205,000.00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205,000.00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100.00</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金额小于</w:t>
            </w:r>
            <w:r>
              <w:rPr>
                <w:rFonts w:ascii="Times New Roman" w:hAnsi="Times New Roman" w:cs="Times New Roman" w:eastAsia="Times New Roman" w:hint="default"/>
                <w:sz w:val="18"/>
                <w:szCs w:val="18"/>
              </w:rPr>
              <w:t>20</w:t>
            </w:r>
            <w:r>
              <w:rPr>
                <w:rFonts w:ascii="宋体" w:hAnsi="宋体" w:cs="宋体" w:eastAsia="宋体" w:hint="default"/>
                <w:sz w:val="18"/>
                <w:szCs w:val="18"/>
              </w:rPr>
              <w:t>万的</w:t>
            </w:r>
            <w:r>
              <w:rPr>
                <w:rFonts w:ascii="Times New Roman" w:hAnsi="Times New Roman" w:cs="Times New Roman" w:eastAsia="Times New Roman" w:hint="default"/>
                <w:sz w:val="18"/>
                <w:szCs w:val="18"/>
              </w:rPr>
              <w:t>65</w:t>
            </w:r>
            <w:r>
              <w:rPr>
                <w:rFonts w:ascii="宋体" w:hAnsi="宋体" w:cs="宋体" w:eastAsia="宋体" w:hint="default"/>
                <w:sz w:val="18"/>
                <w:szCs w:val="18"/>
              </w:rPr>
              <w:t>家公司小计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2,418,144.74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2,416,560.10</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99.93</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6,308,131.79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5,958,847.13</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94.46</w:t>
            </w:r>
          </w:p>
        </w:tc>
        <w:tc>
          <w:tcPr>
            <w:tcW w:w="134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122"/>
        <w:jc w:val="left"/>
        <w:rPr>
          <w:b w:val="0"/>
          <w:bCs w:val="0"/>
        </w:rPr>
      </w:pPr>
      <w:bookmarkStart w:name="（2）本期计提、收回或转回的坏账准备情况" w:id="238"/>
      <w:bookmarkEnd w:id="23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right="-13"/>
        <w:jc w:val="left"/>
      </w:pPr>
      <w:r>
        <w:rPr/>
        <w:t>本期计提坏账准备金额</w:t>
      </w:r>
      <w:r>
        <w:rPr>
          <w:spacing w:val="-49"/>
        </w:rPr>
        <w:t> </w:t>
      </w:r>
      <w:r>
        <w:rPr>
          <w:rFonts w:ascii="Times New Roman" w:hAnsi="Times New Roman" w:cs="Times New Roman" w:eastAsia="Times New Roman" w:hint="default"/>
        </w:rPr>
        <w:t>11,667,484.73</w:t>
      </w:r>
      <w:r>
        <w:rPr>
          <w:rFonts w:ascii="Times New Roman" w:hAnsi="Times New Roman" w:cs="Times New Roman" w:eastAsia="Times New Roman" w:hint="default"/>
          <w:spacing w:val="-3"/>
        </w:rPr>
        <w:t> </w:t>
      </w:r>
      <w:r>
        <w:rPr/>
        <w:t>元；本期收回或转回坏账准备金额</w:t>
      </w:r>
      <w:r>
        <w:rPr>
          <w:spacing w:val="-49"/>
        </w:rPr>
        <w:t> </w:t>
      </w:r>
      <w:r>
        <w:rPr>
          <w:rFonts w:ascii="Times New Roman" w:hAnsi="Times New Roman" w:cs="Times New Roman" w:eastAsia="Times New Roman" w:hint="default"/>
        </w:rPr>
        <w:t>3,755,673.06</w:t>
      </w:r>
      <w:r>
        <w:rPr>
          <w:rFonts w:ascii="Times New Roman" w:hAnsi="Times New Roman" w:cs="Times New Roman" w:eastAsia="Times New Roman" w:hint="default"/>
          <w:spacing w:val="-3"/>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7167" w:space="1663"/>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青海火电工程公司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3,194,732.20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回款</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3,194,732.20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10"/>
        <w:ind w:left="154"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3）本期实际核销的应收账款情况" w:id="239"/>
      <w:bookmarkEnd w:id="239"/>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309,762.08</w:t>
            </w:r>
          </w:p>
        </w:tc>
      </w:tr>
    </w:tbl>
    <w:p>
      <w:pPr>
        <w:pStyle w:val="BodyText"/>
        <w:spacing w:line="240" w:lineRule="auto" w:before="51"/>
        <w:ind w:left="154" w:right="1122"/>
        <w:jc w:val="left"/>
      </w:pPr>
      <w:r>
        <w:rPr/>
        <w:t>其中重要的应收账款核销情况：</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4" w:right="9132"/>
        <w:jc w:val="left"/>
      </w:pPr>
      <w:r>
        <w:rPr/>
        <w:t>应收账款核销说明： 无</w:t>
      </w:r>
    </w:p>
    <w:p>
      <w:pPr>
        <w:spacing w:after="0" w:line="357"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4）按欠款方归集的期末余额前五名的应收账款情况" w:id="240"/>
      <w:bookmarkEnd w:id="240"/>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2" w:firstLine="360"/>
        <w:jc w:val="left"/>
      </w:pPr>
      <w:r>
        <w:rPr/>
        <w:t>本公司本年按欠款方归集的年末余额前五名应收账款汇总金额为</w:t>
      </w:r>
      <w:r>
        <w:rPr>
          <w:rFonts w:ascii="Times New Roman" w:hAnsi="Times New Roman" w:cs="Times New Roman" w:eastAsia="Times New Roman" w:hint="default"/>
        </w:rPr>
        <w:t>596,566,223.98</w:t>
      </w:r>
      <w:r>
        <w:rPr/>
        <w:t>元，占应收账款年末余额合计数的 比例为</w:t>
      </w:r>
      <w:r>
        <w:rPr>
          <w:rFonts w:ascii="Times New Roman" w:hAnsi="Times New Roman" w:cs="Times New Roman" w:eastAsia="Times New Roman" w:hint="default"/>
        </w:rPr>
        <w:t>31.07%</w:t>
      </w:r>
      <w:r>
        <w:rPr/>
        <w:t>，相应计提的坏账准备年末余额汇总金额为</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30"/>
        <w:ind w:right="1122"/>
        <w:jc w:val="left"/>
        <w:rPr>
          <w:b w:val="0"/>
          <w:bCs w:val="0"/>
        </w:rPr>
      </w:pPr>
      <w:bookmarkStart w:name="（5）因金融资产转移而终止确认的应收账款" w:id="241"/>
      <w:bookmarkEnd w:id="241"/>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095"/>
        <w:gridCol w:w="2895"/>
        <w:gridCol w:w="3669"/>
      </w:tblGrid>
      <w:tr>
        <w:trPr>
          <w:trHeight w:val="342" w:hRule="exact"/>
        </w:trPr>
        <w:tc>
          <w:tcPr>
            <w:tcW w:w="30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822"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8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452"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6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65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61,445,947.40</w:t>
            </w:r>
          </w:p>
        </w:tc>
        <w:tc>
          <w:tcPr>
            <w:tcW w:w="3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-813,118.40</w:t>
            </w:r>
            <w:r>
              <w:rPr>
                <w:rFonts w:ascii="Times New Roman"/>
                <w:sz w:val="18"/>
              </w:rPr>
            </w:r>
          </w:p>
        </w:tc>
      </w:tr>
      <w:tr>
        <w:trPr>
          <w:trHeight w:val="342" w:hRule="exact"/>
        </w:trPr>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61,445,947.40</w:t>
            </w:r>
          </w:p>
        </w:tc>
        <w:tc>
          <w:tcPr>
            <w:tcW w:w="36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-813,118.40</w:t>
            </w:r>
            <w:r>
              <w:rPr>
                <w:rFonts w:ascii="Times New Roman"/>
                <w:sz w:val="18"/>
              </w:rPr>
            </w:r>
          </w:p>
        </w:tc>
      </w:tr>
    </w:tbl>
    <w:p>
      <w:pPr>
        <w:pStyle w:val="BodyText"/>
        <w:tabs>
          <w:tab w:pos="7059" w:val="left" w:leader="none"/>
        </w:tabs>
        <w:spacing w:line="300" w:lineRule="auto" w:before="10"/>
        <w:ind w:right="1312" w:firstLine="360"/>
        <w:jc w:val="left"/>
      </w:pPr>
      <w:r>
        <w:rPr>
          <w:spacing w:val="8"/>
        </w:rPr>
        <w:t>注：于</w:t>
      </w:r>
      <w:r>
        <w:rPr>
          <w:rFonts w:ascii="Times New Roman" w:hAnsi="Times New Roman" w:cs="Times New Roman" w:eastAsia="Times New Roman" w:hint="default"/>
          <w:spacing w:val="8"/>
        </w:rPr>
        <w:t>2017</w:t>
      </w:r>
      <w:r>
        <w:rPr>
          <w:spacing w:val="8"/>
        </w:rPr>
        <w:t>年，本公司向金融机构以不附追索权的方式转让了应收账款</w:t>
        <w:tab/>
      </w:r>
      <w:r>
        <w:rPr>
          <w:rFonts w:ascii="Times New Roman" w:hAnsi="Times New Roman" w:cs="Times New Roman" w:eastAsia="Times New Roman" w:hint="default"/>
          <w:spacing w:val="3"/>
        </w:rPr>
        <w:t>61,445,947.40</w:t>
      </w:r>
      <w:r>
        <w:rPr>
          <w:spacing w:val="3"/>
        </w:rPr>
        <w:t>元，相关的损失为</w:t>
      </w:r>
      <w:r>
        <w:rPr/>
        <w:t> </w:t>
      </w:r>
      <w:r>
        <w:rPr>
          <w:rFonts w:ascii="Times New Roman" w:hAnsi="Times New Roman" w:cs="Times New Roman" w:eastAsia="Times New Roman" w:hint="default"/>
        </w:rPr>
        <w:t>813,118.40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1122"/>
        <w:jc w:val="left"/>
        <w:rPr>
          <w:b w:val="0"/>
          <w:bCs w:val="0"/>
        </w:rPr>
      </w:pPr>
      <w:bookmarkStart w:name="（6）转移应收账款且继续涉入形成的资产、负债金额" w:id="242"/>
      <w:bookmarkEnd w:id="242"/>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9853"/>
        <w:jc w:val="left"/>
      </w:pPr>
      <w:r>
        <w:rPr/>
        <w:t>无 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6、预付款项" w:id="243"/>
      <w:bookmarkEnd w:id="243"/>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1）预付款项按账龄列示" w:id="244"/>
      <w:bookmarkEnd w:id="244"/>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53,951,646.29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44,784,220.97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103,346.03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4,966,905.60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4,865,275.10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13,724,497.19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20.46%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257,448.00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3,613,653.72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59,177,715.42</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67,089,277.48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154" w:right="5894"/>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19"/>
        <w:ind w:left="154" w:right="1122"/>
        <w:jc w:val="left"/>
        <w:rPr>
          <w:b w:val="0"/>
          <w:bCs w:val="0"/>
        </w:rPr>
      </w:pPr>
      <w:bookmarkStart w:name="（2）按预付对象归集的期末余额前五名的预付款情况" w:id="245"/>
      <w:bookmarkEnd w:id="245"/>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2"/>
        <w:jc w:val="left"/>
      </w:pPr>
      <w:r>
        <w:rPr/>
        <w:t>本公司按预付对象归集的年末余额前五名预付账款汇总金额为</w:t>
      </w:r>
      <w:r>
        <w:rPr>
          <w:rFonts w:ascii="Times New Roman" w:hAnsi="Times New Roman" w:cs="Times New Roman" w:eastAsia="Times New Roman" w:hint="default"/>
        </w:rPr>
        <w:t>41,812,166.23</w:t>
      </w:r>
      <w:r>
        <w:rPr/>
        <w:t>元，占预付账款年末余额合计数的比例为</w:t>
      </w:r>
    </w:p>
    <w:p>
      <w:pPr>
        <w:pStyle w:val="BodyText"/>
        <w:spacing w:line="240" w:lineRule="auto" w:before="63"/>
        <w:ind w:right="1122"/>
        <w:jc w:val="left"/>
      </w:pPr>
      <w:r>
        <w:rPr>
          <w:rFonts w:ascii="Times New Roman" w:hAnsi="Times New Roman" w:cs="Times New Roman" w:eastAsia="Times New Roman" w:hint="default"/>
        </w:rPr>
        <w:t>70.66%</w:t>
      </w:r>
      <w:r>
        <w:rPr/>
        <w:t>。</w:t>
      </w:r>
    </w:p>
    <w:p>
      <w:pPr>
        <w:pStyle w:val="BodyText"/>
        <w:spacing w:line="240" w:lineRule="auto" w:before="103"/>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7、应收利息" w:id="246"/>
      <w:bookmarkEnd w:id="246"/>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收利息分类" w:id="247"/>
      <w:bookmarkEnd w:id="247"/>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23,890,050.05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3,837,846.71</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23,890,050.05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3,837,846.71</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重要逾期利息" w:id="248"/>
      <w:bookmarkEnd w:id="248"/>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8、应收股利" w:id="249"/>
      <w:bookmarkEnd w:id="249"/>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收股利" w:id="250"/>
      <w:bookmarkEnd w:id="250"/>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重要的账龄超过1年的应收股利" w:id="251"/>
      <w:bookmarkEnd w:id="251"/>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9、其他应收款" w:id="252"/>
      <w:bookmarkEnd w:id="252"/>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其他应收款分类披露" w:id="253"/>
      <w:bookmarkEnd w:id="25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计提比</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62"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例</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2,681,16</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2,681,16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2,681,1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65.00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2,681,165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413,275,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310.70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98.73%</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413,275,3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74,361,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435.42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94.30%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74,361,435.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2,623,70</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2,623,70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5.26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1,815,0</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99.13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1,665,099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91.74%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150,000.00</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418,580,</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180.96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5,304,87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1.27%</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413,275,3</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10.70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78,857,</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699.55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4,346,264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5.51%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74,511,435.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42</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张家港市天一纺织有限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7"/>
              <w:jc w:val="both"/>
              <w:rPr>
                <w:rFonts w:ascii="宋体" w:hAnsi="宋体" w:cs="宋体" w:eastAsia="宋体" w:hint="default"/>
                <w:sz w:val="18"/>
                <w:szCs w:val="18"/>
              </w:rPr>
            </w:pPr>
            <w:r>
              <w:rPr>
                <w:rFonts w:ascii="宋体" w:hAnsi="宋体" w:cs="宋体" w:eastAsia="宋体" w:hint="default"/>
                <w:sz w:val="18"/>
                <w:szCs w:val="18"/>
              </w:rPr>
              <w:t>张家港市清理建设领域 拖欠工程款和农民工工 资工作领导小组</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王霞</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581,165.00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581,165.00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2,681,165.00</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2,681,165.00</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组合中，按账龄分析法计提坏账准备的其他应收款：</w:t>
      </w:r>
    </w:p>
    <w:p>
      <w:pPr>
        <w:pStyle w:val="BodyText"/>
        <w:spacing w:line="340" w:lineRule="auto" w:before="11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0"/>
        <w:ind w:right="6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3"/>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本期计提、收回或转回的坏账准备情况" w:id="254"/>
      <w:bookmarkEnd w:id="25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338" w:lineRule="auto" w:before="44"/>
        <w:ind w:right="-15"/>
        <w:jc w:val="left"/>
      </w:pPr>
      <w:r>
        <w:rPr/>
        <w:t>本期计提坏账准备金额</w:t>
      </w:r>
      <w:r>
        <w:rPr>
          <w:spacing w:val="-48"/>
        </w:rPr>
        <w:t> </w:t>
      </w:r>
      <w:r>
        <w:rPr>
          <w:rFonts w:ascii="Times New Roman" w:hAnsi="Times New Roman" w:cs="Times New Roman" w:eastAsia="Times New Roman" w:hint="default"/>
        </w:rPr>
        <w:t>4,511,202.65</w:t>
      </w:r>
      <w:r>
        <w:rPr>
          <w:rFonts w:ascii="Times New Roman" w:hAnsi="Times New Roman" w:cs="Times New Roman" w:eastAsia="Times New Roman" w:hint="default"/>
          <w:spacing w:val="-2"/>
        </w:rPr>
        <w:t> </w:t>
      </w:r>
      <w:r>
        <w:rPr/>
        <w:t>元；本期收回或转回坏账准备金额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3"/>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48" w:space="2381"/>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240" w:lineRule="auto" w:before="10"/>
        <w:ind w:left="154" w:right="1122"/>
        <w:jc w:val="left"/>
      </w:pPr>
      <w:r>
        <w:rPr/>
        <w:t>无</w:t>
      </w:r>
    </w:p>
    <w:p>
      <w:pPr>
        <w:spacing w:after="0" w:line="240" w:lineRule="auto"/>
        <w:jc w:val="left"/>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3）本期实际核销的其他应收款情况" w:id="255"/>
      <w:bookmarkEnd w:id="25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3,552,596.52</w:t>
            </w:r>
          </w:p>
        </w:tc>
      </w:tr>
    </w:tbl>
    <w:p>
      <w:pPr>
        <w:pStyle w:val="BodyText"/>
        <w:spacing w:line="240" w:lineRule="auto" w:before="51"/>
        <w:ind w:left="154" w:right="1122"/>
        <w:jc w:val="left"/>
      </w:pPr>
      <w:r>
        <w:rPr/>
        <w:t>其中重要的其他应收款核销情况：</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1"/>
        <w:ind w:left="154" w:right="8952"/>
        <w:jc w:val="left"/>
      </w:pPr>
      <w:r>
        <w:rPr/>
        <w:t>其他应收款核销说明：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其他应收款按款项性质分类情况" w:id="256"/>
      <w:bookmarkEnd w:id="25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11,407,413.43</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198,893,669.00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光伏项目保证金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15,639,000.00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3,836,189.23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5,198,915.59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198,442,909.30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58,019,783.96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418,580,180.96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78,857,699.55</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5）按欠款方归集的期末余额前五名的其他应收款情况" w:id="257"/>
      <w:bookmarkEnd w:id="25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浙江省水利水电集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168,793,669.00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40.33%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明和エンジニアリ ング㈱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秋田处置款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73,511,410.00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17.56%</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青海蓓翔新能源开 发有限公司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56,222,392.34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新疆汇达捷创业投 资有限公司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新疆爱康慧诚信息 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12,717,477.70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3.04%</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597"/>
        <w:gridCol w:w="1594"/>
        <w:gridCol w:w="1606"/>
        <w:gridCol w:w="1582"/>
        <w:gridCol w:w="1596"/>
        <w:gridCol w:w="1595"/>
      </w:tblGrid>
      <w:tr>
        <w:trPr>
          <w:trHeight w:val="402" w:hRule="exact"/>
        </w:trPr>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437" w:right="0"/>
              <w:jc w:val="left"/>
              <w:rPr>
                <w:rFonts w:ascii="Times New Roman" w:hAnsi="Times New Roman" w:cs="Times New Roman" w:eastAsia="Times New Roman" w:hint="default"/>
                <w:sz w:val="18"/>
                <w:szCs w:val="18"/>
              </w:rPr>
            </w:pPr>
            <w:r>
              <w:rPr>
                <w:rFonts w:ascii="Times New Roman"/>
                <w:sz w:val="18"/>
              </w:rPr>
              <w:t>341,244,949.04</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81.53%</w:t>
            </w: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6）涉及政府补助的应收款项" w:id="258"/>
      <w:bookmarkEnd w:id="25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40" w:lineRule="auto" w:before="10"/>
        <w:ind w:left="154"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7）因金融资产转移而终止确认的其他应收款" w:id="259"/>
      <w:bookmarkEnd w:id="25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54" w:right="1122"/>
        <w:jc w:val="left"/>
      </w:pPr>
      <w:r>
        <w:rPr/>
        <w:t>无</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8）转移其他应收款且继续涉入形成的资产、负债金额" w:id="260"/>
      <w:bookmarkEnd w:id="26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9853"/>
        <w:jc w:val="left"/>
      </w:pPr>
      <w:r>
        <w:rPr/>
        <w:t>无 其他说明： 无</w:t>
      </w:r>
    </w:p>
    <w:p>
      <w:pPr>
        <w:spacing w:line="240" w:lineRule="auto" w:before="0"/>
        <w:rPr>
          <w:rFonts w:ascii="宋体" w:hAnsi="宋体" w:cs="宋体" w:eastAsia="宋体" w:hint="default"/>
          <w:sz w:val="20"/>
          <w:szCs w:val="20"/>
        </w:rPr>
      </w:pPr>
    </w:p>
    <w:p>
      <w:pPr>
        <w:pStyle w:val="Heading3"/>
        <w:spacing w:line="240" w:lineRule="auto"/>
        <w:ind w:left="154" w:right="1122"/>
        <w:jc w:val="left"/>
        <w:rPr>
          <w:b w:val="0"/>
          <w:bCs w:val="0"/>
        </w:rPr>
      </w:pPr>
      <w:bookmarkStart w:name="10、存货" w:id="261"/>
      <w:bookmarkEnd w:id="261"/>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154"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3"/>
        <w:spacing w:line="240" w:lineRule="auto"/>
        <w:ind w:left="154" w:right="1122"/>
        <w:jc w:val="left"/>
        <w:rPr>
          <w:b w:val="0"/>
          <w:bCs w:val="0"/>
        </w:rPr>
      </w:pPr>
      <w:bookmarkStart w:name="（1）存货分类" w:id="262"/>
      <w:bookmarkEnd w:id="262"/>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102,111,411.10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2,703,113.07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99,408,298.03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102,919,432.12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829,209.91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102,090,222.21</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13,256,534.43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13,206,132.84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21,470,400.42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50,401.59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21,419,998.83</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138,950,096.60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3,176,373.73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135,773,722.87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298,735,895.84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17,288,339.86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281,447,555.98</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3,603,442.16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117,268.58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3,486,173.58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4,977,587.44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98,388.74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4,879,198.70</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委托加工物资</w:t>
            </w: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3,695,076.16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3,695,076.16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2,832,539.67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2,832,539.67</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261,616,560.45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6,047,156.97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255,569,403.48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430,935,855.49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18,266,340.10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412,669,515.39</w:t>
            </w:r>
          </w:p>
        </w:tc>
      </w:tr>
    </w:tbl>
    <w:p>
      <w:pPr>
        <w:pStyle w:val="BodyText"/>
        <w:spacing w:line="340" w:lineRule="auto" w:before="51"/>
        <w:ind w:left="154"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13"/>
        <w:rPr>
          <w:rFonts w:ascii="宋体" w:hAnsi="宋体" w:cs="宋体" w:eastAsia="宋体" w:hint="default"/>
          <w:sz w:val="20"/>
          <w:szCs w:val="20"/>
        </w:rPr>
      </w:pPr>
    </w:p>
    <w:p>
      <w:pPr>
        <w:pStyle w:val="Heading3"/>
        <w:spacing w:line="240" w:lineRule="auto"/>
        <w:ind w:left="154" w:right="1122"/>
        <w:jc w:val="left"/>
        <w:rPr>
          <w:b w:val="0"/>
          <w:bCs w:val="0"/>
        </w:rPr>
      </w:pPr>
      <w:bookmarkStart w:name="（2）存货跌价准备" w:id="263"/>
      <w:bookmarkEnd w:id="263"/>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18" w:type="dxa"/>
        <w:tblLayout w:type="fixed"/>
        <w:tblCellMar>
          <w:top w:w="0" w:type="dxa"/>
          <w:left w:w="0" w:type="dxa"/>
          <w:bottom w:w="0" w:type="dxa"/>
          <w:right w:w="0" w:type="dxa"/>
        </w:tblCellMar>
        <w:tblLook w:val="01E0"/>
      </w:tblPr>
      <w:tblGrid>
        <w:gridCol w:w="1477"/>
        <w:gridCol w:w="1399"/>
        <w:gridCol w:w="1385"/>
        <w:gridCol w:w="1385"/>
        <w:gridCol w:w="1385"/>
        <w:gridCol w:w="1385"/>
        <w:gridCol w:w="1381"/>
      </w:tblGrid>
      <w:tr>
        <w:trPr>
          <w:trHeight w:val="206" w:hRule="exact"/>
        </w:trPr>
        <w:tc>
          <w:tcPr>
            <w:tcW w:w="1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7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40"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2770" w:type="dxa"/>
            <w:gridSpan w:val="2"/>
            <w:vMerge/>
            <w:tcBorders>
              <w:left w:val="single" w:sz="4" w:space="0" w:color="000000"/>
              <w:bottom w:val="single" w:sz="4" w:space="0" w:color="000000"/>
              <w:right w:val="single" w:sz="4" w:space="0" w:color="000000"/>
            </w:tcBorders>
            <w:shd w:val="clear" w:color="auto" w:fill="D2D2D2"/>
          </w:tcPr>
          <w:p>
            <w:pP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477" w:type="dxa"/>
            <w:vMerge/>
            <w:tcBorders>
              <w:left w:val="single" w:sz="4" w:space="0" w:color="000000"/>
              <w:bottom w:val="nil" w:sz="6" w:space="0" w:color="auto"/>
              <w:right w:val="single" w:sz="4" w:space="0" w:color="000000"/>
            </w:tcBorders>
            <w:shd w:val="clear" w:color="auto" w:fill="D2D2D2"/>
          </w:tcPr>
          <w:p>
            <w:pPr/>
          </w:p>
        </w:tc>
        <w:tc>
          <w:tcPr>
            <w:tcW w:w="1399" w:type="dxa"/>
            <w:vMerge/>
            <w:tcBorders>
              <w:left w:val="single" w:sz="4" w:space="0" w:color="000000"/>
              <w:bottom w:val="nil" w:sz="6" w:space="0" w:color="auto"/>
              <w:right w:val="single" w:sz="4" w:space="0" w:color="000000"/>
            </w:tcBorders>
            <w:shd w:val="clear" w:color="auto" w:fill="D2D2D2"/>
          </w:tcPr>
          <w:p>
            <w:pP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81"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5" w:type="dxa"/>
            <w:vMerge/>
            <w:tcBorders>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829,209.91</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2,620,801.82</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746,898.66</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2,703,113.07</w:t>
            </w:r>
          </w:p>
        </w:tc>
      </w:tr>
      <w:tr>
        <w:trPr>
          <w:trHeight w:val="402" w:hRule="exact"/>
        </w:trPr>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50,401.59</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50,401.59</w:t>
            </w:r>
          </w:p>
        </w:tc>
      </w:tr>
      <w:tr>
        <w:trPr>
          <w:trHeight w:val="402" w:hRule="exact"/>
        </w:trPr>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17,288,339.86</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2,211,706.35</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16,323,672.48</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3,176,373.73</w:t>
            </w:r>
          </w:p>
        </w:tc>
      </w:tr>
      <w:tr>
        <w:trPr>
          <w:trHeight w:val="402" w:hRule="exact"/>
        </w:trPr>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98,388.74</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18,879.84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117,268.58</w:t>
            </w:r>
          </w:p>
        </w:tc>
      </w:tr>
      <w:tr>
        <w:trPr>
          <w:trHeight w:val="402" w:hRule="exact"/>
        </w:trPr>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18,266,340.10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4,851,388.01</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17,070,571.14</w:t>
            </w:r>
          </w:p>
        </w:tc>
        <w:tc>
          <w:tcPr>
            <w:tcW w:w="1385" w:type="dxa"/>
            <w:tcBorders>
              <w:top w:val="single" w:sz="4" w:space="0" w:color="000000"/>
              <w:left w:val="single" w:sz="4" w:space="0" w:color="000000"/>
              <w:bottom w:val="single" w:sz="4" w:space="0" w:color="000000"/>
              <w:right w:val="single" w:sz="4" w:space="0" w:color="000000"/>
            </w:tcBorders>
          </w:tcPr>
          <w:p>
            <w:pP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6,047,156.97</w:t>
            </w:r>
          </w:p>
        </w:tc>
      </w:tr>
    </w:tbl>
    <w:p>
      <w:pPr>
        <w:spacing w:line="240" w:lineRule="auto" w:before="11"/>
        <w:rPr>
          <w:rFonts w:ascii="宋体" w:hAnsi="宋体" w:cs="宋体" w:eastAsia="宋体" w:hint="default"/>
          <w:sz w:val="23"/>
          <w:szCs w:val="23"/>
        </w:rPr>
      </w:pPr>
    </w:p>
    <w:tbl>
      <w:tblPr>
        <w:tblW w:w="0" w:type="auto"/>
        <w:jc w:val="left"/>
        <w:tblInd w:w="125" w:type="dxa"/>
        <w:tblLayout w:type="fixed"/>
        <w:tblCellMar>
          <w:top w:w="0" w:type="dxa"/>
          <w:left w:w="0" w:type="dxa"/>
          <w:bottom w:w="0" w:type="dxa"/>
          <w:right w:w="0" w:type="dxa"/>
        </w:tblCellMar>
        <w:tblLook w:val="01E0"/>
      </w:tblPr>
      <w:tblGrid>
        <w:gridCol w:w="2312"/>
        <w:gridCol w:w="2894"/>
        <w:gridCol w:w="2225"/>
        <w:gridCol w:w="2342"/>
      </w:tblGrid>
      <w:tr>
        <w:trPr>
          <w:trHeight w:val="6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计提存货跌价准备的具体依据</w:t>
            </w:r>
          </w:p>
        </w:tc>
        <w:tc>
          <w:tcPr>
            <w:tcW w:w="22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17" w:right="27" w:hanging="990"/>
              <w:jc w:val="left"/>
              <w:rPr>
                <w:rFonts w:ascii="宋体" w:hAnsi="宋体" w:cs="宋体" w:eastAsia="宋体" w:hint="default"/>
                <w:sz w:val="18"/>
                <w:szCs w:val="18"/>
              </w:rPr>
            </w:pPr>
            <w:r>
              <w:rPr>
                <w:rFonts w:ascii="宋体" w:hAnsi="宋体" w:cs="宋体" w:eastAsia="宋体" w:hint="default"/>
                <w:sz w:val="18"/>
                <w:szCs w:val="18"/>
              </w:rPr>
              <w:t>本年转回存货跌价准备的原 因</w:t>
            </w: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76" w:right="84" w:hanging="990"/>
              <w:jc w:val="left"/>
              <w:rPr>
                <w:rFonts w:ascii="宋体" w:hAnsi="宋体" w:cs="宋体" w:eastAsia="宋体" w:hint="default"/>
                <w:sz w:val="18"/>
                <w:szCs w:val="18"/>
              </w:rPr>
            </w:pPr>
            <w:r>
              <w:rPr>
                <w:rFonts w:ascii="宋体" w:hAnsi="宋体" w:cs="宋体" w:eastAsia="宋体" w:hint="default"/>
                <w:sz w:val="18"/>
                <w:szCs w:val="18"/>
              </w:rPr>
              <w:t>本年转销存货跌价准备的原 因</w:t>
            </w:r>
          </w:p>
        </w:tc>
      </w:tr>
      <w:tr>
        <w:trPr>
          <w:trHeight w:val="6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原材料</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082" w:right="89" w:hanging="990"/>
              <w:jc w:val="left"/>
              <w:rPr>
                <w:rFonts w:ascii="宋体" w:hAnsi="宋体" w:cs="宋体" w:eastAsia="宋体" w:hint="default"/>
                <w:sz w:val="18"/>
                <w:szCs w:val="18"/>
              </w:rPr>
            </w:pPr>
            <w:r>
              <w:rPr>
                <w:rFonts w:ascii="宋体" w:hAnsi="宋体" w:cs="宋体" w:eastAsia="宋体" w:hint="default"/>
                <w:sz w:val="18"/>
                <w:szCs w:val="18"/>
              </w:rPr>
              <w:t>存货中部分材料的可变现净值低于 存货成本</w:t>
            </w:r>
          </w:p>
        </w:tc>
        <w:tc>
          <w:tcPr>
            <w:tcW w:w="2225"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本年已销售</w:t>
            </w:r>
          </w:p>
        </w:tc>
      </w:tr>
      <w:tr>
        <w:trPr>
          <w:trHeight w:val="65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库存商品</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02" w:right="89" w:hanging="810"/>
              <w:jc w:val="left"/>
              <w:rPr>
                <w:rFonts w:ascii="宋体" w:hAnsi="宋体" w:cs="宋体" w:eastAsia="宋体" w:hint="default"/>
                <w:sz w:val="18"/>
                <w:szCs w:val="18"/>
              </w:rPr>
            </w:pPr>
            <w:r>
              <w:rPr>
                <w:rFonts w:ascii="宋体" w:hAnsi="宋体" w:cs="宋体" w:eastAsia="宋体" w:hint="default"/>
                <w:sz w:val="18"/>
                <w:szCs w:val="18"/>
              </w:rPr>
              <w:t>存货中部分库存商品的可变现净值 低于存货成本</w:t>
            </w:r>
          </w:p>
        </w:tc>
        <w:tc>
          <w:tcPr>
            <w:tcW w:w="2225"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本年已销售</w:t>
            </w:r>
          </w:p>
        </w:tc>
      </w:tr>
      <w:tr>
        <w:trPr>
          <w:trHeight w:val="655"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周转材料</w:t>
            </w:r>
          </w:p>
        </w:tc>
        <w:tc>
          <w:tcPr>
            <w:tcW w:w="28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02" w:right="89" w:hanging="810"/>
              <w:jc w:val="left"/>
              <w:rPr>
                <w:rFonts w:ascii="宋体" w:hAnsi="宋体" w:cs="宋体" w:eastAsia="宋体" w:hint="default"/>
                <w:sz w:val="18"/>
                <w:szCs w:val="18"/>
              </w:rPr>
            </w:pPr>
            <w:r>
              <w:rPr>
                <w:rFonts w:ascii="宋体" w:hAnsi="宋体" w:cs="宋体" w:eastAsia="宋体" w:hint="default"/>
                <w:sz w:val="18"/>
                <w:szCs w:val="18"/>
              </w:rPr>
              <w:t>存货中部分周转材料的可变现净值 低于存货成本</w:t>
            </w:r>
          </w:p>
        </w:tc>
        <w:tc>
          <w:tcPr>
            <w:tcW w:w="2225" w:type="dxa"/>
            <w:tcBorders>
              <w:top w:val="single" w:sz="4" w:space="0" w:color="000000"/>
              <w:left w:val="single" w:sz="4" w:space="0" w:color="000000"/>
              <w:bottom w:val="single" w:sz="4" w:space="0" w:color="000000"/>
              <w:right w:val="single" w:sz="4" w:space="0" w:color="000000"/>
            </w:tcBorders>
          </w:tcPr>
          <w:p>
            <w:pPr/>
          </w:p>
        </w:tc>
        <w:tc>
          <w:tcPr>
            <w:tcW w:w="23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254" w:right="0"/>
        <w:jc w:val="left"/>
        <w:rPr>
          <w:b w:val="0"/>
          <w:bCs w:val="0"/>
        </w:rPr>
      </w:pPr>
      <w:bookmarkStart w:name="（3）存货期末余额含有借款费用资本化金额的说明" w:id="264"/>
      <w:bookmarkEnd w:id="264"/>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54" w:right="0"/>
        <w:jc w:val="left"/>
      </w:pPr>
      <w:r>
        <w:rPr/>
        <w:t>存货年末余额中含有借款费用资本化金额为</w:t>
      </w:r>
      <w:r>
        <w:rPr>
          <w:rFonts w:ascii="Times New Roman" w:hAnsi="Times New Roman" w:cs="Times New Roman" w:eastAsia="Times New Roman" w:hint="default"/>
        </w:rPr>
        <w:t>0</w:t>
      </w:r>
      <w:r>
        <w:rPr/>
        <w:t>元</w:t>
      </w:r>
    </w:p>
    <w:p>
      <w:pPr>
        <w:spacing w:line="240" w:lineRule="auto" w:before="11"/>
        <w:rPr>
          <w:rFonts w:ascii="宋体" w:hAnsi="宋体" w:cs="宋体" w:eastAsia="宋体" w:hint="default"/>
          <w:sz w:val="25"/>
          <w:szCs w:val="25"/>
        </w:rPr>
      </w:pPr>
    </w:p>
    <w:p>
      <w:pPr>
        <w:pStyle w:val="Heading3"/>
        <w:spacing w:line="240" w:lineRule="auto"/>
        <w:ind w:left="253" w:right="0"/>
        <w:jc w:val="left"/>
        <w:rPr>
          <w:b w:val="0"/>
          <w:bCs w:val="0"/>
        </w:rPr>
      </w:pPr>
      <w:bookmarkStart w:name="（4）期末建造合同形成的已完工未结算资产情况" w:id="265"/>
      <w:bookmarkEnd w:id="265"/>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2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1"/>
        <w:ind w:left="253"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254" w:right="0"/>
        <w:jc w:val="left"/>
        <w:rPr>
          <w:b w:val="0"/>
          <w:bCs w:val="0"/>
        </w:rPr>
      </w:pPr>
      <w:bookmarkStart w:name="11、持有待售的资产" w:id="266"/>
      <w:bookmarkEnd w:id="266"/>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1"/>
        <w:ind w:left="254" w:right="0"/>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253" w:right="0"/>
        <w:jc w:val="left"/>
        <w:rPr>
          <w:b w:val="0"/>
          <w:bCs w:val="0"/>
        </w:rPr>
      </w:pPr>
      <w:bookmarkStart w:name="12、一年内到期的非流动资产" w:id="267"/>
      <w:bookmarkEnd w:id="267"/>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2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139,983,416.00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8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190"/>
        <w:gridCol w:w="3191"/>
        <w:gridCol w:w="3191"/>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4" w:right="0"/>
              <w:jc w:val="left"/>
              <w:rPr>
                <w:rFonts w:ascii="Times New Roman" w:hAnsi="Times New Roman" w:cs="Times New Roman" w:eastAsia="Times New Roman" w:hint="default"/>
                <w:sz w:val="18"/>
                <w:szCs w:val="18"/>
              </w:rPr>
            </w:pPr>
            <w:r>
              <w:rPr>
                <w:rFonts w:ascii="Times New Roman"/>
                <w:sz w:val="18"/>
              </w:rPr>
              <w:t>139,983,416.00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3、其他流动资产" w:id="268"/>
      <w:bookmarkEnd w:id="268"/>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pict>
          <v:group style="position:absolute;margin-left:216.320007pt;margin-top:59.8717pt;width:159.1pt;height:28pt;mso-position-horizontal-relative:page;mso-position-vertical-relative:paragraph;z-index:-1650832" coordorigin="4326,1197" coordsize="3182,560">
            <v:group style="position:absolute;left:4326;top:1197;width:3182;height:156" coordorigin="4326,1197" coordsize="3182,156">
              <v:shape style="position:absolute;left:4326;top:1197;width:3182;height:156" coordorigin="4326,1197" coordsize="3182,156" path="m4326,1353l7508,1353,7508,1197,4326,1197,4326,1353xe" filled="true" fillcolor="#ffffff" stroked="false">
                <v:path arrowok="t"/>
                <v:fill type="solid"/>
              </v:shape>
            </v:group>
            <v:group style="position:absolute;left:4338;top:1353;width:2;height:393" coordorigin="4338,1353" coordsize="2,393">
              <v:shape style="position:absolute;left:4338;top:1353;width:2;height:393" coordorigin="4338,1353" coordsize="0,393" path="m4338,1353l4338,1746e" filled="false" stroked="true" strokeweight="1.140pt" strokecolor="#ffffff">
                <v:path arrowok="t"/>
              </v:shape>
            </v:group>
            <v:group style="position:absolute;left:4349;top:1353;width:3136;height:393" coordorigin="4349,1353" coordsize="3136,393">
              <v:shape style="position:absolute;left:4349;top:1353;width:3136;height:393" coordorigin="4349,1353" coordsize="3136,393" path="m4349,1746l7485,1746,7485,1353,4349,1353,4349,1746xe" filled="true" fillcolor="#ffffff" stroked="false">
                <v:path arrowok="t"/>
                <v:fill type="solid"/>
              </v:shape>
            </v:group>
            <w10:wrap type="none"/>
          </v:group>
        </w:pict>
      </w: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32,916,733.51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13,566,200.42</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待抵扣增值税进项税额（注释见附注七</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2034" w:right="0"/>
              <w:jc w:val="left"/>
              <w:rPr>
                <w:rFonts w:ascii="Times New Roman" w:hAnsi="Times New Roman" w:cs="Times New Roman" w:eastAsia="Times New Roman" w:hint="default"/>
                <w:sz w:val="18"/>
                <w:szCs w:val="18"/>
              </w:rPr>
            </w:pPr>
            <w:r>
              <w:rPr>
                <w:rFonts w:ascii="Times New Roman"/>
                <w:sz w:val="18"/>
              </w:rPr>
              <w:t>178,151,657.83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202,049,118.50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18,782,235.27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49,410.50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229,850,626.61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215,664,729.42</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14、可供出售金融资产" w:id="269"/>
      <w:bookmarkEnd w:id="269"/>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可供出售金融资产情况" w:id="270"/>
      <w:bookmarkEnd w:id="270"/>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1195"/>
        <w:gridCol w:w="1196"/>
        <w:gridCol w:w="1196"/>
        <w:gridCol w:w="1248"/>
        <w:gridCol w:w="1367"/>
        <w:gridCol w:w="1364"/>
      </w:tblGrid>
      <w:tr>
        <w:trPr>
          <w:trHeight w:val="402" w:hRule="exact"/>
        </w:trPr>
        <w:tc>
          <w:tcPr>
            <w:tcW w:w="20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1"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期末按公允价值计量的可供出售金融资产" w:id="271"/>
      <w:bookmarkEnd w:id="271"/>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期末按成本计量的可供出售金融资产" w:id="272"/>
      <w:bookmarkEnd w:id="272"/>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江苏爱通 新能源科 技有限公 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4）报告期内可供出售金融资产减值的变动情况" w:id="273"/>
      <w:bookmarkEnd w:id="273"/>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2423"/>
        <w:gridCol w:w="2423"/>
        <w:gridCol w:w="2424"/>
        <w:gridCol w:w="2424"/>
      </w:tblGrid>
      <w:tr>
        <w:trPr>
          <w:trHeight w:val="402" w:hRule="exact"/>
        </w:trPr>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5）可供出售权益工具期末公允价值严重下跌或非暂时性下跌但未计提减值准备的相关说" w:id="274"/>
      <w:bookmarkEnd w:id="274"/>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pStyle w:val="BodyText"/>
        <w:spacing w:line="240" w:lineRule="auto" w:before="51"/>
        <w:ind w:left="154" w:right="1122"/>
        <w:jc w:val="left"/>
      </w:pPr>
      <w:r>
        <w:rPr/>
        <w:t>其他说明</w:t>
      </w:r>
    </w:p>
    <w:p>
      <w:pPr>
        <w:pStyle w:val="BodyText"/>
        <w:spacing w:line="300" w:lineRule="auto" w:before="116"/>
        <w:ind w:right="1130" w:firstLine="290"/>
        <w:jc w:val="both"/>
      </w:pPr>
      <w:r>
        <w:rPr/>
        <w:t>注：根据</w:t>
      </w:r>
      <w:r>
        <w:rPr>
          <w:rFonts w:ascii="Times New Roman" w:hAnsi="Times New Roman" w:cs="Times New Roman" w:eastAsia="Times New Roman" w:hint="default"/>
        </w:rPr>
        <w:t>2012</w:t>
      </w:r>
      <w:r>
        <w:rPr/>
        <w:t>年本公司与通艺设计工程有限公司（以下简称</w:t>
      </w:r>
      <w:r>
        <w:rPr>
          <w:rFonts w:ascii="Times New Roman" w:hAnsi="Times New Roman" w:cs="Times New Roman" w:eastAsia="Times New Roman" w:hint="default"/>
        </w:rPr>
        <w:t>“</w:t>
      </w:r>
      <w:r>
        <w:rPr/>
        <w:t>通艺公司</w:t>
      </w:r>
      <w:r>
        <w:rPr>
          <w:rFonts w:ascii="Times New Roman" w:hAnsi="Times New Roman" w:cs="Times New Roman" w:eastAsia="Times New Roman" w:hint="default"/>
        </w:rPr>
        <w:t>”</w:t>
      </w:r>
      <w:r>
        <w:rPr/>
        <w:t>）签订的出资协议和章程，本公司持有江苏爱通 新能源科技有限公司（以下简称</w:t>
      </w:r>
      <w:r>
        <w:rPr>
          <w:rFonts w:ascii="Times New Roman" w:hAnsi="Times New Roman" w:cs="Times New Roman" w:eastAsia="Times New Roman" w:hint="default"/>
        </w:rPr>
        <w:t>“</w:t>
      </w:r>
      <w:r>
        <w:rPr/>
        <w:t>爱通公司</w:t>
      </w:r>
      <w:r>
        <w:rPr>
          <w:rFonts w:ascii="Times New Roman" w:hAnsi="Times New Roman" w:cs="Times New Roman" w:eastAsia="Times New Roman" w:hint="default"/>
        </w:rPr>
        <w:t>”</w:t>
      </w:r>
      <w:r>
        <w:rPr/>
        <w:t>）的股权比例为</w:t>
      </w:r>
      <w:r>
        <w:rPr>
          <w:rFonts w:ascii="Times New Roman" w:hAnsi="Times New Roman" w:cs="Times New Roman" w:eastAsia="Times New Roman" w:hint="default"/>
        </w:rPr>
        <w:t>40%</w:t>
      </w:r>
      <w:r>
        <w:rPr/>
        <w:t>，对长期股权投资采用权益法核算。</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月本公司与通</w:t>
      </w:r>
      <w:r>
        <w:rPr>
          <w:spacing w:val="-41"/>
        </w:rPr>
        <w:t> </w:t>
      </w:r>
      <w:r>
        <w:rPr>
          <w:spacing w:val="-41"/>
        </w:rPr>
      </w:r>
      <w:r>
        <w:rPr>
          <w:spacing w:val="-1"/>
        </w:rPr>
        <w:t>艺公司签订股权转让协议书，由通艺公司受让本公司持有的爱通公司</w:t>
      </w:r>
      <w:r>
        <w:rPr>
          <w:rFonts w:ascii="Times New Roman" w:hAnsi="Times New Roman" w:cs="Times New Roman" w:eastAsia="Times New Roman" w:hint="default"/>
          <w:spacing w:val="-1"/>
        </w:rPr>
        <w:t>30%</w:t>
      </w:r>
      <w:r>
        <w:rPr>
          <w:spacing w:val="-1"/>
        </w:rPr>
        <w:t>的股权出资份额，本公司对爱通公司的持股比例降</w:t>
      </w:r>
      <w:r>
        <w:rPr/>
        <w:t> </w:t>
      </w:r>
      <w:r>
        <w:rPr>
          <w:spacing w:val="-1"/>
        </w:rPr>
        <w:t>为</w:t>
      </w:r>
      <w:r>
        <w:rPr>
          <w:rFonts w:ascii="Times New Roman" w:hAnsi="Times New Roman" w:cs="Times New Roman" w:eastAsia="Times New Roman" w:hint="default"/>
          <w:spacing w:val="-1"/>
        </w:rPr>
        <w:t>10%</w:t>
      </w:r>
      <w:r>
        <w:rPr>
          <w:spacing w:val="-1"/>
        </w:rPr>
        <w:t>，股权转让后本公司退出爱通公司董事会，不再对爱通公司有重大影响，对长期股权投资核算方法由权益法转换成成</w:t>
      </w:r>
      <w:r>
        <w:rPr>
          <w:spacing w:val="-88"/>
        </w:rPr>
        <w:t> </w:t>
      </w:r>
      <w:r>
        <w:rPr>
          <w:spacing w:val="-88"/>
        </w:rPr>
      </w:r>
      <w:r>
        <w:rPr>
          <w:spacing w:val="-2"/>
        </w:rPr>
        <w:t>本法，处置后的剩余股权改按《企业会计准则第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日，本公司对爱通公司</w:t>
      </w:r>
      <w:r>
        <w:rPr>
          <w:spacing w:val="-56"/>
        </w:rPr>
        <w:t> </w:t>
      </w:r>
      <w:r>
        <w:rPr>
          <w:spacing w:val="-56"/>
        </w:rPr>
      </w:r>
      <w:r>
        <w:rPr/>
        <w:t>的投资成本为</w:t>
      </w:r>
      <w:r>
        <w:rPr>
          <w:rFonts w:ascii="Times New Roman" w:hAnsi="Times New Roman" w:cs="Times New Roman" w:eastAsia="Times New Roman" w:hint="default"/>
        </w:rPr>
        <w:t>0.00</w:t>
      </w:r>
      <w:r>
        <w:rPr/>
        <w:t>元，持股比例为</w:t>
      </w:r>
      <w:r>
        <w:rPr>
          <w:rFonts w:ascii="Times New Roman" w:hAnsi="Times New Roman" w:cs="Times New Roman" w:eastAsia="Times New Roman" w:hint="default"/>
        </w:rPr>
        <w:t>10%</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5"/>
          <w:szCs w:val="15"/>
        </w:rPr>
      </w:pPr>
    </w:p>
    <w:p>
      <w:pPr>
        <w:pStyle w:val="Heading3"/>
        <w:spacing w:line="240" w:lineRule="auto"/>
        <w:ind w:right="1122"/>
        <w:jc w:val="left"/>
        <w:rPr>
          <w:b w:val="0"/>
          <w:bCs w:val="0"/>
        </w:rPr>
      </w:pPr>
      <w:bookmarkStart w:name="15、持有至到期投资" w:id="275"/>
      <w:bookmarkEnd w:id="275"/>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持有至到期投资情况" w:id="276"/>
      <w:bookmarkEnd w:id="276"/>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期末重要的持有至到期投资" w:id="277"/>
      <w:bookmarkEnd w:id="277"/>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本期重分类的持有至到期投资" w:id="278"/>
      <w:bookmarkEnd w:id="278"/>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16、长期应收款" w:id="279"/>
      <w:bookmarkEnd w:id="279"/>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长期应收款情况" w:id="280"/>
      <w:bookmarkEnd w:id="28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分期应收股权转 让款</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295,485,963.0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295,485,963.0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融资租赁保证金</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其中：江苏金茂 融资租赁有限公 司</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2,374,750.37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2,374,750.37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华能天成融资租 赁股份有限公司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5,498,848.20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5,498,848.20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5,109,995.69</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5,109,995.69</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上海电气租赁有 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12,696,999.53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12,696,999.53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11,789,605.26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11,789,605.26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中广核国际融资 租赁有限公司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9,825,192.00</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9,825,192.00</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9,221,374.54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9,221,374.54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5,089,836.67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5,089,836.67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苏银金融租赁股 份有限公司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9,360,032.46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9,360,032.46</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13,277,956.67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13,277,956.67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中建投租赁有限 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6,747,606.41</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6,747,606.41</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6,317,990.45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6,317,990.45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永赢金融租赁有 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831,850.33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831,850.33</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785,308.57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785,308.57</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68"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7,677,792.56</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7,677,792.56</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华融金融租赁股 份有限公司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5,093,172.94</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5,093,172.94</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4,821,731.65</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4,821,731.65</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华润租赁有限公 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3,047,869.68</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3,047,869.68</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1,411,263.38</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1,411,263.38</w:t>
            </w: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2,863,572.03</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2,863,572.03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减：一年内到期 部分（附注七、 </w:t>
            </w:r>
            <w:r>
              <w:rPr>
                <w:rFonts w:ascii="Times New Roman" w:hAnsi="Times New Roman" w:cs="Times New Roman" w:eastAsia="Times New Roman" w:hint="default"/>
                <w:sz w:val="18"/>
                <w:szCs w:val="18"/>
              </w:rPr>
              <w:t>12</w:t>
            </w:r>
            <w:r>
              <w:rPr>
                <w:rFonts w:ascii="宋体" w:hAnsi="宋体" w:cs="宋体" w:eastAsia="宋体" w:hint="default"/>
                <w:sz w:val="18"/>
                <w:szCs w:val="18"/>
              </w:rPr>
              <w:t>）</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-139,983,416.0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-139,983,416.0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228,863,873.1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228,863,873.1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68,481,423.27</w:t>
            </w:r>
          </w:p>
        </w:tc>
        <w:tc>
          <w:tcPr>
            <w:tcW w:w="1169"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68,481,423.27</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因金融资产转移而终止确认的长期应收款" w:id="281"/>
      <w:bookmarkEnd w:id="28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3）转移长期应收款且继续涉入形成的资产、负债金额" w:id="282"/>
      <w:bookmarkEnd w:id="28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17、长期股权投资" w:id="283"/>
      <w:bookmarkEnd w:id="283"/>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24"/>
        <w:gridCol w:w="1184"/>
        <w:gridCol w:w="1186"/>
        <w:gridCol w:w="314"/>
        <w:gridCol w:w="1230"/>
        <w:gridCol w:w="416"/>
        <w:gridCol w:w="364"/>
        <w:gridCol w:w="492"/>
        <w:gridCol w:w="365"/>
        <w:gridCol w:w="1185"/>
        <w:gridCol w:w="1320"/>
        <w:gridCol w:w="415"/>
      </w:tblGrid>
      <w:tr>
        <w:trPr>
          <w:trHeight w:val="402" w:hRule="exact"/>
        </w:trPr>
        <w:tc>
          <w:tcPr>
            <w:tcW w:w="12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56"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5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4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1" w:right="113"/>
              <w:jc w:val="both"/>
              <w:rPr>
                <w:rFonts w:ascii="宋体" w:hAnsi="宋体" w:cs="宋体" w:eastAsia="宋体" w:hint="default"/>
                <w:sz w:val="18"/>
                <w:szCs w:val="18"/>
              </w:rPr>
            </w:pPr>
            <w:r>
              <w:rPr>
                <w:rFonts w:ascii="宋体" w:hAnsi="宋体" w:cs="宋体" w:eastAsia="宋体" w:hint="default"/>
                <w:sz w:val="18"/>
                <w:szCs w:val="18"/>
              </w:rPr>
              <w:t>减 值 准 备 期 末 余 额</w:t>
            </w:r>
          </w:p>
        </w:tc>
      </w:tr>
      <w:tr>
        <w:trPr>
          <w:trHeight w:val="2183" w:hRule="exact"/>
        </w:trPr>
        <w:tc>
          <w:tcPr>
            <w:tcW w:w="1224"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9" w:lineRule="auto"/>
              <w:ind w:left="61" w:right="60"/>
              <w:jc w:val="both"/>
              <w:rPr>
                <w:rFonts w:ascii="宋体" w:hAnsi="宋体" w:cs="宋体" w:eastAsia="宋体" w:hint="default"/>
                <w:sz w:val="18"/>
                <w:szCs w:val="18"/>
              </w:rPr>
            </w:pPr>
            <w:r>
              <w:rPr>
                <w:rFonts w:ascii="宋体" w:hAnsi="宋体" w:cs="宋体" w:eastAsia="宋体" w:hint="default"/>
                <w:sz w:val="18"/>
                <w:szCs w:val="18"/>
              </w:rPr>
              <w:t>减 少 投 资</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19"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319" w:lineRule="auto"/>
              <w:ind w:left="22" w:right="23"/>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86" w:right="85"/>
              <w:jc w:val="both"/>
              <w:rPr>
                <w:rFonts w:ascii="宋体" w:hAnsi="宋体" w:cs="宋体" w:eastAsia="宋体" w:hint="default"/>
                <w:sz w:val="18"/>
                <w:szCs w:val="18"/>
              </w:rPr>
            </w:pPr>
            <w:r>
              <w:rPr>
                <w:rFonts w:ascii="宋体" w:hAnsi="宋体" w:cs="宋体" w:eastAsia="宋体" w:hint="default"/>
                <w:sz w:val="18"/>
                <w:szCs w:val="18"/>
              </w:rPr>
              <w:t>其 他 权 益 变 动</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61" w:right="59"/>
              <w:jc w:val="both"/>
              <w:rPr>
                <w:rFonts w:ascii="宋体" w:hAnsi="宋体" w:cs="宋体" w:eastAsia="宋体" w:hint="default"/>
                <w:sz w:val="18"/>
                <w:szCs w:val="18"/>
              </w:rPr>
            </w:pPr>
            <w:r>
              <w:rPr>
                <w:rFonts w:ascii="宋体" w:hAnsi="宋体" w:cs="宋体" w:eastAsia="宋体" w:hint="default"/>
                <w:sz w:val="18"/>
                <w:szCs w:val="18"/>
              </w:rPr>
              <w:t>宣告 发放 现金 股利 或利 润</w:t>
            </w:r>
          </w:p>
        </w:tc>
        <w:tc>
          <w:tcPr>
            <w:tcW w:w="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319" w:lineRule="auto"/>
              <w:ind w:left="87" w:right="85"/>
              <w:jc w:val="both"/>
              <w:rPr>
                <w:rFonts w:ascii="宋体" w:hAnsi="宋体" w:cs="宋体" w:eastAsia="宋体" w:hint="default"/>
                <w:sz w:val="18"/>
                <w:szCs w:val="18"/>
              </w:rPr>
            </w:pPr>
            <w:r>
              <w:rPr>
                <w:rFonts w:ascii="宋体" w:hAnsi="宋体" w:cs="宋体" w:eastAsia="宋体" w:hint="default"/>
                <w:sz w:val="18"/>
                <w:szCs w:val="18"/>
              </w:rPr>
              <w:t>计 提 减 值 准 备</w:t>
            </w:r>
          </w:p>
        </w:tc>
        <w:tc>
          <w:tcPr>
            <w:tcW w:w="1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20" w:type="dxa"/>
            <w:vMerge/>
            <w:tcBorders>
              <w:left w:val="single" w:sz="4" w:space="0" w:color="000000"/>
              <w:bottom w:val="single" w:sz="4" w:space="0" w:color="000000"/>
              <w:right w:val="single" w:sz="4" w:space="0" w:color="000000"/>
            </w:tcBorders>
            <w:shd w:val="clear" w:color="auto" w:fill="D2D2D2"/>
          </w:tcPr>
          <w:p>
            <w:pPr/>
          </w:p>
        </w:tc>
        <w:tc>
          <w:tcPr>
            <w:tcW w:w="41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69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both"/>
              <w:rPr>
                <w:rFonts w:ascii="宋体" w:hAnsi="宋体" w:cs="宋体" w:eastAsia="宋体" w:hint="default"/>
                <w:sz w:val="18"/>
                <w:szCs w:val="18"/>
              </w:rPr>
            </w:pPr>
            <w:r>
              <w:rPr>
                <w:rFonts w:ascii="宋体" w:hAnsi="宋体" w:cs="宋体" w:eastAsia="宋体" w:hint="default"/>
                <w:sz w:val="18"/>
                <w:szCs w:val="18"/>
              </w:rPr>
              <w:t>苏州爱康能源 工程技术股份 有限公司</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790,440,000.00</w:t>
            </w: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23,327,809.71</w:t>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813,767,809.71</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赣州融资租赁 有限责任公司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230,923,404.64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24,799,266.44</w:t>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355,722,671.08</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青海蓓翔城市 投资有限公司</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19,808,200.55</w:t>
            </w:r>
          </w:p>
        </w:tc>
        <w:tc>
          <w:tcPr>
            <w:tcW w:w="118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-7,465.38</w:t>
            </w:r>
            <w:r>
              <w:rPr>
                <w:rFonts w:ascii="Times New Roman"/>
                <w:sz w:val="18"/>
              </w:rPr>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-19,800,735.17</w:t>
            </w:r>
          </w:p>
        </w:tc>
        <w:tc>
          <w:tcPr>
            <w:tcW w:w="1320" w:type="dxa"/>
            <w:tcBorders>
              <w:top w:val="single" w:sz="4" w:space="0" w:color="000000"/>
              <w:left w:val="single" w:sz="4" w:space="0" w:color="000000"/>
              <w:bottom w:val="single" w:sz="4" w:space="0" w:color="000000"/>
              <w:right w:val="single" w:sz="4" w:space="0" w:color="000000"/>
            </w:tcBorders>
          </w:tcPr>
          <w:p>
            <w:pP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1"/>
              <w:jc w:val="left"/>
              <w:rPr>
                <w:rFonts w:ascii="宋体" w:hAnsi="宋体" w:cs="宋体" w:eastAsia="宋体" w:hint="default"/>
                <w:sz w:val="18"/>
                <w:szCs w:val="18"/>
              </w:rPr>
            </w:pPr>
            <w:r>
              <w:rPr>
                <w:rFonts w:ascii="宋体" w:hAnsi="宋体" w:cs="宋体" w:eastAsia="宋体" w:hint="default"/>
                <w:sz w:val="18"/>
                <w:szCs w:val="18"/>
              </w:rPr>
              <w:t>金昌清能电力 有限公司</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209,538,700.00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209,538,700.00</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0"/>
              <w:jc w:val="left"/>
              <w:rPr>
                <w:rFonts w:ascii="Times New Roman" w:hAnsi="Times New Roman" w:cs="Times New Roman" w:eastAsia="Times New Roman" w:hint="default"/>
                <w:sz w:val="18"/>
                <w:szCs w:val="18"/>
              </w:rPr>
            </w:pPr>
            <w:r>
              <w:rPr>
                <w:rFonts w:ascii="Times New Roman"/>
                <w:sz w:val="18"/>
              </w:rPr>
              <w:t>MAKI</w:t>
            </w:r>
            <w:r>
              <w:rPr>
                <w:rFonts w:ascii="Times New Roman"/>
                <w:w w:val="99"/>
                <w:sz w:val="18"/>
              </w:rPr>
              <w:t> </w:t>
            </w:r>
            <w:r>
              <w:rPr>
                <w:rFonts w:ascii="Times New Roman"/>
                <w:sz w:val="18"/>
              </w:rPr>
              <w:t>SUNCOME</w:t>
            </w:r>
            <w:r>
              <w:rPr>
                <w:rFonts w:ascii="Times New Roman"/>
                <w:w w:val="99"/>
                <w:sz w:val="18"/>
              </w:rPr>
              <w:t> </w:t>
            </w:r>
            <w:r>
              <w:rPr>
                <w:rFonts w:ascii="Times New Roman"/>
                <w:sz w:val="18"/>
              </w:rPr>
              <w:t>SOLAR</w:t>
            </w:r>
            <w:r>
              <w:rPr>
                <w:rFonts w:ascii="Times New Roman"/>
                <w:w w:val="99"/>
                <w:sz w:val="18"/>
              </w:rPr>
              <w:t> </w:t>
            </w:r>
            <w:r>
              <w:rPr>
                <w:rFonts w:ascii="Times New Roman"/>
                <w:spacing w:val="-3"/>
                <w:sz w:val="18"/>
              </w:rPr>
              <w:t>CO.,LTD</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2,538,685.88</w:t>
            </w: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44,369.80</w:t>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2,583,055.68</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250,731,605.19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892,978,685.88</w:t>
            </w: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48,163,980.57</w:t>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189,737,964.83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1,381,612,236.47</w:t>
            </w:r>
          </w:p>
        </w:tc>
        <w:tc>
          <w:tcPr>
            <w:tcW w:w="4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250,731,605.19</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892,978,685.88</w:t>
            </w:r>
          </w:p>
        </w:tc>
        <w:tc>
          <w:tcPr>
            <w:tcW w:w="314"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48,163,980.57</w:t>
            </w:r>
          </w:p>
        </w:tc>
        <w:tc>
          <w:tcPr>
            <w:tcW w:w="416" w:type="dxa"/>
            <w:tcBorders>
              <w:top w:val="single" w:sz="4" w:space="0" w:color="000000"/>
              <w:left w:val="single" w:sz="4" w:space="0" w:color="000000"/>
              <w:bottom w:val="single" w:sz="4" w:space="0" w:color="000000"/>
              <w:right w:val="single" w:sz="4" w:space="0" w:color="000000"/>
            </w:tcBorders>
          </w:tcPr>
          <w:p>
            <w:pPr/>
          </w:p>
        </w:tc>
        <w:tc>
          <w:tcPr>
            <w:tcW w:w="364"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36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189,737,964.83</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1,381,612,236.47</w:t>
            </w:r>
          </w:p>
        </w:tc>
        <w:tc>
          <w:tcPr>
            <w:tcW w:w="4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right="1122"/>
        <w:jc w:val="left"/>
      </w:pPr>
      <w:r>
        <w:rPr/>
        <w:t>其他说明 </w:t>
      </w:r>
      <w:r>
        <w:rPr>
          <w:spacing w:val="-2"/>
        </w:rPr>
        <w:t>注：其他变动原因：青海蓓翔城市投资有限公司为处置股权减少账面价值，金昌清能电力有限公司为全资孙公司因减资由成</w:t>
      </w:r>
      <w:r>
        <w:rPr>
          <w:spacing w:val="-66"/>
        </w:rPr>
        <w:t> </w:t>
      </w:r>
      <w:r>
        <w:rPr>
          <w:spacing w:val="-66"/>
        </w:rPr>
      </w:r>
      <w:r>
        <w:rPr/>
        <w:t>本法改为权益法核算调整账面价值。</w:t>
      </w:r>
    </w:p>
    <w:p>
      <w:pPr>
        <w:spacing w:line="240" w:lineRule="auto" w:before="2"/>
        <w:rPr>
          <w:rFonts w:ascii="宋体" w:hAnsi="宋体" w:cs="宋体" w:eastAsia="宋体" w:hint="default"/>
          <w:sz w:val="21"/>
          <w:szCs w:val="21"/>
        </w:rPr>
      </w:pPr>
    </w:p>
    <w:p>
      <w:pPr>
        <w:pStyle w:val="Heading3"/>
        <w:spacing w:line="240" w:lineRule="auto"/>
        <w:ind w:right="1122"/>
        <w:jc w:val="left"/>
        <w:rPr>
          <w:b w:val="0"/>
          <w:bCs w:val="0"/>
        </w:rPr>
      </w:pPr>
      <w:bookmarkStart w:name="18、投资性房地产" w:id="284"/>
      <w:bookmarkEnd w:id="284"/>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采用成本计量模式的投资性房地产" w:id="285"/>
      <w:bookmarkEnd w:id="285"/>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采用公允价值计量模式的投资性房地产" w:id="286"/>
      <w:bookmarkEnd w:id="286"/>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3）未办妥产权证书的投资性房地产情况" w:id="287"/>
      <w:bookmarkEnd w:id="287"/>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19、固定资产" w:id="288"/>
      <w:bookmarkEnd w:id="288"/>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固定资产情况" w:id="289"/>
      <w:bookmarkEnd w:id="289"/>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49"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光电设备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办公及其他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2,103,749,049.18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532,840,607.35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6,169,717,774.00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17,476,793.13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33,265,041.34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8,857,049,265.00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283,744,308.44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84,310,730.55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1,310,599,884.06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3,845,688.19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5,780,450.78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1,688,281,062.02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24,756,015.64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22,145,301.74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5,602,255.61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3,845,688.19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4,928,647.38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61,277,908.56</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258,988,292.80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62,165,428.81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1,304,997,628.45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815,679.12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1,626,967,029.18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36,124.28</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342,912,937.74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33,743,999.44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1,665,584,307.63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6,224,620.37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1,344,519.82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2,049,810,385.00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1,015,957.00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24,395,440.29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19,525,167.86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5,165,618.73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443,454.80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50,545,638.68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）转让公司减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341,896,980.74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9,348,559.15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1,646,059,139.77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1,059,001.64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901,065.02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1,999,264,746.32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2,044,580,419.88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583,407,338.46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5,814,733,350.43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15,097,860.95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37,700,972.30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8,495,519,942.02</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271,207,137.99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193,419,830.67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580,836,968.46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9,557,844.93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23,595,106.26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1,078,616,888.31</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109,820,572.77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53,886,389.73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319,385,172.69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2,335,414.77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3,260,447.71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488,687,997.67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109,820,572.77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53,886,389.73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319,385,172.69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2,335,414.77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3,224,323.43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488,651,873.39</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36,124.28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50,575,386.20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12,324,048.86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247,343,040.59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5,315,268.94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930,250.23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316,487,994.82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96,906.50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12,059,408.66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3,451,167.14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4,653,606.58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345,294.80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20,606,383.68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转让公司减少</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50,478,479.70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264,640.20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243,891,873.45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661,662.36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584,955.43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295,881,611.14</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330,452,324.56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234,982,171.54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652,879,100.56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6,577,990.76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25,925,303.74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1,250,816,891.16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129,164.21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651,157.47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8,944,714.73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11,905,335.82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651,157.47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8,944,714.73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11,905,335.82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129,164.21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）转让公司减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129,164.21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7,400,296.00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7,529,460.21</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651,157.47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2,309,463.62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8,944,714.73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11,905,335.82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1,713,476,937.85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346,115,703.30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5,152,909,535.14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8,519,870.19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11,775,668.56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7,232,797,715.04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1,832,412,746.98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339,420,776.68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5,581,480,509.54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7,918,948.20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9,669,935.08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7,770,902,916.48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暂时闲置的固定资产情况" w:id="290"/>
      <w:bookmarkEnd w:id="290"/>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通过融资租赁租入的固定资产情况" w:id="291"/>
      <w:bookmarkEnd w:id="291"/>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4）通过经营租赁租出的固定资产" w:id="292"/>
      <w:bookmarkEnd w:id="292"/>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5）未办妥产权证书的固定资产情况" w:id="293"/>
      <w:bookmarkEnd w:id="293"/>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2"/>
        <w:ind w:left="154" w:right="1122"/>
        <w:jc w:val="left"/>
      </w:pPr>
      <w:r>
        <w:rPr/>
        <w:t>其他说明</w:t>
      </w:r>
    </w:p>
    <w:p>
      <w:pPr>
        <w:pStyle w:val="BodyText"/>
        <w:spacing w:line="240" w:lineRule="auto" w:before="115"/>
        <w:ind w:left="659" w:right="1122"/>
        <w:jc w:val="left"/>
      </w:pPr>
      <w:r>
        <w:rPr/>
        <w:t>固定资产减值准备计提情况</w:t>
      </w:r>
    </w:p>
    <w:p>
      <w:pPr>
        <w:pStyle w:val="BodyText"/>
        <w:spacing w:line="309" w:lineRule="auto" w:before="76"/>
        <w:ind w:right="1132" w:firstLine="480"/>
        <w:jc w:val="both"/>
      </w:pPr>
      <w:r>
        <w:rPr/>
        <w:t>本公司本年确认了人民币</w:t>
      </w:r>
      <w:r>
        <w:rPr>
          <w:rFonts w:ascii="Times New Roman" w:hAnsi="Times New Roman" w:cs="Times New Roman" w:eastAsia="Times New Roman" w:hint="default"/>
        </w:rPr>
        <w:t>9,595,872.20</w:t>
      </w:r>
      <w:r>
        <w:rPr>
          <w:rFonts w:ascii="Times New Roman" w:hAnsi="Times New Roman" w:cs="Times New Roman" w:eastAsia="Times New Roman" w:hint="default"/>
          <w:spacing w:val="10"/>
        </w:rPr>
        <w:t> </w:t>
      </w:r>
      <w:r>
        <w:rPr/>
        <w:t>元的固定资产减值损失，是由于盈利不及预期对嘉祥昱辉公司和的伊川公司的 </w:t>
      </w:r>
      <w:r>
        <w:rPr>
          <w:spacing w:val="-2"/>
        </w:rPr>
        <w:t>固定资产提取了减值准备。可收回金额是根据资产组的预计未来现金流量的现值确定的。该资产组由电站运营分部位于嘉祥</w:t>
      </w:r>
      <w:r>
        <w:rPr>
          <w:spacing w:val="-64"/>
        </w:rPr>
        <w:t> </w:t>
      </w:r>
      <w:r>
        <w:rPr>
          <w:spacing w:val="-64"/>
        </w:rPr>
      </w:r>
      <w:r>
        <w:rPr/>
        <w:t>和伊川的资产组成。在确定资产组的预计未来现金流量的现值时，采用了</w:t>
      </w:r>
      <w:r>
        <w:rPr>
          <w:rFonts w:ascii="Times New Roman" w:hAnsi="Times New Roman" w:cs="Times New Roman" w:eastAsia="Times New Roman" w:hint="default"/>
        </w:rPr>
        <w:t>7.66%</w:t>
      </w:r>
      <w:r>
        <w:rPr/>
        <w:t>作为折现率。</w:t>
      </w:r>
    </w:p>
    <w:p>
      <w:pPr>
        <w:pStyle w:val="BodyText"/>
        <w:spacing w:line="316" w:lineRule="auto" w:before="5"/>
        <w:ind w:right="1133" w:firstLine="480"/>
        <w:jc w:val="both"/>
      </w:pPr>
      <w:r>
        <w:rPr>
          <w:spacing w:val="-1"/>
        </w:rPr>
        <w:t>本公司对拟处置的涂锡机、压延机等设备按其公允价值减去处置费用后的净额确定其可收回金额并计提相应的资产减</w:t>
      </w:r>
      <w:r>
        <w:rPr/>
        <w:t> 值准备，其公允价值按该类资产在二手交易市场中的报价确定。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3"/>
        <w:spacing w:line="240" w:lineRule="auto"/>
        <w:ind w:left="154" w:right="1122"/>
        <w:jc w:val="left"/>
        <w:rPr>
          <w:b w:val="0"/>
          <w:bCs w:val="0"/>
        </w:rPr>
      </w:pPr>
      <w:bookmarkStart w:name="20、在建工程" w:id="294"/>
      <w:bookmarkEnd w:id="294"/>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在建工程情况" w:id="295"/>
      <w:bookmarkEnd w:id="295"/>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新疆五家渠电站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379,485,498.50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379,485,498.50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363,051,899.51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363,051,899.51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新疆利源电站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339,683,942.95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339,683,942.95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333,726,491.35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333,726,491.35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山东无棣电站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120,911,847.27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120,911,847.27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291,824,186.54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291,824,186.54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广西崇左电站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82,259,906.86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82,259,906.86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99,759,505.92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99,759,505.92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河南伊川电站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50,231,458.20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50,231,458.20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154,731,414.68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154,731,414.68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车间技改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47,118,525.20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47,118,525.20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3"/>
              <w:jc w:val="left"/>
              <w:rPr>
                <w:rFonts w:ascii="宋体" w:hAnsi="宋体" w:cs="宋体" w:eastAsia="宋体" w:hint="default"/>
                <w:sz w:val="18"/>
                <w:szCs w:val="18"/>
              </w:rPr>
            </w:pPr>
            <w:r>
              <w:rPr>
                <w:rFonts w:ascii="宋体" w:hAnsi="宋体" w:cs="宋体" w:eastAsia="宋体" w:hint="default"/>
                <w:sz w:val="18"/>
                <w:szCs w:val="18"/>
              </w:rPr>
              <w:t>赣州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600MW </w:t>
            </w:r>
            <w:r>
              <w:rPr>
                <w:rFonts w:ascii="宋体" w:hAnsi="宋体" w:cs="宋体" w:eastAsia="宋体" w:hint="default"/>
                <w:sz w:val="18"/>
                <w:szCs w:val="18"/>
              </w:rPr>
              <w:t>组 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40,185,763.92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40,185,763.92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10,713,230.28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10,713,230.28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山东莒南电站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28,451,577.37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28,451,577.37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15,470,295.15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15,470,295.15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云南禄劝电站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19,955,369.29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19,955,369.29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19,293,741.05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19,293,741.05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日本光伏电站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3,409,474.25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3,409,474.25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9,973,915.44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9,973,915.44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安徽明光电站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145,426.64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145,426.64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86,115,625.96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86,115,625.96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电池生产线扩产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7,200,935.76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7,200,935.76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辽宁锦州电站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46,763,142.27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46,763,142.27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山东嘉祥电站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97,484,133.59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97,484,133.59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河南南召电站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43,102,028.72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43,102,028.72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爱康大厦房产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河南泌阳电站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104,542,395.64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104,542,395.64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吉林大安电站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68,861,036.21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68,861,036.21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广东徐闻电站</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136,041,705.66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136,041,705.66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36,594,955.31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1,769,565.95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34,825,389.36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51,679,696.92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51,679,696.92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1,148,433,745.76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1,769,565.95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1,146,664,179.81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2,036,085,380.65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2,036,085,380.65</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重要在建工程项目本期变动情况" w:id="296"/>
      <w:bookmarkEnd w:id="296"/>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吉林大 安电站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91,726,1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68,861,0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36.21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4,313,96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73,174,9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97.80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98.19%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4,880,97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2,818,86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辽宁锦 州电站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172,124,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46,763,1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42.27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79,415,6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35.76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126,178,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778.03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79.76%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3,515,23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3,369,36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新疆五 家渠电 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426,500,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363,051,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899.51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16,433,5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98.99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379,485,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498.50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新疆利 源电站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426,500,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333,726,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491.35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5,957,45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339,683,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942.95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山东嘉 祥电站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194,000,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97,484,1</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33.59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15,456,9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97,422,2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18.58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15,518,9</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08.31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61.66%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河南伊 川电站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404,657,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154,731,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414.68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39,930,9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93.45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144,430,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949.93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50,231,4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58.20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56.30%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部分并 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6,531,99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3.75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4,946,75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6.44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山东莒 南电站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15,470,2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95.15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35,362,2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25.88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20,907,0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79.65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29,925,4</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41.38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68.08%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2,899,26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7.56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1,695,33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江苏丹 阳电站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22,750,0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13,862,0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36.49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71.25%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河南南 召电站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642,120,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43,102,0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28.72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1,147,82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8.83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27,480,3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57.80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16,769,4</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99.75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492,988.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山东无 棣电站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651,000,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291,824,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186.54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178,973,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302.47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337,183,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905.54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133,613,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583.47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89.42%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6,308,07</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4.49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河南泌 阳电站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160,000,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104,542,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395.64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29,536,0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15.33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134,078,</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410.97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83.80%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并网</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张北分 布式能 源项目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26,883,0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64.86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24,809,2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24,809,2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25.45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6" w:right="0"/>
              <w:jc w:val="center"/>
              <w:rPr>
                <w:rFonts w:ascii="Times New Roman" w:hAnsi="Times New Roman" w:cs="Times New Roman" w:eastAsia="Times New Roman" w:hint="default"/>
                <w:sz w:val="18"/>
                <w:szCs w:val="18"/>
              </w:rPr>
            </w:pPr>
            <w:r>
              <w:rPr>
                <w:rFonts w:ascii="Times New Roman"/>
                <w:sz w:val="18"/>
              </w:rPr>
              <w:t>99.67%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完成</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江西赣 州电站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24,096,0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15,161,4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66.80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15,161,4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66.80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72.79%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云南禄 劝电站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414,686,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19,293,7</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41.05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95,797.6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19,389,5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38.70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51.92%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89.30%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422,880.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广东徐 闻电站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136,041,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705.66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128,410,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679.95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264,452,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385.61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部分并 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6,445,33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6,415,74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6.90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安徽明 光电站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115,272,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560.00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86,115,6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25.96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34,695,2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69.94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120,665,</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469.26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145,426.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61"/>
              <w:jc w:val="left"/>
              <w:rPr>
                <w:rFonts w:ascii="宋体" w:hAnsi="宋体" w:cs="宋体" w:eastAsia="宋体" w:hint="default"/>
                <w:sz w:val="18"/>
                <w:szCs w:val="18"/>
              </w:rPr>
            </w:pPr>
            <w:r>
              <w:rPr>
                <w:rFonts w:ascii="宋体" w:hAnsi="宋体" w:cs="宋体" w:eastAsia="宋体" w:hint="default"/>
                <w:sz w:val="18"/>
                <w:szCs w:val="18"/>
              </w:rPr>
              <w:t>部分并 网</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3,125,55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7.27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2,625,87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9"/>
              <w:jc w:val="left"/>
              <w:rPr>
                <w:rFonts w:ascii="宋体" w:hAnsi="宋体" w:cs="宋体" w:eastAsia="宋体" w:hint="default"/>
                <w:sz w:val="18"/>
                <w:szCs w:val="18"/>
              </w:rPr>
            </w:pPr>
            <w:r>
              <w:rPr>
                <w:rFonts w:ascii="宋体" w:hAnsi="宋体" w:cs="宋体" w:eastAsia="宋体" w:hint="default"/>
                <w:sz w:val="18"/>
                <w:szCs w:val="18"/>
              </w:rPr>
              <w:t>广西崇 左电站</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99,759,5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05.92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1,341,11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18,627,8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02.25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82,472,8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19.12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3,093,30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8.14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2,953,84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1.47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600MW</w:t>
            </w:r>
          </w:p>
          <w:p>
            <w:pPr>
              <w:pStyle w:val="TableParagraph"/>
              <w:spacing w:line="240" w:lineRule="auto" w:before="66"/>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157,600,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10,713,2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30.28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129,840,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007.28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96,657,8</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01.16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43,895,4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36.40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318,658.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PERC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车</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间技改</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107,940,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49,939,0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38.03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2,820,51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2.83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47,118,5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25.20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54.13%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4,719,85</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5,960.86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1,871,48</w:t>
            </w:r>
          </w:p>
          <w:p>
            <w:pPr>
              <w:pStyle w:val="TableParagraph"/>
              <w:spacing w:line="240" w:lineRule="auto" w:before="106"/>
              <w:ind w:left="74" w:right="0"/>
              <w:jc w:val="left"/>
              <w:rPr>
                <w:rFonts w:ascii="Times New Roman" w:hAnsi="Times New Roman" w:cs="Times New Roman" w:eastAsia="Times New Roman" w:hint="default"/>
                <w:sz w:val="18"/>
                <w:szCs w:val="18"/>
              </w:rPr>
            </w:pPr>
            <w:r>
              <w:rPr>
                <w:rFonts w:ascii="Times New Roman"/>
                <w:sz w:val="18"/>
              </w:rPr>
              <w:t>0,832.53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804,682,</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644.24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1,502,75</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1,931.35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32,288,4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08.06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1,141,12</w:t>
            </w:r>
          </w:p>
          <w:p>
            <w:pPr>
              <w:pStyle w:val="TableParagraph"/>
              <w:spacing w:line="240" w:lineRule="auto" w:before="106"/>
              <w:ind w:left="73" w:right="0"/>
              <w:jc w:val="left"/>
              <w:rPr>
                <w:rFonts w:ascii="Times New Roman" w:hAnsi="Times New Roman" w:cs="Times New Roman" w:eastAsia="Times New Roman" w:hint="default"/>
                <w:sz w:val="18"/>
                <w:szCs w:val="18"/>
              </w:rPr>
            </w:pPr>
            <w:r>
              <w:rPr>
                <w:rFonts w:ascii="Times New Roman"/>
                <w:sz w:val="18"/>
              </w:rPr>
              <w:t>3,137.36</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38,034,2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74.61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25,144,4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46.98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本期计提在建工程减值准备情况" w:id="297"/>
      <w:bookmarkEnd w:id="297"/>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1、工程物资" w:id="298"/>
      <w:bookmarkEnd w:id="298"/>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1,220,254.22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1,823,696.27</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专用材料</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15,594.02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1,235,848.24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1,839,290.29</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2、固定资产清理" w:id="299"/>
      <w:bookmarkEnd w:id="299"/>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3、生产性生物资产" w:id="300"/>
      <w:bookmarkEnd w:id="300"/>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采用成本计量模式的生产性生物资产" w:id="301"/>
      <w:bookmarkEnd w:id="301"/>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采用公允价值计量模式的生产性生物资产" w:id="302"/>
      <w:bookmarkEnd w:id="302"/>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24、油气资产" w:id="303"/>
      <w:bookmarkEnd w:id="303"/>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25、无形资产" w:id="304"/>
      <w:bookmarkEnd w:id="304"/>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无形资产情况" w:id="305"/>
      <w:bookmarkEnd w:id="305"/>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13" w:space="0" w:color="D2D2D2"/>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特许经营权</w:t>
            </w:r>
          </w:p>
        </w:tc>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1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211,445,176.95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10,601,376.91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54,461,453.34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20,722,795.58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1,223,450.00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298,454,252.78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10,073,931.60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12,761,405.89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22,835,337.49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10,073,931.60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12,761,405.89</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22,835,337.49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603,773.60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23,761,674.27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26,356.41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24,391,804.28</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603,773.60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23,761,674.27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26,356.41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24,391,804.28</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221,519,108.55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9,997,603.31</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30,699,779.07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33,457,845.06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1,223,450.00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296,897,785.99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19,388,430.64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3,271,973.78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3,065,775.75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7,954,355.09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458,958.63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34,139,493.89</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4,687,219.70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1,060,137.68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1,674,988.95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2,350,917.70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122,608.12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9,895,872.15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4,687,219.70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1,060,137.68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1,674,988.95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2,350,917.70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122,608.12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9,895,872.15</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271,698.00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26,356.41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1,026,054.41</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271,698.00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728,000.00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26,356.41</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1,026,054.41</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24,075,650.34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4,060,413.46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4,012,764.70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10,278,916.38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581,566.75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43,009,311.63</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5,712,000.00</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197,443,458.21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5,937,189.85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20,975,014.37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23,178,928.68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641,883.25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248,176,474.36</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192,056,746.31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7,329,403.13</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51,395,677.59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12,768,440.49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764,491.37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264,314,758.89</w:t>
            </w:r>
          </w:p>
        </w:tc>
      </w:tr>
    </w:tbl>
    <w:p>
      <w:pPr>
        <w:pStyle w:val="BodyText"/>
        <w:spacing w:line="240" w:lineRule="auto" w:before="51"/>
        <w:ind w:left="154" w:right="1122"/>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2.39%</w:t>
      </w:r>
      <w:r>
        <w:rPr/>
        <w:t>。</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未办妥产权证书的土地使用权情况" w:id="306"/>
      <w:bookmarkEnd w:id="306"/>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52"/>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26、开发支出" w:id="307"/>
      <w:bookmarkEnd w:id="307"/>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3189"/>
        <w:gridCol w:w="3190"/>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1"/>
        <w:ind w:right="989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27、商誉" w:id="308"/>
      <w:bookmarkEnd w:id="308"/>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商誉账面原值" w:id="309"/>
      <w:bookmarkEnd w:id="309"/>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青海蓓翔新能源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7,758,936.15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7,758,936.15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3,419,284.37</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835,663.96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196,563.54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196,563.54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180,446.29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180,446.29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2,312,386.18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江苏智鸿能源科 技公司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14,703,280.49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1,248,492.58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7,955,499.69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7,996,273.38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商誉减值准备" w:id="310"/>
      <w:bookmarkEnd w:id="310"/>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154" w:right="6072"/>
        <w:jc w:val="left"/>
      </w:pPr>
      <w:r>
        <w:rPr/>
        <w:t>说明商誉减值测试过程、参数及商誉减值损失的确认方法： 其他说明</w:t>
      </w:r>
    </w:p>
    <w:p>
      <w:pPr>
        <w:spacing w:line="240" w:lineRule="auto" w:before="1"/>
        <w:rPr>
          <w:rFonts w:ascii="宋体" w:hAnsi="宋体" w:cs="宋体" w:eastAsia="宋体" w:hint="default"/>
          <w:sz w:val="20"/>
          <w:szCs w:val="20"/>
        </w:rPr>
      </w:pPr>
    </w:p>
    <w:p>
      <w:pPr>
        <w:pStyle w:val="Heading3"/>
        <w:spacing w:line="240" w:lineRule="auto"/>
        <w:ind w:left="154" w:right="1122"/>
        <w:jc w:val="left"/>
        <w:rPr>
          <w:b w:val="0"/>
          <w:bCs w:val="0"/>
        </w:rPr>
      </w:pPr>
      <w:bookmarkStart w:name="28、长期待摊费用" w:id="311"/>
      <w:bookmarkEnd w:id="311"/>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固定资产改良支出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5,800,367.27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2,227,512.25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3,655,858.41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165,711.23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4,206,309.88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11,157,315.22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2,592,595.79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4,481,552.41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9,268,358.60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54,638,509.10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7,271,060.85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7,958,022.76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12,501,428.28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41,450,118.91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融资管理费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17,255,081.17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18,210,000.00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7,126,111.53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28,338,969.64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976,606.80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1,020,602.32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1,003,367.30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993,841.82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89,827,879.56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31,321,771.21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24,224,912.41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12,667,139.51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84,257,598.85</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9、递延所得税资产/递延所得税负债" w:id="312"/>
      <w:bookmarkEnd w:id="312"/>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未经抵销的递延所得税资产" w:id="313"/>
      <w:bookmarkEnd w:id="313"/>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56,160,923.77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12,283,762.24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33,350,453.28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7,775,742.58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221,491,868.20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45,301,523.37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188,503,794.67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37,710,264.97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45,784,480.48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11,391,765.61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56,986,448.70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14,246,612.18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30,578,345.15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7,470,024.87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21,572,603.54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5,393,150.88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50,367,307.47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12,233,326.77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49,064,476.02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12,266,119.01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资产出售溢价等</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17,435,679.27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4,167,127.35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421,818,604.34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92,847,530.21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349,477,776.21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77,391,889.62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未经抵销的递延所得税负债" w:id="314"/>
      <w:bookmarkEnd w:id="314"/>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after="0" w:line="240" w:lineRule="auto"/>
        <w:jc w:val="left"/>
        <w:sectPr>
          <w:footerReference w:type="default" r:id="rId20"/>
          <w:pgSz w:w="11910" w:h="16840"/>
          <w:pgMar w:footer="1564" w:header="747" w:top="1060" w:bottom="1760" w:left="980" w:right="0"/>
          <w:pgNumType w:start="159"/>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远期外汇合约公允价值 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3,180,447.00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795,111.75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会计处理及税法要求的 折旧差异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1,800,037.44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423,953.97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4,980,484.44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1,219,065.72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3）以抵销后净额列示的递延所得税资产或负债" w:id="315"/>
      <w:bookmarkEnd w:id="315"/>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92,847,530.21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77,391,889.62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1,219,065.72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4）未确认递延所得税资产明细" w:id="316"/>
      <w:bookmarkEnd w:id="316"/>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2,042,915.42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2,091,377.50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70,380,391.58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25,243,130.42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72,423,307.00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27,334,507.92</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5）未确认递延所得税资产的可抵扣亏损将于以下年度到期" w:id="317"/>
      <w:bookmarkEnd w:id="317"/>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10,678,621.47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13,810,736.81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263,141.16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263,141.16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490,630.98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490,630.98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55,815,882.63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70,380,391.58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25,243,130.42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0、其他非流动资产" w:id="318"/>
      <w:bookmarkEnd w:id="318"/>
      <w:r>
        <w:rPr>
          <w:b w:val="0"/>
          <w:bCs w:val="0"/>
        </w:rPr>
      </w:r>
      <w:r>
        <w:rPr>
          <w:rFonts w:ascii="Times New Roman" w:hAnsi="Times New Roman" w:cs="Times New Roman" w:eastAsia="Times New Roman" w:hint="default"/>
        </w:rPr>
        <w:t>30</w:t>
      </w:r>
      <w:r>
        <w:rPr/>
        <w:t>、其他非流动资产</w:t>
      </w:r>
      <w:r>
        <w:rPr>
          <w:b w:val="0"/>
          <w:bCs w:val="0"/>
        </w:rPr>
      </w:r>
    </w:p>
    <w:p>
      <w:pPr>
        <w:spacing w:after="0" w:line="240" w:lineRule="auto"/>
        <w:jc w:val="left"/>
        <w:sectPr>
          <w:pgSz w:w="11910" w:h="16840"/>
          <w:pgMar w:header="747" w:footer="1564" w:top="1060" w:bottom="17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预付股权收购款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长期资产预付款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216,306,622.59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107,191,383.62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537,427,391.84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904,385,799.92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减：一年内到期部分（见附注七、</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-121,907,348.51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-201,758,878.04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631,826,665.92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809,818,305.50</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1、短期借款" w:id="319"/>
      <w:bookmarkEnd w:id="319"/>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短期借款分类" w:id="320"/>
      <w:bookmarkEnd w:id="320"/>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1,260,880,000.00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1,390,500,000.00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1,195,611,894.00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1,031,639,111.66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505,231,422.53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4,137,819,111.66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2,263,843,316.53</w:t>
            </w:r>
          </w:p>
        </w:tc>
      </w:tr>
    </w:tbl>
    <w:p>
      <w:pPr>
        <w:pStyle w:val="BodyText"/>
        <w:spacing w:line="357" w:lineRule="auto" w:before="51"/>
        <w:ind w:left="154" w:right="8952"/>
        <w:jc w:val="left"/>
      </w:pPr>
      <w:r>
        <w:rPr/>
        <w:t>短期借款分类的说明：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2）已逾期未偿还的短期借款情况" w:id="321"/>
      <w:bookmarkEnd w:id="321"/>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3"/>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2、以公允价值计量且其变动计入当期损益的金融负债" w:id="322"/>
      <w:bookmarkEnd w:id="322"/>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122"/>
        <w:jc w:val="left"/>
      </w:pPr>
      <w:r>
        <w:rPr/>
        <w:t>其他说明：</w:t>
      </w:r>
    </w:p>
    <w:p>
      <w:pPr>
        <w:spacing w:after="0" w:line="240" w:lineRule="auto"/>
        <w:jc w:val="left"/>
        <w:sectPr>
          <w:footerReference w:type="default" r:id="rId21"/>
          <w:pgSz w:w="11910" w:h="16840"/>
          <w:pgMar w:footer="979" w:header="747" w:top="1060" w:bottom="1160" w:left="980" w:right="0"/>
          <w:pgNumType w:start="161"/>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33、衍生金融负债" w:id="323"/>
      <w:bookmarkEnd w:id="323"/>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34、应付票据" w:id="324"/>
      <w:bookmarkEnd w:id="324"/>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98,403,446.74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200,613,229.16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314,845,400.00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182,454,424.32</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413,248,846.74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383,067,653.48</w:t>
            </w:r>
          </w:p>
        </w:tc>
      </w:tr>
    </w:tbl>
    <w:p>
      <w:pPr>
        <w:pStyle w:val="BodyText"/>
        <w:spacing w:line="240" w:lineRule="auto" w:before="51"/>
        <w:ind w:left="154" w:right="1122"/>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3"/>
        <w:spacing w:line="240" w:lineRule="auto"/>
        <w:ind w:left="154" w:right="1122"/>
        <w:jc w:val="left"/>
        <w:rPr>
          <w:b w:val="0"/>
          <w:bCs w:val="0"/>
        </w:rPr>
      </w:pPr>
      <w:bookmarkStart w:name="35、应付账款" w:id="325"/>
      <w:bookmarkEnd w:id="325"/>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付账款列示" w:id="326"/>
      <w:bookmarkEnd w:id="326"/>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862,975,938.11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1,466,748,609.87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290,125,997.62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93,470,987.89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60,211,569.36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8,769,397.03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6,003,814.50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17,489,161.95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1,219,317,319.59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1,586,478,156.74</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账龄超过1年的重要应付账款" w:id="327"/>
      <w:bookmarkEnd w:id="327"/>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新疆皓天盛辉能源科技有限公司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279,396,939.49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九州方园新能源股份有限公司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46,000,038.88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工程设备款未结算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325,396,978.37</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1122"/>
        <w:jc w:val="left"/>
        <w:rPr>
          <w:b w:val="0"/>
          <w:bCs w:val="0"/>
        </w:rPr>
      </w:pPr>
      <w:bookmarkStart w:name="36、预收款项" w:id="328"/>
      <w:bookmarkEnd w:id="328"/>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预收款项列示" w:id="329"/>
      <w:bookmarkEnd w:id="329"/>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67,009,748.28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101,769,856.23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1,403,039.26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236,189.82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195,366.75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336,691.37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730,167.95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424,972.76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69,338,322.24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102,767,710.18</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账龄超过1年的重要预收款项" w:id="330"/>
      <w:bookmarkEnd w:id="330"/>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期末建造合同形成的已结算未完工项目情况" w:id="331"/>
      <w:bookmarkEnd w:id="331"/>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357" w:lineRule="auto" w:before="52"/>
        <w:ind w:right="9853"/>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left="154" w:right="1122"/>
        <w:jc w:val="left"/>
        <w:rPr>
          <w:b w:val="0"/>
          <w:bCs w:val="0"/>
        </w:rPr>
      </w:pPr>
      <w:bookmarkStart w:name="37、应付职工薪酬" w:id="332"/>
      <w:bookmarkEnd w:id="332"/>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付职工薪酬列示" w:id="333"/>
      <w:bookmarkEnd w:id="333"/>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21,134,045.95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292,180,336.81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288,248,579.50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25,065,803.26</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607,821.95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21,214,291.41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20,792,138.03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1,029,975.33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1,811,161.98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1,803,796.67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7,365.31</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6"/>
              <w:jc w:val="left"/>
              <w:rPr>
                <w:rFonts w:ascii="宋体" w:hAnsi="宋体" w:cs="宋体" w:eastAsia="宋体" w:hint="default"/>
                <w:sz w:val="18"/>
                <w:szCs w:val="18"/>
              </w:rPr>
            </w:pPr>
            <w:r>
              <w:rPr>
                <w:rFonts w:ascii="宋体" w:hAnsi="宋体" w:cs="宋体" w:eastAsia="宋体" w:hint="default"/>
                <w:sz w:val="18"/>
                <w:szCs w:val="18"/>
              </w:rPr>
              <w:t>四、一年内到期的其他 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21,741,867.90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315,295,790.20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310,934,514.20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26,103,143.90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短期薪酬列示" w:id="334"/>
      <w:bookmarkEnd w:id="334"/>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19,772,390.19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6" w:right="0"/>
              <w:jc w:val="left"/>
              <w:rPr>
                <w:rFonts w:ascii="Times New Roman" w:hAnsi="Times New Roman" w:cs="Times New Roman" w:eastAsia="Times New Roman" w:hint="default"/>
                <w:sz w:val="18"/>
                <w:szCs w:val="18"/>
              </w:rPr>
            </w:pPr>
            <w:r>
              <w:rPr>
                <w:rFonts w:ascii="Times New Roman"/>
                <w:sz w:val="18"/>
              </w:rPr>
              <w:t>247,004,045.97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5" w:right="0"/>
              <w:jc w:val="left"/>
              <w:rPr>
                <w:rFonts w:ascii="Times New Roman" w:hAnsi="Times New Roman" w:cs="Times New Roman" w:eastAsia="Times New Roman" w:hint="default"/>
                <w:sz w:val="18"/>
                <w:szCs w:val="18"/>
              </w:rPr>
            </w:pPr>
            <w:r>
              <w:rPr>
                <w:rFonts w:ascii="Times New Roman"/>
                <w:sz w:val="18"/>
              </w:rPr>
              <w:t>244,095,700.72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6" w:right="0"/>
              <w:jc w:val="left"/>
              <w:rPr>
                <w:rFonts w:ascii="Times New Roman" w:hAnsi="Times New Roman" w:cs="Times New Roman" w:eastAsia="Times New Roman" w:hint="default"/>
                <w:sz w:val="18"/>
                <w:szCs w:val="18"/>
              </w:rPr>
            </w:pPr>
            <w:r>
              <w:rPr>
                <w:rFonts w:ascii="Times New Roman"/>
                <w:sz w:val="18"/>
              </w:rPr>
              <w:t>22,680,735.44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35,936.55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21,914,560.28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21,236,444.90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714,051.93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331,826.03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11,413,045.29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11,171,365.64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573,505.68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269,225.02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9,195,661.11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8,996,898.32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467,987.81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46,609.92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1,584,375.97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1,557,227.39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73,758.50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15,991.09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633,008.21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617,239.93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31,759.37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61,265.50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9,277,560.75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9,234,850.03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103,976.22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932,627.68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2,571,124.52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2,510,218.21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993,533.99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、短期带薪缺勤</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、短期利润分享计划</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21,134,045.95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292,180,336.81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288,248,579.50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25,065,803.26</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设定提存计划列示" w:id="335"/>
      <w:bookmarkEnd w:id="335"/>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576,904.77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20,597,255.29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20,171,356.37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1,002,803.69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30,917.18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617,036.12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620,781.66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27,171.64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607,821.95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21,214,291.41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20,792,138.03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1,029,975.33</w:t>
            </w:r>
          </w:p>
        </w:tc>
      </w:tr>
    </w:tbl>
    <w:p>
      <w:pPr>
        <w:pStyle w:val="BodyText"/>
        <w:spacing w:line="338" w:lineRule="auto" w:before="51"/>
        <w:ind w:right="1122"/>
        <w:jc w:val="left"/>
      </w:pPr>
      <w:r>
        <w:rPr/>
        <w:t>其他说明： </w:t>
      </w:r>
      <w:r>
        <w:rPr>
          <w:spacing w:val="-2"/>
        </w:rPr>
        <w:t>本公司按规定参加由政府机构设立的养老保险、失业保险计划，根据该等计划，本公司分别按当地政府的规定每月向该等计</w:t>
      </w:r>
      <w:r>
        <w:rPr>
          <w:spacing w:val="-66"/>
        </w:rPr>
        <w:t> </w:t>
      </w:r>
      <w:r>
        <w:rPr>
          <w:spacing w:val="-66"/>
        </w:rPr>
      </w:r>
      <w:r>
        <w:rPr>
          <w:spacing w:val="-2"/>
        </w:rPr>
        <w:t>划缴存费用。除上述每月缴存费用外，本公司不再承担进一步支付义务。相应的支出于发生时计入当期损益或相关资产的成</w:t>
      </w:r>
    </w:p>
    <w:p>
      <w:pPr>
        <w:pStyle w:val="BodyText"/>
        <w:spacing w:line="240" w:lineRule="auto" w:before="2"/>
        <w:ind w:right="1122"/>
        <w:jc w:val="left"/>
      </w:pPr>
      <w:r>
        <w:rPr/>
        <w:t>本。</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38、应交税费" w:id="336"/>
      <w:bookmarkEnd w:id="336"/>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19,736,998.72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10,624,434.35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20,140,928.81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52,559,109.06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860,717.07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970,956.40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806,866.42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427,493.16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1,768,584.92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1,836,081.79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耕地占用税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9,006,704.14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539,306.41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485,613.67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823,556.30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1,194,424.07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477,499.57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256,807.28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318,361.66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171,204.82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19,444.98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1,175,723.32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567,462.73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45,311.85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55,066,431.73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69,747,159.77</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39、应付利息" w:id="337"/>
      <w:bookmarkEnd w:id="337"/>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长、短期借款应付利息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11,993,831.64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8,233,019.76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债券、信托利息</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261,066.67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11,993,831.64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8,494,086.43</w:t>
            </w:r>
          </w:p>
        </w:tc>
      </w:tr>
    </w:tbl>
    <w:p>
      <w:pPr>
        <w:pStyle w:val="BodyText"/>
        <w:spacing w:line="240" w:lineRule="auto" w:before="51"/>
        <w:ind w:left="154" w:right="1122"/>
        <w:jc w:val="left"/>
      </w:pPr>
      <w:r>
        <w:rPr/>
        <w:t>重要的已逾期未支付的利息情况：</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0、应付股利" w:id="338"/>
      <w:bookmarkEnd w:id="338"/>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122"/>
        <w:jc w:val="left"/>
      </w:pPr>
      <w:r>
        <w:rPr/>
        <w:t>其他说明，包括重要的超过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41、其他应付款" w:id="339"/>
      <w:bookmarkEnd w:id="339"/>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按款项性质列示其他应付款" w:id="340"/>
      <w:bookmarkEnd w:id="340"/>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750,118,181.38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138,637,968.34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23,829,811.13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46,531,352.06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44,795,751.34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11,719,923.29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11,707,288.65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234,549.57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830,451,032.50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197,123,793.26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账龄超过1年的重要其他应付款" w:id="341"/>
      <w:bookmarkEnd w:id="34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温德军</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25,270,096.98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新疆皓天盛辉能源科技有限公司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20,340,423.67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未付保证金</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九州方园新能源股份有限公司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11,657,333.43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王维富</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9,056,316.60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未付往来款</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66,324,170.68</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1003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2、持有待售的负债" w:id="342"/>
      <w:bookmarkEnd w:id="342"/>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3、一年内到期的非流动负债" w:id="343"/>
      <w:bookmarkEnd w:id="343"/>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652,015,135.30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515,376,845.24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942,085,135.30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725,996,845.24</w:t>
            </w: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4、其他流动负债" w:id="344"/>
      <w:bookmarkEnd w:id="344"/>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预提费用</w:t>
            </w:r>
            <w:r>
              <w:rPr>
                <w:rFonts w:ascii="Times New Roman" w:hAnsi="Times New Roman" w:cs="Times New Roman" w:eastAsia="Times New Roman" w:hint="default"/>
                <w:sz w:val="18"/>
                <w:szCs w:val="18"/>
              </w:rPr>
              <w:t>-</w:t>
            </w:r>
            <w:r>
              <w:rPr>
                <w:rFonts w:ascii="宋体" w:hAnsi="宋体" w:cs="宋体" w:eastAsia="宋体" w:hint="default"/>
                <w:sz w:val="18"/>
                <w:szCs w:val="18"/>
              </w:rPr>
              <w:t>水电费、运输费等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6,084,574.42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6,136,051.77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6,084,574.42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6,136,051.77</w:t>
            </w:r>
          </w:p>
        </w:tc>
      </w:tr>
    </w:tbl>
    <w:p>
      <w:pPr>
        <w:pStyle w:val="BodyText"/>
        <w:spacing w:line="240" w:lineRule="auto" w:before="51"/>
        <w:ind w:left="154" w:right="1122"/>
        <w:jc w:val="left"/>
      </w:pPr>
      <w:r>
        <w:rPr/>
        <w:t>短期应付债券的增减变动：</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5、长期借款" w:id="345"/>
      <w:bookmarkEnd w:id="345"/>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1）长期借款分类" w:id="346"/>
      <w:bookmarkEnd w:id="346"/>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660,800,000.00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8,089,241.71</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1,202,000,000.00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质押、抵押、保证借款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1,071,100,000.00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1,258,000,000.00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-290,070,000.00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2,651,919,241.71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3,346,380,000.00</w:t>
            </w:r>
          </w:p>
        </w:tc>
      </w:tr>
    </w:tbl>
    <w:p>
      <w:pPr>
        <w:pStyle w:val="BodyText"/>
        <w:spacing w:line="357" w:lineRule="auto" w:before="51"/>
        <w:ind w:left="154" w:right="8952"/>
        <w:jc w:val="left"/>
      </w:pPr>
      <w:r>
        <w:rPr/>
        <w:t>长期借款分类的说明： 无</w:t>
      </w:r>
    </w:p>
    <w:p>
      <w:pPr>
        <w:pStyle w:val="BodyText"/>
        <w:spacing w:line="357" w:lineRule="auto" w:before="29"/>
        <w:ind w:left="154" w:right="8592"/>
        <w:jc w:val="left"/>
      </w:pPr>
      <w:r>
        <w:rPr/>
        <w:t>其他说明，包括利率区间：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46、应付债券" w:id="347"/>
      <w:bookmarkEnd w:id="347"/>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付债券" w:id="348"/>
      <w:bookmarkEnd w:id="348"/>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应付债券的增减变动（不包括划分为金融负债的优先股、永续债等其他金融工具）" w:id="349"/>
      <w:bookmarkEnd w:id="349"/>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2"/>
        <w:rPr>
          <w:rFonts w:ascii="宋体" w:hAnsi="宋体" w:cs="宋体" w:eastAsia="宋体" w:hint="default"/>
          <w:sz w:val="24"/>
          <w:szCs w:val="24"/>
        </w:rPr>
      </w:pPr>
    </w:p>
    <w:p>
      <w:pPr>
        <w:pStyle w:val="Heading3"/>
        <w:spacing w:line="240" w:lineRule="auto" w:before="35"/>
        <w:ind w:right="1122"/>
        <w:jc w:val="left"/>
        <w:rPr>
          <w:b w:val="0"/>
          <w:bCs w:val="0"/>
        </w:rPr>
      </w:pPr>
      <w:bookmarkStart w:name="（3）可转换公司债券的转股条件、转股时间说明" w:id="350"/>
      <w:bookmarkEnd w:id="350"/>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划分为金融负债的其他金融工具说明" w:id="351"/>
      <w:bookmarkEnd w:id="351"/>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57" w:lineRule="auto" w:before="44"/>
        <w:ind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655" w:space="417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2130"/>
        <w:gridCol w:w="2126"/>
        <w:gridCol w:w="2124"/>
        <w:gridCol w:w="2113"/>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76" w:right="0"/>
              <w:jc w:val="left"/>
              <w:rPr>
                <w:rFonts w:ascii="宋体" w:hAnsi="宋体" w:cs="宋体" w:eastAsia="宋体" w:hint="default"/>
                <w:sz w:val="18"/>
                <w:szCs w:val="18"/>
              </w:rPr>
            </w:pPr>
            <w:r>
              <w:rPr>
                <w:rFonts w:ascii="宋体" w:hAnsi="宋体" w:cs="宋体" w:eastAsia="宋体" w:hint="default"/>
                <w:sz w:val="18"/>
                <w:szCs w:val="18"/>
              </w:rPr>
              <w:t>发行在外的</w:t>
            </w:r>
          </w:p>
        </w:tc>
        <w:tc>
          <w:tcPr>
            <w:tcW w:w="21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金融工具</w:t>
            </w: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4" w:right="7512"/>
        <w:jc w:val="left"/>
      </w:pPr>
      <w:r>
        <w:rPr/>
        <w:t>其他金融工具划分为金融负债的依据说明 其他说明</w:t>
      </w:r>
    </w:p>
    <w:p>
      <w:pPr>
        <w:spacing w:line="240" w:lineRule="auto" w:before="12"/>
        <w:rPr>
          <w:rFonts w:ascii="宋体" w:hAnsi="宋体" w:cs="宋体" w:eastAsia="宋体" w:hint="default"/>
          <w:sz w:val="19"/>
          <w:szCs w:val="19"/>
        </w:rPr>
      </w:pPr>
    </w:p>
    <w:p>
      <w:pPr>
        <w:pStyle w:val="Heading3"/>
        <w:spacing w:line="240" w:lineRule="auto"/>
        <w:ind w:left="154" w:right="1122"/>
        <w:jc w:val="left"/>
        <w:rPr>
          <w:b w:val="0"/>
          <w:bCs w:val="0"/>
        </w:rPr>
      </w:pPr>
      <w:bookmarkStart w:name="47、长期应付款" w:id="352"/>
      <w:bookmarkEnd w:id="352"/>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按款项性质列示长期应付款" w:id="353"/>
      <w:bookmarkEnd w:id="353"/>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分期付款购入股权（注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288,000,000.00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432,000,000.00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5,603,767.12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融资租赁款（注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1,208,305,533.95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1,977,492,185.36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其中：江苏金茂融资租赁有限公司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3,717,265.66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华能天成融资租赁股份有限公司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139,272,933.39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156,369,385.65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上海电气租赁有限公司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56,080,637.70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110,746,711.47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150,157,801.18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253,226,478.40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苏银金融租赁股份有限公司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147,308,011.12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279,703,421.24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苏州金融租赁股份有限公司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181,551,460.55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101,161,522.77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永赢金融租赁有限公司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68,464,787.67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86,825,353.50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中广核国际融资租赁有限公司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187,804,383.56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312,436,457.90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中建投租赁有限责任公司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87,199,287.04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108,385,519.68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卓越国际租赁有限公司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496,019,958.39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华润租赁有限公司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51,527,928.04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25,139,961.35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华融金融租赁股份有限公司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22,898,751.16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43,760,149.35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华夏金融租赁有限公司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116,039,552.54</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减：一年内到期部分（附注六、</w:t>
            </w:r>
            <w:r>
              <w:rPr>
                <w:rFonts w:ascii="Times New Roman" w:hAnsi="Times New Roman" w:cs="Times New Roman" w:eastAsia="Times New Roman" w:hint="default"/>
                <w:sz w:val="18"/>
                <w:szCs w:val="18"/>
              </w:rPr>
              <w:t>30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652,015,135.30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515,376,845.24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844,290,398.65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1,899,719,107.24</w:t>
            </w:r>
          </w:p>
        </w:tc>
      </w:tr>
    </w:tbl>
    <w:p>
      <w:pPr>
        <w:pStyle w:val="BodyText"/>
        <w:spacing w:line="357" w:lineRule="auto" w:before="51"/>
        <w:ind w:right="9853"/>
        <w:jc w:val="left"/>
      </w:pPr>
      <w:r>
        <w:rPr/>
        <w:t>其他说明： 注：</w:t>
      </w:r>
    </w:p>
    <w:p>
      <w:pPr>
        <w:pStyle w:val="BodyText"/>
        <w:spacing w:line="237" w:lineRule="exact"/>
        <w:ind w:left="154" w:right="1122"/>
        <w:jc w:val="left"/>
      </w:pPr>
      <w:r>
        <w:rPr/>
        <w:t>（</w:t>
      </w:r>
      <w:r>
        <w:rPr>
          <w:rFonts w:ascii="Times New Roman" w:hAnsi="Times New Roman" w:cs="Times New Roman" w:eastAsia="Times New Roman" w:hint="default"/>
        </w:rPr>
        <w:t>1</w:t>
      </w:r>
      <w:r>
        <w:rPr/>
        <w:t>）分期付款购入股权</w:t>
      </w:r>
    </w:p>
    <w:p>
      <w:pPr>
        <w:pStyle w:val="BodyText"/>
        <w:spacing w:line="307" w:lineRule="auto" w:before="63"/>
        <w:ind w:right="1122" w:firstLine="290"/>
        <w:jc w:val="both"/>
      </w:pPr>
      <w:r>
        <w:rPr/>
        <w:t>根据《江苏爱康科技股份有限公司与苏州爱康光电科技有限公司股东关于苏州爱康光电科技有限公司之购买资产协议》 规定，本公司收购苏州爱康光电科技有限公司（以下简称</w:t>
      </w:r>
      <w:r>
        <w:rPr>
          <w:rFonts w:ascii="Times New Roman" w:hAnsi="Times New Roman" w:cs="Times New Roman" w:eastAsia="Times New Roman" w:hint="default"/>
        </w:rPr>
        <w:t>“</w:t>
      </w:r>
      <w:r>
        <w:rPr/>
        <w:t>爱康光电公司</w:t>
      </w:r>
      <w:r>
        <w:rPr>
          <w:rFonts w:ascii="Times New Roman" w:hAnsi="Times New Roman" w:cs="Times New Roman" w:eastAsia="Times New Roman" w:hint="default"/>
        </w:rPr>
        <w:t>”</w:t>
      </w:r>
      <w:r>
        <w:rPr/>
        <w:t>）需支付爱康光电公司各股东合计</w:t>
      </w:r>
      <w:r>
        <w:rPr>
          <w:rFonts w:ascii="Times New Roman" w:hAnsi="Times New Roman" w:cs="Times New Roman" w:eastAsia="Times New Roman" w:hint="default"/>
        </w:rPr>
        <w:t>9.6</w:t>
      </w:r>
      <w:r>
        <w:rPr/>
        <w:t>亿元，目前</w:t>
      </w:r>
      <w:r>
        <w:rPr>
          <w:spacing w:val="-23"/>
        </w:rPr>
        <w:t> </w:t>
      </w:r>
      <w:r>
        <w:rPr/>
        <w:t>已支付</w:t>
      </w:r>
      <w:r>
        <w:rPr>
          <w:rFonts w:ascii="Times New Roman" w:hAnsi="Times New Roman" w:cs="Times New Roman" w:eastAsia="Times New Roman" w:hint="default"/>
        </w:rPr>
        <w:t>6.72</w:t>
      </w:r>
      <w:r>
        <w:rPr/>
        <w:t>亿元，还剩余</w:t>
      </w:r>
      <w:r>
        <w:rPr>
          <w:rFonts w:ascii="Times New Roman" w:hAnsi="Times New Roman" w:cs="Times New Roman" w:eastAsia="Times New Roman" w:hint="default"/>
        </w:rPr>
        <w:t>2.88</w:t>
      </w:r>
      <w:r>
        <w:rPr/>
        <w:t>亿元未支付，剩余款项至爱康光电公司实现业绩承诺并在中国证监会指定媒体披露本次交易的</w:t>
      </w:r>
      <w:r>
        <w:rPr>
          <w:spacing w:val="-85"/>
        </w:rPr>
        <w:t> </w:t>
      </w:r>
      <w:r>
        <w:rPr>
          <w:spacing w:val="-85"/>
        </w:rPr>
      </w:r>
      <w:r>
        <w:rPr>
          <w:rFonts w:ascii="Times New Roman" w:hAnsi="Times New Roman" w:cs="Times New Roman" w:eastAsia="Times New Roman" w:hint="default"/>
        </w:rPr>
        <w:t>2017</w:t>
      </w:r>
      <w:r>
        <w:rPr/>
        <w:t>年度、</w:t>
      </w:r>
      <w:r>
        <w:rPr>
          <w:rFonts w:ascii="Times New Roman" w:hAnsi="Times New Roman" w:cs="Times New Roman" w:eastAsia="Times New Roman" w:hint="default"/>
        </w:rPr>
        <w:t>2018</w:t>
      </w:r>
      <w:r>
        <w:rPr/>
        <w:t>年度业绩补偿之审计报告后</w:t>
      </w:r>
      <w:r>
        <w:rPr>
          <w:rFonts w:ascii="Times New Roman" w:hAnsi="Times New Roman" w:cs="Times New Roman" w:eastAsia="Times New Roman" w:hint="default"/>
        </w:rPr>
        <w:t>15</w:t>
      </w:r>
      <w:r>
        <w:rPr/>
        <w:t>个工作日内支付。</w:t>
      </w:r>
    </w:p>
    <w:p>
      <w:pPr>
        <w:pStyle w:val="BodyText"/>
        <w:spacing w:line="240" w:lineRule="auto" w:before="7"/>
        <w:ind w:left="154" w:right="1122"/>
        <w:jc w:val="left"/>
      </w:pPr>
      <w:r>
        <w:rPr/>
        <w:t>（</w:t>
      </w:r>
      <w:r>
        <w:rPr>
          <w:rFonts w:ascii="Times New Roman" w:hAnsi="Times New Roman" w:cs="Times New Roman" w:eastAsia="Times New Roman" w:hint="default"/>
        </w:rPr>
        <w:t>2</w:t>
      </w:r>
      <w:r>
        <w:rPr/>
        <w:t>）本公司为改善公司融资结构，采用固定资产售后回租融资租赁业务方式进行融资，具体情况如下：</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415"/>
        <w:gridCol w:w="1123"/>
        <w:gridCol w:w="743"/>
        <w:gridCol w:w="1307"/>
        <w:gridCol w:w="972"/>
        <w:gridCol w:w="3654"/>
      </w:tblGrid>
      <w:tr>
        <w:trPr>
          <w:trHeight w:val="655"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出租方</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95" w:right="0"/>
              <w:jc w:val="left"/>
              <w:rPr>
                <w:rFonts w:ascii="宋体" w:hAnsi="宋体" w:cs="宋体" w:eastAsia="宋体" w:hint="default"/>
                <w:sz w:val="18"/>
                <w:szCs w:val="18"/>
              </w:rPr>
            </w:pPr>
            <w:r>
              <w:rPr>
                <w:rFonts w:ascii="宋体" w:hAnsi="宋体" w:cs="宋体" w:eastAsia="宋体" w:hint="default"/>
                <w:sz w:val="18"/>
                <w:szCs w:val="18"/>
              </w:rPr>
              <w:t>合同金额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5"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11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21" w:right="0"/>
              <w:jc w:val="left"/>
              <w:rPr>
                <w:rFonts w:ascii="宋体" w:hAnsi="宋体" w:cs="宋体" w:eastAsia="宋体" w:hint="default"/>
                <w:sz w:val="18"/>
                <w:szCs w:val="18"/>
              </w:rPr>
            </w:pPr>
            <w:r>
              <w:rPr>
                <w:rFonts w:ascii="宋体" w:hAnsi="宋体" w:cs="宋体" w:eastAsia="宋体" w:hint="default"/>
                <w:sz w:val="18"/>
                <w:szCs w:val="18"/>
              </w:rPr>
              <w:t>还款方式</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抵押担保说明</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5"/>
        <w:gridCol w:w="1123"/>
        <w:gridCol w:w="743"/>
        <w:gridCol w:w="1307"/>
        <w:gridCol w:w="972"/>
        <w:gridCol w:w="3654"/>
      </w:tblGrid>
      <w:tr>
        <w:trPr>
          <w:trHeight w:val="1278"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72" w:right="71"/>
              <w:jc w:val="left"/>
              <w:rPr>
                <w:rFonts w:ascii="宋体" w:hAnsi="宋体" w:cs="宋体" w:eastAsia="宋体" w:hint="default"/>
                <w:sz w:val="18"/>
                <w:szCs w:val="18"/>
              </w:rPr>
            </w:pPr>
            <w:r>
              <w:rPr>
                <w:rFonts w:ascii="宋体" w:hAnsi="宋体" w:cs="宋体" w:eastAsia="宋体" w:hint="default"/>
                <w:sz w:val="18"/>
                <w:szCs w:val="18"/>
              </w:rPr>
              <w:t>华能天成融资租 赁股份有限公司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17,000.00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7.40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2015-12-9</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2023-12-9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37" w:right="35" w:hanging="1"/>
              <w:jc w:val="center"/>
              <w:rPr>
                <w:rFonts w:ascii="宋体" w:hAnsi="宋体" w:cs="宋体" w:eastAsia="宋体" w:hint="default"/>
                <w:sz w:val="18"/>
                <w:szCs w:val="18"/>
              </w:rPr>
            </w:pPr>
            <w:r>
              <w:rPr>
                <w:rFonts w:ascii="宋体" w:hAnsi="宋体" w:cs="宋体" w:eastAsia="宋体" w:hint="default"/>
                <w:sz w:val="18"/>
                <w:szCs w:val="18"/>
              </w:rPr>
              <w:t>以孝义太子能源</w:t>
            </w:r>
            <w:r>
              <w:rPr>
                <w:rFonts w:ascii="Times New Roman" w:hAnsi="Times New Roman" w:cs="Times New Roman" w:eastAsia="Times New Roman" w:hint="default"/>
                <w:sz w:val="18"/>
                <w:szCs w:val="18"/>
              </w:rPr>
              <w:t>30MW</w:t>
            </w:r>
            <w:r>
              <w:rPr>
                <w:rFonts w:ascii="宋体" w:hAnsi="宋体" w:cs="宋体" w:eastAsia="宋体" w:hint="default"/>
                <w:sz w:val="18"/>
                <w:szCs w:val="18"/>
              </w:rPr>
              <w:t>光伏并网发电设备作为 抵押并以其电费收费权作为质押</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本公司以其 持有的对孝义能源</w:t>
            </w:r>
            <w:r>
              <w:rPr>
                <w:rFonts w:ascii="Times New Roman" w:hAnsi="Times New Roman" w:cs="Times New Roman" w:eastAsia="Times New Roman" w:hint="default"/>
                <w:sz w:val="18"/>
                <w:szCs w:val="18"/>
              </w:rPr>
              <w:t>95%</w:t>
            </w:r>
            <w:r>
              <w:rPr>
                <w:rFonts w:ascii="宋体" w:hAnsi="宋体" w:cs="宋体" w:eastAsia="宋体" w:hint="default"/>
                <w:sz w:val="18"/>
                <w:szCs w:val="18"/>
              </w:rPr>
              <w:t>的股权作为质押物进行 质押担保</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上海电气租赁有 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2015-12-2</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2028-12-1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 w:right="2" w:hanging="2"/>
              <w:jc w:val="center"/>
              <w:rPr>
                <w:rFonts w:ascii="宋体" w:hAnsi="宋体" w:cs="宋体" w:eastAsia="宋体" w:hint="default"/>
                <w:sz w:val="18"/>
                <w:szCs w:val="18"/>
              </w:rPr>
            </w:pPr>
            <w:r>
              <w:rPr>
                <w:rFonts w:ascii="宋体" w:hAnsi="宋体" w:cs="宋体" w:eastAsia="宋体" w:hint="default"/>
                <w:sz w:val="18"/>
                <w:szCs w:val="18"/>
              </w:rPr>
              <w:t>公司以伊阳能源</w:t>
            </w:r>
            <w:r>
              <w:rPr>
                <w:rFonts w:ascii="Times New Roman" w:hAnsi="Times New Roman" w:cs="Times New Roman" w:eastAsia="Times New Roman" w:hint="default"/>
                <w:sz w:val="18"/>
                <w:szCs w:val="18"/>
              </w:rPr>
              <w:t>30MW</w:t>
            </w:r>
            <w:r>
              <w:rPr>
                <w:rFonts w:ascii="宋体" w:hAnsi="宋体" w:cs="宋体" w:eastAsia="宋体" w:hint="default"/>
                <w:sz w:val="18"/>
                <w:szCs w:val="18"/>
              </w:rPr>
              <w:t>光伏并网发电设备作为 </w:t>
            </w:r>
            <w:r>
              <w:rPr>
                <w:rFonts w:ascii="宋体" w:hAnsi="宋体" w:cs="宋体" w:eastAsia="宋体" w:hint="default"/>
                <w:spacing w:val="-2"/>
                <w:sz w:val="18"/>
                <w:szCs w:val="18"/>
              </w:rPr>
              <w:t>抵押，本公司以其持有的对伊阳能源</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的股</w:t>
            </w:r>
            <w:r>
              <w:rPr>
                <w:rFonts w:ascii="宋体" w:hAnsi="宋体" w:cs="宋体" w:eastAsia="宋体" w:hint="default"/>
                <w:spacing w:val="-83"/>
                <w:sz w:val="18"/>
                <w:szCs w:val="18"/>
              </w:rPr>
              <w:t> </w:t>
            </w:r>
            <w:r>
              <w:rPr>
                <w:rFonts w:ascii="宋体" w:hAnsi="宋体" w:cs="宋体" w:eastAsia="宋体" w:hint="default"/>
                <w:sz w:val="18"/>
                <w:szCs w:val="18"/>
              </w:rPr>
              <w:t>权作为质押物进行质押担保。</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72" w:right="7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2018-8-23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1" w:right="29"/>
              <w:jc w:val="center"/>
              <w:rPr>
                <w:rFonts w:ascii="宋体" w:hAnsi="宋体" w:cs="宋体" w:eastAsia="宋体" w:hint="default"/>
                <w:sz w:val="18"/>
                <w:szCs w:val="18"/>
              </w:rPr>
            </w:pPr>
            <w:r>
              <w:rPr>
                <w:rFonts w:ascii="宋体" w:hAnsi="宋体" w:cs="宋体" w:eastAsia="宋体" w:hint="default"/>
                <w:sz w:val="18"/>
                <w:szCs w:val="18"/>
              </w:rPr>
              <w:t>分月支付利 息、分季付 本金</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37" w:right="35"/>
              <w:jc w:val="center"/>
              <w:rPr>
                <w:rFonts w:ascii="宋体" w:hAnsi="宋体" w:cs="宋体" w:eastAsia="宋体" w:hint="default"/>
                <w:sz w:val="18"/>
                <w:szCs w:val="18"/>
              </w:rPr>
            </w:pPr>
            <w:r>
              <w:rPr>
                <w:rFonts w:ascii="宋体" w:hAnsi="宋体" w:cs="宋体" w:eastAsia="宋体" w:hint="default"/>
                <w:sz w:val="18"/>
                <w:szCs w:val="18"/>
              </w:rPr>
              <w:t>江苏爱康实业集团有限公司为本借款提供担 保，公司以青海昱辉一期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电站设备作为 抵押。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72" w:right="7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2016-6-1</w:t>
            </w:r>
            <w:r>
              <w:rPr>
                <w:rFonts w:ascii="宋体" w:hAnsi="宋体" w:cs="宋体" w:eastAsia="宋体" w:hint="default"/>
                <w:sz w:val="18"/>
                <w:szCs w:val="18"/>
              </w:rPr>
              <w:t>至</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2019-6-1</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391" w:right="29" w:hanging="360"/>
              <w:jc w:val="left"/>
              <w:rPr>
                <w:rFonts w:ascii="宋体" w:hAnsi="宋体" w:cs="宋体" w:eastAsia="宋体" w:hint="default"/>
                <w:sz w:val="18"/>
                <w:szCs w:val="18"/>
              </w:rPr>
            </w:pPr>
            <w:r>
              <w:rPr>
                <w:rFonts w:ascii="宋体" w:hAnsi="宋体" w:cs="宋体" w:eastAsia="宋体" w:hint="default"/>
                <w:sz w:val="18"/>
                <w:szCs w:val="18"/>
              </w:rPr>
              <w:t>分季还本付 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2" w:right="21"/>
              <w:jc w:val="center"/>
              <w:rPr>
                <w:rFonts w:ascii="宋体" w:hAnsi="宋体" w:cs="宋体" w:eastAsia="宋体" w:hint="default"/>
                <w:sz w:val="18"/>
                <w:szCs w:val="18"/>
              </w:rPr>
            </w:pPr>
            <w:r>
              <w:rPr>
                <w:rFonts w:ascii="宋体" w:hAnsi="宋体" w:cs="宋体" w:eastAsia="宋体" w:hint="default"/>
                <w:sz w:val="18"/>
                <w:szCs w:val="18"/>
              </w:rPr>
              <w:t>九州方园新能源股份有限公司为本借款提供担 保，公司以九州博乐电站六期光伏设备作为抵 押并以其电费收费权作为质押。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72" w:right="7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2016-7-28</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2018-7-28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到期一次还 本付息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2" w:right="21"/>
              <w:jc w:val="center"/>
              <w:rPr>
                <w:rFonts w:ascii="宋体" w:hAnsi="宋体" w:cs="宋体" w:eastAsia="宋体" w:hint="default"/>
                <w:sz w:val="18"/>
                <w:szCs w:val="18"/>
              </w:rPr>
            </w:pPr>
            <w:r>
              <w:rPr>
                <w:rFonts w:ascii="宋体" w:hAnsi="宋体" w:cs="宋体" w:eastAsia="宋体" w:hint="default"/>
                <w:sz w:val="18"/>
                <w:szCs w:val="18"/>
              </w:rPr>
              <w:t>九州方园新能源股份有限公司为本借款提供担 保，公司以九州博乐电站六期光伏设备作为抵 押并以其电费收费权作为质押。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72" w:right="7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2015-8-24</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2018-8-23</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1" w:right="29"/>
              <w:jc w:val="center"/>
              <w:rPr>
                <w:rFonts w:ascii="宋体" w:hAnsi="宋体" w:cs="宋体" w:eastAsia="宋体" w:hint="default"/>
                <w:sz w:val="18"/>
                <w:szCs w:val="18"/>
              </w:rPr>
            </w:pPr>
            <w:r>
              <w:rPr>
                <w:rFonts w:ascii="宋体" w:hAnsi="宋体" w:cs="宋体" w:eastAsia="宋体" w:hint="default"/>
                <w:sz w:val="18"/>
                <w:szCs w:val="18"/>
              </w:rPr>
              <w:t>分月支付利 息、分季付 本金</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37" w:right="35"/>
              <w:jc w:val="center"/>
              <w:rPr>
                <w:rFonts w:ascii="宋体" w:hAnsi="宋体" w:cs="宋体" w:eastAsia="宋体" w:hint="default"/>
                <w:sz w:val="18"/>
                <w:szCs w:val="18"/>
              </w:rPr>
            </w:pPr>
            <w:r>
              <w:rPr>
                <w:rFonts w:ascii="宋体" w:hAnsi="宋体" w:cs="宋体" w:eastAsia="宋体" w:hint="default"/>
                <w:sz w:val="18"/>
                <w:szCs w:val="18"/>
              </w:rPr>
              <w:t>江苏爱康实业集团有限公司为本借款提供担 保，公司以精河电厂一期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电站设备做抵 押。</w:t>
            </w:r>
          </w:p>
        </w:tc>
      </w:tr>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2" w:right="71"/>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935.83</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2017-7-5</w:t>
            </w:r>
            <w:r>
              <w:rPr>
                <w:rFonts w:ascii="宋体" w:hAnsi="宋体" w:cs="宋体" w:eastAsia="宋体" w:hint="default"/>
                <w:sz w:val="18"/>
                <w:szCs w:val="18"/>
              </w:rPr>
              <w:t>至</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2022-7-4</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1643" w:right="102" w:hanging="1538"/>
              <w:jc w:val="left"/>
              <w:rPr>
                <w:rFonts w:ascii="宋体" w:hAnsi="宋体" w:cs="宋体" w:eastAsia="宋体" w:hint="default"/>
                <w:sz w:val="18"/>
                <w:szCs w:val="18"/>
              </w:rPr>
            </w:pPr>
            <w:r>
              <w:rPr>
                <w:rFonts w:ascii="宋体" w:hAnsi="宋体" w:cs="宋体" w:eastAsia="宋体" w:hint="default"/>
                <w:sz w:val="18"/>
                <w:szCs w:val="18"/>
              </w:rPr>
              <w:t>公司以丹阳</w:t>
            </w:r>
            <w:r>
              <w:rPr>
                <w:rFonts w:ascii="Times New Roman" w:hAnsi="Times New Roman" w:cs="Times New Roman" w:eastAsia="Times New Roman" w:hint="default"/>
                <w:sz w:val="18"/>
                <w:szCs w:val="18"/>
              </w:rPr>
              <w:t>3.5MW</w:t>
            </w:r>
            <w:r>
              <w:rPr>
                <w:rFonts w:ascii="宋体" w:hAnsi="宋体" w:cs="宋体" w:eastAsia="宋体" w:hint="default"/>
                <w:sz w:val="18"/>
                <w:szCs w:val="18"/>
              </w:rPr>
              <w:t>屋顶电站光伏设备作为抵 押。</w:t>
            </w:r>
          </w:p>
        </w:tc>
      </w:tr>
      <w:tr>
        <w:trPr>
          <w:trHeight w:val="1590"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252" w:right="71" w:hanging="180"/>
              <w:jc w:val="left"/>
              <w:rPr>
                <w:rFonts w:ascii="宋体" w:hAnsi="宋体" w:cs="宋体" w:eastAsia="宋体" w:hint="default"/>
                <w:sz w:val="18"/>
                <w:szCs w:val="18"/>
              </w:rPr>
            </w:pPr>
            <w:r>
              <w:rPr>
                <w:rFonts w:ascii="宋体" w:hAnsi="宋体" w:cs="宋体" w:eastAsia="宋体" w:hint="default"/>
                <w:sz w:val="18"/>
                <w:szCs w:val="18"/>
              </w:rPr>
              <w:t>苏银金融租赁股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2016-4-28</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2021-4-28</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22" w:right="21"/>
              <w:jc w:val="center"/>
              <w:rPr>
                <w:rFonts w:ascii="宋体" w:hAnsi="宋体" w:cs="宋体" w:eastAsia="宋体" w:hint="default"/>
                <w:sz w:val="18"/>
                <w:szCs w:val="18"/>
              </w:rPr>
            </w:pPr>
            <w:r>
              <w:rPr>
                <w:rFonts w:ascii="宋体" w:hAnsi="宋体" w:cs="宋体" w:eastAsia="宋体" w:hint="default"/>
                <w:sz w:val="18"/>
                <w:szCs w:val="18"/>
              </w:rPr>
              <w:t>邹承慧为本借款承担个人无限连带责任担保， 本公司以其持有的对凤庆爱康的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 作为质押物进行质押担保，公司以凤庆爱康一 期</w:t>
            </w:r>
            <w:r>
              <w:rPr>
                <w:rFonts w:ascii="Times New Roman" w:hAnsi="Times New Roman" w:cs="Times New Roman" w:eastAsia="Times New Roman" w:hint="default"/>
                <w:sz w:val="18"/>
                <w:szCs w:val="18"/>
              </w:rPr>
              <w:t>22MW</w:t>
            </w:r>
            <w:r>
              <w:rPr>
                <w:rFonts w:ascii="宋体" w:hAnsi="宋体" w:cs="宋体" w:eastAsia="宋体" w:hint="default"/>
                <w:sz w:val="18"/>
                <w:szCs w:val="18"/>
              </w:rPr>
              <w:t>光伏电站设备做抵押并以其电费收费 权作为质押。</w:t>
            </w:r>
          </w:p>
        </w:tc>
      </w:tr>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2" w:right="71" w:hanging="180"/>
              <w:jc w:val="left"/>
              <w:rPr>
                <w:rFonts w:ascii="宋体" w:hAnsi="宋体" w:cs="宋体" w:eastAsia="宋体" w:hint="default"/>
                <w:sz w:val="18"/>
                <w:szCs w:val="18"/>
              </w:rPr>
            </w:pPr>
            <w:r>
              <w:rPr>
                <w:rFonts w:ascii="宋体" w:hAnsi="宋体" w:cs="宋体" w:eastAsia="宋体" w:hint="default"/>
                <w:sz w:val="18"/>
                <w:szCs w:val="18"/>
              </w:rPr>
              <w:t>苏银金融租赁股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2016-6-29</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2021-6-29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832" w:right="79" w:hanging="750"/>
              <w:jc w:val="left"/>
              <w:rPr>
                <w:rFonts w:ascii="宋体" w:hAnsi="宋体" w:cs="宋体" w:eastAsia="宋体" w:hint="default"/>
                <w:sz w:val="18"/>
                <w:szCs w:val="18"/>
              </w:rPr>
            </w:pPr>
            <w:r>
              <w:rPr>
                <w:rFonts w:ascii="宋体" w:hAnsi="宋体" w:cs="宋体" w:eastAsia="宋体" w:hint="default"/>
                <w:sz w:val="18"/>
                <w:szCs w:val="18"/>
              </w:rPr>
              <w:t>公司以其持有的对凤庆爱康的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 为质押物进行质押担保。</w:t>
            </w:r>
          </w:p>
        </w:tc>
      </w:tr>
      <w:tr>
        <w:trPr>
          <w:trHeight w:val="1278"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252" w:right="71" w:hanging="180"/>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0"/>
              <w:jc w:val="center"/>
              <w:rPr>
                <w:rFonts w:ascii="Times New Roman" w:hAnsi="Times New Roman" w:cs="Times New Roman" w:eastAsia="Times New Roman" w:hint="default"/>
                <w:sz w:val="18"/>
                <w:szCs w:val="18"/>
              </w:rPr>
            </w:pPr>
            <w:r>
              <w:rPr>
                <w:rFonts w:ascii="Times New Roman"/>
                <w:sz w:val="18"/>
              </w:rPr>
              <w:t>5,500.00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2016-3-20</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2021-3-20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391" w:right="29" w:hanging="360"/>
              <w:jc w:val="left"/>
              <w:rPr>
                <w:rFonts w:ascii="宋体" w:hAnsi="宋体" w:cs="宋体" w:eastAsia="宋体" w:hint="default"/>
                <w:sz w:val="18"/>
                <w:szCs w:val="18"/>
              </w:rPr>
            </w:pPr>
            <w:r>
              <w:rPr>
                <w:rFonts w:ascii="宋体" w:hAnsi="宋体" w:cs="宋体" w:eastAsia="宋体" w:hint="default"/>
                <w:sz w:val="18"/>
                <w:szCs w:val="18"/>
              </w:rPr>
              <w:t>分季还本付 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21"/>
              <w:ind w:left="22" w:right="21" w:hanging="1"/>
              <w:jc w:val="center"/>
              <w:rPr>
                <w:rFonts w:ascii="宋体" w:hAnsi="宋体" w:cs="宋体" w:eastAsia="宋体" w:hint="default"/>
                <w:sz w:val="18"/>
                <w:szCs w:val="18"/>
              </w:rPr>
            </w:pPr>
            <w:r>
              <w:rPr>
                <w:rFonts w:ascii="宋体" w:hAnsi="宋体" w:cs="宋体" w:eastAsia="宋体" w:hint="default"/>
                <w:sz w:val="18"/>
                <w:szCs w:val="18"/>
              </w:rPr>
              <w:t>公司以朝阳爱康</w:t>
            </w:r>
            <w:r>
              <w:rPr>
                <w:rFonts w:ascii="Times New Roman" w:hAnsi="Times New Roman" w:cs="Times New Roman" w:eastAsia="Times New Roman" w:hint="default"/>
                <w:sz w:val="18"/>
                <w:szCs w:val="18"/>
              </w:rPr>
              <w:t>10MW</w:t>
            </w:r>
            <w:r>
              <w:rPr>
                <w:rFonts w:ascii="宋体" w:hAnsi="宋体" w:cs="宋体" w:eastAsia="宋体" w:hint="default"/>
                <w:sz w:val="18"/>
                <w:szCs w:val="18"/>
              </w:rPr>
              <w:t>电站设备做抵押并以其 光伏并网发电项目电费收费权作为质押，本公 司以其持有的对朝阳爱康</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 押物进行质押担保。</w:t>
            </w:r>
          </w:p>
        </w:tc>
      </w:tr>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2" w:right="71" w:hanging="180"/>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2016-7-20</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2022-4-20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光伏电站的收益权和苏州中康持有的大安爱康</w:t>
            </w:r>
          </w:p>
          <w:p>
            <w:pPr>
              <w:pStyle w:val="TableParagraph"/>
              <w:spacing w:line="240" w:lineRule="auto" w:before="76"/>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的股权作为质押担保</w:t>
            </w:r>
          </w:p>
        </w:tc>
      </w:tr>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2" w:right="71" w:hanging="180"/>
              <w:jc w:val="left"/>
              <w:rPr>
                <w:rFonts w:ascii="宋体" w:hAnsi="宋体" w:cs="宋体" w:eastAsia="宋体" w:hint="default"/>
                <w:sz w:val="18"/>
                <w:szCs w:val="18"/>
              </w:rPr>
            </w:pPr>
            <w:r>
              <w:rPr>
                <w:rFonts w:ascii="宋体" w:hAnsi="宋体" w:cs="宋体" w:eastAsia="宋体" w:hint="default"/>
                <w:sz w:val="18"/>
                <w:szCs w:val="18"/>
              </w:rPr>
              <w:t>苏州金融租赁股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5.145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2017-1-5</w:t>
            </w:r>
            <w:r>
              <w:rPr>
                <w:rFonts w:ascii="宋体" w:hAnsi="宋体" w:cs="宋体" w:eastAsia="宋体" w:hint="default"/>
                <w:sz w:val="18"/>
                <w:szCs w:val="18"/>
              </w:rPr>
              <w:t>至</w:t>
            </w:r>
          </w:p>
          <w:p>
            <w:pPr>
              <w:pStyle w:val="TableParagraph"/>
              <w:spacing w:line="240" w:lineRule="auto" w:before="102"/>
              <w:ind w:left="273" w:right="0"/>
              <w:jc w:val="left"/>
              <w:rPr>
                <w:rFonts w:ascii="Times New Roman" w:hAnsi="Times New Roman" w:cs="Times New Roman" w:eastAsia="Times New Roman" w:hint="default"/>
                <w:sz w:val="18"/>
                <w:szCs w:val="18"/>
              </w:rPr>
            </w:pPr>
            <w:r>
              <w:rPr>
                <w:rFonts w:ascii="Times New Roman"/>
                <w:sz w:val="18"/>
              </w:rPr>
              <w:t>2022-7-20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pacing w:val="-2"/>
                <w:sz w:val="18"/>
                <w:szCs w:val="18"/>
              </w:rPr>
              <w:t>公司以持有锦州爱康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股权做质押，以锦州</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20MW</w:t>
            </w:r>
            <w:r>
              <w:rPr>
                <w:rFonts w:ascii="宋体" w:hAnsi="宋体" w:cs="宋体" w:eastAsia="宋体" w:hint="default"/>
                <w:sz w:val="18"/>
                <w:szCs w:val="18"/>
              </w:rPr>
              <w:t>电站相关电费收费权做质押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永赢金融租赁有 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2016-5-6</w:t>
            </w:r>
            <w:r>
              <w:rPr>
                <w:rFonts w:ascii="宋体" w:hAnsi="宋体" w:cs="宋体" w:eastAsia="宋体" w:hint="default"/>
                <w:sz w:val="18"/>
                <w:szCs w:val="18"/>
              </w:rPr>
              <w:t>至</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2021-5-6</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22" w:right="21"/>
              <w:jc w:val="center"/>
              <w:rPr>
                <w:rFonts w:ascii="宋体" w:hAnsi="宋体" w:cs="宋体" w:eastAsia="宋体" w:hint="default"/>
                <w:sz w:val="18"/>
                <w:szCs w:val="18"/>
              </w:rPr>
            </w:pPr>
            <w:r>
              <w:rPr>
                <w:rFonts w:ascii="宋体" w:hAnsi="宋体" w:cs="宋体" w:eastAsia="宋体" w:hint="default"/>
                <w:sz w:val="18"/>
                <w:szCs w:val="18"/>
              </w:rPr>
              <w:t>邹承慧为本借款提供担保，公司以其持有的对 禄劝爱康的</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的股权作为质押物进行质押 担保。</w:t>
            </w:r>
          </w:p>
        </w:tc>
      </w:tr>
      <w:tr>
        <w:trPr>
          <w:trHeight w:val="1278"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162" w:right="71" w:hanging="90"/>
              <w:jc w:val="left"/>
              <w:rPr>
                <w:rFonts w:ascii="宋体" w:hAnsi="宋体" w:cs="宋体" w:eastAsia="宋体" w:hint="default"/>
                <w:sz w:val="18"/>
                <w:szCs w:val="18"/>
              </w:rPr>
            </w:pPr>
            <w:r>
              <w:rPr>
                <w:rFonts w:ascii="宋体" w:hAnsi="宋体" w:cs="宋体" w:eastAsia="宋体" w:hint="default"/>
                <w:sz w:val="18"/>
                <w:szCs w:val="18"/>
              </w:rPr>
              <w:t>中广核国际融资 租赁有限公司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1"/>
              <w:jc w:val="center"/>
              <w:rPr>
                <w:rFonts w:ascii="Times New Roman" w:hAnsi="Times New Roman" w:cs="Times New Roman" w:eastAsia="Times New Roman" w:hint="default"/>
                <w:sz w:val="18"/>
                <w:szCs w:val="18"/>
              </w:rPr>
            </w:pPr>
            <w:r>
              <w:rPr>
                <w:rFonts w:ascii="Times New Roman"/>
                <w:sz w:val="18"/>
              </w:rPr>
              <w:t>36,000.00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浮动</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2015-11-10</w:t>
            </w:r>
            <w:r>
              <w:rPr>
                <w:rFonts w:ascii="宋体" w:hAnsi="宋体" w:cs="宋体" w:eastAsia="宋体" w:hint="default"/>
                <w:sz w:val="18"/>
                <w:szCs w:val="18"/>
              </w:rPr>
              <w:t>至</w:t>
            </w:r>
          </w:p>
          <w:p>
            <w:pPr>
              <w:pStyle w:val="TableParagraph"/>
              <w:spacing w:line="240" w:lineRule="auto" w:before="102"/>
              <w:ind w:left="229" w:right="0"/>
              <w:jc w:val="left"/>
              <w:rPr>
                <w:rFonts w:ascii="Times New Roman" w:hAnsi="Times New Roman" w:cs="Times New Roman" w:eastAsia="Times New Roman" w:hint="default"/>
                <w:sz w:val="18"/>
                <w:szCs w:val="18"/>
              </w:rPr>
            </w:pPr>
            <w:r>
              <w:rPr>
                <w:rFonts w:ascii="Times New Roman"/>
                <w:sz w:val="18"/>
              </w:rPr>
              <w:t>2024-11-10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6"/>
              <w:ind w:left="391" w:right="29" w:hanging="360"/>
              <w:jc w:val="left"/>
              <w:rPr>
                <w:rFonts w:ascii="宋体" w:hAnsi="宋体" w:cs="宋体" w:eastAsia="宋体" w:hint="default"/>
                <w:sz w:val="18"/>
                <w:szCs w:val="18"/>
              </w:rPr>
            </w:pPr>
            <w:r>
              <w:rPr>
                <w:rFonts w:ascii="宋体" w:hAnsi="宋体" w:cs="宋体" w:eastAsia="宋体" w:hint="default"/>
                <w:sz w:val="18"/>
                <w:szCs w:val="18"/>
              </w:rPr>
              <w:t>分季还本付 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1"/>
              <w:ind w:left="22" w:right="21"/>
              <w:jc w:val="both"/>
              <w:rPr>
                <w:rFonts w:ascii="宋体" w:hAnsi="宋体" w:cs="宋体" w:eastAsia="宋体" w:hint="default"/>
                <w:sz w:val="18"/>
                <w:szCs w:val="18"/>
              </w:rPr>
            </w:pPr>
            <w:r>
              <w:rPr>
                <w:rFonts w:ascii="宋体" w:hAnsi="宋体" w:cs="宋体" w:eastAsia="宋体" w:hint="default"/>
                <w:sz w:val="18"/>
                <w:szCs w:val="18"/>
              </w:rPr>
              <w:t>邹承慧为本借款提供连带责任保证担保，本公 司和九州方园新能源股份有限公司以其持有的 对九州方园博乐市新能源有限公司</w:t>
            </w:r>
            <w:r>
              <w:rPr>
                <w:rFonts w:ascii="Times New Roman" w:hAnsi="Times New Roman" w:cs="Times New Roman" w:eastAsia="Times New Roman" w:hint="default"/>
                <w:sz w:val="18"/>
                <w:szCs w:val="18"/>
              </w:rPr>
              <w:t>100%</w:t>
            </w:r>
            <w:r>
              <w:rPr>
                <w:rFonts w:ascii="宋体" w:hAnsi="宋体" w:cs="宋体" w:eastAsia="宋体" w:hint="default"/>
                <w:sz w:val="18"/>
                <w:szCs w:val="18"/>
              </w:rPr>
              <w:t>的股 权质押给中广核国际租赁有限公司，公司以九</w:t>
            </w:r>
          </w:p>
        </w:tc>
      </w:tr>
    </w:tbl>
    <w:p>
      <w:pPr>
        <w:spacing w:after="0" w:line="312"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15"/>
        <w:gridCol w:w="1123"/>
        <w:gridCol w:w="743"/>
        <w:gridCol w:w="1307"/>
        <w:gridCol w:w="972"/>
        <w:gridCol w:w="3654"/>
      </w:tblGrid>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743" w:type="dxa"/>
            <w:tcBorders>
              <w:top w:val="single" w:sz="4" w:space="0" w:color="000000"/>
              <w:left w:val="single" w:sz="4" w:space="0" w:color="000000"/>
              <w:bottom w:val="single" w:sz="4" w:space="0" w:color="000000"/>
              <w:right w:val="single" w:sz="4" w:space="0" w:color="000000"/>
            </w:tcBorders>
          </w:tcPr>
          <w:p>
            <w:pPr/>
          </w:p>
        </w:tc>
        <w:tc>
          <w:tcPr>
            <w:tcW w:w="1307"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22" w:right="21" w:firstLine="14"/>
              <w:jc w:val="left"/>
              <w:rPr>
                <w:rFonts w:ascii="宋体" w:hAnsi="宋体" w:cs="宋体" w:eastAsia="宋体" w:hint="default"/>
                <w:sz w:val="18"/>
                <w:szCs w:val="18"/>
              </w:rPr>
            </w:pPr>
            <w:r>
              <w:rPr>
                <w:rFonts w:ascii="宋体" w:hAnsi="宋体" w:cs="宋体" w:eastAsia="宋体" w:hint="default"/>
                <w:sz w:val="18"/>
                <w:szCs w:val="18"/>
              </w:rPr>
              <w:t>州方园博乐六期</w:t>
            </w:r>
            <w:r>
              <w:rPr>
                <w:rFonts w:ascii="Times New Roman" w:hAnsi="Times New Roman" w:cs="Times New Roman" w:eastAsia="Times New Roman" w:hint="default"/>
                <w:sz w:val="18"/>
                <w:szCs w:val="18"/>
              </w:rPr>
              <w:t>60MW</w:t>
            </w:r>
            <w:r>
              <w:rPr>
                <w:rFonts w:ascii="宋体" w:hAnsi="宋体" w:cs="宋体" w:eastAsia="宋体" w:hint="default"/>
                <w:sz w:val="18"/>
                <w:szCs w:val="18"/>
              </w:rPr>
              <w:t>光伏电站电费收益权作 为质押。本项拟提前还款，已签订补充协议。</w:t>
            </w:r>
          </w:p>
        </w:tc>
      </w:tr>
      <w:tr>
        <w:trPr>
          <w:trHeight w:val="1590"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9" w:lineRule="auto"/>
              <w:ind w:left="342" w:right="71" w:hanging="270"/>
              <w:jc w:val="left"/>
              <w:rPr>
                <w:rFonts w:ascii="宋体" w:hAnsi="宋体" w:cs="宋体" w:eastAsia="宋体" w:hint="default"/>
                <w:sz w:val="18"/>
                <w:szCs w:val="18"/>
              </w:rPr>
            </w:pPr>
            <w:r>
              <w:rPr>
                <w:rFonts w:ascii="宋体" w:hAnsi="宋体" w:cs="宋体" w:eastAsia="宋体" w:hint="default"/>
                <w:sz w:val="18"/>
                <w:szCs w:val="18"/>
              </w:rPr>
              <w:t>中建投租赁有限 责任公司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7"/>
              <w:jc w:val="right"/>
              <w:rPr>
                <w:rFonts w:ascii="Times New Roman" w:hAnsi="Times New Roman" w:cs="Times New Roman" w:eastAsia="Times New Roman" w:hint="default"/>
                <w:sz w:val="18"/>
                <w:szCs w:val="18"/>
              </w:rPr>
            </w:pPr>
            <w:r>
              <w:rPr>
                <w:rFonts w:ascii="Times New Roman"/>
                <w:sz w:val="18"/>
              </w:rPr>
              <w:t>4.9875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22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2016-5-9</w:t>
            </w:r>
            <w:r>
              <w:rPr>
                <w:rFonts w:ascii="宋体" w:hAnsi="宋体" w:cs="宋体" w:eastAsia="宋体" w:hint="default"/>
                <w:sz w:val="18"/>
                <w:szCs w:val="18"/>
              </w:rPr>
              <w:t>至</w:t>
            </w:r>
          </w:p>
          <w:p>
            <w:pPr>
              <w:pStyle w:val="TableParagraph"/>
              <w:spacing w:line="240" w:lineRule="auto" w:before="103"/>
              <w:ind w:left="319" w:right="0"/>
              <w:jc w:val="left"/>
              <w:rPr>
                <w:rFonts w:ascii="Times New Roman" w:hAnsi="Times New Roman" w:cs="Times New Roman" w:eastAsia="Times New Roman" w:hint="default"/>
                <w:sz w:val="18"/>
                <w:szCs w:val="18"/>
              </w:rPr>
            </w:pPr>
            <w:r>
              <w:rPr>
                <w:rFonts w:ascii="Times New Roman"/>
                <w:sz w:val="18"/>
              </w:rPr>
              <w:t>2021-5-9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319" w:lineRule="auto"/>
              <w:ind w:left="391" w:right="29" w:hanging="360"/>
              <w:jc w:val="left"/>
              <w:rPr>
                <w:rFonts w:ascii="宋体" w:hAnsi="宋体" w:cs="宋体" w:eastAsia="宋体" w:hint="default"/>
                <w:sz w:val="18"/>
                <w:szCs w:val="18"/>
              </w:rPr>
            </w:pPr>
            <w:r>
              <w:rPr>
                <w:rFonts w:ascii="宋体" w:hAnsi="宋体" w:cs="宋体" w:eastAsia="宋体" w:hint="default"/>
                <w:sz w:val="18"/>
                <w:szCs w:val="18"/>
              </w:rPr>
              <w:t>分季还本付 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1"/>
              <w:ind w:left="5" w:right="3"/>
              <w:jc w:val="center"/>
              <w:rPr>
                <w:rFonts w:ascii="宋体" w:hAnsi="宋体" w:cs="宋体" w:eastAsia="宋体" w:hint="default"/>
                <w:sz w:val="18"/>
                <w:szCs w:val="18"/>
              </w:rPr>
            </w:pPr>
            <w:r>
              <w:rPr>
                <w:rFonts w:ascii="宋体" w:hAnsi="宋体" w:cs="宋体" w:eastAsia="宋体" w:hint="default"/>
                <w:sz w:val="18"/>
                <w:szCs w:val="18"/>
              </w:rPr>
              <w:t>江苏爱康实业集团有限公司为本借款承担连带 责任担保，公司以其持有的宿州恒康新能源有 </w:t>
            </w:r>
            <w:r>
              <w:rPr>
                <w:rFonts w:ascii="宋体" w:hAnsi="宋体" w:cs="宋体" w:eastAsia="宋体" w:hint="default"/>
                <w:spacing w:val="-2"/>
                <w:sz w:val="18"/>
                <w:szCs w:val="18"/>
              </w:rPr>
              <w:t>限公司</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的股权作为质押，公司以宿州恒康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新能源一期</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 电费收费权作为质押。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612" w:right="71" w:hanging="541"/>
              <w:jc w:val="left"/>
              <w:rPr>
                <w:rFonts w:ascii="宋体" w:hAnsi="宋体" w:cs="宋体" w:eastAsia="宋体" w:hint="default"/>
                <w:sz w:val="18"/>
                <w:szCs w:val="18"/>
              </w:rPr>
            </w:pPr>
            <w:r>
              <w:rPr>
                <w:rFonts w:ascii="宋体" w:hAnsi="宋体" w:cs="宋体" w:eastAsia="宋体" w:hint="default"/>
                <w:sz w:val="18"/>
                <w:szCs w:val="18"/>
              </w:rPr>
              <w:t>华润租赁有限公 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5,530.68</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4.90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2016-12-29</w:t>
            </w:r>
            <w:r>
              <w:rPr>
                <w:rFonts w:ascii="宋体" w:hAnsi="宋体" w:cs="宋体" w:eastAsia="宋体" w:hint="default"/>
                <w:sz w:val="18"/>
                <w:szCs w:val="18"/>
              </w:rPr>
              <w:t>至</w:t>
            </w:r>
          </w:p>
          <w:p>
            <w:pPr>
              <w:pStyle w:val="TableParagraph"/>
              <w:spacing w:line="240" w:lineRule="auto" w:before="102"/>
              <w:ind w:left="229" w:right="0"/>
              <w:jc w:val="left"/>
              <w:rPr>
                <w:rFonts w:ascii="Times New Roman" w:hAnsi="Times New Roman" w:cs="Times New Roman" w:eastAsia="Times New Roman" w:hint="default"/>
                <w:sz w:val="18"/>
                <w:szCs w:val="18"/>
              </w:rPr>
            </w:pPr>
            <w:r>
              <w:rPr>
                <w:rFonts w:ascii="Times New Roman"/>
                <w:sz w:val="18"/>
              </w:rPr>
              <w:t>2026-12-29</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5" w:right="2"/>
              <w:jc w:val="center"/>
              <w:rPr>
                <w:rFonts w:ascii="宋体" w:hAnsi="宋体" w:cs="宋体" w:eastAsia="宋体" w:hint="default"/>
                <w:sz w:val="18"/>
                <w:szCs w:val="18"/>
              </w:rPr>
            </w:pPr>
            <w:r>
              <w:rPr>
                <w:rFonts w:ascii="宋体" w:hAnsi="宋体" w:cs="宋体" w:eastAsia="宋体" w:hint="default"/>
                <w:spacing w:val="-2"/>
                <w:sz w:val="18"/>
                <w:szCs w:val="18"/>
              </w:rPr>
              <w:t>质押担保物为明光爱康</w:t>
            </w:r>
            <w:r>
              <w:rPr>
                <w:rFonts w:ascii="Times New Roman" w:hAnsi="Times New Roman" w:cs="Times New Roman" w:eastAsia="Times New Roman" w:hint="default"/>
                <w:spacing w:val="-2"/>
                <w:sz w:val="18"/>
                <w:szCs w:val="18"/>
              </w:rPr>
              <w:t>100%</w:t>
            </w:r>
            <w:r>
              <w:rPr>
                <w:rFonts w:ascii="宋体" w:hAnsi="宋体" w:cs="宋体" w:eastAsia="宋体" w:hint="default"/>
                <w:spacing w:val="-2"/>
                <w:sz w:val="18"/>
                <w:szCs w:val="18"/>
              </w:rPr>
              <w:t>股权，公司以明光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爱康</w:t>
            </w:r>
            <w:r>
              <w:rPr>
                <w:rFonts w:ascii="Times New Roman" w:hAnsi="Times New Roman" w:cs="Times New Roman" w:eastAsia="Times New Roman" w:hint="default"/>
                <w:sz w:val="18"/>
                <w:szCs w:val="18"/>
              </w:rPr>
              <w:t>20MW</w:t>
            </w:r>
            <w:r>
              <w:rPr>
                <w:rFonts w:ascii="宋体" w:hAnsi="宋体" w:cs="宋体" w:eastAsia="宋体" w:hint="default"/>
                <w:sz w:val="18"/>
                <w:szCs w:val="18"/>
              </w:rPr>
              <w:t>光伏电站设备做抵押并以其电费收 费权作为质押。</w:t>
            </w:r>
          </w:p>
        </w:tc>
      </w:tr>
      <w:tr>
        <w:trPr>
          <w:trHeight w:val="65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2" w:right="71" w:hanging="180"/>
              <w:jc w:val="left"/>
              <w:rPr>
                <w:rFonts w:ascii="宋体" w:hAnsi="宋体" w:cs="宋体" w:eastAsia="宋体" w:hint="default"/>
                <w:sz w:val="18"/>
                <w:szCs w:val="18"/>
              </w:rPr>
            </w:pPr>
            <w:r>
              <w:rPr>
                <w:rFonts w:ascii="宋体" w:hAnsi="宋体" w:cs="宋体" w:eastAsia="宋体" w:hint="default"/>
                <w:sz w:val="18"/>
                <w:szCs w:val="18"/>
              </w:rPr>
              <w:t>华融金融租赁股 份有限公司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1" w:right="0"/>
              <w:jc w:val="left"/>
              <w:rPr>
                <w:rFonts w:ascii="Times New Roman" w:hAnsi="Times New Roman" w:cs="Times New Roman" w:eastAsia="Times New Roman" w:hint="default"/>
                <w:sz w:val="18"/>
                <w:szCs w:val="18"/>
              </w:rPr>
            </w:pPr>
            <w:r>
              <w:rPr>
                <w:rFonts w:ascii="Times New Roman"/>
                <w:sz w:val="18"/>
              </w:rPr>
              <w:t>4,368.60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z w:val="18"/>
              </w:rPr>
              <w:t>5.16</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2016-10-10</w:t>
            </w:r>
            <w:r>
              <w:rPr>
                <w:rFonts w:ascii="宋体" w:hAnsi="宋体" w:cs="宋体" w:eastAsia="宋体" w:hint="default"/>
                <w:sz w:val="18"/>
                <w:szCs w:val="18"/>
              </w:rPr>
              <w:t>至</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2018-7-10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667" w:right="35" w:hanging="630"/>
              <w:jc w:val="left"/>
              <w:rPr>
                <w:rFonts w:ascii="宋体" w:hAnsi="宋体" w:cs="宋体" w:eastAsia="宋体" w:hint="default"/>
                <w:sz w:val="18"/>
                <w:szCs w:val="18"/>
              </w:rPr>
            </w:pPr>
            <w:r>
              <w:rPr>
                <w:rFonts w:ascii="宋体" w:hAnsi="宋体" w:cs="宋体" w:eastAsia="宋体" w:hint="default"/>
                <w:sz w:val="18"/>
                <w:szCs w:val="18"/>
              </w:rPr>
              <w:t>公司以持有莒南鑫</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r>
              <w:rPr>
                <w:rFonts w:ascii="Times New Roman" w:hAnsi="Times New Roman" w:cs="Times New Roman" w:eastAsia="Times New Roman" w:hint="default"/>
                <w:sz w:val="18"/>
                <w:szCs w:val="18"/>
              </w:rPr>
              <w:t>100</w:t>
            </w:r>
            <w:r>
              <w:rPr>
                <w:rFonts w:ascii="宋体" w:hAnsi="宋体" w:cs="宋体" w:eastAsia="宋体" w:hint="default"/>
                <w:sz w:val="18"/>
                <w:szCs w:val="18"/>
              </w:rPr>
              <w:t>万做质押，以 莒南鑫</w:t>
            </w:r>
            <w:r>
              <w:rPr>
                <w:rFonts w:ascii="Times New Roman" w:hAnsi="Times New Roman" w:cs="Times New Roman" w:eastAsia="Times New Roman" w:hint="default"/>
                <w:sz w:val="18"/>
                <w:szCs w:val="18"/>
              </w:rPr>
              <w:t>10MW</w:t>
            </w:r>
            <w:r>
              <w:rPr>
                <w:rFonts w:ascii="宋体" w:hAnsi="宋体" w:cs="宋体" w:eastAsia="宋体" w:hint="default"/>
                <w:sz w:val="18"/>
                <w:szCs w:val="18"/>
              </w:rPr>
              <w:t>电站设备做抵押</w:t>
            </w:r>
          </w:p>
        </w:tc>
      </w:tr>
      <w:tr>
        <w:trPr>
          <w:trHeight w:val="966"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432" w:right="71" w:hanging="360"/>
              <w:jc w:val="left"/>
              <w:rPr>
                <w:rFonts w:ascii="宋体" w:hAnsi="宋体" w:cs="宋体" w:eastAsia="宋体" w:hint="default"/>
                <w:sz w:val="18"/>
                <w:szCs w:val="18"/>
              </w:rPr>
            </w:pPr>
            <w:r>
              <w:rPr>
                <w:rFonts w:ascii="宋体" w:hAnsi="宋体" w:cs="宋体" w:eastAsia="宋体" w:hint="default"/>
                <w:sz w:val="18"/>
                <w:szCs w:val="18"/>
              </w:rPr>
              <w:t>华夏金融租赁有 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12,000.00</w:t>
            </w:r>
          </w:p>
        </w:tc>
        <w:tc>
          <w:tcPr>
            <w:tcW w:w="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62"/>
              <w:jc w:val="right"/>
              <w:rPr>
                <w:rFonts w:ascii="Times New Roman" w:hAnsi="Times New Roman" w:cs="Times New Roman" w:eastAsia="Times New Roman" w:hint="default"/>
                <w:sz w:val="18"/>
                <w:szCs w:val="18"/>
              </w:rPr>
            </w:pPr>
            <w:r>
              <w:rPr>
                <w:rFonts w:ascii="Times New Roman"/>
                <w:sz w:val="18"/>
              </w:rPr>
              <w:t>6.125</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2017-12-22</w:t>
            </w:r>
            <w:r>
              <w:rPr>
                <w:rFonts w:ascii="宋体" w:hAnsi="宋体" w:cs="宋体" w:eastAsia="宋体" w:hint="default"/>
                <w:sz w:val="18"/>
                <w:szCs w:val="18"/>
              </w:rPr>
              <w:t>至</w:t>
            </w:r>
          </w:p>
          <w:p>
            <w:pPr>
              <w:pStyle w:val="TableParagraph"/>
              <w:spacing w:line="240" w:lineRule="auto" w:before="102"/>
              <w:ind w:left="229" w:right="0"/>
              <w:jc w:val="left"/>
              <w:rPr>
                <w:rFonts w:ascii="Times New Roman" w:hAnsi="Times New Roman" w:cs="Times New Roman" w:eastAsia="Times New Roman" w:hint="default"/>
                <w:sz w:val="18"/>
                <w:szCs w:val="18"/>
              </w:rPr>
            </w:pPr>
            <w:r>
              <w:rPr>
                <w:rFonts w:ascii="Times New Roman"/>
                <w:sz w:val="18"/>
              </w:rPr>
              <w:t>2027-12-22</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5"/>
                <w:szCs w:val="15"/>
              </w:rPr>
            </w:pPr>
          </w:p>
          <w:p>
            <w:pPr>
              <w:pStyle w:val="TableParagraph"/>
              <w:spacing w:line="316" w:lineRule="auto"/>
              <w:ind w:left="301" w:right="29" w:hanging="270"/>
              <w:jc w:val="left"/>
              <w:rPr>
                <w:rFonts w:ascii="宋体" w:hAnsi="宋体" w:cs="宋体" w:eastAsia="宋体" w:hint="default"/>
                <w:sz w:val="18"/>
                <w:szCs w:val="18"/>
              </w:rPr>
            </w:pPr>
            <w:r>
              <w:rPr>
                <w:rFonts w:ascii="宋体" w:hAnsi="宋体" w:cs="宋体" w:eastAsia="宋体" w:hint="default"/>
                <w:sz w:val="18"/>
                <w:szCs w:val="18"/>
              </w:rPr>
              <w:t>分季度还本 付息</w:t>
            </w:r>
          </w:p>
        </w:tc>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1"/>
              <w:ind w:left="22" w:right="-22" w:hanging="17"/>
              <w:jc w:val="both"/>
              <w:rPr>
                <w:rFonts w:ascii="宋体" w:hAnsi="宋体" w:cs="宋体" w:eastAsia="宋体" w:hint="default"/>
                <w:sz w:val="18"/>
                <w:szCs w:val="18"/>
              </w:rPr>
            </w:pPr>
            <w:r>
              <w:rPr>
                <w:rFonts w:ascii="宋体" w:hAnsi="宋体" w:cs="宋体" w:eastAsia="宋体" w:hint="default"/>
                <w:sz w:val="18"/>
                <w:szCs w:val="18"/>
              </w:rPr>
              <w:t>公司以持有的四子王旗神光</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股权做质押， 以四子王旗</w:t>
            </w:r>
            <w:r>
              <w:rPr>
                <w:rFonts w:ascii="Times New Roman" w:hAnsi="Times New Roman" w:cs="Times New Roman" w:eastAsia="Times New Roman" w:hint="default"/>
                <w:sz w:val="18"/>
                <w:szCs w:val="18"/>
              </w:rPr>
              <w:t>20MW</w:t>
            </w:r>
            <w:r>
              <w:rPr>
                <w:rFonts w:ascii="宋体" w:hAnsi="宋体" w:cs="宋体" w:eastAsia="宋体" w:hint="default"/>
                <w:sz w:val="18"/>
                <w:szCs w:val="18"/>
              </w:rPr>
              <w:t>电站相关电费收费权及基于 电费收费权产生的应收账款及相关权益质押。</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Heading3"/>
        <w:spacing w:line="240" w:lineRule="auto" w:before="35"/>
        <w:ind w:left="154" w:right="1122"/>
        <w:jc w:val="left"/>
        <w:rPr>
          <w:b w:val="0"/>
          <w:bCs w:val="0"/>
        </w:rPr>
      </w:pPr>
      <w:bookmarkStart w:name="48、长期应付职工薪酬" w:id="354"/>
      <w:bookmarkEnd w:id="354"/>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长期应付职工薪酬表" w:id="355"/>
      <w:bookmarkEnd w:id="355"/>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设定受益计划变动情况" w:id="356"/>
      <w:bookmarkEnd w:id="356"/>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t>设定受益计划义务现值：</w:t>
      </w:r>
    </w:p>
    <w:p>
      <w:pPr>
        <w:pStyle w:val="BodyText"/>
        <w:spacing w:line="240" w:lineRule="auto" w:before="117"/>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left="154" w:right="1122"/>
        <w:jc w:val="left"/>
      </w:pPr>
      <w:r>
        <w:rPr/>
        <w:t>计划资产：</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left="154" w:right="1122"/>
        <w:jc w:val="left"/>
      </w:pPr>
      <w:r>
        <w:rPr/>
        <w:t>设定受益计划净负债（净资产）</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3553"/>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6"/>
        <w:ind w:left="154"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49、专项应付款" w:id="357"/>
      <w:bookmarkEnd w:id="357"/>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133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0"/>
              <w:jc w:val="left"/>
              <w:rPr>
                <w:rFonts w:ascii="宋体" w:hAnsi="宋体" w:cs="宋体" w:eastAsia="宋体" w:hint="default"/>
                <w:sz w:val="18"/>
                <w:szCs w:val="18"/>
              </w:rPr>
            </w:pPr>
            <w:r>
              <w:rPr>
                <w:rFonts w:ascii="宋体" w:hAnsi="宋体" w:cs="宋体" w:eastAsia="宋体" w:hint="default"/>
                <w:sz w:val="18"/>
                <w:szCs w:val="18"/>
              </w:rPr>
              <w:t>公共租赁房专项建 </w:t>
            </w:r>
            <w:r>
              <w:rPr>
                <w:rFonts w:ascii="宋体" w:hAnsi="宋体" w:cs="宋体" w:eastAsia="宋体" w:hint="default"/>
                <w:spacing w:val="-10"/>
                <w:sz w:val="18"/>
                <w:szCs w:val="18"/>
              </w:rPr>
              <w:t>设投资补助，本年因</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转让项目公司股权 而减少。</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9853"/>
        <w:jc w:val="left"/>
      </w:pPr>
      <w:r>
        <w:rPr/>
        <w:t>其他说明： 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3"/>
        <w:spacing w:line="240" w:lineRule="auto"/>
        <w:ind w:left="154" w:right="1122"/>
        <w:jc w:val="left"/>
        <w:rPr>
          <w:b w:val="0"/>
          <w:bCs w:val="0"/>
        </w:rPr>
      </w:pPr>
      <w:bookmarkStart w:name="50、预计负债" w:id="358"/>
      <w:bookmarkEnd w:id="358"/>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30,578,345.15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21,572,603.54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30,578,345.15</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21,572,603.54</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154" w:right="6072"/>
        <w:jc w:val="left"/>
      </w:pPr>
      <w:r>
        <w:rPr/>
        <w:t>其他说明，包括重要预计负债的相关重要假设、估计说明：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51、递延收益" w:id="359"/>
      <w:bookmarkEnd w:id="359"/>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102,863,642.53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51,505,505.57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55,665,336.96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19"/>
              <w:jc w:val="righ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44" w:right="0"/>
              <w:jc w:val="left"/>
              <w:rPr>
                <w:rFonts w:ascii="Times New Roman" w:hAnsi="Times New Roman" w:cs="Times New Roman" w:eastAsia="Times New Roman" w:hint="default"/>
                <w:sz w:val="18"/>
                <w:szCs w:val="18"/>
              </w:rPr>
            </w:pPr>
            <w:r>
              <w:rPr>
                <w:rFonts w:ascii="Times New Roman"/>
                <w:sz w:val="18"/>
              </w:rPr>
              <w:t>102,863,642.53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4,307,200.00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51,505,505.57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55,665,336.96</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涉及政府补助的项目：</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32,876,799.9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747,200.00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32,129,599.9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光伏并网发 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48,437,499.8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2,795,138.94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45,642,360.9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4,870,499.88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286,500.12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4,583,999.76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1,961,666.67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1,854,666.67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11,317,176.1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1,697,576.40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9,619,599.75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先进制造业 补贴资金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449,107.96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6,637.17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243,362.83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102,863,642.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4,307,200.00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5,863,144.67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45,642,360.9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55,665,336.9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4" w:right="9852" w:hanging="360"/>
        <w:jc w:val="left"/>
      </w:pPr>
      <w:r>
        <w:rPr/>
        <w:t>其他说明： 注：</w:t>
      </w:r>
    </w:p>
    <w:p>
      <w:pPr>
        <w:pStyle w:val="BodyText"/>
        <w:spacing w:line="237" w:lineRule="exact"/>
        <w:ind w:left="514" w:right="0"/>
        <w:jc w:val="left"/>
      </w:pPr>
      <w:r>
        <w:rPr/>
        <w:t>（</w:t>
      </w:r>
      <w:r>
        <w:rPr>
          <w:rFonts w:ascii="Times New Roman" w:hAnsi="Times New Roman" w:cs="Times New Roman" w:eastAsia="Times New Roman" w:hint="default"/>
        </w:rPr>
        <w:t>1</w:t>
      </w:r>
      <w:r>
        <w:rPr/>
        <w:t>）本公司之子公司南通爱康金属科技有限公司</w:t>
      </w:r>
      <w:r>
        <w:rPr>
          <w:rFonts w:ascii="Times New Roman" w:hAnsi="Times New Roman" w:cs="Times New Roman" w:eastAsia="Times New Roman" w:hint="default"/>
        </w:rPr>
        <w:t>2011</w:t>
      </w:r>
      <w:r>
        <w:rPr/>
        <w:t>年根据与江苏省如皋经济开发区管委会签订的有关协议取得基建</w:t>
      </w:r>
    </w:p>
    <w:p>
      <w:pPr>
        <w:pStyle w:val="BodyText"/>
        <w:spacing w:line="240" w:lineRule="auto" w:before="63"/>
        <w:ind w:left="154" w:right="1122"/>
        <w:jc w:val="left"/>
      </w:pPr>
      <w:r>
        <w:rPr/>
        <w:t>建设投资返还款</w:t>
      </w:r>
      <w:r>
        <w:rPr>
          <w:rFonts w:ascii="Times New Roman" w:hAnsi="Times New Roman" w:cs="Times New Roman" w:eastAsia="Times New Roman" w:hint="default"/>
        </w:rPr>
        <w:t>37,360,000.00</w:t>
      </w:r>
      <w:r>
        <w:rPr/>
        <w:t>元，在相关资产寿命内分配计入当期损益，本年转入当期损益</w:t>
      </w:r>
      <w:r>
        <w:rPr>
          <w:rFonts w:ascii="Times New Roman" w:hAnsi="Times New Roman" w:cs="Times New Roman" w:eastAsia="Times New Roman" w:hint="default"/>
        </w:rPr>
        <w:t>747,200.00</w:t>
      </w:r>
      <w:r>
        <w:rPr/>
        <w:t>元。</w:t>
      </w:r>
    </w:p>
    <w:p>
      <w:pPr>
        <w:pStyle w:val="BodyText"/>
        <w:spacing w:line="300" w:lineRule="auto" w:before="63"/>
        <w:ind w:left="154" w:right="1131" w:firstLine="360"/>
        <w:jc w:val="both"/>
      </w:pPr>
      <w:r>
        <w:rPr/>
        <w:t>（</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23</w:t>
      </w:r>
      <w:r>
        <w:rPr/>
        <w:t>日青海省财政厅、青海省科学技术厅、青海省发展和改革委员会向财政部、科技部和国家能源 </w:t>
      </w:r>
      <w:r>
        <w:rPr>
          <w:spacing w:val="-1"/>
        </w:rPr>
        <w:t>局上报文件《关于调整</w:t>
      </w:r>
      <w:r>
        <w:rPr>
          <w:rFonts w:ascii="Times New Roman" w:hAnsi="Times New Roman" w:cs="Times New Roman" w:eastAsia="Times New Roman" w:hint="default"/>
          <w:spacing w:val="-1"/>
        </w:rPr>
        <w:t>2010</w:t>
      </w:r>
      <w:r>
        <w:rPr>
          <w:spacing w:val="-1"/>
        </w:rPr>
        <w:t>年金太阳示范工程总投资和财政补助资金的请示》（青财建字</w:t>
      </w:r>
      <w:r>
        <w:rPr>
          <w:rFonts w:ascii="Times New Roman" w:hAnsi="Times New Roman" w:cs="Times New Roman" w:eastAsia="Times New Roman" w:hint="default"/>
          <w:spacing w:val="-1"/>
        </w:rPr>
        <w:t>[2010]1977</w:t>
      </w:r>
      <w:r>
        <w:rPr>
          <w:spacing w:val="-1"/>
        </w:rPr>
        <w:t>号），本公司之孙公司</w:t>
      </w:r>
      <w:r>
        <w:rPr>
          <w:spacing w:val="-53"/>
        </w:rPr>
        <w:t> </w:t>
      </w:r>
      <w:r>
        <w:rPr>
          <w:spacing w:val="-53"/>
        </w:rPr>
      </w:r>
      <w:r>
        <w:rPr>
          <w:spacing w:val="-1"/>
        </w:rPr>
        <w:t>青海蓓翔新能源开发有限公司累计收到青海省海南州共和县光伏并网发电项目补助资金</w:t>
      </w:r>
      <w:r>
        <w:rPr>
          <w:rFonts w:ascii="Times New Roman" w:hAnsi="Times New Roman" w:cs="Times New Roman" w:eastAsia="Times New Roman" w:hint="default"/>
          <w:spacing w:val="-1"/>
        </w:rPr>
        <w:t>62,500,000.00</w:t>
      </w:r>
      <w:r>
        <w:rPr>
          <w:spacing w:val="-1"/>
        </w:rPr>
        <w:t>元。本年转入当期损益</w:t>
      </w:r>
      <w:r>
        <w:rPr>
          <w:spacing w:val="-70"/>
        </w:rPr>
        <w:t> </w:t>
      </w:r>
      <w:r>
        <w:rPr>
          <w:spacing w:val="-70"/>
        </w:rPr>
      </w:r>
      <w:r>
        <w:rPr>
          <w:rFonts w:ascii="Times New Roman" w:hAnsi="Times New Roman" w:cs="Times New Roman" w:eastAsia="Times New Roman" w:hint="default"/>
        </w:rPr>
        <w:t>2,795,138.94</w:t>
      </w:r>
      <w:r>
        <w:rPr/>
        <w:t>元。因本公司转让该公司股权导致补助资金余额</w:t>
      </w:r>
      <w:r>
        <w:rPr>
          <w:rFonts w:ascii="Times New Roman" w:hAnsi="Times New Roman" w:cs="Times New Roman" w:eastAsia="Times New Roman" w:hint="default"/>
        </w:rPr>
        <w:t>45,642,360.90</w:t>
      </w:r>
      <w:r>
        <w:rPr/>
        <w:t>元转出。</w:t>
      </w:r>
    </w:p>
    <w:p>
      <w:pPr>
        <w:pStyle w:val="BodyText"/>
        <w:spacing w:line="300" w:lineRule="auto" w:before="13"/>
        <w:ind w:left="154" w:right="1033" w:firstLine="360"/>
        <w:jc w:val="left"/>
      </w:pPr>
      <w:r>
        <w:rPr>
          <w:spacing w:val="-4"/>
        </w:rPr>
        <w:t>（</w:t>
      </w:r>
      <w:r>
        <w:rPr>
          <w:rFonts w:ascii="Times New Roman" w:hAnsi="Times New Roman" w:cs="Times New Roman" w:eastAsia="Times New Roman" w:hint="default"/>
          <w:spacing w:val="-4"/>
        </w:rPr>
        <w:t>3</w:t>
      </w:r>
      <w:r>
        <w:rPr>
          <w:spacing w:val="-4"/>
        </w:rPr>
        <w:t>）根据张家港市人民政府《关于印发关于鼓励太阳能光伏发电示范工程建设工作意见的通知》（张政发</w:t>
      </w:r>
      <w:r>
        <w:rPr>
          <w:rFonts w:ascii="Times New Roman" w:hAnsi="Times New Roman" w:cs="Times New Roman" w:eastAsia="Times New Roman" w:hint="default"/>
          <w:spacing w:val="-4"/>
        </w:rPr>
        <w:t>[2012]10</w:t>
      </w:r>
      <w:r>
        <w:rPr>
          <w:spacing w:val="-4"/>
        </w:rPr>
        <w:t>号），</w:t>
      </w:r>
      <w:r>
        <w:rPr/>
        <w:t> </w:t>
      </w:r>
      <w:r>
        <w:rPr>
          <w:spacing w:val="-2"/>
        </w:rPr>
        <w:t>本公司之孙公司苏州中康电力有限公司建设的苏州盛康科技有限公司</w:t>
      </w:r>
      <w:r>
        <w:rPr>
          <w:rFonts w:ascii="Times New Roman" w:hAnsi="Times New Roman" w:cs="Times New Roman" w:eastAsia="Times New Roman" w:hint="default"/>
          <w:spacing w:val="-2"/>
        </w:rPr>
        <w:t>2.23MW</w:t>
      </w:r>
      <w:r>
        <w:rPr>
          <w:spacing w:val="-2"/>
        </w:rPr>
        <w:t>屋顶项目、苏州爱康金属科技有限公司</w:t>
      </w:r>
      <w:r>
        <w:rPr>
          <w:rFonts w:ascii="Times New Roman" w:hAnsi="Times New Roman" w:cs="Times New Roman" w:eastAsia="Times New Roman" w:hint="default"/>
          <w:spacing w:val="-2"/>
        </w:rPr>
        <w:t>1MW</w:t>
      </w:r>
      <w:r>
        <w:rPr>
          <w:spacing w:val="-2"/>
        </w:rPr>
        <w:t>屋</w:t>
      </w:r>
      <w:r>
        <w:rPr>
          <w:spacing w:val="-49"/>
        </w:rPr>
        <w:t> </w:t>
      </w:r>
      <w:r>
        <w:rPr>
          <w:spacing w:val="-2"/>
        </w:rPr>
        <w:t>顶项目、苏州爱康薄膜新材料有限公司</w:t>
      </w:r>
      <w:r>
        <w:rPr>
          <w:rFonts w:ascii="Times New Roman" w:hAnsi="Times New Roman" w:cs="Times New Roman" w:eastAsia="Times New Roman" w:hint="default"/>
          <w:spacing w:val="-2"/>
        </w:rPr>
        <w:t>1MW</w:t>
      </w:r>
      <w:r>
        <w:rPr>
          <w:spacing w:val="-2"/>
        </w:rPr>
        <w:t>屋顶项目和江苏神州铝业有限公司</w:t>
      </w:r>
      <w:r>
        <w:rPr>
          <w:rFonts w:ascii="Times New Roman" w:hAnsi="Times New Roman" w:cs="Times New Roman" w:eastAsia="Times New Roman" w:hint="default"/>
          <w:spacing w:val="-2"/>
        </w:rPr>
        <w:t>1.5MW</w:t>
      </w:r>
      <w:r>
        <w:rPr>
          <w:spacing w:val="-2"/>
        </w:rPr>
        <w:t>屋顶项目等四个分布式光伏发电项目，</w:t>
      </w:r>
      <w:r>
        <w:rPr>
          <w:spacing w:val="-45"/>
        </w:rPr>
        <w:t> </w:t>
      </w:r>
      <w:r>
        <w:rPr>
          <w:spacing w:val="-2"/>
        </w:rPr>
        <w:t>由市政府按照</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瓦给予新兴产业投资基金光伏发电专项扶持资金补贴，累计收到</w:t>
      </w:r>
      <w:r>
        <w:rPr>
          <w:rFonts w:ascii="Times New Roman" w:hAnsi="Times New Roman" w:cs="Times New Roman" w:eastAsia="Times New Roman" w:hint="default"/>
          <w:spacing w:val="-2"/>
        </w:rPr>
        <w:t>5,730,000.00</w:t>
      </w:r>
      <w:r>
        <w:rPr>
          <w:spacing w:val="-2"/>
        </w:rPr>
        <w:t>元的补贴。本年转入当期损益</w:t>
      </w:r>
      <w:r>
        <w:rPr>
          <w:spacing w:val="-57"/>
        </w:rPr>
        <w:t> </w:t>
      </w:r>
      <w:r>
        <w:rPr>
          <w:spacing w:val="-57"/>
        </w:rPr>
      </w:r>
      <w:r>
        <w:rPr>
          <w:rFonts w:ascii="Times New Roman" w:hAnsi="Times New Roman" w:cs="Times New Roman" w:eastAsia="Times New Roman" w:hint="default"/>
        </w:rPr>
        <w:t>286,500.12</w:t>
      </w:r>
      <w:r>
        <w:rPr/>
        <w:t>元。</w:t>
      </w:r>
    </w:p>
    <w:p>
      <w:pPr>
        <w:pStyle w:val="BodyText"/>
        <w:spacing w:line="300" w:lineRule="auto" w:before="13"/>
        <w:ind w:left="154" w:right="1122" w:firstLine="360"/>
        <w:jc w:val="left"/>
      </w:pPr>
      <w:r>
        <w:rPr>
          <w:spacing w:val="-1"/>
        </w:rPr>
        <w:t>（</w:t>
      </w:r>
      <w:r>
        <w:rPr>
          <w:rFonts w:ascii="Times New Roman" w:hAnsi="Times New Roman" w:cs="Times New Roman" w:eastAsia="Times New Roman" w:hint="default"/>
          <w:spacing w:val="-1"/>
        </w:rPr>
        <w:t>4</w:t>
      </w:r>
      <w:r>
        <w:rPr>
          <w:spacing w:val="-1"/>
        </w:rPr>
        <w:t>）本公司之孙公司九州方园博州新能源有限公司取得商信委扶持资金</w:t>
      </w:r>
      <w:r>
        <w:rPr>
          <w:rFonts w:ascii="Times New Roman" w:hAnsi="Times New Roman" w:cs="Times New Roman" w:eastAsia="Times New Roman" w:hint="default"/>
          <w:spacing w:val="-1"/>
        </w:rPr>
        <w:t>4,000,000.00</w:t>
      </w:r>
      <w:r>
        <w:rPr>
          <w:spacing w:val="-1"/>
        </w:rPr>
        <w:t>元，在相关资产摊销年限内分配计</w:t>
      </w:r>
      <w:r>
        <w:rPr/>
        <w:t> 入当期损益。本年转入当期损益</w:t>
      </w:r>
      <w:r>
        <w:rPr>
          <w:rFonts w:ascii="Times New Roman" w:hAnsi="Times New Roman" w:cs="Times New Roman" w:eastAsia="Times New Roman" w:hint="default"/>
        </w:rPr>
        <w:t>200,000.00</w:t>
      </w:r>
      <w:r>
        <w:rPr/>
        <w:t>元。</w:t>
      </w:r>
    </w:p>
    <w:p>
      <w:pPr>
        <w:pStyle w:val="BodyText"/>
        <w:spacing w:line="240" w:lineRule="auto" w:before="13"/>
        <w:ind w:left="513" w:right="0"/>
        <w:jc w:val="left"/>
      </w:pPr>
      <w:r>
        <w:rPr/>
        <w:t>（</w:t>
      </w:r>
      <w:r>
        <w:rPr>
          <w:rFonts w:ascii="Times New Roman" w:hAnsi="Times New Roman" w:cs="Times New Roman" w:eastAsia="Times New Roman" w:hint="default"/>
        </w:rPr>
        <w:t>5</w:t>
      </w:r>
      <w:r>
        <w:rPr/>
        <w:t>）根据山东省财政厅发展和改革委员会文件《关于下达分布式光伏发电项目区域战略推进专项资金预算指标的通知》</w:t>
      </w:r>
    </w:p>
    <w:p>
      <w:pPr>
        <w:spacing w:after="0" w:line="24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2"/>
        <w:jc w:val="left"/>
      </w:pPr>
      <w:r>
        <w:rPr>
          <w:spacing w:val="8"/>
        </w:rPr>
        <w:t>（鲁财建指</w:t>
      </w:r>
      <w:r>
        <w:rPr>
          <w:rFonts w:ascii="Times New Roman" w:hAnsi="Times New Roman" w:cs="Times New Roman" w:eastAsia="Times New Roman" w:hint="default"/>
          <w:spacing w:val="8"/>
        </w:rPr>
        <w:t>[2015]150</w:t>
      </w:r>
      <w:r>
        <w:rPr>
          <w:spacing w:val="8"/>
        </w:rPr>
        <w:t>号），本公司之孙公司济南统联新能源有限公司</w:t>
      </w:r>
      <w:r>
        <w:rPr>
          <w:rFonts w:ascii="Times New Roman" w:hAnsi="Times New Roman" w:cs="Times New Roman" w:eastAsia="Times New Roman" w:hint="default"/>
          <w:spacing w:val="8"/>
        </w:rPr>
        <w:t>4.62MW</w:t>
      </w:r>
      <w:r>
        <w:rPr>
          <w:spacing w:val="8"/>
        </w:rPr>
        <w:t>分布式光伏发电项目获得专项资金补贴</w:t>
      </w:r>
      <w:r>
        <w:rPr>
          <w:spacing w:val="-88"/>
        </w:rPr>
        <w:t> </w:t>
      </w:r>
      <w:r>
        <w:rPr>
          <w:spacing w:val="-88"/>
        </w:rPr>
      </w:r>
      <w:r>
        <w:rPr>
          <w:rFonts w:ascii="Times New Roman" w:hAnsi="Times New Roman" w:cs="Times New Roman" w:eastAsia="Times New Roman" w:hint="default"/>
        </w:rPr>
        <w:t>2,140,000.00</w:t>
      </w:r>
      <w:r>
        <w:rPr/>
        <w:t>元。本年转入当期损益</w:t>
      </w:r>
      <w:r>
        <w:rPr>
          <w:rFonts w:ascii="Times New Roman" w:hAnsi="Times New Roman" w:cs="Times New Roman" w:eastAsia="Times New Roman" w:hint="default"/>
        </w:rPr>
        <w:t>107,000.00</w:t>
      </w:r>
      <w:r>
        <w:rPr/>
        <w:t>元。</w:t>
      </w:r>
    </w:p>
    <w:p>
      <w:pPr>
        <w:pStyle w:val="BodyText"/>
        <w:spacing w:line="300" w:lineRule="auto" w:before="13"/>
        <w:ind w:right="1132" w:firstLine="360"/>
        <w:jc w:val="both"/>
      </w:pPr>
      <w:r>
        <w:rPr>
          <w:spacing w:val="-2"/>
        </w:rPr>
        <w:t>（</w:t>
      </w:r>
      <w:r>
        <w:rPr>
          <w:rFonts w:ascii="Times New Roman" w:hAnsi="Times New Roman" w:cs="Times New Roman" w:eastAsia="Times New Roman" w:hint="default"/>
          <w:spacing w:val="-2"/>
        </w:rPr>
        <w:t>6</w:t>
      </w:r>
      <w:r>
        <w:rPr>
          <w:spacing w:val="-2"/>
        </w:rPr>
        <w:t>）根据</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日张家港市财政局、张家港市经济和信息化委员会、张家港市发展改革委员会、张家港市科技局</w:t>
      </w:r>
      <w:r>
        <w:rPr/>
        <w:t> </w:t>
      </w:r>
      <w:r>
        <w:rPr>
          <w:spacing w:val="-1"/>
        </w:rPr>
        <w:t>文件《关于下达</w:t>
      </w:r>
      <w:r>
        <w:rPr>
          <w:rFonts w:ascii="Times New Roman" w:hAnsi="Times New Roman" w:cs="Times New Roman" w:eastAsia="Times New Roman" w:hint="default"/>
          <w:spacing w:val="-1"/>
        </w:rPr>
        <w:t>2013</w:t>
      </w:r>
      <w:r>
        <w:rPr>
          <w:spacing w:val="-1"/>
        </w:rPr>
        <w:t>年度张家港市新兴产业投资基金无偿资助项目第一批资金的通知》（张财企</w:t>
      </w:r>
      <w:r>
        <w:rPr>
          <w:rFonts w:ascii="Times New Roman" w:hAnsi="Times New Roman" w:cs="Times New Roman" w:eastAsia="Times New Roman" w:hint="default"/>
          <w:spacing w:val="-1"/>
        </w:rPr>
        <w:t>[2013]35</w:t>
      </w:r>
      <w:r>
        <w:rPr>
          <w:spacing w:val="-1"/>
        </w:rPr>
        <w:t>号），本公司累计</w:t>
      </w:r>
      <w:r>
        <w:rPr>
          <w:spacing w:val="-54"/>
        </w:rPr>
        <w:t> </w:t>
      </w:r>
      <w:r>
        <w:rPr>
          <w:spacing w:val="-54"/>
        </w:rPr>
      </w:r>
      <w:r>
        <w:rPr/>
        <w:t>收到补助资金</w:t>
      </w:r>
      <w:r>
        <w:rPr>
          <w:rFonts w:ascii="Times New Roman" w:hAnsi="Times New Roman" w:cs="Times New Roman" w:eastAsia="Times New Roman" w:hint="default"/>
        </w:rPr>
        <w:t>16,161,300.00</w:t>
      </w:r>
      <w:r>
        <w:rPr/>
        <w:t>元。本期转入当期损益</w:t>
      </w:r>
      <w:r>
        <w:rPr>
          <w:rFonts w:ascii="Times New Roman" w:hAnsi="Times New Roman" w:cs="Times New Roman" w:eastAsia="Times New Roman" w:hint="default"/>
        </w:rPr>
        <w:t>1,697,576.40</w:t>
      </w:r>
      <w:r>
        <w:rPr/>
        <w:t>元。</w:t>
      </w:r>
    </w:p>
    <w:p>
      <w:pPr>
        <w:pStyle w:val="BodyText"/>
        <w:spacing w:line="300" w:lineRule="auto" w:before="13"/>
        <w:ind w:right="1130" w:firstLine="360"/>
        <w:jc w:val="both"/>
      </w:pPr>
      <w:r>
        <w:rPr/>
        <w:t>（</w:t>
      </w:r>
      <w:r>
        <w:rPr>
          <w:rFonts w:ascii="Times New Roman" w:hAnsi="Times New Roman" w:cs="Times New Roman" w:eastAsia="Times New Roman" w:hint="default"/>
        </w:rPr>
        <w:t>7</w:t>
      </w:r>
      <w:r>
        <w:rPr/>
        <w:t>）根据张家港市财政局、张家港市经济和信息化委员会文件《关于拨付</w:t>
      </w:r>
      <w:r>
        <w:rPr>
          <w:rFonts w:ascii="Times New Roman" w:hAnsi="Times New Roman" w:cs="Times New Roman" w:eastAsia="Times New Roman" w:hint="default"/>
        </w:rPr>
        <w:t>2016</w:t>
      </w:r>
      <w:r>
        <w:rPr/>
        <w:t>年先进制造产业项目和电商平台奖补资 </w:t>
      </w:r>
      <w:r>
        <w:rPr>
          <w:spacing w:val="-2"/>
        </w:rPr>
        <w:t>金（第一批）的通知》（张财企</w:t>
      </w:r>
      <w:r>
        <w:rPr>
          <w:rFonts w:ascii="Times New Roman" w:hAnsi="Times New Roman" w:cs="Times New Roman" w:eastAsia="Times New Roman" w:hint="default"/>
          <w:spacing w:val="-2"/>
        </w:rPr>
        <w:t>[2017]26</w:t>
      </w:r>
      <w:r>
        <w:rPr>
          <w:spacing w:val="-2"/>
        </w:rPr>
        <w:t>号），本公司之子公司苏州爱康光电科技有限公司收到年产</w:t>
      </w:r>
      <w:r>
        <w:rPr>
          <w:rFonts w:ascii="Times New Roman" w:hAnsi="Times New Roman" w:cs="Times New Roman" w:eastAsia="Times New Roman" w:hint="default"/>
          <w:spacing w:val="-2"/>
        </w:rPr>
        <w:t>300MW</w:t>
      </w:r>
      <w:r>
        <w:rPr>
          <w:spacing w:val="-2"/>
        </w:rPr>
        <w:t>太阳能电池组件</w:t>
      </w:r>
      <w:r>
        <w:rPr>
          <w:spacing w:val="-60"/>
        </w:rPr>
        <w:t> </w:t>
      </w:r>
      <w:r>
        <w:rPr>
          <w:spacing w:val="-60"/>
        </w:rPr>
      </w:r>
      <w:r>
        <w:rPr/>
        <w:t>扩建项目补贴</w:t>
      </w:r>
      <w:r>
        <w:rPr>
          <w:rFonts w:ascii="Times New Roman" w:hAnsi="Times New Roman" w:cs="Times New Roman" w:eastAsia="Times New Roman" w:hint="default"/>
        </w:rPr>
        <w:t>457,200.00   </w:t>
      </w:r>
      <w:r>
        <w:rPr>
          <w:rFonts w:ascii="Times New Roman" w:hAnsi="Times New Roman" w:cs="Times New Roman" w:eastAsia="Times New Roman" w:hint="default"/>
          <w:spacing w:val="28"/>
        </w:rPr>
        <w:t> </w:t>
      </w:r>
      <w:r>
        <w:rPr/>
        <w:t>元，本期转入当期损益</w:t>
      </w:r>
      <w:r>
        <w:rPr>
          <w:rFonts w:ascii="Times New Roman" w:hAnsi="Times New Roman" w:cs="Times New Roman" w:eastAsia="Times New Roman" w:hint="default"/>
        </w:rPr>
        <w:t>8,092.04</w:t>
      </w:r>
      <w:r>
        <w:rPr/>
        <w:t>元。</w:t>
      </w:r>
    </w:p>
    <w:p>
      <w:pPr>
        <w:pStyle w:val="BodyText"/>
        <w:spacing w:line="300" w:lineRule="auto" w:before="13"/>
        <w:ind w:right="1129" w:firstLine="360"/>
        <w:jc w:val="both"/>
      </w:pPr>
      <w:r>
        <w:rPr/>
        <w:t>（</w:t>
      </w:r>
      <w:r>
        <w:rPr>
          <w:rFonts w:ascii="Times New Roman" w:hAnsi="Times New Roman" w:cs="Times New Roman" w:eastAsia="Times New Roman" w:hint="default"/>
        </w:rPr>
        <w:t>8</w:t>
      </w:r>
      <w:r>
        <w:rPr/>
        <w:t>）根据《关于印发〈新疆维吾尔自治区地方特色产业中小企业发展资金管理实施细则〉的通知》和《关于下达</w:t>
      </w:r>
      <w:r>
        <w:rPr>
          <w:rFonts w:ascii="Times New Roman" w:hAnsi="Times New Roman" w:cs="Times New Roman" w:eastAsia="Times New Roman" w:hint="default"/>
        </w:rPr>
        <w:t>2017 </w:t>
      </w:r>
      <w:r>
        <w:rPr>
          <w:spacing w:val="-2"/>
        </w:rPr>
        <w:t>年自治区地方特色产业中小企业发展专项资金的通知》（新财企〔</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47</w:t>
      </w:r>
      <w:r>
        <w:rPr>
          <w:spacing w:val="-2"/>
        </w:rPr>
        <w:t>号）文件，本公司之孙公司新疆爱康电力开发有</w:t>
      </w:r>
      <w:r>
        <w:rPr>
          <w:spacing w:val="-63"/>
        </w:rPr>
        <w:t> </w:t>
      </w:r>
      <w:r>
        <w:rPr>
          <w:spacing w:val="-63"/>
        </w:rPr>
      </w:r>
      <w:r>
        <w:rPr/>
        <w:t>限公司累计收到新疆维吾尔自治区地方特色产业中小企业发展专项资金</w:t>
      </w:r>
      <w:r>
        <w:rPr>
          <w:rFonts w:ascii="Times New Roman" w:hAnsi="Times New Roman" w:cs="Times New Roman" w:eastAsia="Times New Roman" w:hint="default"/>
        </w:rPr>
        <w:t>250,000.00</w:t>
      </w:r>
      <w:r>
        <w:rPr/>
        <w:t>元。本年转入当期损益</w:t>
      </w:r>
      <w:r>
        <w:rPr>
          <w:rFonts w:ascii="Times New Roman" w:hAnsi="Times New Roman" w:cs="Times New Roman" w:eastAsia="Times New Roman" w:hint="default"/>
        </w:rPr>
        <w:t>6,637.17</w:t>
      </w:r>
      <w:r>
        <w:rPr/>
        <w:t>元。</w:t>
      </w:r>
    </w:p>
    <w:p>
      <w:pPr>
        <w:pStyle w:val="BodyText"/>
        <w:spacing w:line="300" w:lineRule="auto" w:before="13"/>
        <w:ind w:right="1132" w:firstLine="290"/>
        <w:jc w:val="both"/>
      </w:pPr>
      <w:r>
        <w:rPr/>
        <w:t>（</w:t>
      </w:r>
      <w:r>
        <w:rPr>
          <w:rFonts w:ascii="Times New Roman" w:hAnsi="Times New Roman" w:cs="Times New Roman" w:eastAsia="Times New Roman" w:hint="default"/>
        </w:rPr>
        <w:t>9</w:t>
      </w:r>
      <w:r>
        <w:rPr/>
        <w:t>）根据本公司之孙公司赣州爱康光电科技有限公司与赣州市南康区人民政府签订的有关协议，本公司收到对组件项</w:t>
      </w:r>
      <w:r>
        <w:rPr>
          <w:spacing w:val="1"/>
        </w:rPr>
        <w:t> </w:t>
      </w:r>
      <w:r>
        <w:rPr/>
        <w:t>目厂房设备和基础设施的补贴款</w:t>
      </w:r>
      <w:r>
        <w:rPr>
          <w:rFonts w:ascii="Times New Roman" w:hAnsi="Times New Roman" w:cs="Times New Roman" w:eastAsia="Times New Roman" w:hint="default"/>
        </w:rPr>
        <w:t>3,600,000.00</w:t>
      </w:r>
      <w:r>
        <w:rPr/>
        <w:t>元，本期转入当期损益</w:t>
      </w:r>
      <w:r>
        <w:rPr>
          <w:rFonts w:ascii="Times New Roman" w:hAnsi="Times New Roman" w:cs="Times New Roman" w:eastAsia="Times New Roman" w:hint="default"/>
        </w:rPr>
        <w:t>15,000.00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1122"/>
        <w:jc w:val="left"/>
        <w:rPr>
          <w:b w:val="0"/>
          <w:bCs w:val="0"/>
        </w:rPr>
      </w:pPr>
      <w:bookmarkStart w:name="52、其他非流动负债" w:id="360"/>
      <w:bookmarkEnd w:id="360"/>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3、股本" w:id="361"/>
      <w:bookmarkEnd w:id="361"/>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2"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4,490,861,600.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4,490,861,600.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2"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9853"/>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left="154" w:right="1122"/>
        <w:jc w:val="left"/>
        <w:rPr>
          <w:b w:val="0"/>
          <w:bCs w:val="0"/>
        </w:rPr>
      </w:pPr>
      <w:bookmarkStart w:name="54、其他权益工具" w:id="362"/>
      <w:bookmarkEnd w:id="362"/>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期末发行在外的优先股、永续债等其他金融工具基本情况" w:id="363"/>
      <w:bookmarkEnd w:id="363"/>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2）期末发行在外的优先股、永续债等金融工具变动情况表" w:id="364"/>
      <w:bookmarkEnd w:id="364"/>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4633"/>
        <w:jc w:val="left"/>
      </w:pPr>
      <w:r>
        <w:rPr/>
        <w:t>其他权益工具本期增减变动情况、变动原因说明，以及相关会计处理的依据：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55、资本公积" w:id="365"/>
      <w:bookmarkEnd w:id="365"/>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828,941,137.22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32,055,900.00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860,947,037.22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843,941,137.22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39,055,900.00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22,050,000.00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860,947,037.22</w:t>
            </w:r>
          </w:p>
        </w:tc>
      </w:tr>
    </w:tbl>
    <w:p>
      <w:pPr>
        <w:pStyle w:val="BodyText"/>
        <w:spacing w:line="357" w:lineRule="auto" w:before="51"/>
        <w:ind w:left="514" w:right="1122" w:hanging="360"/>
        <w:jc w:val="left"/>
      </w:pPr>
      <w:r>
        <w:rPr/>
        <w:t>其他说明，包括本期增减变动情况、变动原因说明： </w:t>
      </w:r>
      <w:r>
        <w:rPr>
          <w:spacing w:val="-1"/>
        </w:rPr>
        <w:t>注：资本溢价本年增加中</w:t>
      </w:r>
      <w:r>
        <w:rPr>
          <w:rFonts w:ascii="Times New Roman" w:hAnsi="Times New Roman" w:cs="Times New Roman" w:eastAsia="Times New Roman" w:hint="default"/>
          <w:spacing w:val="-1"/>
        </w:rPr>
        <w:t>10,945,300.00</w:t>
      </w:r>
      <w:r>
        <w:rPr>
          <w:spacing w:val="-1"/>
        </w:rPr>
        <w:t>元为收到江苏爱康实业集团有限公司支付的赣发租赁业绩承诺未实现金额部分的</w:t>
      </w:r>
    </w:p>
    <w:p>
      <w:pPr>
        <w:pStyle w:val="BodyText"/>
        <w:spacing w:line="201" w:lineRule="exact"/>
        <w:ind w:left="154" w:right="0"/>
        <w:jc w:val="left"/>
      </w:pPr>
      <w:r>
        <w:rPr/>
        <w:t>补偿款</w:t>
      </w:r>
      <w:r>
        <w:rPr>
          <w:spacing w:val="-82"/>
        </w:rPr>
        <w:t>；</w:t>
      </w:r>
      <w:r>
        <w:rPr/>
        <w:t>其余增减变动金额为本年本公司同一控制下企业合并阳泉爱康太阳能发电有限公司和江苏爱康能源研究院有限公司</w:t>
      </w:r>
    </w:p>
    <w:p>
      <w:pPr>
        <w:pStyle w:val="BodyText"/>
        <w:spacing w:line="240" w:lineRule="auto" w:before="76"/>
        <w:ind w:left="154" w:right="1122"/>
        <w:jc w:val="left"/>
      </w:pPr>
      <w:r>
        <w:rPr/>
        <w:t>形成。</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56、库存股" w:id="366"/>
      <w:bookmarkEnd w:id="366"/>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为奖励职工而收购的本 公司股份</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49,632,060.79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49,632,060.79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49,632,060.79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49,632,060.79</w:t>
            </w:r>
          </w:p>
        </w:tc>
      </w:tr>
    </w:tbl>
    <w:p>
      <w:pPr>
        <w:pStyle w:val="BodyText"/>
        <w:spacing w:line="357" w:lineRule="auto" w:before="51"/>
        <w:ind w:left="514" w:right="1212" w:hanging="360"/>
        <w:jc w:val="left"/>
      </w:pPr>
      <w:r>
        <w:rPr/>
        <w:t>其他说明，包括本期增减变动情况、变动原因说明： 注：本公司于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日召开</w:t>
      </w:r>
      <w:r>
        <w:rPr>
          <w:rFonts w:ascii="Times New Roman" w:hAnsi="Times New Roman" w:cs="Times New Roman" w:eastAsia="Times New Roman" w:hint="default"/>
        </w:rPr>
        <w:t>2017</w:t>
      </w:r>
      <w:r>
        <w:rPr/>
        <w:t>年第一次临时股东大会并审议通过《关于回购公司股份以实施股权激励计划的议</w:t>
      </w:r>
    </w:p>
    <w:p>
      <w:pPr>
        <w:pStyle w:val="BodyText"/>
        <w:spacing w:line="214" w:lineRule="exact"/>
        <w:ind w:right="0"/>
        <w:jc w:val="left"/>
      </w:pPr>
      <w:r>
        <w:rPr>
          <w:spacing w:val="-12"/>
        </w:rPr>
        <w:t>案》。回购议案规定：在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5"/>
        </w:rPr>
        <w:t> </w:t>
      </w:r>
      <w:r>
        <w:rPr/>
        <w:t>日前以不超过</w:t>
      </w:r>
      <w:r>
        <w:rPr>
          <w:rFonts w:ascii="Times New Roman" w:hAnsi="Times New Roman" w:cs="Times New Roman" w:eastAsia="Times New Roman" w:hint="default"/>
        </w:rPr>
        <w:t>3.55</w:t>
      </w:r>
      <w:r>
        <w:rPr/>
        <w:t>元</w:t>
      </w:r>
      <w:r>
        <w:rPr>
          <w:rFonts w:ascii="Times New Roman" w:hAnsi="Times New Roman" w:cs="Times New Roman" w:eastAsia="Times New Roman" w:hint="default"/>
        </w:rPr>
        <w:t>/</w:t>
      </w:r>
      <w:r>
        <w:rPr/>
        <w:t>股的价格，使用自有资金以集中竞价交易方式回购公司股份，</w:t>
      </w:r>
    </w:p>
    <w:p>
      <w:pPr>
        <w:pStyle w:val="BodyText"/>
        <w:spacing w:line="300" w:lineRule="auto" w:before="63"/>
        <w:ind w:right="1122"/>
        <w:jc w:val="left"/>
      </w:pPr>
      <w:r>
        <w:rPr>
          <w:spacing w:val="-2"/>
        </w:rPr>
        <w:t>用于后期实施股权激励计划；回购总金额最高不超过人民币</w:t>
      </w:r>
      <w:r>
        <w:rPr>
          <w:rFonts w:ascii="Times New Roman" w:hAnsi="Times New Roman" w:cs="Times New Roman" w:eastAsia="Times New Roman" w:hint="default"/>
          <w:spacing w:val="-2"/>
        </w:rPr>
        <w:t>6,000</w:t>
      </w:r>
      <w:r>
        <w:rPr>
          <w:spacing w:val="-2"/>
        </w:rPr>
        <w:t>万元，回购股份数不超过</w:t>
      </w:r>
      <w:r>
        <w:rPr>
          <w:rFonts w:ascii="Times New Roman" w:hAnsi="Times New Roman" w:cs="Times New Roman" w:eastAsia="Times New Roman" w:hint="default"/>
          <w:spacing w:val="-2"/>
        </w:rPr>
        <w:t>1,700</w:t>
      </w:r>
      <w:r>
        <w:rPr>
          <w:spacing w:val="-2"/>
        </w:rPr>
        <w:t>万股。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月公司实施了</w:t>
      </w:r>
      <w:r>
        <w:rPr>
          <w:spacing w:val="-53"/>
        </w:rPr>
        <w:t> </w:t>
      </w:r>
      <w:r>
        <w:rPr>
          <w:spacing w:val="-53"/>
        </w:rPr>
      </w:r>
      <w:r>
        <w:rPr/>
        <w:t>股份回购，实际购买公司股票</w:t>
      </w:r>
      <w:r>
        <w:rPr>
          <w:rFonts w:ascii="Times New Roman" w:hAnsi="Times New Roman" w:cs="Times New Roman" w:eastAsia="Times New Roman" w:hint="default"/>
        </w:rPr>
        <w:t>16,900,000</w:t>
      </w:r>
      <w:r>
        <w:rPr/>
        <w:t>股，约占公司股本总额的</w:t>
      </w:r>
      <w:r>
        <w:rPr>
          <w:rFonts w:ascii="Times New Roman" w:hAnsi="Times New Roman" w:cs="Times New Roman" w:eastAsia="Times New Roman" w:hint="default"/>
        </w:rPr>
        <w:t>0.38%</w:t>
      </w:r>
      <w:r>
        <w:rPr/>
        <w:t>；实际支付资金总额为人民币</w:t>
      </w:r>
      <w:r>
        <w:rPr>
          <w:rFonts w:ascii="Times New Roman" w:hAnsi="Times New Roman" w:cs="Times New Roman" w:eastAsia="Times New Roman" w:hint="default"/>
        </w:rPr>
        <w:t>49,632,060.79</w:t>
      </w:r>
      <w:r>
        <w:rPr/>
        <w:t>元。</w:t>
      </w:r>
    </w:p>
    <w:p>
      <w:pPr>
        <w:spacing w:line="240" w:lineRule="auto" w:before="1"/>
        <w:rPr>
          <w:rFonts w:ascii="宋体" w:hAnsi="宋体" w:cs="宋体" w:eastAsia="宋体" w:hint="default"/>
          <w:sz w:val="22"/>
          <w:szCs w:val="22"/>
        </w:rPr>
      </w:pPr>
    </w:p>
    <w:p>
      <w:pPr>
        <w:pStyle w:val="Heading3"/>
        <w:spacing w:line="240" w:lineRule="auto"/>
        <w:ind w:left="154" w:right="1122"/>
        <w:jc w:val="left"/>
        <w:rPr>
          <w:b w:val="0"/>
          <w:bCs w:val="0"/>
        </w:rPr>
      </w:pPr>
      <w:bookmarkStart w:name="57、其他综合收益" w:id="367"/>
      <w:bookmarkEnd w:id="367"/>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811"/>
        <w:gridCol w:w="1070"/>
        <w:gridCol w:w="935"/>
        <w:gridCol w:w="1152"/>
        <w:gridCol w:w="935"/>
        <w:gridCol w:w="936"/>
        <w:gridCol w:w="935"/>
        <w:gridCol w:w="796"/>
      </w:tblGrid>
      <w:tr>
        <w:trPr>
          <w:trHeight w:val="403" w:hRule="exact"/>
        </w:trPr>
        <w:tc>
          <w:tcPr>
            <w:tcW w:w="2811"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811"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811"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811"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6"/>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-8,344,605.64</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580,321.40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580,321.40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-7,764,28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4.24</w:t>
            </w:r>
          </w:p>
        </w:tc>
      </w:tr>
      <w:tr>
        <w:trPr>
          <w:trHeight w:val="162"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-8,344,605.64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580,321.40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580,321.40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-7,764,28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4.24</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2" w:hRule="exact"/>
        </w:trPr>
        <w:tc>
          <w:tcPr>
            <w:tcW w:w="281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-8,344,605.64</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580,321.40</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580,321.40</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-7,764,28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4.24</w:t>
            </w:r>
          </w:p>
        </w:tc>
      </w:tr>
      <w:tr>
        <w:trPr>
          <w:trHeight w:val="391" w:hRule="exact"/>
        </w:trPr>
        <w:tc>
          <w:tcPr>
            <w:tcW w:w="28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pStyle w:val="BodyText"/>
        <w:spacing w:line="357" w:lineRule="auto" w:before="51"/>
        <w:ind w:right="4093"/>
        <w:jc w:val="left"/>
      </w:pPr>
      <w:r>
        <w:rPr/>
        <w:t>其他说明，包括对现金流量套期损益的有效部分转为被套期项目初始确认金额调整： 无</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58、专项储备" w:id="368"/>
      <w:bookmarkEnd w:id="368"/>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2"/>
        <w:ind w:left="154" w:right="1122"/>
        <w:jc w:val="left"/>
      </w:pPr>
      <w:r>
        <w:rPr/>
        <w:t>其他说明，包括本期增减变动情况、变动原因说明：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59、盈余公积" w:id="369"/>
      <w:bookmarkEnd w:id="369"/>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42,869,202.55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11,177,385.79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54,046,588.34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42,869,202.55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11,177,385.79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54,046,588.34</w:t>
            </w:r>
          </w:p>
        </w:tc>
      </w:tr>
    </w:tbl>
    <w:p>
      <w:pPr>
        <w:pStyle w:val="BodyText"/>
        <w:spacing w:line="357" w:lineRule="auto" w:before="51"/>
        <w:ind w:left="514" w:right="1115" w:hanging="360"/>
        <w:jc w:val="left"/>
      </w:pPr>
      <w:r>
        <w:rPr/>
        <w:t>盈余公积说明，包括本期增减变动情况、变动原因说明： </w:t>
      </w:r>
      <w:r>
        <w:rPr>
          <w:spacing w:val="-1"/>
        </w:rPr>
        <w:t>注：根据《公司法》、公司章程的规定，本公司按净利润的</w:t>
      </w:r>
      <w:r>
        <w:rPr>
          <w:rFonts w:ascii="Times New Roman" w:hAnsi="Times New Roman" w:cs="Times New Roman" w:eastAsia="Times New Roman" w:hint="default"/>
          <w:spacing w:val="-1"/>
        </w:rPr>
        <w:t>10%</w:t>
      </w:r>
      <w:r>
        <w:rPr>
          <w:spacing w:val="-1"/>
        </w:rPr>
        <w:t>提取法定盈余公积。法定盈余公积累计额达到本公司注</w:t>
      </w:r>
    </w:p>
    <w:p>
      <w:pPr>
        <w:pStyle w:val="BodyText"/>
        <w:spacing w:line="214" w:lineRule="exact"/>
        <w:ind w:right="1122"/>
        <w:jc w:val="left"/>
      </w:pPr>
      <w:r>
        <w:rPr/>
        <w:t>册资本</w:t>
      </w:r>
      <w:r>
        <w:rPr>
          <w:rFonts w:ascii="Times New Roman" w:hAnsi="Times New Roman" w:cs="Times New Roman" w:eastAsia="Times New Roman" w:hint="default"/>
        </w:rPr>
        <w:t>50%</w:t>
      </w:r>
      <w:r>
        <w:rPr/>
        <w:t>以上的，不再提取。</w:t>
      </w:r>
    </w:p>
    <w:p>
      <w:pPr>
        <w:spacing w:line="240" w:lineRule="auto" w:before="11"/>
        <w:rPr>
          <w:rFonts w:ascii="宋体" w:hAnsi="宋体" w:cs="宋体" w:eastAsia="宋体" w:hint="default"/>
          <w:sz w:val="25"/>
          <w:szCs w:val="25"/>
        </w:rPr>
      </w:pPr>
    </w:p>
    <w:p>
      <w:pPr>
        <w:pStyle w:val="Heading3"/>
        <w:spacing w:line="240" w:lineRule="auto"/>
        <w:ind w:left="154" w:right="1122"/>
        <w:jc w:val="left"/>
        <w:rPr>
          <w:b w:val="0"/>
          <w:bCs w:val="0"/>
        </w:rPr>
      </w:pPr>
      <w:bookmarkStart w:name="60、未分配利润" w:id="370"/>
      <w:bookmarkEnd w:id="370"/>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264,329,822.15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259,786,052.41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-14,966,477.11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264,329,822.15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244,819,575.30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113,455,312.64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141,227,739.68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11,177,385.79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9,445,952.83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112,271,540.00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366,607,749.00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264,329,822.15</w:t>
            </w:r>
          </w:p>
        </w:tc>
      </w:tr>
    </w:tbl>
    <w:p>
      <w:pPr>
        <w:pStyle w:val="BodyText"/>
        <w:spacing w:line="240" w:lineRule="auto" w:before="51"/>
        <w:ind w:left="154" w:right="1122"/>
        <w:jc w:val="left"/>
      </w:pPr>
      <w:r>
        <w:rPr/>
        <w:t>调整期初未分配利润明细：</w:t>
      </w:r>
    </w:p>
    <w:p>
      <w:pPr>
        <w:pStyle w:val="BodyText"/>
        <w:spacing w:line="240" w:lineRule="auto" w:before="117"/>
        <w:ind w:left="154" w:right="1122"/>
        <w:jc w:val="left"/>
      </w:pPr>
      <w:r>
        <w:rPr>
          <w:rFonts w:ascii="Times New Roman" w:hAnsi="Times New Roman" w:cs="Times New Roman" w:eastAsia="Times New Roman" w:hint="default"/>
        </w:rPr>
        <w:t>1)</w:t>
      </w:r>
      <w:r>
        <w:rPr/>
        <w:t>、由于《企业会计准则》及其相关新规定进行追溯调整，影响期初未分配利润</w:t>
      </w:r>
      <w:r>
        <w:rPr>
          <w:rFonts w:ascii="Times New Roman" w:hAnsi="Times New Roman" w:cs="Times New Roman" w:eastAsia="Times New Roman" w:hint="default"/>
        </w:rPr>
        <w:t>-14,966,477.11</w:t>
      </w:r>
      <w:r>
        <w:rPr>
          <w:rFonts w:ascii="Times New Roman" w:hAnsi="Times New Roman" w:cs="Times New Roman" w:eastAsia="Times New Roman" w:hint="default"/>
          <w:spacing w:val="-10"/>
        </w:rPr>
        <w:t> </w:t>
      </w:r>
      <w:r>
        <w:rPr/>
        <w:t>元。</w:t>
      </w:r>
    </w:p>
    <w:p>
      <w:pPr>
        <w:pStyle w:val="BodyText"/>
        <w:spacing w:line="240" w:lineRule="auto" w:before="102"/>
        <w:ind w:right="1122"/>
        <w:jc w:val="left"/>
      </w:pPr>
      <w:r>
        <w:rPr>
          <w:rFonts w:ascii="Times New Roman" w:hAnsi="Times New Roman" w:cs="Times New Roman" w:eastAsia="Times New Roman" w:hint="default"/>
        </w:rPr>
        <w:t>2)</w:t>
      </w:r>
      <w:r>
        <w:rPr/>
        <w:t>、由于会计政策变更，影响期初未分配利润元。</w:t>
      </w:r>
    </w:p>
    <w:p>
      <w:pPr>
        <w:pStyle w:val="BodyText"/>
        <w:spacing w:line="240" w:lineRule="auto" w:before="103"/>
        <w:ind w:left="154" w:right="1122"/>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2"/>
        <w:ind w:left="154" w:right="1122"/>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2"/>
        <w:ind w:right="1122"/>
        <w:jc w:val="left"/>
      </w:pPr>
      <w:r>
        <w:rPr>
          <w:rFonts w:ascii="Times New Roman" w:hAnsi="Times New Roman" w:cs="Times New Roman" w:eastAsia="Times New Roman" w:hint="default"/>
        </w:rPr>
        <w:t>5)</w:t>
      </w:r>
      <w:r>
        <w:rPr/>
        <w:t>、其他调整合计影响期初未分配利润元。</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61、营业收入和营业成本" w:id="371"/>
      <w:bookmarkEnd w:id="371"/>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4,498,184,507.65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3,651,188,066.11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3,740,394,889.29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3,023,365,325.56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358,308,741.89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357,716,189.45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158,871,802.71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171,023,243.11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4,856,493,249.54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4,008,904,255.56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3,899,266,692.00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3,194,388,568.67</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62、税金及附加" w:id="372"/>
      <w:bookmarkEnd w:id="372"/>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8,134,557.34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7,245,584.12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4,684,626.38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4,219,064.62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5,664,794.72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5,398,223.03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17,723,450.13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6,057,765.86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11,003.68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7,858.46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3,707,600.04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3,297,327.37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1,036,866.01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3,123,084.25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2,813,147.77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128,965.20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105,072.53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43,178,081.74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30,180,909.77</w:t>
            </w:r>
          </w:p>
        </w:tc>
      </w:tr>
    </w:tbl>
    <w:p>
      <w:pPr>
        <w:pStyle w:val="BodyText"/>
        <w:spacing w:line="240" w:lineRule="auto" w:before="51"/>
        <w:ind w:left="154" w:right="1122"/>
        <w:jc w:val="left"/>
      </w:pPr>
      <w:r>
        <w:rPr/>
        <w:t>其他说明：</w:t>
      </w:r>
    </w:p>
    <w:p>
      <w:pPr>
        <w:pStyle w:val="BodyText"/>
        <w:spacing w:line="240" w:lineRule="auto" w:before="116"/>
        <w:ind w:left="514" w:right="1122"/>
        <w:jc w:val="left"/>
      </w:pPr>
      <w:r>
        <w:rPr/>
        <w:t>注：各项税金及附加的计缴标准详见附注六、税项。</w:t>
      </w:r>
    </w:p>
    <w:p>
      <w:pPr>
        <w:spacing w:line="240" w:lineRule="auto" w:before="12"/>
        <w:rPr>
          <w:rFonts w:ascii="宋体" w:hAnsi="宋体" w:cs="宋体" w:eastAsia="宋体" w:hint="default"/>
          <w:sz w:val="26"/>
          <w:szCs w:val="26"/>
        </w:rPr>
      </w:pPr>
    </w:p>
    <w:p>
      <w:pPr>
        <w:pStyle w:val="Heading3"/>
        <w:spacing w:line="240" w:lineRule="auto"/>
        <w:ind w:left="154" w:right="1122"/>
        <w:jc w:val="left"/>
        <w:rPr>
          <w:b w:val="0"/>
          <w:bCs w:val="0"/>
        </w:rPr>
      </w:pPr>
      <w:bookmarkStart w:name="63、销售费用" w:id="373"/>
      <w:bookmarkEnd w:id="373"/>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62,051,354.87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44,214,299.09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18,515,666.13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17,299,336.70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产品质量保证金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9,005,741.61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5,060,939.97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5,364,990.62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4,189,027.02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4,006,027.09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3,520,477.92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1,181,978.08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3,469,122.02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展会费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2,066,913.14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1,983,516.76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2,447,170.92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1,046,652.98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1,353,652.13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1,638,460.51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3,903,556.37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3,726,309.55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111,535,511.47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84,509,682.01</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4、管理费用" w:id="374"/>
      <w:bookmarkEnd w:id="374"/>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112,499,081.80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66,992,408.74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17,815,045.04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19,655,611.28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13,054,273.05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14,674,093.04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13,142,889.89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14,279,884.09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10,951,754.86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10,432,872.24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9,393,229.32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9,103,465.40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9,343,687.99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8,038,822.79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8,150,361.45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4,926,817.71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8,743,566.51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3,758,624.13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认证费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3,267,798.29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4,293,701.67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31,013,636.63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32,188,197.51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237,375,324.83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188,344,498.60</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5、财务费用" w:id="375"/>
      <w:bookmarkEnd w:id="375"/>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487,021,129.28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463,595,656.50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37,229,247.86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50,490,061.15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25,144,446.98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42,916,741.91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21,254,269.65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-29,561,338.22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5,724,239.68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7,706,966.34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451,625,943.77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348,334,481.56</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6、资产减值损失" w:id="376"/>
      <w:bookmarkEnd w:id="376"/>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11,646,653.52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9,877,021.38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4,851,388.01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10,593,462.33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11,905,335.82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3,817,360.30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5,712,000.00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37,932,737.65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20,470,483.71</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7、公允价值变动收益" w:id="377"/>
      <w:bookmarkEnd w:id="377"/>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1"/>
              <w:jc w:val="left"/>
              <w:rPr>
                <w:rFonts w:ascii="宋体" w:hAnsi="宋体" w:cs="宋体" w:eastAsia="宋体" w:hint="default"/>
                <w:sz w:val="18"/>
                <w:szCs w:val="18"/>
              </w:rPr>
            </w:pPr>
            <w:r>
              <w:rPr>
                <w:rFonts w:ascii="宋体" w:hAnsi="宋体" w:cs="宋体" w:eastAsia="宋体" w:hint="default"/>
                <w:sz w:val="18"/>
                <w:szCs w:val="18"/>
              </w:rPr>
              <w:t>以公允价值计量的且其变动计入当期损 益的金融资产</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3,180,447.00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8、投资收益" w:id="378"/>
      <w:bookmarkEnd w:id="378"/>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18,013,394.12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19,943,411.46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35,168,999.07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99,294,981.45</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99,760.00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16,182,569.45</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69,464,722.64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119,238,392.91</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9、资产处置收益" w:id="379"/>
      <w:bookmarkEnd w:id="379"/>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20,905,514.43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4,913,978.60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-4,817,353.18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-5,339,338.32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16,088,161.25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-425,359.72</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70、其他收益" w:id="380"/>
      <w:bookmarkEnd w:id="380"/>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0"/>
              <w:jc w:val="left"/>
              <w:rPr>
                <w:rFonts w:ascii="宋体" w:hAnsi="宋体" w:cs="宋体" w:eastAsia="宋体" w:hint="default"/>
                <w:sz w:val="18"/>
                <w:szCs w:val="18"/>
              </w:rPr>
            </w:pPr>
            <w:r>
              <w:rPr>
                <w:rFonts w:ascii="宋体" w:hAnsi="宋体" w:cs="宋体" w:eastAsia="宋体" w:hint="default"/>
                <w:sz w:val="18"/>
                <w:szCs w:val="18"/>
              </w:rPr>
              <w:t>政府补助（详见七、</w:t>
            </w:r>
            <w:r>
              <w:rPr>
                <w:rFonts w:ascii="Times New Roman" w:hAnsi="Times New Roman" w:cs="Times New Roman" w:eastAsia="Times New Roman" w:hint="default"/>
                <w:sz w:val="18"/>
                <w:szCs w:val="18"/>
              </w:rPr>
              <w:t>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计入当期损益的 政府补助明细）</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57,357,378.77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tabs>
                <w:tab w:pos="563" w:val="left" w:leader="none"/>
              </w:tabs>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57,357,378.77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71、营业外收入" w:id="381"/>
      <w:bookmarkEnd w:id="381"/>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1,379,930.22</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1,379,930.22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71,046,501.90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33,767.86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90,692.45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33,767.86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索赔收入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1,079,921.98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4,579,503.95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1,079,921.98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1,515.27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42,735,042.74</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42,735,042.74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1,185,897.62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1,369,398.40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1,185,897.62</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46,415,520.42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77,087,611.97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46,415,520.42</w:t>
            </w:r>
          </w:p>
        </w:tc>
      </w:tr>
    </w:tbl>
    <w:p>
      <w:pPr>
        <w:pStyle w:val="BodyText"/>
        <w:spacing w:line="240" w:lineRule="auto" w:before="51"/>
        <w:ind w:left="154" w:right="1122"/>
        <w:jc w:val="left"/>
      </w:pPr>
      <w:r>
        <w:rPr/>
        <w:t>计入当期损益的政府补助：</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 市商务发展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53,000.00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2,777,600.00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上市挂牌公 司做大做强 做优资金补 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11,080,000.0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产业强镇政 策奖励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对外经贸发 展专项资金 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22,500.00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年度全 市经济工作 先进企业奖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南通商务发 展专项资金 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16,900.00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基建建设投 资返还款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747,200.00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747,200.00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张家港市企 业科技创新 积分资助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业经济和信 息化专项资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9" w:lineRule="auto"/>
              <w:ind w:left="22" w:right="86"/>
              <w:jc w:val="both"/>
              <w:rPr>
                <w:rFonts w:ascii="宋体" w:hAnsi="宋体" w:cs="宋体" w:eastAsia="宋体" w:hint="default"/>
                <w:sz w:val="18"/>
                <w:szCs w:val="18"/>
              </w:rPr>
            </w:pPr>
            <w:r>
              <w:rPr>
                <w:rFonts w:ascii="宋体" w:hAnsi="宋体" w:cs="宋体" w:eastAsia="宋体" w:hint="default"/>
                <w:sz w:val="18"/>
                <w:szCs w:val="18"/>
              </w:rPr>
              <w:t>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年商务发展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年度江 阴市知识产 权专项资金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 家港市科技 进步奖</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92,200.00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年张家 港市科技保 险保费补贴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28,052.68</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重点研发专 项资金补助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年度工 业经济和信 息化专项资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年商务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151,400.00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新兴产业投 资基金专项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1,697,576.40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1,697,576.40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先进制造业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8,092.04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131"/>
              <w:jc w:val="left"/>
              <w:rPr>
                <w:rFonts w:ascii="宋体" w:hAnsi="宋体" w:cs="宋体" w:eastAsia="宋体" w:hint="default"/>
                <w:sz w:val="18"/>
                <w:szCs w:val="18"/>
              </w:rPr>
            </w:pPr>
            <w:r>
              <w:rPr>
                <w:rFonts w:ascii="宋体" w:hAnsi="宋体" w:cs="宋体" w:eastAsia="宋体" w:hint="default"/>
                <w:sz w:val="18"/>
                <w:szCs w:val="18"/>
              </w:rPr>
              <w:t>光伏并网发 电</w:t>
            </w:r>
            <w:r>
              <w:rPr>
                <w:rFonts w:ascii="Times New Roman" w:hAnsi="Times New Roman" w:cs="Times New Roman" w:eastAsia="Times New Roman" w:hint="default"/>
                <w:sz w:val="18"/>
                <w:szCs w:val="18"/>
              </w:rPr>
              <w:t>(5MW)</w:t>
            </w:r>
            <w:r>
              <w:rPr>
                <w:rFonts w:ascii="宋体" w:hAnsi="宋体" w:cs="宋体" w:eastAsia="宋体" w:hint="default"/>
                <w:sz w:val="18"/>
                <w:szCs w:val="18"/>
              </w:rPr>
              <w:t>项</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2,795,138.94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3,125,000.04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地方特色产 业中小企业 发展专项资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6,637.17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02"/>
              <w:jc w:val="left"/>
              <w:rPr>
                <w:rFonts w:ascii="宋体" w:hAnsi="宋体" w:cs="宋体" w:eastAsia="宋体" w:hint="default"/>
                <w:sz w:val="18"/>
                <w:szCs w:val="18"/>
              </w:rPr>
            </w:pPr>
            <w:r>
              <w:rPr>
                <w:rFonts w:ascii="宋体" w:hAnsi="宋体" w:cs="宋体" w:eastAsia="宋体" w:hint="default"/>
                <w:sz w:val="18"/>
                <w:szCs w:val="18"/>
              </w:rPr>
              <w:t>张家港市光 伏发电专项 扶持资金 </w:t>
            </w:r>
            <w:r>
              <w:rPr>
                <w:rFonts w:ascii="Times New Roman" w:hAnsi="Times New Roman" w:cs="Times New Roman" w:eastAsia="Times New Roman" w:hint="default"/>
                <w:sz w:val="18"/>
                <w:szCs w:val="18"/>
              </w:rPr>
              <w:t>(5.73MW</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项</w:t>
            </w: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286,500.12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286,500.12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江西省省级 度电补贴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215,006.55</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县政府维稳 补贴费用</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57,600.00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商信委扶持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新能源产业 扶持奖励款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组件项目厂 房设备和基 础设施奖励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2" w:right="131"/>
              <w:jc w:val="both"/>
              <w:rPr>
                <w:rFonts w:ascii="宋体" w:hAnsi="宋体" w:cs="宋体" w:eastAsia="宋体" w:hint="default"/>
                <w:sz w:val="18"/>
                <w:szCs w:val="18"/>
              </w:rPr>
            </w:pPr>
            <w:r>
              <w:rPr>
                <w:rFonts w:ascii="宋体" w:hAnsi="宋体" w:cs="宋体" w:eastAsia="宋体" w:hint="default"/>
                <w:sz w:val="18"/>
                <w:szCs w:val="18"/>
              </w:rPr>
              <w:t>分布式光伏 发电项目区 域战略推进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107,000.00</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境外公司消 费税返还</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5,074.87</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 市节能专项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年度外 贸稳增长目 标考核资金</w:t>
            </w:r>
          </w:p>
          <w:p>
            <w:pPr>
              <w:pStyle w:val="TableParagraph"/>
              <w:spacing w:line="240" w:lineRule="auto" w:before="26"/>
              <w:ind w:left="22" w:right="0"/>
              <w:jc w:val="both"/>
              <w:rPr>
                <w:rFonts w:ascii="宋体" w:hAnsi="宋体" w:cs="宋体" w:eastAsia="宋体" w:hint="default"/>
                <w:sz w:val="18"/>
                <w:szCs w:val="18"/>
              </w:rPr>
            </w:pPr>
            <w:r>
              <w:rPr>
                <w:rFonts w:ascii="宋体" w:hAnsi="宋体" w:cs="宋体" w:eastAsia="宋体" w:hint="default"/>
                <w:sz w:val="18"/>
                <w:szCs w:val="18"/>
              </w:rPr>
              <w:t>（第二批）</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年出口 信用保险保 费扶持资金 预算指标</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636,100.00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省级名牌奖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6"/>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年度中 国驰名商标 政府专项奖 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年江阴 市科技创新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规模提档升 级奖励专项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13,120,000.0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年外经 贸发展专项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年稳增 长奖励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z w:val="18"/>
                <w:szCs w:val="18"/>
              </w:rPr>
              <w:t>工业经济奖 </w:t>
            </w:r>
            <w:r>
              <w:rPr>
                <w:rFonts w:ascii="宋体" w:hAnsi="宋体" w:cs="宋体" w:eastAsia="宋体" w:hint="default"/>
                <w:spacing w:val="-12"/>
                <w:sz w:val="18"/>
                <w:szCs w:val="18"/>
              </w:rPr>
              <w:t>励（应税销售</w:t>
            </w:r>
            <w:r>
              <w:rPr>
                <w:rFonts w:ascii="宋体" w:hAnsi="宋体" w:cs="宋体" w:eastAsia="宋体" w:hint="default"/>
                <w:sz w:val="18"/>
                <w:szCs w:val="18"/>
              </w:rPr>
              <w:t> 升级奖励）</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1,672,500.00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总工会奖励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9" w:lineRule="auto"/>
              <w:ind w:left="22" w:right="131"/>
              <w:jc w:val="left"/>
              <w:rPr>
                <w:rFonts w:ascii="宋体" w:hAnsi="宋体" w:cs="宋体" w:eastAsia="宋体" w:hint="default"/>
                <w:sz w:val="18"/>
                <w:szCs w:val="18"/>
              </w:rPr>
            </w:pPr>
            <w:r>
              <w:rPr>
                <w:rFonts w:ascii="宋体" w:hAnsi="宋体" w:cs="宋体" w:eastAsia="宋体" w:hint="default"/>
                <w:sz w:val="18"/>
                <w:szCs w:val="18"/>
              </w:rPr>
              <w:t>工业经济转 型扶持资金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商务局国际 市场开拓资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55,200.00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年度企 业科技创新 积分资助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204,380.00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42"/>
              <w:jc w:val="left"/>
              <w:rPr>
                <w:rFonts w:ascii="宋体" w:hAnsi="宋体" w:cs="宋体" w:eastAsia="宋体" w:hint="default"/>
                <w:sz w:val="18"/>
                <w:szCs w:val="18"/>
              </w:rPr>
            </w:pPr>
            <w:r>
              <w:rPr>
                <w:rFonts w:ascii="宋体" w:hAnsi="宋体" w:cs="宋体" w:eastAsia="宋体" w:hint="default"/>
                <w:sz w:val="18"/>
                <w:szCs w:val="18"/>
              </w:rPr>
              <w:t>张家港市开 发区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科技创新奖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张家港市扶 持外贸发展 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2" w:right="87"/>
              <w:jc w:val="left"/>
              <w:rPr>
                <w:rFonts w:ascii="宋体" w:hAnsi="宋体" w:cs="宋体" w:eastAsia="宋体" w:hint="default"/>
                <w:sz w:val="18"/>
                <w:szCs w:val="18"/>
              </w:rPr>
            </w:pPr>
            <w:r>
              <w:rPr>
                <w:rFonts w:ascii="宋体" w:hAnsi="宋体" w:cs="宋体" w:eastAsia="宋体" w:hint="default"/>
                <w:sz w:val="18"/>
                <w:szCs w:val="18"/>
              </w:rPr>
              <w:t>张家港市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年度开 展质量强市 工作奖励及 补助资金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江阴市中小 微企业发展 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41"/>
              <w:jc w:val="left"/>
              <w:rPr>
                <w:rFonts w:ascii="宋体" w:hAnsi="宋体" w:cs="宋体" w:eastAsia="宋体" w:hint="default"/>
                <w:sz w:val="18"/>
                <w:szCs w:val="18"/>
              </w:rPr>
            </w:pPr>
            <w:r>
              <w:rPr>
                <w:rFonts w:ascii="宋体" w:hAnsi="宋体" w:cs="宋体" w:eastAsia="宋体" w:hint="default"/>
                <w:sz w:val="18"/>
                <w:szCs w:val="18"/>
              </w:rPr>
              <w:t>张家港市财 政国库收付 中心 科技局 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张家港市财 政国库扶持 企业专项资 金专户补贴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张家港市财 政国库企业 科技创新积 分资助</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139,420.00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 家港市高新 技术产业财 政补助款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10,415,600.0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2" w:right="5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年度张 家港市</w:t>
            </w:r>
            <w:r>
              <w:rPr>
                <w:rFonts w:ascii="Times New Roman" w:hAnsi="Times New Roman" w:cs="Times New Roman" w:eastAsia="Times New Roman" w:hint="default"/>
                <w:sz w:val="18"/>
                <w:szCs w:val="18"/>
              </w:rPr>
              <w:t>“</w:t>
            </w:r>
            <w:r>
              <w:rPr>
                <w:rFonts w:ascii="宋体" w:hAnsi="宋体" w:cs="宋体" w:eastAsia="宋体" w:hint="default"/>
                <w:sz w:val="18"/>
                <w:szCs w:val="18"/>
              </w:rPr>
              <w:t>转型 升级补贴</w:t>
            </w:r>
            <w:r>
              <w:rPr>
                <w:rFonts w:ascii="Times New Roman" w:hAnsi="Times New Roman" w:cs="Times New Roman" w:eastAsia="Times New Roman" w:hint="default"/>
                <w:sz w:val="18"/>
                <w:szCs w:val="18"/>
              </w:rPr>
              <w:t>”</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8,860,000.00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青海省财政 厅拨付私募 债补贴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工业和信息 产业转型升 级专项资金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年省级 商务发展专 </w:t>
            </w:r>
            <w:r>
              <w:rPr>
                <w:rFonts w:ascii="宋体" w:hAnsi="宋体" w:cs="宋体" w:eastAsia="宋体" w:hint="default"/>
                <w:spacing w:val="-12"/>
                <w:sz w:val="18"/>
                <w:szCs w:val="18"/>
              </w:rPr>
              <w:t>项资金（第二</w:t>
            </w:r>
            <w:r>
              <w:rPr>
                <w:rFonts w:ascii="宋体" w:hAnsi="宋体" w:cs="宋体" w:eastAsia="宋体" w:hint="default"/>
                <w:sz w:val="18"/>
                <w:szCs w:val="18"/>
              </w:rPr>
              <w:t> 批项目）</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1,309,500.00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9" w:lineRule="auto"/>
              <w:ind w:left="22" w:right="87"/>
              <w:jc w:val="both"/>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年度市 技术改造专 项资金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394,000.00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2" w:lineRule="auto"/>
              <w:ind w:left="22" w:right="8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年总部 经济奖励款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2" w:right="131"/>
              <w:jc w:val="both"/>
              <w:rPr>
                <w:rFonts w:ascii="宋体" w:hAnsi="宋体" w:cs="宋体" w:eastAsia="宋体" w:hint="default"/>
                <w:sz w:val="18"/>
                <w:szCs w:val="18"/>
              </w:rPr>
            </w:pPr>
            <w:r>
              <w:rPr>
                <w:rFonts w:ascii="宋体" w:hAnsi="宋体" w:cs="宋体" w:eastAsia="宋体" w:hint="default"/>
                <w:sz w:val="18"/>
                <w:szCs w:val="18"/>
              </w:rPr>
              <w:t>可再生能源 附加补助资 金</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10,908,125.3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山东省分布 式光伏发电 专项资金补 贴</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2" w:right="131"/>
              <w:jc w:val="both"/>
              <w:rPr>
                <w:rFonts w:ascii="宋体" w:hAnsi="宋体" w:cs="宋体" w:eastAsia="宋体" w:hint="default"/>
                <w:sz w:val="18"/>
                <w:szCs w:val="18"/>
              </w:rPr>
            </w:pPr>
            <w:r>
              <w:rPr>
                <w:rFonts w:ascii="宋体" w:hAnsi="宋体" w:cs="宋体" w:eastAsia="宋体" w:hint="default"/>
                <w:sz w:val="18"/>
                <w:szCs w:val="18"/>
              </w:rPr>
              <w:t>收张家港市 财政国库收 付中心资助 款</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103,800.00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2"/>
        <w:gridCol w:w="1063"/>
      </w:tblGrid>
      <w:tr>
        <w:trPr>
          <w:trHeight w:val="2274"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both"/>
              <w:rPr>
                <w:rFonts w:ascii="宋体" w:hAnsi="宋体" w:cs="宋体" w:eastAsia="宋体" w:hint="default"/>
                <w:sz w:val="18"/>
                <w:szCs w:val="18"/>
              </w:rPr>
            </w:pPr>
            <w:r>
              <w:rPr>
                <w:rFonts w:ascii="宋体" w:hAnsi="宋体" w:cs="宋体" w:eastAsia="宋体" w:hint="default"/>
                <w:sz w:val="18"/>
                <w:szCs w:val="18"/>
              </w:rPr>
              <w:t>科技创新奖</w:t>
            </w:r>
          </w:p>
          <w:p>
            <w:pPr>
              <w:pStyle w:val="TableParagraph"/>
              <w:spacing w:line="319" w:lineRule="auto" w:before="76"/>
              <w:ind w:left="22" w:right="131"/>
              <w:jc w:val="both"/>
              <w:rPr>
                <w:rFonts w:ascii="宋体" w:hAnsi="宋体" w:cs="宋体" w:eastAsia="宋体" w:hint="default"/>
                <w:sz w:val="18"/>
                <w:szCs w:val="18"/>
              </w:rPr>
            </w:pPr>
            <w:r>
              <w:rPr>
                <w:rFonts w:ascii="宋体" w:hAnsi="宋体" w:cs="宋体" w:eastAsia="宋体" w:hint="default"/>
                <w:sz w:val="18"/>
                <w:szCs w:val="18"/>
              </w:rPr>
              <w:t>－张家港经 济技术开发 区</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3"/>
                <w:sz w:val="18"/>
                <w:szCs w:val="18"/>
              </w:rPr>
              <w:t>特定行业、产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 依法取得）</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57,200.00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57,357,378.7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71,046,501.9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right="3958"/>
        <w:jc w:val="left"/>
      </w:pPr>
      <w:r>
        <w:rPr/>
        <w:t>其他说明： 注：政府补助的本期发生额已按最新会计准则计入其他收益中，总计</w:t>
      </w:r>
      <w:r>
        <w:rPr>
          <w:rFonts w:ascii="Times New Roman" w:hAnsi="Times New Roman" w:cs="Times New Roman" w:eastAsia="Times New Roman" w:hint="default"/>
        </w:rPr>
        <w:t>57,357,378.77</w:t>
      </w:r>
      <w:r>
        <w:rPr/>
        <w:t>元。</w:t>
      </w:r>
    </w:p>
    <w:p>
      <w:pPr>
        <w:spacing w:line="240" w:lineRule="auto" w:before="5"/>
        <w:rPr>
          <w:rFonts w:ascii="宋体" w:hAnsi="宋体" w:cs="宋体" w:eastAsia="宋体" w:hint="default"/>
          <w:sz w:val="18"/>
          <w:szCs w:val="18"/>
        </w:rPr>
      </w:pPr>
    </w:p>
    <w:p>
      <w:pPr>
        <w:pStyle w:val="Heading3"/>
        <w:spacing w:line="240" w:lineRule="auto"/>
        <w:ind w:right="1122"/>
        <w:jc w:val="left"/>
        <w:rPr>
          <w:b w:val="0"/>
          <w:bCs w:val="0"/>
        </w:rPr>
      </w:pPr>
      <w:bookmarkStart w:name="72、营业外支出" w:id="382"/>
      <w:bookmarkEnd w:id="382"/>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580,999.95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485,657.04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580,999.95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23,089,600.70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1,172,658.25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23,089,600.70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887,801.79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377,239.43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887,801.79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赔偿补偿支出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1,119,537.29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143,492.12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1,119,537.29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87,702.89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112.16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87,702.89</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25,765,642.62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2,179,159.00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25,765,642.62</w:t>
            </w:r>
          </w:p>
        </w:tc>
      </w:tr>
    </w:tbl>
    <w:p>
      <w:pPr>
        <w:pStyle w:val="BodyText"/>
        <w:spacing w:line="240" w:lineRule="auto" w:before="51"/>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73、所得税费用" w:id="383"/>
      <w:bookmarkEnd w:id="383"/>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所得税费用表" w:id="384"/>
      <w:bookmarkEnd w:id="38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35,119,158.87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100,474,862.07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-14,236,574.87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-22,185,407.33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20,882,584.00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78,289,454.74</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会计利润与所得税费用调整过程" w:id="385"/>
      <w:bookmarkEnd w:id="38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0"/>
        <w:gridCol w:w="4789"/>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132,681,981.98</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33,170,495.49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-29,517,669.93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211,091.83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-12,352,462.92</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2,540,991.43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2,389,651.69</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25,528,601.50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-1,088,115.09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20,882,584.00</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spacing w:line="547" w:lineRule="auto" w:before="0"/>
        <w:ind w:left="154" w:right="8855" w:firstLine="0"/>
        <w:jc w:val="left"/>
        <w:rPr>
          <w:rFonts w:ascii="宋体" w:hAnsi="宋体" w:cs="宋体" w:eastAsia="宋体" w:hint="default"/>
          <w:sz w:val="21"/>
          <w:szCs w:val="21"/>
        </w:rPr>
      </w:pPr>
      <w:bookmarkStart w:name="74、其他综合收益" w:id="386"/>
      <w:bookmarkEnd w:id="386"/>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详见附注七、</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7"/>
      <w:bookmarkEnd w:id="387"/>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6"/>
        <w:ind w:right="1122"/>
        <w:jc w:val="left"/>
        <w:rPr>
          <w:b w:val="0"/>
          <w:bCs w:val="0"/>
        </w:rPr>
      </w:pPr>
      <w:bookmarkStart w:name="（1）收到的其他与经营活动有关的现金" w:id="388"/>
      <w:bookmarkEnd w:id="38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124,521,750.97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54,671,116.54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51,494,234.10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35,835,473.88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17,122,344.68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25,654,459.27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往来款及违约金等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87,007,728.94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483,048,259.92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280,146,058.69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599,209,309.61</w:t>
            </w:r>
          </w:p>
        </w:tc>
      </w:tr>
    </w:tbl>
    <w:p>
      <w:pPr>
        <w:pStyle w:val="BodyText"/>
        <w:spacing w:line="240" w:lineRule="auto" w:before="51"/>
        <w:ind w:left="154" w:right="1122"/>
        <w:jc w:val="left"/>
      </w:pPr>
      <w:r>
        <w:rPr/>
        <w:t>收到的其他与经营活动有关的现金说明：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2）支付的其他与经营活动有关的现金" w:id="389"/>
      <w:bookmarkEnd w:id="38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支付费用等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127,244,690.73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172,933,140.60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159,254,880.22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396,695,747.30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票据保证金等</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206,727,123.39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34,040,539.12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493,226,694.34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603,669,427.02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支付的其他与经营活动有关的现金说明：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收到的其他与投资活动有关的现金" w:id="390"/>
      <w:bookmarkEnd w:id="39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返还预付设备款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197,821,774.59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197,821,774.59</w:t>
            </w:r>
          </w:p>
        </w:tc>
      </w:tr>
    </w:tbl>
    <w:p>
      <w:pPr>
        <w:pStyle w:val="BodyText"/>
        <w:spacing w:line="240" w:lineRule="auto" w:before="51"/>
        <w:ind w:left="154" w:right="1122"/>
        <w:jc w:val="left"/>
      </w:pPr>
      <w:r>
        <w:rPr/>
        <w:t>收到的其他与投资活动有关的现金说明：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4）支付的其他与投资活动有关的现金" w:id="391"/>
      <w:bookmarkEnd w:id="39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处置公司现金流量净额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101,092,141.92</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信用证保证金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24,270,000.00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黄河三角洲融鑫集团借款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4,800,408.20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收购公司相关费用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130,162,550.12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73,400,000.00</w:t>
            </w:r>
          </w:p>
        </w:tc>
      </w:tr>
    </w:tbl>
    <w:p>
      <w:pPr>
        <w:pStyle w:val="BodyText"/>
        <w:spacing w:line="240" w:lineRule="auto" w:before="51"/>
        <w:ind w:left="154" w:right="1122"/>
        <w:jc w:val="left"/>
      </w:pPr>
      <w:r>
        <w:rPr/>
        <w:t>支付的其他与投资活动有关的现金说明：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5）收到的其他与筹资活动有关的现金" w:id="392"/>
      <w:bookmarkEnd w:id="39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借款、票据保证金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146,580,266.30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4,307,200.00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164,307,200.00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146,580,266.30</w:t>
            </w:r>
          </w:p>
        </w:tc>
      </w:tr>
    </w:tbl>
    <w:p>
      <w:pPr>
        <w:pStyle w:val="BodyText"/>
        <w:spacing w:line="240" w:lineRule="auto" w:before="51"/>
        <w:ind w:left="154" w:right="1122"/>
        <w:jc w:val="left"/>
      </w:pPr>
      <w:r>
        <w:rPr/>
        <w:t>收到的其他与筹资活动有关的现金说明：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6）支付的其他与筹资活动有关的现金" w:id="393"/>
      <w:bookmarkEnd w:id="39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借款、租赁保证金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1,447,465,745.37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137,299,996.80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融资租赁直租付款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187,987,549.52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128,167,453.59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536.769958pt;width:151.25pt;height:40.9pt;mso-position-horizontal-relative:page;mso-position-vertical-relative:page;z-index:-1650808" coordorigin="4467,10735" coordsize="3025,818">
            <v:group style="position:absolute;left:4478;top:10747;width:2;height:393" coordorigin="4478,10747" coordsize="2,393">
              <v:shape style="position:absolute;left:4478;top:10747;width:2;height:393" coordorigin="4478,10747" coordsize="0,393" path="m4478,10747l4478,11139e" filled="false" stroked="true" strokeweight="1.140pt" strokecolor="#ffffff">
                <v:path arrowok="t"/>
              </v:shape>
            </v:group>
            <v:group style="position:absolute;left:4490;top:10747;width:3002;height:393" coordorigin="4490,10747" coordsize="3002,393">
              <v:shape style="position:absolute;left:4490;top:10747;width:3002;height:393" coordorigin="4490,10747" coordsize="3002,393" path="m4490,11139l7491,11139,7491,10747,4490,10747,4490,11139xe" filled="true" fillcolor="#ffffff" stroked="false">
                <v:path arrowok="t"/>
                <v:fill type="solid"/>
              </v:shape>
            </v:group>
            <v:group style="position:absolute;left:4478;top:11149;width:2;height:393" coordorigin="4478,11149" coordsize="2,393">
              <v:shape style="position:absolute;left:4478;top:11149;width:2;height:393" coordorigin="4478,11149" coordsize="0,393" path="m4478,11149l4478,11541e" filled="false" stroked="true" strokeweight="1.140pt" strokecolor="#ffffff">
                <v:path arrowok="t"/>
              </v:shape>
            </v:group>
            <v:group style="position:absolute;left:4490;top:11149;width:3002;height:393" coordorigin="4490,11149" coordsize="3002,393">
              <v:shape style="position:absolute;left:4490;top:11149;width:3002;height:393" coordorigin="4490,11149" coordsize="3002,393" path="m4490,11541l7491,11541,7491,11149,4490,11149,4490,11541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支付非公开发行相关费用以及其他费用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5,747,715.40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收购同一控制下公司股权</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144,889,400.00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回购库存股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49,632,060.79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1,829,974,755.68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799,215,165.79</w:t>
            </w:r>
          </w:p>
        </w:tc>
      </w:tr>
    </w:tbl>
    <w:p>
      <w:pPr>
        <w:pStyle w:val="BodyText"/>
        <w:spacing w:line="240" w:lineRule="auto" w:before="51"/>
        <w:ind w:left="154" w:right="1122"/>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76、现金流量表补充资料" w:id="394"/>
      <w:bookmarkEnd w:id="394"/>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现金流量表补充资料" w:id="395"/>
      <w:bookmarkEnd w:id="39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010"/>
        <w:gridCol w:w="205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13" w:right="0"/>
              <w:jc w:val="left"/>
              <w:rPr>
                <w:rFonts w:ascii="Times New Roman" w:hAnsi="Times New Roman" w:cs="Times New Roman" w:eastAsia="Times New Roman" w:hint="default"/>
                <w:sz w:val="18"/>
                <w:szCs w:val="18"/>
              </w:rPr>
            </w:pPr>
            <w:r>
              <w:rPr>
                <w:rFonts w:ascii="Times New Roman"/>
                <w:sz w:val="18"/>
              </w:rPr>
              <w:t>111,799,397.98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148,470,099.10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37,932,737.65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20,470,483.71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488,655,273.01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391,879,289.64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9,895,872.15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9,389,113.99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17,098,800.88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17,366,244.73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-16,088,161.25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425,359.72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23,088,640.70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1,171,142.98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-3,180,447.00</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469,751,522.42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411,953,457.56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-69,464,722.64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-119,238,392.91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-15,455,640.59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-21,896,929.46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10"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1,219,065.72</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152,312,407.78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-127,039,521.39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-614,666,590.78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1,049,732,465.97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278,441,709.95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-1,755,651,631.20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871,339,865.98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27,031,182.44</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3"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713,092,936.70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1,244,257,805.74</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-1,189,183,232.74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658,018,363.70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本期支付的取得子公司的现金净额" w:id="396"/>
      <w:bookmarkEnd w:id="39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53,231.14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53,231.14</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1,306,768.86</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3）本期收到的处置子公司的现金净额" w:id="397"/>
      <w:bookmarkEnd w:id="39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94,290,262.63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28,040,629.00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7,443,831.00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合同公司阳光产业园</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27,605,802.63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碳金库（北京）投资管理有限公司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北京碳诺信科技有限公司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142,282,225.23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65,452,889.50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青海蓓翔电力设备有限公司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7,798,781.71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徐闻爱康电力开发有限公司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19,023,063.99</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4,505,623.31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金昌清能电力有限公司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45,491,533.01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合同公司阳光产业园</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通化中康电力开发有限公司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10,333.71</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白水爱康电力开发有限公司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碳金库（北京）投资管理有限公司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北京碳诺信科技有限公司</w:t>
            </w:r>
          </w:p>
        </w:tc>
        <w:tc>
          <w:tcPr>
            <w:tcW w:w="45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-47,991,962.60</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现金和现金等价物的构成" w:id="398"/>
      <w:bookmarkEnd w:id="39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713,092,936.70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289,514.68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7,241,033.74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712,803,422.02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1,895,035,135.70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713,092,936.70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1,902,276,169.44</w:t>
            </w:r>
          </w:p>
        </w:tc>
      </w:tr>
    </w:tbl>
    <w:p>
      <w:pPr>
        <w:pStyle w:val="BodyText"/>
        <w:spacing w:line="240" w:lineRule="auto" w:before="51"/>
        <w:ind w:left="154" w:right="1122"/>
        <w:jc w:val="left"/>
      </w:pPr>
      <w:r>
        <w:rPr/>
        <w:t>其他说明：</w:t>
      </w:r>
    </w:p>
    <w:p>
      <w:pPr>
        <w:pStyle w:val="BodyText"/>
        <w:spacing w:line="240" w:lineRule="auto" w:before="116"/>
        <w:ind w:left="514" w:right="1122"/>
        <w:jc w:val="left"/>
      </w:pPr>
      <w:r>
        <w:rPr/>
        <w:t>注：现金和现金等价物不含母公司或集团内子公司使用受限制的现金和现金等价物。</w:t>
      </w:r>
    </w:p>
    <w:p>
      <w:pPr>
        <w:spacing w:line="240" w:lineRule="auto" w:before="12"/>
        <w:rPr>
          <w:rFonts w:ascii="宋体" w:hAnsi="宋体" w:cs="宋体" w:eastAsia="宋体" w:hint="default"/>
          <w:sz w:val="26"/>
          <w:szCs w:val="26"/>
        </w:rPr>
      </w:pPr>
    </w:p>
    <w:p>
      <w:pPr>
        <w:spacing w:line="544" w:lineRule="auto" w:before="0"/>
        <w:ind w:left="153" w:right="5373" w:firstLine="0"/>
        <w:jc w:val="left"/>
        <w:rPr>
          <w:rFonts w:ascii="宋体" w:hAnsi="宋体" w:cs="宋体" w:eastAsia="宋体" w:hint="default"/>
          <w:sz w:val="21"/>
          <w:szCs w:val="21"/>
        </w:rPr>
      </w:pPr>
      <w:bookmarkStart w:name="77、所有者权益变动表项目注释" w:id="399"/>
      <w:bookmarkEnd w:id="399"/>
      <w:r>
        <w:rPr/>
      </w:r>
      <w:r>
        <w:rPr>
          <w:rFonts w:ascii="Times New Roman" w:hAnsi="Times New Roman" w:cs="Times New Roman" w:eastAsia="Times New Roman" w:hint="default"/>
          <w:b/>
          <w:bCs/>
          <w:sz w:val="21"/>
          <w:szCs w:val="21"/>
        </w:rPr>
        <w:t>77</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8、所有权或使用权受到限制的资产" w:id="400"/>
      <w:bookmarkEnd w:id="400"/>
      <w:r>
        <w:rPr>
          <w:rFonts w:ascii="宋体" w:hAnsi="宋体" w:cs="宋体" w:eastAsia="宋体" w:hint="default"/>
          <w:sz w:val="18"/>
          <w:szCs w:val="18"/>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3"/>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7"/>
        <w:gridCol w:w="3057"/>
        <w:gridCol w:w="3184"/>
      </w:tblGrid>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17" w:hRule="exact"/>
        </w:trPr>
        <w:tc>
          <w:tcPr>
            <w:tcW w:w="33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7" w:right="0"/>
              <w:jc w:val="left"/>
              <w:rPr>
                <w:rFonts w:ascii="Times New Roman" w:hAnsi="Times New Roman" w:cs="Times New Roman" w:eastAsia="Times New Roman" w:hint="default"/>
                <w:sz w:val="18"/>
                <w:szCs w:val="18"/>
              </w:rPr>
            </w:pPr>
            <w:r>
              <w:rPr>
                <w:rFonts w:ascii="Times New Roman"/>
                <w:sz w:val="18"/>
              </w:rPr>
              <w:t>2,149,846,787.65</w:t>
            </w:r>
          </w:p>
        </w:tc>
        <w:tc>
          <w:tcPr>
            <w:tcW w:w="3184"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89"/>
              <w:jc w:val="both"/>
              <w:rPr>
                <w:rFonts w:ascii="宋体" w:hAnsi="宋体" w:cs="宋体" w:eastAsia="宋体" w:hint="default"/>
                <w:sz w:val="18"/>
                <w:szCs w:val="18"/>
              </w:rPr>
            </w:pPr>
            <w:r>
              <w:rPr>
                <w:rFonts w:ascii="宋体" w:hAnsi="宋体" w:cs="宋体" w:eastAsia="宋体" w:hint="default"/>
                <w:sz w:val="18"/>
                <w:szCs w:val="18"/>
              </w:rPr>
              <w:t>银行承兑汇票保证金、信用证保证金、 质押定期存款、保函保证金、远期外汇 合约保证金等</w:t>
            </w:r>
          </w:p>
        </w:tc>
      </w:tr>
      <w:tr>
        <w:trPr>
          <w:trHeight w:val="392" w:hRule="exact"/>
        </w:trPr>
        <w:tc>
          <w:tcPr>
            <w:tcW w:w="33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vMerge/>
            <w:tcBorders>
              <w:left w:val="single" w:sz="9" w:space="0" w:color="D2D2D2"/>
              <w:right w:val="single" w:sz="4" w:space="0" w:color="000000"/>
            </w:tcBorders>
          </w:tcPr>
          <w:p>
            <w:pPr/>
          </w:p>
        </w:tc>
        <w:tc>
          <w:tcPr>
            <w:tcW w:w="3184" w:type="dxa"/>
            <w:vMerge/>
            <w:tcBorders>
              <w:left w:val="single" w:sz="4" w:space="0" w:color="000000"/>
              <w:right w:val="single" w:sz="4" w:space="0" w:color="000000"/>
            </w:tcBorders>
          </w:tcPr>
          <w:p>
            <w:pPr/>
          </w:p>
        </w:tc>
      </w:tr>
      <w:tr>
        <w:trPr>
          <w:trHeight w:val="317" w:hRule="exact"/>
        </w:trPr>
        <w:tc>
          <w:tcPr>
            <w:tcW w:w="33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7" w:type="dxa"/>
            <w:vMerge/>
            <w:tcBorders>
              <w:left w:val="single" w:sz="9" w:space="0" w:color="D2D2D2"/>
              <w:bottom w:val="single" w:sz="4" w:space="0" w:color="000000"/>
              <w:right w:val="single" w:sz="4" w:space="0" w:color="000000"/>
            </w:tcBorders>
          </w:tcPr>
          <w:p>
            <w:pPr/>
          </w:p>
        </w:tc>
        <w:tc>
          <w:tcPr>
            <w:tcW w:w="3184" w:type="dxa"/>
            <w:vMerge/>
            <w:tcBorders>
              <w:left w:val="single" w:sz="4" w:space="0" w:color="000000"/>
              <w:bottom w:val="single" w:sz="4" w:space="0" w:color="000000"/>
              <w:right w:val="single" w:sz="4" w:space="0" w:color="000000"/>
            </w:tcBorders>
          </w:tcPr>
          <w:p>
            <w:pP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68,376,068.38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4,280,045,767.02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120,812,923.84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967,477,131.33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作为借款的质押物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33,635,415.09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作为借款的抵押物</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7,620,194,093.31</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79、外币货币性项目" w:id="401"/>
      <w:bookmarkEnd w:id="401"/>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外币货币性项目" w:id="402"/>
      <w:bookmarkEnd w:id="40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156,587,683.15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4,638,164.65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30,306,695.46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2,988,614.51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23,318,066.99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7,698.59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6,435.25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新加坡元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4.883100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1,669,414,341.00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96,630,710.29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49,145,737.00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300,231.31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1,183,001.48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6,024,789.94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723.88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372,494,890.70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43,684,278.68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285,441,813.75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1,063,884.70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8,300,747.59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1,350,961,827.08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78,197,723.44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108,900.00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554,605.92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74,383,504.47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457.39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1,278,511,158.00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74,004,061.36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42,321,880.00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258,544.36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23,649.34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120,441.36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151,139,111.66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2,611,114,000.00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151,139,111.66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3,171,372.36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137,476.71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898,300.32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64,639,509.35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394,882.76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368,787.21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1,878,159.50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 w:right="0"/>
              <w:jc w:val="center"/>
              <w:rPr>
                <w:rFonts w:ascii="宋体" w:hAnsi="宋体" w:cs="宋体" w:eastAsia="宋体" w:hint="default"/>
                <w:sz w:val="18"/>
                <w:szCs w:val="18"/>
              </w:rPr>
            </w:pPr>
            <w:r>
              <w:rPr>
                <w:rFonts w:ascii="宋体" w:hAnsi="宋体" w:cs="宋体" w:eastAsia="宋体" w:hint="default"/>
                <w:sz w:val="18"/>
                <w:szCs w:val="18"/>
              </w:rPr>
              <w:t>瑞士法郎</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6.677900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26,625,603.20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3,206.00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25,014.17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日元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434,340,609.00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0.057883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25,140,937.48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韩元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9,201,000.00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0.006109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56,208.91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澳元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46,288.00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5.092800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235,735.53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77"/>
              <w:jc w:val="center"/>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178,706.97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1,167,707.11</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59" w:lineRule="auto"/>
        <w:ind w:right="1122"/>
        <w:jc w:val="left"/>
        <w:rPr>
          <w:b w:val="0"/>
          <w:bCs w:val="0"/>
        </w:rPr>
      </w:pPr>
      <w:bookmarkStart w:name="（2）境外经营实体说明，包括对于重要的境外经营实体，应披露其境外主要经营地、记账" w:id="403"/>
      <w:bookmarkEnd w:id="40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3"/>
        </w:rPr>
        <w:t> </w:t>
      </w:r>
      <w:r>
        <w:rPr>
          <w:spacing w:val="-73"/>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80、套期" w:id="404"/>
      <w:bookmarkEnd w:id="404"/>
      <w:r>
        <w:rPr>
          <w:b w:val="0"/>
          <w:bCs w:val="0"/>
        </w:rPr>
      </w:r>
      <w:r>
        <w:rPr>
          <w:rFonts w:ascii="Times New Roman" w:hAnsi="Times New Roman" w:cs="Times New Roman" w:eastAsia="Times New Roman" w:hint="default"/>
        </w:rPr>
        <w:t>80</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spacing w:line="487" w:lineRule="auto" w:before="0"/>
        <w:ind w:left="153" w:right="8329" w:firstLine="0"/>
        <w:jc w:val="left"/>
        <w:rPr>
          <w:rFonts w:ascii="宋体" w:hAnsi="宋体" w:cs="宋体" w:eastAsia="宋体" w:hint="default"/>
          <w:sz w:val="21"/>
          <w:szCs w:val="21"/>
        </w:rPr>
      </w:pPr>
      <w:bookmarkStart w:name="81、其他" w:id="405"/>
      <w:bookmarkEnd w:id="405"/>
      <w:r>
        <w:rPr/>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406"/>
      <w:bookmarkEnd w:id="406"/>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07"/>
      <w:bookmarkEnd w:id="40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right="1122"/>
        <w:jc w:val="left"/>
        <w:rPr>
          <w:b w:val="0"/>
          <w:bCs w:val="0"/>
        </w:rPr>
      </w:pPr>
      <w:bookmarkStart w:name="（1）本期发生的非同一控制下企业合并" w:id="408"/>
      <w:bookmarkEnd w:id="408"/>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8"/>
              <w:jc w:val="both"/>
              <w:rPr>
                <w:rFonts w:ascii="宋体" w:hAnsi="宋体" w:cs="宋体" w:eastAsia="宋体" w:hint="default"/>
                <w:sz w:val="18"/>
                <w:szCs w:val="18"/>
              </w:rPr>
            </w:pPr>
            <w:r>
              <w:rPr>
                <w:rFonts w:ascii="宋体" w:hAnsi="宋体" w:cs="宋体" w:eastAsia="宋体" w:hint="default"/>
                <w:sz w:val="18"/>
                <w:szCs w:val="18"/>
              </w:rPr>
              <w:t>江苏智鸿能 源科技发展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1,360,000.00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68.00%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控制财务和 </w:t>
            </w:r>
            <w:r>
              <w:rPr>
                <w:rFonts w:ascii="宋体" w:hAnsi="宋体" w:cs="宋体" w:eastAsia="宋体" w:hint="default"/>
                <w:spacing w:val="-13"/>
                <w:sz w:val="18"/>
                <w:szCs w:val="18"/>
              </w:rPr>
              <w:t>经营决策，享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有可变回报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08" w:right="0"/>
              <w:jc w:val="left"/>
              <w:rPr>
                <w:rFonts w:ascii="Times New Roman" w:hAnsi="Times New Roman" w:cs="Times New Roman" w:eastAsia="Times New Roman" w:hint="default"/>
                <w:sz w:val="18"/>
                <w:szCs w:val="18"/>
              </w:rPr>
            </w:pPr>
            <w:r>
              <w:rPr>
                <w:rFonts w:ascii="Times New Roman"/>
                <w:sz w:val="18"/>
              </w:rPr>
              <w:t>30,461.54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-1,453,349.66</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合并成本及商誉" w:id="409"/>
      <w:bookmarkEnd w:id="409"/>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27"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111,507.42</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99"/>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1,248,492.58</w:t>
            </w:r>
          </w:p>
        </w:tc>
      </w:tr>
    </w:tbl>
    <w:p>
      <w:pPr>
        <w:pStyle w:val="BodyText"/>
        <w:spacing w:line="360" w:lineRule="auto" w:before="51"/>
        <w:ind w:left="154" w:right="6072"/>
        <w:jc w:val="left"/>
      </w:pPr>
      <w:r>
        <w:rPr/>
        <w:t>合并成本公允价值的确定方法、或有对价及其变动的说明： 大额商誉形成的主要原因：</w:t>
      </w:r>
    </w:p>
    <w:p>
      <w:pPr>
        <w:pStyle w:val="BodyText"/>
        <w:spacing w:line="240" w:lineRule="auto" w:before="26"/>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3）被购买方于购买日可辨认资产、负债" w:id="410"/>
      <w:bookmarkEnd w:id="410"/>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9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926" w:right="0"/>
              <w:jc w:val="left"/>
              <w:rPr>
                <w:rFonts w:ascii="宋体" w:hAnsi="宋体" w:cs="宋体" w:eastAsia="宋体" w:hint="default"/>
                <w:sz w:val="18"/>
                <w:szCs w:val="18"/>
              </w:rPr>
            </w:pPr>
            <w:r>
              <w:rPr>
                <w:rFonts w:ascii="宋体" w:hAnsi="宋体" w:cs="宋体" w:eastAsia="宋体" w:hint="default"/>
                <w:sz w:val="18"/>
                <w:szCs w:val="18"/>
              </w:rPr>
              <w:t>江苏智鸿能源科技发展有限公司</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FFFFFF"/>
            </w:tcBorders>
            <w:shd w:val="clear" w:color="auto" w:fill="D2D2D2"/>
          </w:tcPr>
          <w:p>
            <w:pPr>
              <w:pStyle w:val="TableParagraph"/>
              <w:spacing w:line="240" w:lineRule="auto" w:before="51"/>
              <w:ind w:left="97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53,231.14</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53,231.14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29,773.21</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29,773.21</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106,130.75</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106,130.75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18,914.94</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18,914.94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25,153.60</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25,153.60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163,981.50</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163,981.50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减：少数股东权益</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53,474.07</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53,474.07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203" w:type="dxa"/>
            <w:tcBorders>
              <w:top w:val="single" w:sz="4" w:space="0" w:color="000000"/>
              <w:left w:val="single" w:sz="13" w:space="0" w:color="D2D2D2"/>
              <w:bottom w:val="single" w:sz="4" w:space="0" w:color="000000"/>
              <w:right w:val="single" w:sz="4" w:space="0" w:color="FFFFFF"/>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111,507.42</w:t>
            </w:r>
          </w:p>
        </w:tc>
        <w:tc>
          <w:tcPr>
            <w:tcW w:w="3190"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111,507.42</w:t>
            </w:r>
          </w:p>
        </w:tc>
      </w:tr>
    </w:tbl>
    <w:p>
      <w:pPr>
        <w:pStyle w:val="BodyText"/>
        <w:spacing w:line="360" w:lineRule="auto" w:before="51"/>
        <w:ind w:left="154" w:right="7530"/>
        <w:jc w:val="both"/>
      </w:pPr>
      <w:r>
        <w:rPr/>
        <w:t>可辨认资产、负债公允价值的确定方法： 企业合并中承担的被购买方的或有负债：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0"/>
        <w:jc w:val="both"/>
        <w:rPr>
          <w:b w:val="0"/>
          <w:bCs w:val="0"/>
        </w:rPr>
      </w:pPr>
      <w:bookmarkStart w:name="（4）购买日之前持有的股权按照公允价值重新计量产生的利得或损失" w:id="411"/>
      <w:bookmarkEnd w:id="411"/>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0"/>
        <w:jc w:val="both"/>
      </w:pPr>
      <w:r>
        <w:rPr/>
        <w:t>是否存在通过多次交易分步实现企业合并且在报告期内取得控制权的交易</w:t>
      </w:r>
    </w:p>
    <w:p>
      <w:pPr>
        <w:pStyle w:val="BodyText"/>
        <w:spacing w:line="240" w:lineRule="auto" w:before="116"/>
        <w:ind w:left="154"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bookmarkStart w:name="（5）购买日或合并当期期末无法合理确定合并对价或被购买方可辨认资产、负债公允价值" w:id="412"/>
      <w:bookmarkEnd w:id="412"/>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6）其他说明" w:id="413"/>
      <w:bookmarkEnd w:id="413"/>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2、同一控制下企业合并" w:id="414"/>
      <w:bookmarkEnd w:id="414"/>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本期发生的同一控制下企业合并" w:id="415"/>
      <w:bookmarkEnd w:id="415"/>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0"/>
        <w:gridCol w:w="1061"/>
        <w:gridCol w:w="1063"/>
        <w:gridCol w:w="1076"/>
        <w:gridCol w:w="1052"/>
        <w:gridCol w:w="1064"/>
        <w:gridCol w:w="1064"/>
        <w:gridCol w:w="1064"/>
        <w:gridCol w:w="1052"/>
      </w:tblGrid>
      <w:tr>
        <w:trPr>
          <w:trHeight w:val="151" w:hRule="exact"/>
        </w:trPr>
        <w:tc>
          <w:tcPr>
            <w:tcW w:w="105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1"/>
              <w:ind w:left="424"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5" w:right="74"/>
              <w:jc w:val="left"/>
              <w:rPr>
                <w:rFonts w:ascii="宋体" w:hAnsi="宋体" w:cs="宋体" w:eastAsia="宋体" w:hint="default"/>
                <w:sz w:val="18"/>
                <w:szCs w:val="18"/>
              </w:rPr>
            </w:pPr>
            <w:r>
              <w:rPr>
                <w:rFonts w:ascii="宋体" w:hAnsi="宋体" w:cs="宋体" w:eastAsia="宋体" w:hint="default"/>
                <w:sz w:val="18"/>
                <w:szCs w:val="18"/>
              </w:rPr>
              <w:t>企业合并中 取得的权益</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6" w:right="74"/>
              <w:jc w:val="left"/>
              <w:rPr>
                <w:rFonts w:ascii="宋体" w:hAnsi="宋体" w:cs="宋体" w:eastAsia="宋体" w:hint="default"/>
                <w:sz w:val="18"/>
                <w:szCs w:val="18"/>
              </w:rPr>
            </w:pPr>
            <w:r>
              <w:rPr>
                <w:rFonts w:ascii="宋体" w:hAnsi="宋体" w:cs="宋体" w:eastAsia="宋体" w:hint="default"/>
                <w:sz w:val="18"/>
                <w:szCs w:val="18"/>
              </w:rPr>
              <w:t>构成同一控 制下企业合</w:t>
            </w:r>
          </w:p>
        </w:tc>
        <w:tc>
          <w:tcPr>
            <w:tcW w:w="10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1"/>
              <w:ind w:left="245"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7" w:right="74"/>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6" w:right="75"/>
              <w:jc w:val="left"/>
              <w:rPr>
                <w:rFonts w:ascii="宋体" w:hAnsi="宋体" w:cs="宋体" w:eastAsia="宋体" w:hint="default"/>
                <w:sz w:val="18"/>
                <w:szCs w:val="18"/>
              </w:rPr>
            </w:pPr>
            <w:r>
              <w:rPr>
                <w:rFonts w:ascii="宋体" w:hAnsi="宋体" w:cs="宋体" w:eastAsia="宋体" w:hint="default"/>
                <w:sz w:val="18"/>
                <w:szCs w:val="18"/>
              </w:rPr>
              <w:t>合并当期期 初至合并日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7" w:right="75"/>
              <w:jc w:val="left"/>
              <w:rPr>
                <w:rFonts w:ascii="宋体" w:hAnsi="宋体" w:cs="宋体" w:eastAsia="宋体" w:hint="default"/>
                <w:sz w:val="18"/>
                <w:szCs w:val="18"/>
              </w:rPr>
            </w:pPr>
            <w:r>
              <w:rPr>
                <w:rFonts w:ascii="宋体" w:hAnsi="宋体" w:cs="宋体" w:eastAsia="宋体" w:hint="default"/>
                <w:sz w:val="18"/>
                <w:szCs w:val="18"/>
              </w:rPr>
              <w:t>比较期间被 合并方的收</w:t>
            </w:r>
          </w:p>
        </w:tc>
        <w:tc>
          <w:tcPr>
            <w:tcW w:w="10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1"/>
              <w:ind w:left="77" w:right="63"/>
              <w:jc w:val="left"/>
              <w:rPr>
                <w:rFonts w:ascii="宋体" w:hAnsi="宋体" w:cs="宋体" w:eastAsia="宋体" w:hint="default"/>
                <w:sz w:val="18"/>
                <w:szCs w:val="18"/>
              </w:rPr>
            </w:pPr>
            <w:r>
              <w:rPr>
                <w:rFonts w:ascii="宋体" w:hAnsi="宋体" w:cs="宋体" w:eastAsia="宋体" w:hint="default"/>
                <w:sz w:val="18"/>
                <w:szCs w:val="18"/>
              </w:rPr>
              <w:t>比较期间被 合并方的净</w:t>
            </w:r>
          </w:p>
        </w:tc>
      </w:tr>
      <w:tr>
        <w:trPr>
          <w:trHeight w:val="392" w:hRule="exact"/>
        </w:trPr>
        <w:tc>
          <w:tcPr>
            <w:tcW w:w="1050" w:type="dxa"/>
            <w:vMerge/>
            <w:tcBorders>
              <w:left w:val="single" w:sz="4" w:space="0" w:color="000000"/>
              <w:right w:val="single" w:sz="4" w:space="0" w:color="000000"/>
            </w:tcBorders>
            <w:shd w:val="clear" w:color="auto" w:fill="D2D2D2"/>
          </w:tcPr>
          <w:p>
            <w:pPr/>
          </w:p>
        </w:tc>
        <w:tc>
          <w:tcPr>
            <w:tcW w:w="1061"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52"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1" w:hRule="exact"/>
        </w:trPr>
        <w:tc>
          <w:tcPr>
            <w:tcW w:w="1050"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674"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4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66" w:right="0"/>
              <w:jc w:val="left"/>
              <w:rPr>
                <w:rFonts w:ascii="宋体" w:hAnsi="宋体" w:cs="宋体" w:eastAsia="宋体" w:hint="default"/>
                <w:sz w:val="18"/>
                <w:szCs w:val="18"/>
              </w:rPr>
            </w:pPr>
            <w:r>
              <w:rPr>
                <w:rFonts w:ascii="宋体" w:hAnsi="宋体" w:cs="宋体" w:eastAsia="宋体" w:hint="default"/>
                <w:sz w:val="18"/>
                <w:szCs w:val="18"/>
              </w:rPr>
              <w:t>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346" w:right="74" w:hanging="270"/>
              <w:jc w:val="left"/>
              <w:rPr>
                <w:rFonts w:ascii="宋体" w:hAnsi="宋体" w:cs="宋体" w:eastAsia="宋体" w:hint="default"/>
                <w:sz w:val="18"/>
                <w:szCs w:val="18"/>
              </w:rPr>
            </w:pPr>
            <w:r>
              <w:rPr>
                <w:rFonts w:ascii="宋体" w:hAnsi="宋体" w:cs="宋体" w:eastAsia="宋体" w:hint="default"/>
                <w:sz w:val="18"/>
                <w:szCs w:val="18"/>
              </w:rPr>
              <w:t>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56" w:right="76" w:hanging="180"/>
              <w:jc w:val="left"/>
              <w:rPr>
                <w:rFonts w:ascii="宋体" w:hAnsi="宋体" w:cs="宋体" w:eastAsia="宋体" w:hint="default"/>
                <w:sz w:val="18"/>
                <w:szCs w:val="18"/>
              </w:rPr>
            </w:pPr>
            <w:r>
              <w:rPr>
                <w:rFonts w:ascii="宋体" w:hAnsi="宋体" w:cs="宋体" w:eastAsia="宋体" w:hint="default"/>
                <w:sz w:val="18"/>
                <w:szCs w:val="18"/>
              </w:rPr>
              <w:t>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江苏爱康能 源研究院有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27"/>
              <w:jc w:val="left"/>
              <w:rPr>
                <w:rFonts w:ascii="宋体" w:hAnsi="宋体" w:cs="宋体" w:eastAsia="宋体" w:hint="default"/>
                <w:sz w:val="18"/>
                <w:szCs w:val="18"/>
              </w:rPr>
            </w:pPr>
            <w:r>
              <w:rPr>
                <w:rFonts w:ascii="宋体" w:hAnsi="宋体" w:cs="宋体" w:eastAsia="宋体" w:hint="default"/>
                <w:sz w:val="18"/>
                <w:szCs w:val="18"/>
              </w:rPr>
              <w:t>同受实际控 制人控制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控制财务和 </w:t>
            </w:r>
            <w:r>
              <w:rPr>
                <w:rFonts w:ascii="宋体" w:hAnsi="宋体" w:cs="宋体" w:eastAsia="宋体" w:hint="default"/>
                <w:spacing w:val="-12"/>
                <w:sz w:val="18"/>
                <w:szCs w:val="18"/>
              </w:rPr>
              <w:t>经营决策，享</w:t>
            </w:r>
            <w:r>
              <w:rPr>
                <w:rFonts w:ascii="宋体" w:hAnsi="宋体" w:cs="宋体" w:eastAsia="宋体" w:hint="default"/>
                <w:sz w:val="18"/>
                <w:szCs w:val="18"/>
              </w:rPr>
              <w:t> 有可变回报</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-644,837.41</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-6,206,158.01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阳泉爱康太 阳能发电有 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同受实际控 制人控制</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控制财务和 </w:t>
            </w:r>
            <w:r>
              <w:rPr>
                <w:rFonts w:ascii="宋体" w:hAnsi="宋体" w:cs="宋体" w:eastAsia="宋体" w:hint="default"/>
                <w:spacing w:val="-12"/>
                <w:sz w:val="18"/>
                <w:szCs w:val="18"/>
              </w:rPr>
              <w:t>经营决策，享</w:t>
            </w:r>
            <w:r>
              <w:rPr>
                <w:rFonts w:ascii="宋体" w:hAnsi="宋体" w:cs="宋体" w:eastAsia="宋体" w:hint="default"/>
                <w:sz w:val="18"/>
                <w:szCs w:val="18"/>
              </w:rPr>
              <w:t> 有可变回报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0" w:right="0"/>
              <w:jc w:val="left"/>
              <w:rPr>
                <w:rFonts w:ascii="Times New Roman" w:hAnsi="Times New Roman" w:cs="Times New Roman" w:eastAsia="Times New Roman" w:hint="default"/>
                <w:sz w:val="18"/>
                <w:szCs w:val="18"/>
              </w:rPr>
            </w:pPr>
            <w:r>
              <w:rPr>
                <w:rFonts w:ascii="Times New Roman"/>
                <w:sz w:val="18"/>
              </w:rPr>
              <w:t>50,502.68</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34,091.61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2）合并成本" w:id="416"/>
      <w:bookmarkEnd w:id="416"/>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1"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w:t>
            </w:r>
          </w:p>
        </w:tc>
      </w:tr>
    </w:tbl>
    <w:p>
      <w:pPr>
        <w:pStyle w:val="BodyText"/>
        <w:spacing w:line="360" w:lineRule="auto" w:before="51"/>
        <w:ind w:left="154" w:right="8592"/>
        <w:jc w:val="left"/>
      </w:pPr>
      <w:r>
        <w:rPr/>
        <w:t>或有对价及其变动的说明： 其他说明：</w:t>
      </w:r>
    </w:p>
    <w:p>
      <w:pPr>
        <w:spacing w:line="240" w:lineRule="auto" w:before="11"/>
        <w:rPr>
          <w:rFonts w:ascii="宋体" w:hAnsi="宋体" w:cs="宋体" w:eastAsia="宋体" w:hint="default"/>
          <w:sz w:val="19"/>
          <w:szCs w:val="19"/>
        </w:rPr>
      </w:pPr>
    </w:p>
    <w:p>
      <w:pPr>
        <w:pStyle w:val="Heading3"/>
        <w:spacing w:line="240" w:lineRule="auto"/>
        <w:ind w:right="1122"/>
        <w:jc w:val="left"/>
        <w:rPr>
          <w:b w:val="0"/>
          <w:bCs w:val="0"/>
        </w:rPr>
      </w:pPr>
      <w:bookmarkStart w:name="（3）合并日被合并方资产、负债的账面价值" w:id="417"/>
      <w:bookmarkEnd w:id="417"/>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4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江苏爱康能源研究院有限公司</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737" w:right="0"/>
              <w:jc w:val="left"/>
              <w:rPr>
                <w:rFonts w:ascii="宋体" w:hAnsi="宋体" w:cs="宋体" w:eastAsia="宋体" w:hint="default"/>
                <w:sz w:val="18"/>
                <w:szCs w:val="18"/>
              </w:rPr>
            </w:pPr>
            <w:r>
              <w:rPr>
                <w:rFonts w:ascii="宋体" w:hAnsi="宋体" w:cs="宋体" w:eastAsia="宋体" w:hint="default"/>
                <w:sz w:val="18"/>
                <w:szCs w:val="18"/>
              </w:rPr>
              <w:t>阳泉爱康太阳能发电有限公司</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上期期末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合并日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上期期末</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1,506,344.74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1,141,247.21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697,964.73</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27,758.01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105,651.74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20,017.61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1,319,721.03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786,983.60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127,046.94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158,865.70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248,611.87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550,900.18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7,313,882.33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663,873.12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1,323,817.27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7,313,882.33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663,873.12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-6,172,635.12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34,091.61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19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182,527.47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-6,172,635.12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34,091.61</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left="154" w:right="7512"/>
        <w:jc w:val="left"/>
      </w:pPr>
      <w:r>
        <w:rPr/>
        <w:t>企业合并中承担的被合并方的或有负债： 其他说明：</w:t>
      </w:r>
    </w:p>
    <w:p>
      <w:pPr>
        <w:spacing w:line="240" w:lineRule="auto" w:before="11"/>
        <w:rPr>
          <w:rFonts w:ascii="宋体" w:hAnsi="宋体" w:cs="宋体" w:eastAsia="宋体" w:hint="default"/>
          <w:sz w:val="19"/>
          <w:szCs w:val="19"/>
        </w:rPr>
      </w:pPr>
    </w:p>
    <w:p>
      <w:pPr>
        <w:pStyle w:val="Heading3"/>
        <w:spacing w:line="240" w:lineRule="auto"/>
        <w:ind w:left="154" w:right="1122"/>
        <w:jc w:val="left"/>
        <w:rPr>
          <w:b w:val="0"/>
          <w:bCs w:val="0"/>
        </w:rPr>
      </w:pPr>
      <w:bookmarkStart w:name="3、反向购买" w:id="418"/>
      <w:bookmarkEnd w:id="418"/>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left="154" w:right="1122"/>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after="0" w:line="319"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4、处置子公司" w:id="419"/>
      <w:bookmarkEnd w:id="419"/>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2"/>
          <w:pgSz w:w="11910" w:h="16840"/>
          <w:pgMar w:footer="979" w:header="747" w:top="1060" w:bottom="1160" w:left="980" w:right="0"/>
        </w:sectPr>
      </w:pPr>
    </w:p>
    <w:p>
      <w:pPr>
        <w:pStyle w:val="BodyText"/>
        <w:spacing w:line="240" w:lineRule="auto" w:before="44"/>
        <w:ind w:right="-19"/>
        <w:jc w:val="left"/>
      </w:pPr>
      <w:r>
        <w:rPr/>
        <w:t>是否存在单次处置对子公司投资即丧失控制权的情形</w:t>
      </w:r>
    </w:p>
    <w:p>
      <w:pPr>
        <w:pStyle w:val="BodyText"/>
        <w:spacing w:line="240" w:lineRule="auto" w:before="116"/>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青海蓓 翔新能 源开发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404,408,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240.00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20,758,9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61.68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青海蓓 翔电力 设备有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7,443,83</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-2,851,0</w:t>
            </w:r>
          </w:p>
          <w:p>
            <w:pPr>
              <w:pStyle w:val="TableParagraph"/>
              <w:spacing w:line="240" w:lineRule="auto" w:before="106"/>
              <w:ind w:left="275" w:right="0"/>
              <w:jc w:val="center"/>
              <w:rPr>
                <w:rFonts w:ascii="Times New Roman" w:hAnsi="Times New Roman" w:cs="Times New Roman" w:eastAsia="Times New Roman" w:hint="default"/>
                <w:sz w:val="18"/>
                <w:szCs w:val="18"/>
              </w:rPr>
            </w:pPr>
            <w:r>
              <w:rPr>
                <w:rFonts w:ascii="Times New Roman"/>
                <w:sz w:val="18"/>
              </w:rPr>
              <w:t>37.96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徐闻爱 康电力 开发有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1,200,00</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-8,909,2</w:t>
            </w:r>
          </w:p>
          <w:p>
            <w:pPr>
              <w:pStyle w:val="TableParagraph"/>
              <w:spacing w:line="240" w:lineRule="auto" w:before="106"/>
              <w:ind w:left="275" w:right="0"/>
              <w:jc w:val="center"/>
              <w:rPr>
                <w:rFonts w:ascii="Times New Roman" w:hAnsi="Times New Roman" w:cs="Times New Roman" w:eastAsia="Times New Roman" w:hint="default"/>
                <w:sz w:val="18"/>
                <w:szCs w:val="18"/>
              </w:rPr>
            </w:pPr>
            <w:r>
              <w:rPr>
                <w:rFonts w:ascii="Times New Roman"/>
                <w:sz w:val="18"/>
              </w:rPr>
              <w:t>21.91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新疆爱 康慧诚 信息技 术有限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60,000,0</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56,822,3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46.30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金昌清 能电力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168,793,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669.00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center"/>
              <w:rPr>
                <w:rFonts w:ascii="Times New Roman" w:hAnsi="Times New Roman" w:cs="Times New Roman" w:eastAsia="Times New Roman" w:hint="default"/>
                <w:sz w:val="18"/>
                <w:szCs w:val="18"/>
              </w:rPr>
            </w:pPr>
            <w:r>
              <w:rPr>
                <w:rFonts w:ascii="Times New Roman"/>
                <w:sz w:val="18"/>
              </w:rPr>
              <w:t>-32,454,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548.51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193,356,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130.55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209,538,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16,182,5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69.45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161"/>
              <w:jc w:val="both"/>
              <w:rPr>
                <w:rFonts w:ascii="宋体" w:hAnsi="宋体" w:cs="宋体" w:eastAsia="宋体" w:hint="default"/>
                <w:sz w:val="18"/>
                <w:szCs w:val="18"/>
              </w:rPr>
            </w:pPr>
            <w:r>
              <w:rPr>
                <w:rFonts w:ascii="宋体" w:hAnsi="宋体" w:cs="宋体" w:eastAsia="宋体" w:hint="default"/>
                <w:sz w:val="18"/>
                <w:szCs w:val="18"/>
              </w:rPr>
              <w:t>未来收 益法评 估</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both"/>
              <w:rPr>
                <w:rFonts w:ascii="宋体" w:hAnsi="宋体" w:cs="宋体" w:eastAsia="宋体" w:hint="default"/>
                <w:sz w:val="18"/>
                <w:szCs w:val="18"/>
              </w:rPr>
            </w:pPr>
            <w:r>
              <w:rPr>
                <w:rFonts w:ascii="宋体" w:hAnsi="宋体" w:cs="宋体" w:eastAsia="宋体" w:hint="default"/>
                <w:sz w:val="18"/>
                <w:szCs w:val="18"/>
              </w:rPr>
              <w:t>通化中 康电力 开发有</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2,199.35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决策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1"/>
              <w:jc w:val="both"/>
              <w:rPr>
                <w:rFonts w:ascii="宋体" w:hAnsi="宋体" w:cs="宋体" w:eastAsia="宋体" w:hint="default"/>
                <w:sz w:val="18"/>
                <w:szCs w:val="18"/>
              </w:rPr>
            </w:pPr>
            <w:r>
              <w:rPr>
                <w:rFonts w:ascii="宋体" w:hAnsi="宋体" w:cs="宋体" w:eastAsia="宋体" w:hint="default"/>
                <w:sz w:val="18"/>
                <w:szCs w:val="18"/>
              </w:rPr>
              <w:t>合同公 司阳光 产业园</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27,605,8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02.63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1,798,26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白水爱 康电力 开发有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2,766.03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碳金库</w:t>
            </w:r>
          </w:p>
          <w:p>
            <w:pPr>
              <w:pStyle w:val="TableParagraph"/>
              <w:spacing w:line="319" w:lineRule="auto" w:before="75"/>
              <w:ind w:left="22" w:right="-17"/>
              <w:jc w:val="left"/>
              <w:rPr>
                <w:rFonts w:ascii="宋体" w:hAnsi="宋体" w:cs="宋体" w:eastAsia="宋体" w:hint="default"/>
                <w:sz w:val="18"/>
                <w:szCs w:val="18"/>
              </w:rPr>
            </w:pPr>
            <w:r>
              <w:rPr>
                <w:rFonts w:ascii="宋体" w:hAnsi="宋体" w:cs="宋体" w:eastAsia="宋体" w:hint="default"/>
                <w:sz w:val="18"/>
                <w:szCs w:val="18"/>
              </w:rPr>
              <w:t>（北京） 投资管 理有限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北京碳 诺信科 技有限 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不再控 制财务 和经营 决策</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4993"/>
        <w:jc w:val="left"/>
      </w:pPr>
      <w:r>
        <w:rPr/>
        <w:t>其他说明： 是否存在通过多次交易分步处置对子公司投资且在本期丧失控制权的情形</w:t>
      </w:r>
    </w:p>
    <w:p>
      <w:pPr>
        <w:pStyle w:val="BodyText"/>
        <w:spacing w:line="240" w:lineRule="auto" w:before="26"/>
        <w:ind w:right="112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5、其他原因的合并范围变动" w:id="420"/>
      <w:bookmarkEnd w:id="420"/>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说明其他原因导致的合并范围变动（如，新设子公司、清算子公司等）及其相关情况：</w:t>
      </w:r>
    </w:p>
    <w:p>
      <w:pPr>
        <w:pStyle w:val="BodyText"/>
        <w:spacing w:line="240" w:lineRule="auto" w:before="115"/>
        <w:ind w:left="513" w:right="1122"/>
        <w:jc w:val="left"/>
      </w:pPr>
      <w:r>
        <w:rPr/>
        <w:t>（</w:t>
      </w:r>
      <w:r>
        <w:rPr>
          <w:rFonts w:ascii="Times New Roman" w:hAnsi="Times New Roman" w:cs="Times New Roman" w:eastAsia="Times New Roman" w:hint="default"/>
        </w:rPr>
        <w:t>1</w:t>
      </w:r>
      <w:r>
        <w:rPr/>
        <w:t>）本年新纳入合并范围子公司或孙公司</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701"/>
        <w:gridCol w:w="1676"/>
        <w:gridCol w:w="1551"/>
        <w:gridCol w:w="1286"/>
      </w:tblGrid>
      <w:tr>
        <w:trPr>
          <w:trHeight w:val="342" w:hRule="exact"/>
        </w:trPr>
        <w:tc>
          <w:tcPr>
            <w:tcW w:w="470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67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82"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15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320" w:right="0"/>
              <w:jc w:val="left"/>
              <w:rPr>
                <w:rFonts w:ascii="宋体" w:hAnsi="宋体" w:cs="宋体" w:eastAsia="宋体" w:hint="default"/>
                <w:sz w:val="18"/>
                <w:szCs w:val="18"/>
              </w:rPr>
            </w:pPr>
            <w:r>
              <w:rPr>
                <w:rFonts w:ascii="宋体" w:hAnsi="宋体" w:cs="宋体" w:eastAsia="宋体" w:hint="default"/>
                <w:sz w:val="18"/>
                <w:szCs w:val="18"/>
              </w:rPr>
              <w:t>本年净利润</w:t>
            </w:r>
          </w:p>
        </w:tc>
        <w:tc>
          <w:tcPr>
            <w:tcW w:w="128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新增方式</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阳泉爱康科技有限公司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2,772,728.30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-2,227,271.70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上海慧喆信息技术有限公司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50,166,691.83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166,691.83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广西爱康新能电力有限公司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19,982,096.48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-17,903.52</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北京爱康新能电力科技有限公司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209,268,895.84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-731,104.16</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19,857,479.14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-142,520.86</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安徽爱康新能电力有限公司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100,945,262.70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-54,737.30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99,881,450.74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-118,549.26</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张北爱康兴业能源有限公司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-1,561,714.14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-1,561,714.14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赣州爱康新能电力有限公司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19,686,246.22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-313,753.78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20,115,637.24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115,637.24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新疆爱康天电能源有限公司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19,988,093.91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-11,906.09</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陕西爱康新能电力有限公司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98,194,750.26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-1,805,249.74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广东爱康电力有限公司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19,442,391.42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-557,608.58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r>
        <w:trPr>
          <w:trHeight w:val="343"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湖北爱康新能电力有限公司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19,980,720.32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-19,279.68</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center"/>
        <w:rPr>
          <w:rFonts w:ascii="宋体" w:hAnsi="宋体" w:cs="宋体" w:eastAsia="宋体" w:hint="default"/>
          <w:sz w:val="18"/>
          <w:szCs w:val="18"/>
        </w:rPr>
        <w:sectPr>
          <w:footerReference w:type="default" r:id="rId23"/>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01"/>
        <w:gridCol w:w="1676"/>
        <w:gridCol w:w="1551"/>
        <w:gridCol w:w="1286"/>
      </w:tblGrid>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苏州慧康电力开发有限公司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986,478.80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-13,521.20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湖南爱康新能电力有限公司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19,985,932.59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-14,067.41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浙江爱康电力有限公司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100,934,273.59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-65,726.41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山东爱康电力有限公司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-5,105.03</w:t>
            </w:r>
            <w:r>
              <w:rPr>
                <w:rFonts w:ascii="Times New Roman"/>
                <w:sz w:val="18"/>
              </w:rPr>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-5,105.03</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四川爱康新能电力有限公司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19,964,583.88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-35,416.12</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河南爱康新能电力有限公司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19,985,013.07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-14,986.93</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江苏爱康电力有限公司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199,912,631.26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-187,368.74</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云南新康能源电力有限责任公司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19,986,237.08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-13,762.92</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贵州爱康新能电力有限公司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19,981,399.19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-18,600.81</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广西新康电力有限公司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19,986,987.16</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-13,012.84</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湖北中康新能电力有限公司</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辽宁爱康电力有限公司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99,921,367.74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-78,632.26</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福建爱康电力有限公司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99,939,320.60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-60,679.40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山西慧泉大数据产业发展有限公司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-119.22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-119.22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江西碳诺科技有限公司</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西安爱康智慧能源管理有限公司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2,294,089.82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-910.18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湖南中康电力开发有限公司</w:t>
            </w:r>
          </w:p>
        </w:tc>
        <w:tc>
          <w:tcPr>
            <w:tcW w:w="1676" w:type="dxa"/>
            <w:tcBorders>
              <w:top w:val="single" w:sz="4" w:space="0" w:color="000000"/>
              <w:left w:val="single" w:sz="4" w:space="0" w:color="000000"/>
              <w:bottom w:val="single" w:sz="4" w:space="0" w:color="000000"/>
              <w:right w:val="single" w:sz="4" w:space="0" w:color="000000"/>
            </w:tcBorders>
          </w:tcPr>
          <w:p>
            <w:pPr/>
          </w:p>
        </w:tc>
        <w:tc>
          <w:tcPr>
            <w:tcW w:w="1551"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西安爱康信能电力有限公司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-25.00</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r>
        <w:trPr>
          <w:trHeight w:val="342" w:hRule="exact"/>
        </w:trPr>
        <w:tc>
          <w:tcPr>
            <w:tcW w:w="4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阳泉爱康智慧电力科技有限公司</w:t>
            </w:r>
          </w:p>
        </w:tc>
        <w:tc>
          <w:tcPr>
            <w:tcW w:w="1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209,998,745.80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-1,254.20</w:t>
            </w:r>
            <w:r>
              <w:rPr>
                <w:rFonts w:ascii="Times New Roman"/>
                <w:sz w:val="18"/>
              </w:rPr>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57"/>
              <w:jc w:val="righ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240" w:lineRule="auto" w:before="10"/>
        <w:ind w:left="514" w:right="1122"/>
        <w:jc w:val="left"/>
      </w:pPr>
      <w:r>
        <w:rPr/>
        <w:t>（</w:t>
      </w:r>
      <w:r>
        <w:rPr>
          <w:rFonts w:ascii="Times New Roman" w:hAnsi="Times New Roman" w:cs="Times New Roman" w:eastAsia="Times New Roman" w:hint="default"/>
        </w:rPr>
        <w:t>2</w:t>
      </w:r>
      <w:r>
        <w:rPr/>
        <w:t>）本年不再纳入合并范围子公司或孙公司</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4068"/>
        <w:gridCol w:w="1621"/>
        <w:gridCol w:w="2175"/>
        <w:gridCol w:w="1351"/>
      </w:tblGrid>
      <w:tr>
        <w:trPr>
          <w:trHeight w:val="342" w:hRule="exact"/>
        </w:trPr>
        <w:tc>
          <w:tcPr>
            <w:tcW w:w="4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62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66"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1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271"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c>
          <w:tcPr>
            <w:tcW w:w="135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不纳入原因</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盛能国际贸易（上海）有限公司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-15,000.00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-2,500.00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黑龙江省九三农垦昱辉太阳能发电有限公司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-569,979.64</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-519,615.69</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烟台爱康电力开发有限公司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-4,637.11</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-4,637.11</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沾化爱康电力开发有限公司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-221,060.19</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-203,621.02</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围场满族蒙古族自治县爱康太阳能发电有限公司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-5,334.82</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-2,340.90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泗水鑫阳新能源电力有限公司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-167,355.69</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-6,913.00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西吉县中康电力开发有限公司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-83,679.29</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-81,268.29</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乌兰察布爱康新能源发电有限公司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-263,550.25</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-261,013.19</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布拖县中康电力开发有限公司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-12,222.49</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-9,494.40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鄂尔多斯市爱康兴兆新能源有限公司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-9,819.79</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-8,439.51</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昌江爱康电力开发有限公司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-4,867.50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元氏县爱康新能源开发有限公司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-1,060.00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镇赉县爱康电力有限公司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-2,461.13</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-748.54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沭阳爱康新能源开发有限公司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-15,800.00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-15,800.00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巴林左旗爱康电力开发有限公司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-95,701.63</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-82,746.90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巴彦淖尔市爱康新能源有限公司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-5,013.48</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-2,003.48</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海兴宏润华夏能源有限公司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-9,026.80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-4,832.51</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芜湖爱康电力开发有限公司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-3,000.00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-3,000.00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r>
        <w:trPr>
          <w:trHeight w:val="343"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康保县爱康新能源开发有限公司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-7,717.11</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-6,518.86</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注销</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068"/>
        <w:gridCol w:w="1621"/>
        <w:gridCol w:w="2175"/>
        <w:gridCol w:w="1351"/>
      </w:tblGrid>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莘县爱康新能源有限公司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-48,693.01</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-1,953.92</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韩城市爱康电力开发有限公司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-7,470.80</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-6,058.48</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正定县爱康新能源开发有限公司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-10,552.91</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-4,074.07</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大同市爱康新能源有限公司</w:t>
            </w:r>
          </w:p>
        </w:tc>
        <w:tc>
          <w:tcPr>
            <w:tcW w:w="1621"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承德县爱康太阳能发电有限公司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-7,499.04</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-4,718.27</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隆尧县瑜康新能源科技有限公司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-301,224.16</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w w:val="95"/>
                <w:sz w:val="18"/>
              </w:rPr>
              <w:t>-298,541.40</w:t>
            </w:r>
            <w:r>
              <w:rPr>
                <w:rFonts w:ascii="Times New Roman"/>
                <w:sz w:val="18"/>
              </w:rPr>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定边中康光伏发电有限公司</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-17,652.72</w:t>
            </w:r>
            <w:r>
              <w:rPr>
                <w:rFonts w:ascii="Times New Roman"/>
                <w:sz w:val="18"/>
              </w:rPr>
            </w: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白山中康电力开发有限公司</w:t>
            </w:r>
          </w:p>
        </w:tc>
        <w:tc>
          <w:tcPr>
            <w:tcW w:w="1621"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第三合同会社</w:t>
            </w:r>
          </w:p>
        </w:tc>
        <w:tc>
          <w:tcPr>
            <w:tcW w:w="1621"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r>
        <w:trPr>
          <w:trHeight w:val="342" w:hRule="exact"/>
        </w:trPr>
        <w:tc>
          <w:tcPr>
            <w:tcW w:w="4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宋体" w:hAnsi="宋体" w:cs="宋体" w:eastAsia="宋体" w:hint="default"/>
                <w:sz w:val="18"/>
                <w:szCs w:val="18"/>
              </w:rPr>
              <w:t>第四合同会社</w:t>
            </w:r>
          </w:p>
        </w:tc>
        <w:tc>
          <w:tcPr>
            <w:tcW w:w="1621"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491"/>
              <w:jc w:val="right"/>
              <w:rPr>
                <w:rFonts w:ascii="宋体" w:hAnsi="宋体" w:cs="宋体" w:eastAsia="宋体" w:hint="default"/>
                <w:sz w:val="18"/>
                <w:szCs w:val="18"/>
              </w:rPr>
            </w:pPr>
            <w:r>
              <w:rPr>
                <w:rFonts w:ascii="宋体" w:hAnsi="宋体" w:cs="宋体" w:eastAsia="宋体" w:hint="default"/>
                <w:sz w:val="18"/>
                <w:szCs w:val="18"/>
              </w:rPr>
              <w:t>注销</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487" w:lineRule="auto" w:before="175"/>
        <w:ind w:left="153" w:right="7693" w:firstLine="0"/>
        <w:jc w:val="left"/>
        <w:rPr>
          <w:rFonts w:ascii="宋体" w:hAnsi="宋体" w:cs="宋体" w:eastAsia="宋体" w:hint="default"/>
          <w:sz w:val="21"/>
          <w:szCs w:val="21"/>
        </w:rPr>
      </w:pPr>
      <w:bookmarkStart w:name="6、其他" w:id="421"/>
      <w:bookmarkEnd w:id="421"/>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22"/>
      <w:bookmarkEnd w:id="422"/>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23"/>
      <w:bookmarkEnd w:id="423"/>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4"/>
        <w:ind w:right="1122"/>
        <w:jc w:val="left"/>
        <w:rPr>
          <w:b w:val="0"/>
          <w:bCs w:val="0"/>
        </w:rPr>
      </w:pPr>
      <w:bookmarkStart w:name="（1）企业集团的构成" w:id="424"/>
      <w:bookmarkEnd w:id="424"/>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江苏南通市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投资和贸易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28.13%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内蒙呼和浩特</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碳资产开发咨询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青海省西宁市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上海富罗纳企业 征信服务有限公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征信服务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上海爱康富罗纳 售电有限公司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苏州慧诚电力检 测有限公司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江苏爱康能源研 究院有限公司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上海慧喆信息技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技术咨询、开发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北京爱康新能电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新疆爱康天电能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山东爱康电力有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四川爱康新能电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河南爱康新能电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江苏爱康电力有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云南新康能源电 力有限责任公司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贵州爱康新能电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贵州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广西新康电力有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辽宁爱康电力有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福建爱康电力有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西安爱康智慧能 源管理有限公司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阳泉爱康智慧电 力科技有限公司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山西阳泉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新疆精河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朝阳爱康电力新 能源开发有限公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辽宁喀左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67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赣州市南康区爱 康新能源科技有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江西南康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赣州爱康能源开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无棣爱康电力开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山东无棣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浙江瑞旭投资有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浙江嘉兴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贸易</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青海昱辉新能源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青海乌兰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柯坪嘉盛阳光电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新疆柯坪县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特克斯昱辉太阳 能开发有限公司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新疆特克斯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榆林市榆神工业 区昱辉新能源有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陕西神木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嘉祥昱辉新能源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山东嘉祥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承德县昱辉新能 源发电有限公司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河北承德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绥滨昱辉太阳能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黑龙江绥滨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新疆伊阳能源科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新疆聚阳能源科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新疆奇台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酒泉聚能风光科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甘肃酒泉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九州方园博州新 能源有限公司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九州方园博乐市 新能源有限公司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新疆博州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孝义市太子可再 生能源科技有限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山西孝义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无锡中康电力开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江苏无锡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南召县中机国能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河南南召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宿州恒康新能源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内蒙古四子王旗 神光能源发展有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泌阳县中康太阳 能电力开发有限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河南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平泉县仁辉光伏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徐州统联新能源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江苏徐州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济南统联新能源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7"/>
              <w:jc w:val="left"/>
              <w:rPr>
                <w:rFonts w:ascii="Times New Roman" w:hAnsi="Times New Roman" w:cs="Times New Roman" w:eastAsia="Times New Roman" w:hint="default"/>
                <w:sz w:val="18"/>
                <w:szCs w:val="18"/>
              </w:rPr>
            </w:pPr>
            <w:r>
              <w:rPr>
                <w:rFonts w:ascii="宋体" w:hAnsi="宋体" w:cs="宋体" w:eastAsia="宋体" w:hint="default"/>
                <w:sz w:val="18"/>
                <w:szCs w:val="18"/>
              </w:rPr>
              <w:t>泰州中康新能源 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原名 泰州统一联新能 源有限公司</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江苏泰州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韩国爱康株式会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凤庆县爱康电力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禄劝县爱康能源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大安市爱康新能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武安市爱康光伏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平乡县爱康电力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抚州爱康电力开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日本爱康株式会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第一合同会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AJE</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第二合同会 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电现第二阳光产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日本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业园株式会社</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廊坊市中康新能 源开发有限公司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宽甸满族自治县 爱康太阳能发电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明光爱康电力开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崇左市爱康能源 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镇江日升投资管 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阳谷宏大电力开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江西爱康新能源 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贵溪爱康电力开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锦州中康电力开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五家渠爱康电力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新疆利源新辉能 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酒泉慧康光伏发 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大城县爱康电力 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伊川县佳康电力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河南洛阳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莒南鑫顺风光电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山东莒南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乌海市航天睿思 新能源开发有限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乌海市航天智达 新能源开发有限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内蒙古乌海市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张家港爱康科技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江苏张家港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光伏投资</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98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7"/>
              <w:jc w:val="both"/>
              <w:rPr>
                <w:rFonts w:ascii="宋体" w:hAnsi="宋体" w:cs="宋体" w:eastAsia="宋体" w:hint="default"/>
                <w:sz w:val="18"/>
                <w:szCs w:val="18"/>
              </w:rPr>
            </w:pPr>
            <w:r>
              <w:rPr>
                <w:rFonts w:ascii="宋体" w:hAnsi="宋体" w:cs="宋体" w:eastAsia="宋体" w:hint="default"/>
                <w:sz w:val="18"/>
                <w:szCs w:val="18"/>
              </w:rPr>
              <w:t>产业投资基金合 伙企业（有限合 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丹阳中康电力开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丹阳市云阳镇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丹阳市云阳镇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无棣隆康电力开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无棣县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无棣县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赣州爱康光电科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江西省赣州市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
              <w:jc w:val="left"/>
              <w:rPr>
                <w:rFonts w:ascii="Times New Roman" w:hAnsi="Times New Roman" w:cs="Times New Roman" w:eastAsia="Times New Roman" w:hint="default"/>
                <w:sz w:val="18"/>
                <w:szCs w:val="18"/>
              </w:rPr>
            </w:pPr>
            <w:r>
              <w:rPr>
                <w:rFonts w:ascii="Times New Roman"/>
                <w:sz w:val="18"/>
              </w:rPr>
              <w:t>Akcome</w:t>
            </w:r>
            <w:r>
              <w:rPr>
                <w:rFonts w:ascii="Times New Roman"/>
                <w:spacing w:val="-2"/>
                <w:sz w:val="18"/>
              </w:rPr>
              <w:t> </w:t>
            </w:r>
            <w:r>
              <w:rPr>
                <w:rFonts w:ascii="Times New Roman"/>
                <w:sz w:val="18"/>
              </w:rPr>
              <w:t>Energy</w:t>
            </w:r>
            <w:r>
              <w:rPr>
                <w:rFonts w:ascii="Times New Roman"/>
                <w:w w:val="99"/>
                <w:sz w:val="18"/>
              </w:rPr>
              <w:t> </w:t>
            </w:r>
            <w:r>
              <w:rPr>
                <w:rFonts w:ascii="Times New Roman"/>
                <w:sz w:val="18"/>
              </w:rPr>
              <w:t>Australia Pty</w:t>
            </w:r>
            <w:r>
              <w:rPr>
                <w:rFonts w:ascii="Times New Roman"/>
                <w:spacing w:val="-6"/>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3"/>
              <w:jc w:val="left"/>
              <w:rPr>
                <w:rFonts w:ascii="Times New Roman" w:hAnsi="Times New Roman" w:cs="Times New Roman" w:eastAsia="Times New Roman" w:hint="default"/>
                <w:sz w:val="18"/>
                <w:szCs w:val="18"/>
              </w:rPr>
            </w:pPr>
            <w:r>
              <w:rPr>
                <w:rFonts w:ascii="Times New Roman"/>
                <w:sz w:val="18"/>
              </w:rPr>
              <w:t>Akcome</w:t>
            </w:r>
            <w:r>
              <w:rPr>
                <w:rFonts w:ascii="Times New Roman"/>
                <w:spacing w:val="-2"/>
                <w:sz w:val="18"/>
              </w:rPr>
              <w:t> </w:t>
            </w:r>
            <w:r>
              <w:rPr>
                <w:rFonts w:ascii="Times New Roman"/>
                <w:sz w:val="18"/>
              </w:rPr>
              <w:t>Power</w:t>
            </w:r>
            <w:r>
              <w:rPr>
                <w:rFonts w:ascii="Times New Roman"/>
                <w:w w:val="99"/>
                <w:sz w:val="18"/>
              </w:rPr>
              <w:t> </w:t>
            </w:r>
            <w:r>
              <w:rPr>
                <w:rFonts w:ascii="Times New Roman"/>
                <w:sz w:val="18"/>
              </w:rPr>
              <w:t>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销售、安装</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张北爱康兴业能 源有限公司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蒸汽</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陕西爱康新能电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苏州慧康电力开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湖北中康新能电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山西慧泉大数据 产业发展有限公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江西碳诺科技有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湖南中康电力开 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西安爱康信能电 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售电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阳泉爱康太阳能 发电有限公司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同一控制下企业 合并</w:t>
            </w:r>
          </w:p>
        </w:tc>
      </w:tr>
    </w:tbl>
    <w:p>
      <w:pPr>
        <w:pStyle w:val="BodyText"/>
        <w:spacing w:line="360" w:lineRule="auto" w:before="51"/>
        <w:ind w:right="2833"/>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left="154" w:right="7692"/>
        <w:jc w:val="left"/>
      </w:pPr>
      <w:r>
        <w:rPr/>
        <w:t>确定公司是代理人还是委托人的依据：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重要的非全资子公司" w:id="425"/>
      <w:bookmarkEnd w:id="425"/>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江阴爱康光伏焊带有限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-1,034,417.34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1,250,660.00</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九州方园博乐市新能源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-883,843.83</w:t>
            </w:r>
            <w:r>
              <w:rPr>
                <w:rFonts w:ascii="Times New Roman"/>
                <w:sz w:val="18"/>
              </w:rPr>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45,328,503.04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新疆聚阳能源科技有限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37,713.97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584,700.59</w:t>
            </w:r>
          </w:p>
        </w:tc>
      </w:tr>
    </w:tbl>
    <w:p>
      <w:pPr>
        <w:pStyle w:val="BodyText"/>
        <w:spacing w:line="360" w:lineRule="auto" w:before="51"/>
        <w:ind w:left="154" w:right="6432"/>
        <w:jc w:val="left"/>
      </w:pPr>
      <w:r>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3"/>
        <w:spacing w:line="240" w:lineRule="auto"/>
        <w:ind w:left="154" w:right="1122"/>
        <w:jc w:val="left"/>
        <w:rPr>
          <w:b w:val="0"/>
          <w:bCs w:val="0"/>
        </w:rPr>
      </w:pPr>
      <w:bookmarkStart w:name="（3）重要非全资子公司的主要财务信息" w:id="426"/>
      <w:bookmarkEnd w:id="426"/>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1"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江阴爱 康光伏 焊带有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40,821,2</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22.81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5,085,17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3.12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45,906,3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95.93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39,653,0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95.93</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39,653,0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95.93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51,859,0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61.53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6,904,56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9.17</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58,763,6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30.70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47,338,2</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43.98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47,338,2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43.98</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九州方 园博乐 市新能 源有限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108,602,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906.41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671,971,</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722.04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780,574,</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628.45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599,244,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306.23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30,235,3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629,479,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618.33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88,915,2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722,873,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444.78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811,788,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706.64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247,004,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926.26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410,742,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624.15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657,747,</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550.41</w:t>
            </w:r>
          </w:p>
        </w:tc>
      </w:tr>
      <w:tr>
        <w:trPr>
          <w:trHeight w:val="1339"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both"/>
              <w:rPr>
                <w:rFonts w:ascii="宋体" w:hAnsi="宋体" w:cs="宋体" w:eastAsia="宋体" w:hint="default"/>
                <w:sz w:val="18"/>
                <w:szCs w:val="18"/>
              </w:rPr>
            </w:pPr>
            <w:r>
              <w:rPr>
                <w:rFonts w:ascii="宋体" w:hAnsi="宋体" w:cs="宋体" w:eastAsia="宋体" w:hint="default"/>
                <w:sz w:val="18"/>
                <w:szCs w:val="18"/>
              </w:rPr>
              <w:t>新疆聚 阳能源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104,242,</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975.06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443,453,</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282.16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547,696,</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257.22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105,336,</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019.36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209,000,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314,336,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019.36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18,761,8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64.01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23,438,5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26.43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274,119,</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591.99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109,615,</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665.20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239,000,</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348,615,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665.20</w:t>
            </w:r>
          </w:p>
        </w:tc>
      </w:tr>
    </w:tbl>
    <w:p>
      <w:pPr>
        <w:pStyle w:val="BodyText"/>
        <w:spacing w:line="240" w:lineRule="auto" w:before="51"/>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6"/>
              <w:jc w:val="both"/>
              <w:rPr>
                <w:rFonts w:ascii="宋体" w:hAnsi="宋体" w:cs="宋体" w:eastAsia="宋体" w:hint="default"/>
                <w:sz w:val="18"/>
                <w:szCs w:val="18"/>
              </w:rPr>
            </w:pPr>
            <w:r>
              <w:rPr>
                <w:rFonts w:ascii="宋体" w:hAnsi="宋体" w:cs="宋体" w:eastAsia="宋体" w:hint="default"/>
                <w:sz w:val="18"/>
                <w:szCs w:val="18"/>
              </w:rPr>
              <w:t>江阴爱康光 伏焊带有限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10,539,966.4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-5,172,086.72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-5,172,086.72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2" w:right="0"/>
              <w:jc w:val="left"/>
              <w:rPr>
                <w:rFonts w:ascii="Times New Roman" w:hAnsi="Times New Roman" w:cs="Times New Roman" w:eastAsia="Times New Roman" w:hint="default"/>
                <w:sz w:val="18"/>
                <w:szCs w:val="18"/>
              </w:rPr>
            </w:pPr>
            <w:r>
              <w:rPr>
                <w:rFonts w:ascii="Times New Roman"/>
                <w:sz w:val="18"/>
              </w:rPr>
              <w:t>108,032.09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45,434,488.3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-2,322,869.23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-2,322,869.23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-516,588.38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九州方园博 乐市新能源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63,563,664.4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-2,946,146.11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-2,946,146.11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219,162,982.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34,792,195.4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-9,877,728.41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-9,877,728.41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-108,074,812.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10</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新疆聚阳能 源科技有限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53,231,061.7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15,060,166.9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15,060,166.9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38,540,166.4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40,030,175.4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1,622,140.89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1,622,140.89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122,693,763.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35</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使用企业集团资产和清偿企业集团债务的重大限制" w:id="427"/>
      <w:bookmarkEnd w:id="427"/>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5）向纳入合并财务报表范围的结构化主体提供的财务支持或其他支持" w:id="428"/>
      <w:bookmarkEnd w:id="428"/>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2、在子公司的所有者权益份额发生变化且仍控制子公司的交易" w:id="429"/>
      <w:bookmarkEnd w:id="429"/>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在子公司所有者权益份额发生变化的情况说明" w:id="430"/>
      <w:bookmarkEnd w:id="430"/>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2）交易对于少数股东权益及归属于母公司所有者权益的影响" w:id="431"/>
      <w:bookmarkEnd w:id="431"/>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414" coordorigin="5,5" coordsize="2,414">
              <v:shape style="position:absolute;left:5;top:5;width:2;height:414" coordorigin="5,5" coordsize="0,414"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8pt" strokecolor="#000000">
                <v:path arrowok="t"/>
              </v:shape>
            </v:group>
            <v:group style="position:absolute;left:4790;top:5;width:2;height:414" coordorigin="4790,5" coordsize="2,414">
              <v:shape style="position:absolute;left:4790;top:5;width:2;height:414" coordorigin="4790,5" coordsize="0,414" path="m4790,5l4790,418e" filled="false" stroked="true" strokeweight=".4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8pt" strokecolor="#000000">
                <v:path arrowok="t"/>
              </v:shape>
            </v:group>
            <v:group style="position:absolute;left:9574;top:5;width:2;height:414" coordorigin="9574,5" coordsize="2,414">
              <v:shape style="position:absolute;left:9574;top:5;width:2;height:414" coordorigin="9574,5" coordsize="0,414" path="m9574,5l9574,418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47"/>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在合营安排或联营企业中的权益" w:id="432"/>
      <w:bookmarkEnd w:id="432"/>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1）重要的合营企业或联营企业" w:id="433"/>
      <w:bookmarkEnd w:id="433"/>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1"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赣州发展融资租 赁有限责任公司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江西赣州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both"/>
              <w:rPr>
                <w:rFonts w:ascii="宋体" w:hAnsi="宋体" w:cs="宋体" w:eastAsia="宋体" w:hint="default"/>
                <w:sz w:val="18"/>
                <w:szCs w:val="18"/>
              </w:rPr>
            </w:pPr>
            <w:r>
              <w:rPr>
                <w:rFonts w:ascii="宋体" w:hAnsi="宋体" w:cs="宋体" w:eastAsia="宋体" w:hint="default"/>
                <w:sz w:val="18"/>
                <w:szCs w:val="18"/>
              </w:rPr>
              <w:t>苏州爱康能源工 程技术股份有限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江苏苏州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光伏电站建设</w:t>
            </w:r>
          </w:p>
          <w:p>
            <w:pPr>
              <w:pStyle w:val="TableParagraph"/>
              <w:spacing w:line="240" w:lineRule="auto" w:before="116"/>
              <w:ind w:left="22" w:right="0"/>
              <w:jc w:val="left"/>
              <w:rPr>
                <w:rFonts w:ascii="Times New Roman" w:hAnsi="Times New Roman" w:cs="Times New Roman" w:eastAsia="Times New Roman" w:hint="default"/>
                <w:sz w:val="18"/>
                <w:szCs w:val="18"/>
              </w:rPr>
            </w:pPr>
            <w:r>
              <w:rPr>
                <w:rFonts w:ascii="Times New Roman"/>
                <w:sz w:val="18"/>
              </w:rPr>
              <w:t>EPC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金昌清能电力有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甘肃金昌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光伏发电</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49.00%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left="154" w:right="1122"/>
        <w:jc w:val="left"/>
      </w:pPr>
      <w:r>
        <w:rPr/>
        <w:t>在合营企业或联营企业的持股比例不同于表决权比例的说明：</w:t>
      </w:r>
    </w:p>
    <w:p>
      <w:pPr>
        <w:pStyle w:val="BodyText"/>
        <w:spacing w:line="240" w:lineRule="auto" w:before="116"/>
        <w:ind w:left="154" w:right="1122"/>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right="1122"/>
        <w:jc w:val="left"/>
        <w:rPr>
          <w:b w:val="0"/>
          <w:bCs w:val="0"/>
        </w:rPr>
      </w:pPr>
      <w:bookmarkStart w:name="（2）重要合营企业的主要财务信息" w:id="434"/>
      <w:bookmarkEnd w:id="434"/>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重要联营企业的主要财务信息" w:id="435"/>
      <w:bookmarkEnd w:id="435"/>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6"/>
        <w:gridCol w:w="1594"/>
        <w:gridCol w:w="1594"/>
        <w:gridCol w:w="1595"/>
        <w:gridCol w:w="1594"/>
      </w:tblGrid>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7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6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161" w:hRule="exact"/>
        </w:trPr>
        <w:tc>
          <w:tcPr>
            <w:tcW w:w="1571" w:type="dxa"/>
            <w:tcBorders>
              <w:top w:val="single" w:sz="4" w:space="0" w:color="000000"/>
              <w:left w:val="single" w:sz="4" w:space="0" w:color="000000"/>
              <w:bottom w:val="nil" w:sz="6" w:space="0" w:color="auto"/>
              <w:right w:val="single" w:sz="13" w:space="0" w:color="D9D9D9"/>
            </w:tcBorders>
            <w:shd w:val="clear" w:color="auto" w:fill="D2D2D2"/>
          </w:tcPr>
          <w:p>
            <w:pPr/>
          </w:p>
        </w:tc>
        <w:tc>
          <w:tcPr>
            <w:tcW w:w="1606" w:type="dxa"/>
            <w:vMerge w:val="restart"/>
            <w:tcBorders>
              <w:top w:val="single" w:sz="4" w:space="0" w:color="000000"/>
              <w:left w:val="single" w:sz="9" w:space="0" w:color="D2D2D2"/>
              <w:right w:val="single" w:sz="4" w:space="0" w:color="000000"/>
            </w:tcBorders>
            <w:shd w:val="clear" w:color="auto" w:fill="D9D9D9"/>
          </w:tcPr>
          <w:p>
            <w:pPr>
              <w:pStyle w:val="TableParagraph"/>
              <w:spacing w:line="316" w:lineRule="auto" w:before="52"/>
              <w:ind w:left="258" w:right="71" w:hanging="18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59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71" w:right="70"/>
              <w:jc w:val="left"/>
              <w:rPr>
                <w:rFonts w:ascii="宋体" w:hAnsi="宋体" w:cs="宋体" w:eastAsia="宋体" w:hint="default"/>
                <w:sz w:val="18"/>
                <w:szCs w:val="18"/>
              </w:rPr>
            </w:pPr>
            <w:r>
              <w:rPr>
                <w:rFonts w:ascii="宋体" w:hAnsi="宋体" w:cs="宋体" w:eastAsia="宋体" w:hint="default"/>
                <w:sz w:val="18"/>
                <w:szCs w:val="18"/>
              </w:rPr>
              <w:t>苏州爱康能源工程 技术股份有限公司</w:t>
            </w:r>
          </w:p>
        </w:tc>
        <w:tc>
          <w:tcPr>
            <w:tcW w:w="159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611" w:right="71" w:hanging="540"/>
              <w:jc w:val="left"/>
              <w:rPr>
                <w:rFonts w:ascii="宋体" w:hAnsi="宋体" w:cs="宋体" w:eastAsia="宋体" w:hint="default"/>
                <w:sz w:val="18"/>
                <w:szCs w:val="18"/>
              </w:rPr>
            </w:pPr>
            <w:r>
              <w:rPr>
                <w:rFonts w:ascii="宋体" w:hAnsi="宋体" w:cs="宋体" w:eastAsia="宋体" w:hint="default"/>
                <w:sz w:val="18"/>
                <w:szCs w:val="18"/>
              </w:rPr>
              <w:t>金昌清能电力有限 公司</w:t>
            </w:r>
          </w:p>
        </w:tc>
        <w:tc>
          <w:tcPr>
            <w:tcW w:w="1595"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253" w:right="70" w:hanging="180"/>
              <w:jc w:val="left"/>
              <w:rPr>
                <w:rFonts w:ascii="宋体" w:hAnsi="宋体" w:cs="宋体" w:eastAsia="宋体" w:hint="default"/>
                <w:sz w:val="18"/>
                <w:szCs w:val="18"/>
              </w:rPr>
            </w:pPr>
            <w:r>
              <w:rPr>
                <w:rFonts w:ascii="宋体" w:hAnsi="宋体" w:cs="宋体" w:eastAsia="宋体" w:hint="default"/>
                <w:sz w:val="18"/>
                <w:szCs w:val="18"/>
              </w:rPr>
              <w:t>赣州发展融资租赁 有限责任公司</w:t>
            </w:r>
          </w:p>
        </w:tc>
        <w:tc>
          <w:tcPr>
            <w:tcW w:w="1594"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431" w:right="71" w:hanging="360"/>
              <w:jc w:val="left"/>
              <w:rPr>
                <w:rFonts w:ascii="宋体" w:hAnsi="宋体" w:cs="宋体" w:eastAsia="宋体" w:hint="default"/>
                <w:sz w:val="18"/>
                <w:szCs w:val="18"/>
              </w:rPr>
            </w:pPr>
            <w:r>
              <w:rPr>
                <w:rFonts w:ascii="宋体" w:hAnsi="宋体" w:cs="宋体" w:eastAsia="宋体" w:hint="default"/>
                <w:sz w:val="18"/>
                <w:szCs w:val="18"/>
              </w:rPr>
              <w:t>青海蓓翔城市投资 有限公司</w:t>
            </w:r>
          </w:p>
        </w:tc>
      </w:tr>
      <w:tr>
        <w:trPr>
          <w:trHeight w:val="391" w:hRule="exact"/>
        </w:trPr>
        <w:tc>
          <w:tcPr>
            <w:tcW w:w="1571" w:type="dxa"/>
            <w:tcBorders>
              <w:top w:val="nil" w:sz="6" w:space="0" w:color="auto"/>
              <w:left w:val="single" w:sz="4" w:space="0" w:color="000000"/>
              <w:bottom w:val="nil" w:sz="6" w:space="0" w:color="auto"/>
              <w:right w:val="single" w:sz="13" w:space="0" w:color="D9D9D9"/>
            </w:tcBorders>
            <w:shd w:val="clear" w:color="auto" w:fill="D2D2D2"/>
          </w:tcPr>
          <w:p>
            <w:pPr/>
          </w:p>
        </w:tc>
        <w:tc>
          <w:tcPr>
            <w:tcW w:w="1606" w:type="dxa"/>
            <w:vMerge/>
            <w:tcBorders>
              <w:left w:val="single" w:sz="9" w:space="0" w:color="D2D2D2"/>
              <w:right w:val="single" w:sz="4" w:space="0" w:color="000000"/>
            </w:tcBorders>
            <w:shd w:val="clear" w:color="auto" w:fill="D9D9D9"/>
          </w:tcPr>
          <w:p>
            <w:pPr/>
          </w:p>
        </w:tc>
        <w:tc>
          <w:tcPr>
            <w:tcW w:w="1594" w:type="dxa"/>
            <w:vMerge/>
            <w:tcBorders>
              <w:left w:val="single" w:sz="4" w:space="0" w:color="000000"/>
              <w:right w:val="single" w:sz="4" w:space="0" w:color="000000"/>
            </w:tcBorders>
            <w:shd w:val="clear" w:color="auto" w:fill="D9D9D9"/>
          </w:tcPr>
          <w:p>
            <w:pPr/>
          </w:p>
        </w:tc>
        <w:tc>
          <w:tcPr>
            <w:tcW w:w="1594" w:type="dxa"/>
            <w:vMerge/>
            <w:tcBorders>
              <w:left w:val="single" w:sz="4" w:space="0" w:color="000000"/>
              <w:right w:val="single" w:sz="4" w:space="0" w:color="000000"/>
            </w:tcBorders>
            <w:shd w:val="clear" w:color="auto" w:fill="D9D9D9"/>
          </w:tcPr>
          <w:p>
            <w:pPr/>
          </w:p>
        </w:tc>
        <w:tc>
          <w:tcPr>
            <w:tcW w:w="1595" w:type="dxa"/>
            <w:vMerge/>
            <w:tcBorders>
              <w:left w:val="single" w:sz="4" w:space="0" w:color="000000"/>
              <w:right w:val="single" w:sz="4" w:space="0" w:color="000000"/>
            </w:tcBorders>
            <w:shd w:val="clear" w:color="auto" w:fill="D9D9D9"/>
          </w:tcPr>
          <w:p>
            <w:pPr/>
          </w:p>
        </w:tc>
        <w:tc>
          <w:tcPr>
            <w:tcW w:w="1594" w:type="dxa"/>
            <w:vMerge/>
            <w:tcBorders>
              <w:left w:val="single" w:sz="4" w:space="0" w:color="000000"/>
              <w:right w:val="single" w:sz="4" w:space="0" w:color="000000"/>
            </w:tcBorders>
            <w:shd w:val="clear" w:color="auto" w:fill="D9D9D9"/>
          </w:tcPr>
          <w:p>
            <w:pPr/>
          </w:p>
        </w:tc>
      </w:tr>
      <w:tr>
        <w:trPr>
          <w:trHeight w:val="161" w:hRule="exact"/>
        </w:trPr>
        <w:tc>
          <w:tcPr>
            <w:tcW w:w="1571" w:type="dxa"/>
            <w:tcBorders>
              <w:top w:val="nil" w:sz="6" w:space="0" w:color="auto"/>
              <w:left w:val="single" w:sz="4" w:space="0" w:color="000000"/>
              <w:bottom w:val="single" w:sz="4" w:space="0" w:color="000000"/>
              <w:right w:val="single" w:sz="13" w:space="0" w:color="D9D9D9"/>
            </w:tcBorders>
            <w:shd w:val="clear" w:color="auto" w:fill="D2D2D2"/>
          </w:tcPr>
          <w:p>
            <w:pPr/>
          </w:p>
        </w:tc>
        <w:tc>
          <w:tcPr>
            <w:tcW w:w="1606" w:type="dxa"/>
            <w:vMerge/>
            <w:tcBorders>
              <w:left w:val="single" w:sz="9" w:space="0" w:color="D2D2D2"/>
              <w:bottom w:val="single" w:sz="4" w:space="0" w:color="000000"/>
              <w:right w:val="single" w:sz="4" w:space="0" w:color="000000"/>
            </w:tcBorders>
            <w:shd w:val="clear" w:color="auto" w:fill="D9D9D9"/>
          </w:tcPr>
          <w:p>
            <w:pPr/>
          </w:p>
        </w:tc>
        <w:tc>
          <w:tcPr>
            <w:tcW w:w="1594" w:type="dxa"/>
            <w:vMerge/>
            <w:tcBorders>
              <w:left w:val="single" w:sz="4" w:space="0" w:color="000000"/>
              <w:bottom w:val="single" w:sz="4" w:space="0" w:color="000000"/>
              <w:right w:val="single" w:sz="4" w:space="0" w:color="000000"/>
            </w:tcBorders>
            <w:shd w:val="clear" w:color="auto" w:fill="D9D9D9"/>
          </w:tcPr>
          <w:p>
            <w:pPr/>
          </w:p>
        </w:tc>
        <w:tc>
          <w:tcPr>
            <w:tcW w:w="1594" w:type="dxa"/>
            <w:vMerge/>
            <w:tcBorders>
              <w:left w:val="single" w:sz="4" w:space="0" w:color="000000"/>
              <w:bottom w:val="single" w:sz="4" w:space="0" w:color="000000"/>
              <w:right w:val="single" w:sz="4" w:space="0" w:color="000000"/>
            </w:tcBorders>
            <w:shd w:val="clear" w:color="auto" w:fill="D9D9D9"/>
          </w:tcPr>
          <w:p>
            <w:pPr/>
          </w:p>
        </w:tc>
        <w:tc>
          <w:tcPr>
            <w:tcW w:w="1595" w:type="dxa"/>
            <w:vMerge/>
            <w:tcBorders>
              <w:left w:val="single" w:sz="4" w:space="0" w:color="000000"/>
              <w:bottom w:val="single" w:sz="4" w:space="0" w:color="000000"/>
              <w:right w:val="single" w:sz="4" w:space="0" w:color="000000"/>
            </w:tcBorders>
            <w:shd w:val="clear" w:color="auto" w:fill="D9D9D9"/>
          </w:tcPr>
          <w:p>
            <w:pPr/>
          </w:p>
        </w:tc>
        <w:tc>
          <w:tcPr>
            <w:tcW w:w="1594" w:type="dxa"/>
            <w:vMerge/>
            <w:tcBorders>
              <w:left w:val="single" w:sz="4" w:space="0" w:color="000000"/>
              <w:bottom w:val="single" w:sz="4" w:space="0" w:color="000000"/>
              <w:right w:val="single" w:sz="4" w:space="0" w:color="000000"/>
            </w:tcBorders>
            <w:shd w:val="clear" w:color="auto" w:fill="D9D9D9"/>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1,224,833,995.68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3,701,501,549.50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128,437,762.05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737,455,376.42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63,372,532.56</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1,724,382,594.20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112,812,981.85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752,512,418.44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1,666,419,544.43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86,977,275.95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2,949,216,589.88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3,814,314,531.35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880,950,180.49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2,403,874,920.85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150,349,808.51</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844,151,773.44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2,466,013,715.08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60,578,073.52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1,005,772,713.36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39,955,839.99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1,215,111,881.06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513,034,985.15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425,964,322.45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1,052,104,178.35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115,000,000.00</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2,059,263,654.50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2,979,048,700.23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486,542,395.97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2,057,876,891.71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154,955,839.99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3,134,120.68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19,849,790.10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归属于母公司股东 权益</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889,952,935.38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832,131,710.44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394,407,784.52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326,148,239.04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-4,606,031.48</w:t>
            </w: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按持股比例计算的 净资产份额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355,981,174.16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313,214,375.81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193,259,814.41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130,459,295.62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-1,842,412.59</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100,464,109.02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100,464,109.02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21,650,613.14</w:t>
            </w: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w:t>
            </w:r>
            <w:r>
              <w:rPr>
                <w:rFonts w:ascii="宋体" w:hAnsi="宋体" w:cs="宋体" w:eastAsia="宋体" w:hint="default"/>
                <w:w w:val="99"/>
                <w:sz w:val="18"/>
                <w:szCs w:val="18"/>
              </w:rPr>
              <w:t> </w:t>
            </w:r>
            <w:r>
              <w:rPr>
                <w:rFonts w:ascii="宋体" w:hAnsi="宋体" w:cs="宋体" w:eastAsia="宋体" w:hint="default"/>
                <w:sz w:val="18"/>
                <w:szCs w:val="18"/>
              </w:rPr>
              <w:t>利润</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-24,259,075.81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-100,722,612.10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16,278,885.59</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对联营企业权益投 资的账面价值</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355,722,671.08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813,767,809.71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209,538,700.00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230,923,404.64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19,808,200.55</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210,639,722.62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605,049,470.30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100,017,946.87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95,106.12</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60,499,696.34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61,484,013.53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8,752,592.28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20,501.38</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60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60,499,696.34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61,484,013.53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8,752,592.28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20,501.38</w:t>
            </w:r>
          </w:p>
        </w:tc>
      </w:tr>
      <w:tr>
        <w:trPr>
          <w:trHeight w:val="716"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8"/>
              <w:jc w:val="left"/>
              <w:rPr>
                <w:rFonts w:ascii="宋体" w:hAnsi="宋体" w:cs="宋体" w:eastAsia="宋体" w:hint="default"/>
                <w:sz w:val="18"/>
                <w:szCs w:val="18"/>
              </w:rPr>
            </w:pPr>
            <w:r>
              <w:rPr>
                <w:rFonts w:ascii="宋体" w:hAnsi="宋体" w:cs="宋体" w:eastAsia="宋体" w:hint="default"/>
                <w:sz w:val="18"/>
                <w:szCs w:val="18"/>
              </w:rPr>
              <w:t>本年度收到的来自 联营企业的股利</w:t>
            </w:r>
          </w:p>
        </w:tc>
        <w:tc>
          <w:tcPr>
            <w:tcW w:w="1606" w:type="dxa"/>
            <w:tcBorders>
              <w:top w:val="single" w:sz="4" w:space="0" w:color="000000"/>
              <w:left w:val="single" w:sz="9"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18,237,716.23</w:t>
            </w:r>
          </w:p>
        </w:tc>
        <w:tc>
          <w:tcPr>
            <w:tcW w:w="159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其他说明</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4）不重要的合营企业和联营企业的汇总财务信息" w:id="436"/>
      <w:bookmarkEnd w:id="436"/>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合营企业或联营企业向本公司转移资金的能力存在重大限制的说明" w:id="437"/>
      <w:bookmarkEnd w:id="437"/>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6）合营企业或联营企业发生的超额亏损" w:id="438"/>
      <w:bookmarkEnd w:id="438"/>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7）与合营企业投资相关的未确认承诺" w:id="439"/>
      <w:bookmarkEnd w:id="439"/>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8）与合营企业或联营企业投资相关的或有负债" w:id="440"/>
      <w:bookmarkEnd w:id="440"/>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22"/>
        <w:jc w:val="left"/>
      </w:pPr>
      <w:r>
        <w:rPr/>
        <w:t>①赣州发展融资租赁有限责任公司（以下简称</w:t>
      </w:r>
      <w:r>
        <w:rPr>
          <w:rFonts w:ascii="Times New Roman" w:hAnsi="Times New Roman" w:cs="Times New Roman" w:eastAsia="Times New Roman" w:hint="default"/>
        </w:rPr>
        <w:t>“</w:t>
      </w:r>
      <w:r>
        <w:rPr/>
        <w:t>赣发租赁</w:t>
      </w:r>
      <w:r>
        <w:rPr>
          <w:rFonts w:ascii="Times New Roman" w:hAnsi="Times New Roman" w:cs="Times New Roman" w:eastAsia="Times New Roman" w:hint="default"/>
        </w:rPr>
        <w:t>”</w:t>
      </w:r>
      <w:r>
        <w:rPr/>
        <w:t>）增资事项</w:t>
      </w:r>
    </w:p>
    <w:p>
      <w:pPr>
        <w:pStyle w:val="BodyText"/>
        <w:spacing w:line="300" w:lineRule="auto" w:before="63"/>
        <w:ind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w:t>
      </w:r>
      <w:r>
        <w:rPr/>
        <w:t>日，根据本公司与赣州发展投资控股集团有限责任公司（以下简称</w:t>
      </w:r>
      <w:r>
        <w:rPr>
          <w:rFonts w:ascii="Times New Roman" w:hAnsi="Times New Roman" w:cs="Times New Roman" w:eastAsia="Times New Roman" w:hint="default"/>
        </w:rPr>
        <w:t>“</w:t>
      </w:r>
      <w:r>
        <w:rPr/>
        <w:t>赣发集团</w:t>
      </w:r>
      <w:r>
        <w:rPr>
          <w:rFonts w:ascii="Times New Roman" w:hAnsi="Times New Roman" w:cs="Times New Roman" w:eastAsia="Times New Roman" w:hint="default"/>
        </w:rPr>
        <w:t>”</w:t>
      </w:r>
      <w:r>
        <w:rPr/>
        <w:t>）签订的增资扩股协议、股东 </w:t>
      </w:r>
      <w:r>
        <w:rPr>
          <w:spacing w:val="-5"/>
        </w:rPr>
        <w:t>会决议和新章程，同意赣发租赁新增注册资本</w:t>
      </w:r>
      <w:r>
        <w:rPr>
          <w:rFonts w:ascii="Times New Roman" w:hAnsi="Times New Roman" w:cs="Times New Roman" w:eastAsia="Times New Roman" w:hint="default"/>
          <w:spacing w:val="-5"/>
        </w:rPr>
        <w:t>57,500.00</w:t>
      </w:r>
      <w:r>
        <w:rPr>
          <w:spacing w:val="-5"/>
        </w:rPr>
        <w:t>万元，各股东按原持股比例分别增资，增资后公司注册资本为</w:t>
      </w:r>
      <w:r>
        <w:rPr>
          <w:rFonts w:ascii="Times New Roman" w:hAnsi="Times New Roman" w:cs="Times New Roman" w:eastAsia="Times New Roman" w:hint="default"/>
          <w:spacing w:val="-5"/>
        </w:rPr>
        <w:t>87,500.00</w:t>
      </w:r>
      <w:r>
        <w:rPr>
          <w:rFonts w:ascii="Times New Roman" w:hAnsi="Times New Roman" w:cs="Times New Roman" w:eastAsia="Times New Roman" w:hint="default"/>
          <w:spacing w:val="14"/>
        </w:rPr>
        <w:t> </w:t>
      </w:r>
      <w:r>
        <w:rPr>
          <w:spacing w:val="-1"/>
        </w:rPr>
        <w:t>万元，其中：赣发集团持有注册资本</w:t>
      </w:r>
      <w:r>
        <w:rPr>
          <w:rFonts w:ascii="Times New Roman" w:hAnsi="Times New Roman" w:cs="Times New Roman" w:eastAsia="Times New Roman" w:hint="default"/>
          <w:spacing w:val="-1"/>
        </w:rPr>
        <w:t>52,500.00</w:t>
      </w:r>
      <w:r>
        <w:rPr>
          <w:spacing w:val="-1"/>
        </w:rPr>
        <w:t>万元，占</w:t>
      </w:r>
      <w:r>
        <w:rPr>
          <w:rFonts w:ascii="Times New Roman" w:hAnsi="Times New Roman" w:cs="Times New Roman" w:eastAsia="Times New Roman" w:hint="default"/>
          <w:spacing w:val="-1"/>
        </w:rPr>
        <w:t>60.00%</w:t>
      </w:r>
      <w:r>
        <w:rPr>
          <w:spacing w:val="-1"/>
        </w:rPr>
        <w:t>股权；本公司持有注册资本为</w:t>
      </w:r>
      <w:r>
        <w:rPr>
          <w:rFonts w:ascii="Times New Roman" w:hAnsi="Times New Roman" w:cs="Times New Roman" w:eastAsia="Times New Roman" w:hint="default"/>
          <w:spacing w:val="-1"/>
        </w:rPr>
        <w:t>35,000.00</w:t>
      </w:r>
      <w:r>
        <w:rPr>
          <w:spacing w:val="-1"/>
        </w:rPr>
        <w:t>万元，占</w:t>
      </w:r>
      <w:r>
        <w:rPr>
          <w:rFonts w:ascii="Times New Roman" w:hAnsi="Times New Roman" w:cs="Times New Roman" w:eastAsia="Times New Roman" w:hint="default"/>
          <w:spacing w:val="-1"/>
        </w:rPr>
        <w:t>40.00%</w:t>
      </w:r>
      <w:r>
        <w:rPr>
          <w:spacing w:val="-1"/>
        </w:rPr>
        <w:t>股权。</w:t>
      </w:r>
      <w:r>
        <w:rPr>
          <w:spacing w:val="-48"/>
        </w:rPr>
        <w:t> </w:t>
      </w:r>
      <w:r>
        <w:rPr/>
        <w:t>新增注册资本应由全体股东于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日前缴足。</w:t>
      </w:r>
    </w:p>
    <w:p>
      <w:pPr>
        <w:pStyle w:val="BodyText"/>
        <w:spacing w:line="300" w:lineRule="auto" w:before="13"/>
        <w:ind w:right="1033" w:firstLine="360"/>
        <w:jc w:val="left"/>
      </w:pPr>
      <w:r>
        <w:rPr/>
        <w:t>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7</w:t>
      </w:r>
      <w:r>
        <w:rPr/>
        <w:t>日止，赣发租赁收到赣发集团缴纳的新增注册资本</w:t>
      </w:r>
      <w:r>
        <w:rPr>
          <w:rFonts w:ascii="Times New Roman" w:hAnsi="Times New Roman" w:cs="Times New Roman" w:eastAsia="Times New Roman" w:hint="default"/>
        </w:rPr>
        <w:t>34,500.00</w:t>
      </w:r>
      <w:r>
        <w:rPr/>
        <w:t>万元，本次股东实际缴纳出资额为人民币 </w:t>
      </w:r>
      <w:r>
        <w:rPr>
          <w:rFonts w:ascii="Times New Roman" w:hAnsi="Times New Roman" w:cs="Times New Roman" w:eastAsia="Times New Roman" w:hint="default"/>
          <w:spacing w:val="-2"/>
        </w:rPr>
        <w:t>40,330.50</w:t>
      </w:r>
      <w:r>
        <w:rPr>
          <w:spacing w:val="-2"/>
        </w:rPr>
        <w:t>万元，全部以货币出资，其中</w:t>
      </w:r>
      <w:r>
        <w:rPr>
          <w:rFonts w:ascii="Times New Roman" w:hAnsi="Times New Roman" w:cs="Times New Roman" w:eastAsia="Times New Roman" w:hint="default"/>
          <w:spacing w:val="-2"/>
        </w:rPr>
        <w:t>34,500.00</w:t>
      </w:r>
      <w:r>
        <w:rPr>
          <w:spacing w:val="-2"/>
        </w:rPr>
        <w:t>万元计入实收资本，</w:t>
      </w:r>
      <w:r>
        <w:rPr>
          <w:rFonts w:ascii="Times New Roman" w:hAnsi="Times New Roman" w:cs="Times New Roman" w:eastAsia="Times New Roman" w:hint="default"/>
          <w:spacing w:val="-2"/>
        </w:rPr>
        <w:t>5,830.50</w:t>
      </w:r>
      <w:r>
        <w:rPr>
          <w:spacing w:val="-2"/>
        </w:rPr>
        <w:t>万元计入资本公积。截至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20</w:t>
      </w:r>
      <w:r>
        <w:rPr>
          <w:spacing w:val="-2"/>
        </w:rPr>
        <w:t>日止，赣</w:t>
      </w:r>
      <w:r>
        <w:rPr>
          <w:spacing w:val="-36"/>
        </w:rPr>
        <w:t> </w:t>
      </w:r>
      <w:r>
        <w:rPr>
          <w:spacing w:val="-36"/>
        </w:rPr>
      </w:r>
      <w:r>
        <w:rPr/>
        <w:t>发租赁收到本公司缴纳的新增注册资本</w:t>
      </w:r>
      <w:r>
        <w:rPr>
          <w:rFonts w:ascii="Times New Roman" w:hAnsi="Times New Roman" w:cs="Times New Roman" w:eastAsia="Times New Roman" w:hint="default"/>
        </w:rPr>
        <w:t>10,000.00</w:t>
      </w:r>
      <w:r>
        <w:rPr/>
        <w:t>万元，本次股东实际缴纳出资额为人民币</w:t>
      </w:r>
      <w:r>
        <w:rPr>
          <w:rFonts w:ascii="Times New Roman" w:hAnsi="Times New Roman" w:cs="Times New Roman" w:eastAsia="Times New Roman" w:hint="default"/>
        </w:rPr>
        <w:t>10,000.00</w:t>
      </w:r>
      <w:r>
        <w:rPr/>
        <w:t>万元，全部以货币出资， </w:t>
      </w:r>
      <w:r>
        <w:rPr>
          <w:spacing w:val="-2"/>
        </w:rPr>
        <w:t>其中</w:t>
      </w:r>
      <w:r>
        <w:rPr>
          <w:rFonts w:ascii="Times New Roman" w:hAnsi="Times New Roman" w:cs="Times New Roman" w:eastAsia="Times New Roman" w:hint="default"/>
          <w:spacing w:val="-2"/>
        </w:rPr>
        <w:t>10,000.00</w:t>
      </w:r>
      <w:r>
        <w:rPr>
          <w:spacing w:val="-2"/>
        </w:rPr>
        <w:t>万元计入实收资本。根据出资协议和章程规定，本公司需要缴纳的出资额为</w:t>
      </w:r>
      <w:r>
        <w:rPr>
          <w:rFonts w:ascii="Times New Roman" w:hAnsi="Times New Roman" w:cs="Times New Roman" w:eastAsia="Times New Roman" w:hint="default"/>
          <w:spacing w:val="-2"/>
        </w:rPr>
        <w:t>26,887.00</w:t>
      </w:r>
      <w:r>
        <w:rPr>
          <w:spacing w:val="-2"/>
        </w:rPr>
        <w:t>万元，截至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rFonts w:ascii="Times New Roman" w:hAnsi="Times New Roman" w:cs="Times New Roman" w:eastAsia="Times New Roman" w:hint="default"/>
          <w:spacing w:val="3"/>
        </w:rPr>
        <w:t> </w:t>
      </w:r>
      <w:r>
        <w:rPr/>
        <w:t>日本公司尚未缴纳的出资金额为</w:t>
      </w:r>
      <w:r>
        <w:rPr>
          <w:rFonts w:ascii="Times New Roman" w:hAnsi="Times New Roman" w:cs="Times New Roman" w:eastAsia="Times New Roman" w:hint="default"/>
        </w:rPr>
        <w:t>16,887.00</w:t>
      </w:r>
      <w:r>
        <w:rPr/>
        <w:t>万元，本公司计划在</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宋体" w:hAnsi="宋体" w:cs="宋体" w:eastAsia="宋体" w:hint="default"/>
        </w:rPr>
        <w:t>31</w:t>
      </w:r>
      <w:r>
        <w:rPr/>
        <w:t>日前缴足。</w:t>
      </w:r>
    </w:p>
    <w:p>
      <w:pPr>
        <w:pStyle w:val="BodyText"/>
        <w:spacing w:line="300" w:lineRule="auto" w:before="13"/>
        <w:ind w:left="513" w:right="1122"/>
        <w:jc w:val="left"/>
      </w:pPr>
      <w:r>
        <w:rPr/>
        <w:t>②收购苏州爱康能源工程技术开发股份有限公司（以下简称</w:t>
      </w:r>
      <w:r>
        <w:rPr>
          <w:rFonts w:ascii="Times New Roman" w:hAnsi="Times New Roman" w:cs="Times New Roman" w:eastAsia="Times New Roman" w:hint="default"/>
        </w:rPr>
        <w:t>“</w:t>
      </w:r>
      <w:r>
        <w:rPr/>
        <w:t>能源工程</w:t>
      </w:r>
      <w:r>
        <w:rPr>
          <w:rFonts w:ascii="Times New Roman" w:hAnsi="Times New Roman" w:cs="Times New Roman" w:eastAsia="Times New Roman" w:hint="default"/>
        </w:rPr>
        <w:t>”</w:t>
      </w:r>
      <w:r>
        <w:rPr/>
        <w:t>）</w:t>
      </w:r>
      <w:r>
        <w:rPr>
          <w:rFonts w:ascii="Times New Roman" w:hAnsi="Times New Roman" w:cs="Times New Roman" w:eastAsia="Times New Roman" w:hint="default"/>
        </w:rPr>
        <w:t>38.40%</w:t>
      </w:r>
      <w:r>
        <w:rPr/>
        <w:t>股权事项 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日召开的第三届董事会第十九次临时会议和</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2017</w:t>
      </w:r>
      <w:r>
        <w:rPr/>
        <w:t>年第七次临时股东大会审</w:t>
      </w:r>
    </w:p>
    <w:p>
      <w:pPr>
        <w:pStyle w:val="BodyText"/>
        <w:spacing w:line="314" w:lineRule="auto" w:before="13"/>
        <w:ind w:right="1033"/>
        <w:jc w:val="left"/>
      </w:pPr>
      <w:r>
        <w:rPr/>
        <w:t>议通过了《关于收购能源工程部分股权暨关联交易的议案》，同意公司以自有资金及银行借款方式向农银国际投资（苏州） </w:t>
      </w:r>
      <w:r>
        <w:rPr>
          <w:spacing w:val="-2"/>
        </w:rPr>
        <w:t>有限公司、农银无锡股权投资基金企业（有限合伙）、上海保港股权投资基金有限公司、海通开元投资有限公司、张家港诺</w:t>
      </w:r>
      <w:r>
        <w:rPr>
          <w:spacing w:val="-67"/>
        </w:rPr>
        <w:t> </w:t>
      </w:r>
      <w:r>
        <w:rPr>
          <w:spacing w:val="-67"/>
        </w:rPr>
      </w:r>
      <w:r>
        <w:rPr>
          <w:spacing w:val="-2"/>
        </w:rPr>
        <w:t>德投资管理中心（有限合伙）、崇义友兰投资中心（有限合伙）、崇义众合投资管理中心（有限合伙）、东方汇智资产管理</w:t>
      </w:r>
      <w:r>
        <w:rPr>
          <w:spacing w:val="-69"/>
        </w:rPr>
        <w:t> </w:t>
      </w:r>
      <w:r>
        <w:rPr>
          <w:spacing w:val="-69"/>
        </w:rPr>
      </w:r>
      <w:r>
        <w:rPr>
          <w:spacing w:val="-2"/>
        </w:rPr>
        <w:t>有限公司、辽宁海通新能源低碳产业股权投资基金有限公司、新余兴中康和投资管理中心（有限合伙）、上海稻坤资产管理</w:t>
      </w:r>
      <w:r>
        <w:rPr>
          <w:spacing w:val="-66"/>
        </w:rPr>
        <w:t> </w:t>
      </w:r>
      <w:r>
        <w:rPr>
          <w:spacing w:val="-66"/>
        </w:rPr>
      </w:r>
      <w:r>
        <w:rPr>
          <w:spacing w:val="-2"/>
        </w:rPr>
        <w:t>中心（有限合伙）、苏州工业园区股份有限公司、娄沣（上海）投资管理有限公司、新疆盛世柏金股权投资合伙企业（有限</w:t>
      </w:r>
      <w:r>
        <w:rPr>
          <w:spacing w:val="-67"/>
        </w:rPr>
        <w:t> </w:t>
      </w:r>
      <w:r>
        <w:rPr>
          <w:spacing w:val="-67"/>
        </w:rPr>
      </w:r>
      <w:r>
        <w:rPr/>
        <w:t>合伙）、周飏、平苏军、俞文耀、朱信义、郭育林和张燕平等</w:t>
      </w:r>
      <w:r>
        <w:rPr>
          <w:rFonts w:ascii="Times New Roman" w:hAnsi="Times New Roman" w:cs="Times New Roman" w:eastAsia="Times New Roman" w:hint="default"/>
        </w:rPr>
        <w:t>20</w:t>
      </w:r>
      <w:r>
        <w:rPr/>
        <w:t>位股东收购其持有的能源工程</w:t>
      </w:r>
      <w:r>
        <w:rPr>
          <w:rFonts w:ascii="Times New Roman" w:hAnsi="Times New Roman" w:cs="Times New Roman" w:eastAsia="Times New Roman" w:hint="default"/>
        </w:rPr>
        <w:t>38.40%</w:t>
      </w:r>
      <w:r>
        <w:rPr/>
        <w:t>的股权，股权转让总</w:t>
      </w:r>
      <w:r>
        <w:rPr>
          <w:spacing w:val="-17"/>
        </w:rPr>
        <w:t> </w:t>
      </w:r>
      <w:r>
        <w:rPr>
          <w:spacing w:val="-17"/>
        </w:rPr>
      </w:r>
      <w:r>
        <w:rPr/>
        <w:t>价款为</w:t>
      </w:r>
      <w:r>
        <w:rPr>
          <w:rFonts w:ascii="Times New Roman" w:hAnsi="Times New Roman" w:cs="Times New Roman" w:eastAsia="Times New Roman" w:hint="default"/>
        </w:rPr>
        <w:t>80,640.00</w:t>
      </w:r>
      <w:r>
        <w:rPr/>
        <w:t>万元。公司于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15</w:t>
      </w:r>
      <w:r>
        <w:rPr/>
        <w:t>日与除苏州工业园区股份有限公司外的各交易对手方签订合计能源工程</w:t>
      </w:r>
      <w:r>
        <w:rPr>
          <w:rFonts w:ascii="Times New Roman" w:hAnsi="Times New Roman" w:cs="Times New Roman" w:eastAsia="Times New Roman" w:hint="default"/>
        </w:rPr>
        <w:t>37.64%</w:t>
      </w:r>
      <w:r>
        <w:rPr/>
        <w:t>股</w:t>
      </w:r>
    </w:p>
    <w:p>
      <w:pPr>
        <w:spacing w:after="0" w:line="314"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23"/>
        <w:jc w:val="both"/>
      </w:pPr>
      <w:r>
        <w:rPr>
          <w:spacing w:val="5"/>
        </w:rPr>
        <w:t>权的股权转让协议，并于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11</w:t>
      </w:r>
      <w:r>
        <w:rPr>
          <w:spacing w:val="5"/>
        </w:rPr>
        <w:t>月</w:t>
      </w:r>
      <w:r>
        <w:rPr>
          <w:rFonts w:ascii="Times New Roman" w:hAnsi="Times New Roman" w:cs="Times New Roman" w:eastAsia="Times New Roman" w:hint="default"/>
          <w:spacing w:val="5"/>
        </w:rPr>
        <w:t>8</w:t>
      </w:r>
      <w:r>
        <w:rPr>
          <w:spacing w:val="5"/>
        </w:rPr>
        <w:t>日完成工商变更手续。截止</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日止，公司已经支付</w:t>
      </w:r>
      <w:r>
        <w:rPr>
          <w:rFonts w:ascii="Times New Roman" w:hAnsi="Times New Roman" w:cs="Times New Roman" w:eastAsia="Times New Roman" w:hint="default"/>
          <w:spacing w:val="5"/>
        </w:rPr>
        <w:t>37.64%</w:t>
      </w:r>
      <w:r>
        <w:rPr>
          <w:spacing w:val="5"/>
        </w:rPr>
        <w:t>股权转让款</w:t>
      </w:r>
      <w:r>
        <w:rPr>
          <w:spacing w:val="-48"/>
        </w:rPr>
        <w:t> </w:t>
      </w:r>
      <w:r>
        <w:rPr>
          <w:rFonts w:ascii="Times New Roman" w:hAnsi="Times New Roman" w:cs="Times New Roman" w:eastAsia="Times New Roman" w:hint="default"/>
        </w:rPr>
        <w:t>10,503.15</w:t>
      </w:r>
      <w:r>
        <w:rPr/>
        <w:t>万元，剩余</w:t>
      </w:r>
      <w:r>
        <w:rPr>
          <w:rFonts w:ascii="Times New Roman" w:hAnsi="Times New Roman" w:cs="Times New Roman" w:eastAsia="Times New Roman" w:hint="default"/>
        </w:rPr>
        <w:t>68,540.85</w:t>
      </w:r>
      <w:r>
        <w:rPr/>
        <w:t>万元记录为其他应付款，并于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月支付完毕。公司收购苏州工业园区股份有限公司持有 的能源工程</w:t>
      </w:r>
      <w:r>
        <w:rPr>
          <w:rFonts w:ascii="Times New Roman" w:hAnsi="Times New Roman" w:cs="Times New Roman" w:eastAsia="Times New Roman" w:hint="default"/>
        </w:rPr>
        <w:t>0.67%</w:t>
      </w:r>
      <w:r>
        <w:rPr/>
        <w:t>股权的相关手续尚在办理过程中。</w:t>
      </w:r>
    </w:p>
    <w:p>
      <w:pPr>
        <w:spacing w:line="240" w:lineRule="auto" w:before="1"/>
        <w:rPr>
          <w:rFonts w:ascii="宋体" w:hAnsi="宋体" w:cs="宋体" w:eastAsia="宋体" w:hint="default"/>
          <w:sz w:val="22"/>
          <w:szCs w:val="22"/>
        </w:rPr>
      </w:pPr>
    </w:p>
    <w:p>
      <w:pPr>
        <w:pStyle w:val="Heading3"/>
        <w:spacing w:line="240" w:lineRule="auto"/>
        <w:ind w:left="154" w:right="0"/>
        <w:jc w:val="both"/>
        <w:rPr>
          <w:b w:val="0"/>
          <w:bCs w:val="0"/>
        </w:rPr>
      </w:pPr>
      <w:bookmarkStart w:name="4、重要的共同经营" w:id="441"/>
      <w:bookmarkEnd w:id="441"/>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3"/>
        <w:jc w:val="left"/>
      </w:pPr>
      <w:r>
        <w:rPr/>
        <w:t>在共同经营中的持股比例或享有的份额不同于表决权比例的说明： 共同经营为单独主体的，分类为共同经营的依据：</w:t>
      </w:r>
    </w:p>
    <w:p>
      <w:pPr>
        <w:pStyle w:val="BodyText"/>
        <w:spacing w:line="240" w:lineRule="auto" w:before="26"/>
        <w:ind w:right="0"/>
        <w:jc w:val="both"/>
      </w:pPr>
      <w:r>
        <w:rPr/>
        <w:t>其他说明</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bookmarkStart w:name="5、在未纳入合并财务报表范围的结构化主体中的权益" w:id="442"/>
      <w:bookmarkEnd w:id="442"/>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0"/>
        <w:jc w:val="both"/>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left="154" w:right="0"/>
        <w:jc w:val="both"/>
        <w:rPr>
          <w:b w:val="0"/>
          <w:bCs w:val="0"/>
        </w:rPr>
      </w:pPr>
      <w:bookmarkStart w:name="6、其他" w:id="443"/>
      <w:bookmarkEnd w:id="443"/>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left="154" w:right="0"/>
        <w:jc w:val="both"/>
        <w:rPr>
          <w:b w:val="0"/>
          <w:bCs w:val="0"/>
        </w:rPr>
      </w:pPr>
      <w:bookmarkStart w:name="十、与金融工具相关的风险" w:id="444"/>
      <w:bookmarkEnd w:id="444"/>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154" w:right="1133" w:firstLine="360"/>
        <w:jc w:val="both"/>
      </w:pPr>
      <w:r>
        <w:rPr>
          <w:spacing w:val="-2"/>
        </w:rPr>
        <w:t>本公司的主要金融工具包括股权投资、债权投资、借款、应收账款、应付账款等，各项金融工具的详细情况说明见本附</w:t>
      </w:r>
      <w:r>
        <w:rPr/>
        <w:t> </w:t>
      </w:r>
      <w:r>
        <w:rPr>
          <w:spacing w:val="-2"/>
        </w:rPr>
        <w:t>注七相关项目。与这些金融工具有关的风险，以及本公司为降低这些风险所采取的风险管理政策如下所述。本公司管理层对</w:t>
      </w:r>
      <w:r>
        <w:rPr>
          <w:spacing w:val="-66"/>
        </w:rPr>
        <w:t> </w:t>
      </w:r>
      <w:r>
        <w:rPr>
          <w:spacing w:val="-66"/>
        </w:rPr>
      </w:r>
      <w:r>
        <w:rPr/>
        <w:t>这些风险敞口进行管理和监控以确保将上述风险控制在限定的范围之内。</w:t>
      </w:r>
    </w:p>
    <w:p>
      <w:pPr>
        <w:pStyle w:val="BodyText"/>
        <w:spacing w:line="316" w:lineRule="auto" w:before="17"/>
        <w:ind w:right="1131" w:firstLine="360"/>
        <w:jc w:val="both"/>
      </w:pPr>
      <w:r>
        <w:rPr>
          <w:spacing w:val="-2"/>
        </w:rPr>
        <w:t>本公司采用敏感性分析技术分析风险变量的合理、可能变化对当期损益或股东权益可能产生的影响。由于任何风险变量</w:t>
      </w:r>
      <w:r>
        <w:rPr/>
        <w:t> </w:t>
      </w:r>
      <w:r>
        <w:rPr>
          <w:spacing w:val="-2"/>
        </w:rPr>
        <w:t>很少孤立地发生变化，而变量之间存在的相关性对某一风险变量的变化的最终影响金额将产生重大作用，因此下述内容是在</w:t>
      </w:r>
      <w:r>
        <w:rPr>
          <w:spacing w:val="-64"/>
        </w:rPr>
        <w:t> </w:t>
      </w:r>
      <w:r>
        <w:rPr>
          <w:spacing w:val="-64"/>
        </w:rPr>
      </w:r>
      <w:r>
        <w:rPr/>
        <w:t>假设每一变量的变化是在独立的情况下进行的。</w:t>
      </w:r>
    </w:p>
    <w:p>
      <w:pPr>
        <w:spacing w:line="316" w:lineRule="auto" w:before="19"/>
        <w:ind w:left="513" w:right="1122" w:firstLine="1"/>
        <w:jc w:val="left"/>
        <w:rPr>
          <w:rFonts w:ascii="宋体" w:hAnsi="宋体" w:cs="宋体" w:eastAsia="宋体" w:hint="default"/>
          <w:sz w:val="18"/>
          <w:szCs w:val="18"/>
        </w:rPr>
      </w:pPr>
      <w:r>
        <w:rPr>
          <w:rFonts w:ascii="宋体" w:hAnsi="宋体" w:cs="宋体" w:eastAsia="宋体" w:hint="default"/>
          <w:b/>
          <w:bCs/>
          <w:sz w:val="18"/>
          <w:szCs w:val="18"/>
        </w:rPr>
        <w:t>（一）风险管理目标和政策</w:t>
      </w:r>
      <w:r>
        <w:rPr>
          <w:rFonts w:ascii="宋体" w:hAnsi="宋体" w:cs="宋体" w:eastAsia="宋体" w:hint="default"/>
          <w:b/>
          <w:bCs/>
          <w:w w:val="99"/>
          <w:sz w:val="18"/>
          <w:szCs w:val="18"/>
        </w:rPr>
        <w:t> </w:t>
      </w:r>
      <w:r>
        <w:rPr>
          <w:rFonts w:ascii="宋体" w:hAnsi="宋体" w:cs="宋体" w:eastAsia="宋体" w:hint="default"/>
          <w:sz w:val="18"/>
          <w:szCs w:val="18"/>
        </w:rPr>
        <w:t>本公司从事风险管理的目标是在风险和收益之间取得适当的平衡，将风险对本公司经营业绩的负面影响降低到最低水</w:t>
      </w:r>
    </w:p>
    <w:p>
      <w:pPr>
        <w:pStyle w:val="BodyText"/>
        <w:spacing w:line="316" w:lineRule="auto" w:before="19"/>
        <w:ind w:right="1132"/>
        <w:jc w:val="both"/>
      </w:pPr>
      <w:r>
        <w:rPr>
          <w:spacing w:val="-2"/>
        </w:rPr>
        <w:t>平，使股东及其其他权益投资者的利益最大化。基于该风险管理目标，本公司风险管理的基本策略是确定和分析本公司所面</w:t>
      </w:r>
      <w:r>
        <w:rPr>
          <w:spacing w:val="-66"/>
        </w:rPr>
        <w:t> </w:t>
      </w:r>
      <w:r>
        <w:rPr>
          <w:spacing w:val="-66"/>
        </w:rPr>
      </w:r>
      <w:r>
        <w:rPr>
          <w:spacing w:val="-2"/>
        </w:rPr>
        <w:t>临的各种风险，建立适当的风险承受底线和进行风险管理，并及时可靠地对各种风险进行监督，将风险控制在限定的范围之</w:t>
      </w:r>
      <w:r>
        <w:rPr>
          <w:spacing w:val="-66"/>
        </w:rPr>
        <w:t> </w:t>
      </w:r>
      <w:r>
        <w:rPr>
          <w:spacing w:val="-66"/>
        </w:rPr>
      </w:r>
      <w:r>
        <w:rPr/>
        <w:t>内。</w:t>
      </w:r>
    </w:p>
    <w:p>
      <w:pPr>
        <w:pStyle w:val="Heading4"/>
        <w:spacing w:line="240" w:lineRule="auto" w:before="19"/>
        <w:ind w:right="1122"/>
        <w:jc w:val="left"/>
        <w:rPr>
          <w:b w:val="0"/>
          <w:bCs w:val="0"/>
        </w:rPr>
      </w:pPr>
      <w:r>
        <w:rPr>
          <w:rFonts w:ascii="Times New Roman" w:hAnsi="Times New Roman" w:cs="Times New Roman" w:eastAsia="Times New Roman" w:hint="default"/>
        </w:rPr>
        <w:t>1</w:t>
      </w:r>
      <w:r>
        <w:rPr/>
        <w:t>、市场风险</w:t>
      </w:r>
      <w:r>
        <w:rPr>
          <w:b w:val="0"/>
          <w:bCs w:val="0"/>
        </w:rPr>
      </w:r>
    </w:p>
    <w:p>
      <w:pPr>
        <w:pStyle w:val="BodyText"/>
        <w:spacing w:line="300" w:lineRule="auto" w:before="63"/>
        <w:ind w:left="513" w:right="1122"/>
        <w:jc w:val="left"/>
      </w:pPr>
      <w:r>
        <w:rPr/>
        <w:t>（</w:t>
      </w:r>
      <w:r>
        <w:rPr>
          <w:rFonts w:ascii="Times New Roman" w:hAnsi="Times New Roman" w:cs="Times New Roman" w:eastAsia="Times New Roman" w:hint="default"/>
        </w:rPr>
        <w:t>1</w:t>
      </w:r>
      <w:r>
        <w:rPr/>
        <w:t>）外汇风险 </w:t>
      </w:r>
      <w:r>
        <w:rPr>
          <w:spacing w:val="-2"/>
        </w:rPr>
        <w:t>外汇风险指因汇率变动产生损失的风险。本公司承受外汇风险主要与美元、欧元、日元、澳元等外币有关，除本公司的</w:t>
      </w:r>
    </w:p>
    <w:p>
      <w:pPr>
        <w:pStyle w:val="BodyText"/>
        <w:spacing w:line="300" w:lineRule="auto" w:before="31"/>
        <w:ind w:right="1130"/>
        <w:jc w:val="both"/>
      </w:pPr>
      <w:r>
        <w:rPr>
          <w:spacing w:val="-5"/>
        </w:rPr>
        <w:t>几个下属子公司以美元、欧元、日元、澳元等外币进行采购和销售外，本公司的其他主要业务活动以人民币计价结算。于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23"/>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日，除下表所述资产或负债为美元、欧元、日元、澳元等外币余额外，本公司的资产及负债均为人民币余额。该等</w:t>
      </w:r>
      <w:r>
        <w:rPr>
          <w:spacing w:val="-64"/>
        </w:rPr>
        <w:t> </w:t>
      </w:r>
      <w:r>
        <w:rPr>
          <w:spacing w:val="-64"/>
        </w:rPr>
      </w:r>
      <w:r>
        <w:rPr/>
        <w:t>外币余额的资产和负债产生的外汇风险可能对本公司的经营业绩产生影响。</w:t>
      </w:r>
    </w:p>
    <w:tbl>
      <w:tblPr>
        <w:tblW w:w="0" w:type="auto"/>
        <w:jc w:val="left"/>
        <w:tblInd w:w="149" w:type="dxa"/>
        <w:tblLayout w:type="fixed"/>
        <w:tblCellMar>
          <w:top w:w="0" w:type="dxa"/>
          <w:left w:w="0" w:type="dxa"/>
          <w:bottom w:w="0" w:type="dxa"/>
          <w:right w:w="0" w:type="dxa"/>
        </w:tblCellMar>
        <w:tblLook w:val="01E0"/>
      </w:tblPr>
      <w:tblGrid>
        <w:gridCol w:w="4546"/>
        <w:gridCol w:w="2118"/>
        <w:gridCol w:w="2379"/>
      </w:tblGrid>
      <w:tr>
        <w:trPr>
          <w:trHeight w:val="341" w:hRule="exact"/>
        </w:trPr>
        <w:tc>
          <w:tcPr>
            <w:tcW w:w="454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211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年末数</w:t>
            </w:r>
          </w:p>
        </w:tc>
        <w:tc>
          <w:tcPr>
            <w:tcW w:w="23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3"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现金及现金等价物</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154,935,580.47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126,413,505.85</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372,494,890.70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232,681,923.15</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74,383,504.47</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2,485,502.42</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3,171,372.36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12,308,653.34</w:t>
            </w:r>
          </w:p>
        </w:tc>
      </w:tr>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26,625,603.20</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492,658.42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546"/>
        <w:gridCol w:w="2118"/>
        <w:gridCol w:w="2379"/>
      </w:tblGrid>
      <w:tr>
        <w:trPr>
          <w:trHeight w:val="342" w:hRule="exact"/>
        </w:trPr>
        <w:tc>
          <w:tcPr>
            <w:tcW w:w="4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979" w:right="0"/>
              <w:jc w:val="left"/>
              <w:rPr>
                <w:rFonts w:ascii="Times New Roman" w:hAnsi="Times New Roman" w:cs="Times New Roman" w:eastAsia="Times New Roman" w:hint="default"/>
                <w:sz w:val="18"/>
                <w:szCs w:val="18"/>
              </w:rPr>
            </w:pPr>
            <w:r>
              <w:rPr>
                <w:rFonts w:ascii="Times New Roman"/>
                <w:sz w:val="18"/>
              </w:rPr>
              <w:t>151,139,111.66</w:t>
            </w:r>
          </w:p>
        </w:tc>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330" w:right="0"/>
              <w:jc w:val="left"/>
              <w:rPr>
                <w:rFonts w:ascii="Times New Roman" w:hAnsi="Times New Roman" w:cs="Times New Roman" w:eastAsia="Times New Roman" w:hint="default"/>
                <w:sz w:val="18"/>
                <w:szCs w:val="18"/>
              </w:rPr>
            </w:pPr>
            <w:r>
              <w:rPr>
                <w:rFonts w:ascii="Times New Roman"/>
                <w:sz w:val="18"/>
              </w:rPr>
              <w:t>34,731,422.53</w:t>
            </w:r>
          </w:p>
        </w:tc>
      </w:tr>
    </w:tbl>
    <w:p>
      <w:pPr>
        <w:pStyle w:val="BodyText"/>
        <w:spacing w:line="316" w:lineRule="auto" w:before="10"/>
        <w:ind w:left="154" w:right="1122" w:firstLine="360"/>
        <w:jc w:val="left"/>
      </w:pPr>
      <w:r>
        <w:rPr>
          <w:spacing w:val="-2"/>
        </w:rPr>
        <w:t>本公司密切关注汇率变动对本公司外汇风险的影响。本公司根据需要进行外币远期合同的操作。除此之外，本公司目前</w:t>
      </w:r>
      <w:r>
        <w:rPr/>
        <w:t> 并未采取其他措施规避外汇风险。</w:t>
      </w:r>
    </w:p>
    <w:p>
      <w:pPr>
        <w:pStyle w:val="BodyText"/>
        <w:spacing w:line="319" w:lineRule="auto" w:before="19"/>
        <w:ind w:left="514" w:right="1122"/>
        <w:jc w:val="left"/>
      </w:pPr>
      <w:r>
        <w:rPr/>
        <w:t>外汇风险敏感性分析： </w:t>
      </w:r>
      <w:r>
        <w:rPr>
          <w:spacing w:val="-2"/>
        </w:rPr>
        <w:t>外汇风险敏感性分析假设：所有境外经营净投资套期及现金流量套期均高度有效。在上述假设的基础上，在其他变量不</w:t>
      </w:r>
    </w:p>
    <w:p>
      <w:pPr>
        <w:pStyle w:val="BodyText"/>
        <w:spacing w:line="240" w:lineRule="auto" w:before="17"/>
        <w:ind w:left="154" w:right="0"/>
        <w:jc w:val="left"/>
      </w:pPr>
      <w:r>
        <w:rPr>
          <w:spacing w:val="-5"/>
        </w:rPr>
        <w:t>变的情况下，如果人民币对美元等升值或贬值</w:t>
      </w:r>
      <w:r>
        <w:rPr>
          <w:rFonts w:ascii="Times New Roman" w:hAnsi="Times New Roman" w:cs="Times New Roman" w:eastAsia="Times New Roman" w:hint="default"/>
          <w:spacing w:val="-5"/>
        </w:rPr>
        <w:t>0.5%</w:t>
      </w:r>
      <w:r>
        <w:rPr>
          <w:spacing w:val="-5"/>
        </w:rPr>
        <w:t>，则公司将减少或增加净利润</w:t>
      </w:r>
      <w:r>
        <w:rPr>
          <w:rFonts w:ascii="Times New Roman" w:hAnsi="Times New Roman" w:cs="Times New Roman" w:eastAsia="Times New Roman" w:hint="default"/>
          <w:spacing w:val="-5"/>
        </w:rPr>
        <w:t>158.70</w:t>
      </w:r>
      <w:r>
        <w:rPr>
          <w:spacing w:val="-5"/>
        </w:rPr>
        <w:t>万元（</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w:t>
      </w:r>
      <w:r>
        <w:rPr>
          <w:rFonts w:ascii="Times New Roman" w:hAnsi="Times New Roman" w:cs="Times New Roman" w:eastAsia="Times New Roman" w:hint="default"/>
          <w:spacing w:val="-5"/>
        </w:rPr>
        <w:t>132.72</w:t>
      </w:r>
      <w:r>
        <w:rPr>
          <w:spacing w:val="-5"/>
        </w:rPr>
        <w:t>万元）。</w:t>
      </w:r>
    </w:p>
    <w:p>
      <w:pPr>
        <w:pStyle w:val="BodyText"/>
        <w:spacing w:line="300" w:lineRule="auto" w:before="63"/>
        <w:ind w:left="513" w:right="1122"/>
        <w:jc w:val="left"/>
      </w:pPr>
      <w:r>
        <w:rPr/>
        <w:t>（</w:t>
      </w:r>
      <w:r>
        <w:rPr>
          <w:rFonts w:ascii="Times New Roman" w:hAnsi="Times New Roman" w:cs="Times New Roman" w:eastAsia="Times New Roman" w:hint="default"/>
        </w:rPr>
        <w:t>2</w:t>
      </w:r>
      <w:r>
        <w:rPr/>
        <w:t>）利率风险－现金流量变动风险 </w:t>
      </w:r>
      <w:r>
        <w:rPr>
          <w:spacing w:val="-2"/>
        </w:rPr>
        <w:t>本公司因利率变动引起金融工具现金流量变动的风险主要与浮动利率银行借款有关。本公司的政策是保持这些借款的浮</w:t>
      </w:r>
    </w:p>
    <w:p>
      <w:pPr>
        <w:pStyle w:val="BodyText"/>
        <w:spacing w:line="240" w:lineRule="auto" w:before="31"/>
        <w:ind w:right="1122"/>
        <w:jc w:val="left"/>
      </w:pPr>
      <w:r>
        <w:rPr/>
        <w:t>动利率。</w:t>
      </w:r>
    </w:p>
    <w:p>
      <w:pPr>
        <w:pStyle w:val="BodyText"/>
        <w:spacing w:line="316" w:lineRule="auto" w:before="76"/>
        <w:ind w:left="513" w:right="5893"/>
        <w:jc w:val="left"/>
      </w:pPr>
      <w:r>
        <w:rPr/>
        <w:t>利率风险敏感性分析： 利率风险敏感性分析基于下述假设： 市场利率变化影响可变利率金融工具的利息收入或费用；</w:t>
      </w:r>
    </w:p>
    <w:p>
      <w:pPr>
        <w:pStyle w:val="BodyText"/>
        <w:spacing w:line="316" w:lineRule="auto" w:before="19"/>
        <w:ind w:left="513" w:right="1213"/>
        <w:jc w:val="left"/>
      </w:pPr>
      <w:r>
        <w:rPr/>
        <w:t>对于以公允价值计量的固定利率金融工具，市场利率变化仅仅影响其利息收入或费用； 在上述假设的基础上，在其他变量不变的情况下，利率可能发生的合理变动对当期损益和股东权益的税前影响如下：</w:t>
      </w:r>
    </w:p>
    <w:tbl>
      <w:tblPr>
        <w:tblW w:w="0" w:type="auto"/>
        <w:jc w:val="left"/>
        <w:tblInd w:w="149" w:type="dxa"/>
        <w:tblLayout w:type="fixed"/>
        <w:tblCellMar>
          <w:top w:w="0" w:type="dxa"/>
          <w:left w:w="0" w:type="dxa"/>
          <w:bottom w:w="0" w:type="dxa"/>
          <w:right w:w="0" w:type="dxa"/>
        </w:tblCellMar>
        <w:tblLook w:val="01E0"/>
      </w:tblPr>
      <w:tblGrid>
        <w:gridCol w:w="1384"/>
        <w:gridCol w:w="1277"/>
        <w:gridCol w:w="1701"/>
        <w:gridCol w:w="1702"/>
        <w:gridCol w:w="1559"/>
        <w:gridCol w:w="1559"/>
      </w:tblGrid>
      <w:tr>
        <w:trPr>
          <w:trHeight w:val="342" w:hRule="exact"/>
        </w:trPr>
        <w:tc>
          <w:tcPr>
            <w:tcW w:w="1384" w:type="dxa"/>
            <w:vMerge w:val="restart"/>
            <w:tcBorders>
              <w:top w:val="single" w:sz="4" w:space="0" w:color="000000"/>
              <w:left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21"/>
              <w:ind w:left="273" w:right="0"/>
              <w:jc w:val="left"/>
              <w:rPr>
                <w:rFonts w:ascii="宋体" w:hAnsi="宋体" w:cs="宋体" w:eastAsia="宋体" w:hint="default"/>
                <w:sz w:val="18"/>
                <w:szCs w:val="18"/>
              </w:rPr>
            </w:pPr>
            <w:r>
              <w:rPr>
                <w:rFonts w:ascii="宋体" w:hAnsi="宋体" w:cs="宋体" w:eastAsia="宋体" w:hint="default"/>
                <w:sz w:val="18"/>
                <w:szCs w:val="18"/>
              </w:rPr>
              <w:t>利率变动</w:t>
            </w:r>
          </w:p>
        </w:tc>
        <w:tc>
          <w:tcPr>
            <w:tcW w:w="34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本年度</w:t>
            </w:r>
          </w:p>
        </w:tc>
        <w:tc>
          <w:tcPr>
            <w:tcW w:w="311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上年度</w:t>
            </w:r>
          </w:p>
        </w:tc>
      </w:tr>
      <w:tr>
        <w:trPr>
          <w:trHeight w:val="342" w:hRule="exact"/>
        </w:trPr>
        <w:tc>
          <w:tcPr>
            <w:tcW w:w="138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4"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5" w:right="0"/>
              <w:jc w:val="left"/>
              <w:rPr>
                <w:rFonts w:ascii="宋体" w:hAnsi="宋体" w:cs="宋体" w:eastAsia="宋体" w:hint="default"/>
                <w:sz w:val="18"/>
                <w:szCs w:val="18"/>
              </w:rPr>
            </w:pPr>
            <w:r>
              <w:rPr>
                <w:rFonts w:ascii="宋体" w:hAnsi="宋体" w:cs="宋体" w:eastAsia="宋体" w:hint="default"/>
                <w:sz w:val="18"/>
                <w:szCs w:val="18"/>
              </w:rPr>
              <w:t>对股东权益的影响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3" w:right="0"/>
              <w:jc w:val="left"/>
              <w:rPr>
                <w:rFonts w:ascii="宋体" w:hAnsi="宋体" w:cs="宋体" w:eastAsia="宋体" w:hint="default"/>
                <w:sz w:val="18"/>
                <w:szCs w:val="18"/>
              </w:rPr>
            </w:pPr>
            <w:r>
              <w:rPr>
                <w:rFonts w:ascii="宋体" w:hAnsi="宋体" w:cs="宋体" w:eastAsia="宋体" w:hint="default"/>
                <w:sz w:val="18"/>
                <w:szCs w:val="18"/>
              </w:rPr>
              <w:t>对净利润的影响</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3"/>
              <w:jc w:val="right"/>
              <w:rPr>
                <w:rFonts w:ascii="宋体" w:hAnsi="宋体" w:cs="宋体" w:eastAsia="宋体" w:hint="default"/>
                <w:sz w:val="18"/>
                <w:szCs w:val="18"/>
              </w:rPr>
            </w:pPr>
            <w:r>
              <w:rPr>
                <w:rFonts w:ascii="宋体" w:hAnsi="宋体" w:cs="宋体" w:eastAsia="宋体" w:hint="default"/>
                <w:sz w:val="18"/>
                <w:szCs w:val="18"/>
              </w:rPr>
              <w:t>对股东权益的影响</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-11,632,262.33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-11,632,262.33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Times New Roman" w:hAnsi="Times New Roman" w:cs="Times New Roman" w:eastAsia="Times New Roman" w:hint="default"/>
                <w:sz w:val="18"/>
                <w:szCs w:val="18"/>
              </w:rPr>
            </w:pPr>
            <w:r>
              <w:rPr>
                <w:rFonts w:ascii="Times New Roman"/>
                <w:spacing w:val="-1"/>
                <w:sz w:val="18"/>
              </w:rPr>
              <w:t>-15,585,687.50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-15,585,687.50</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11,632,262.33</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11,632,262.33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15,585,687.50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15,585,687.50</w:t>
            </w:r>
          </w:p>
        </w:tc>
      </w:tr>
      <w:tr>
        <w:trPr>
          <w:trHeight w:val="342"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z w:val="18"/>
                <w:szCs w:val="18"/>
              </w:rPr>
              <w:t>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-7,469,227.00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-7,469,227.00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-2,862,787.91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-2,862,787.91</w:t>
            </w:r>
          </w:p>
        </w:tc>
      </w:tr>
      <w:tr>
        <w:trPr>
          <w:trHeight w:val="343" w:hRule="exact"/>
        </w:trPr>
        <w:tc>
          <w:tcPr>
            <w:tcW w:w="1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减少</w:t>
            </w:r>
            <w:r>
              <w:rPr>
                <w:rFonts w:ascii="Times New Roman" w:hAnsi="Times New Roman" w:cs="Times New Roman" w:eastAsia="Times New Roman" w:hint="default"/>
                <w:sz w:val="18"/>
                <w:szCs w:val="18"/>
              </w:rPr>
              <w:t>0.5%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7,469,227.00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7,469,227.00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2,862,787.91</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2,862,787.91</w:t>
            </w:r>
          </w:p>
        </w:tc>
      </w:tr>
    </w:tbl>
    <w:p>
      <w:pPr>
        <w:pStyle w:val="Heading4"/>
        <w:spacing w:line="240" w:lineRule="auto" w:before="19"/>
        <w:ind w:right="1122"/>
        <w:jc w:val="left"/>
        <w:rPr>
          <w:b w:val="0"/>
          <w:bCs w:val="0"/>
        </w:rPr>
      </w:pPr>
      <w:r>
        <w:rPr>
          <w:rFonts w:ascii="Times New Roman" w:hAnsi="Times New Roman" w:cs="Times New Roman" w:eastAsia="Times New Roman" w:hint="default"/>
        </w:rPr>
        <w:t>2</w:t>
      </w:r>
      <w:r>
        <w:rPr/>
        <w:t>、信用风险</w:t>
      </w:r>
      <w:r>
        <w:rPr>
          <w:b w:val="0"/>
          <w:bCs w:val="0"/>
        </w:rPr>
      </w:r>
    </w:p>
    <w:p>
      <w:pPr>
        <w:pStyle w:val="BodyText"/>
        <w:spacing w:line="300" w:lineRule="auto" w:before="63"/>
        <w:ind w:left="154" w:right="1122" w:firstLine="360"/>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日，可能引起本公司财务损失的最大信用风险敞口主要来自于合同另一方未能履行义务而导致本公司金融</w:t>
      </w:r>
      <w:r>
        <w:rPr/>
        <w:t> 资产产生的损失以及本公司承担的财务担保，具体包括：</w:t>
      </w:r>
    </w:p>
    <w:p>
      <w:pPr>
        <w:pStyle w:val="BodyText"/>
        <w:spacing w:line="316" w:lineRule="auto" w:before="31"/>
        <w:ind w:left="154" w:right="1032" w:firstLine="360"/>
        <w:jc w:val="left"/>
      </w:pPr>
      <w:r>
        <w:rPr/>
        <w:t>合并资产负债表中已确认的金融资产的账面金额；对于以公允价值计量的金融工具而言，账面价值反映了其风险敞口， 但并非最大风险敞口，其最大风险敞口将随着未来公允价值的变化而改变。</w:t>
      </w:r>
    </w:p>
    <w:p>
      <w:pPr>
        <w:pStyle w:val="BodyText"/>
        <w:spacing w:line="316" w:lineRule="auto" w:before="19"/>
        <w:ind w:right="1133" w:firstLine="360"/>
        <w:jc w:val="both"/>
      </w:pPr>
      <w:r>
        <w:rPr>
          <w:spacing w:val="-2"/>
        </w:rPr>
        <w:t>为降低信用风险，本公司成立了一个小组负责确定信用额度、进行信用审批，并执行其他监控程序以确保采取必要的措</w:t>
      </w:r>
      <w:r>
        <w:rPr/>
        <w:t> </w:t>
      </w:r>
      <w:r>
        <w:rPr>
          <w:spacing w:val="-2"/>
        </w:rPr>
        <w:t>施回收过期债权。此外，本公司于每个资产负债表日审核每一单项应收款的回收情况，以确保就无法回收的款项计提充分的</w:t>
      </w:r>
      <w:r>
        <w:rPr>
          <w:spacing w:val="-66"/>
        </w:rPr>
        <w:t> </w:t>
      </w:r>
      <w:r>
        <w:rPr>
          <w:spacing w:val="-66"/>
        </w:rPr>
      </w:r>
      <w:r>
        <w:rPr/>
        <w:t>坏账准备。因此，本公司管理层认为本公司所承担的信用风险已经大为降低。</w:t>
      </w:r>
    </w:p>
    <w:p>
      <w:pPr>
        <w:pStyle w:val="BodyText"/>
        <w:spacing w:line="240" w:lineRule="auto" w:before="19"/>
        <w:ind w:left="513" w:right="1122"/>
        <w:jc w:val="left"/>
      </w:pPr>
      <w:r>
        <w:rPr/>
        <w:t>本公司的流动资金存放在信用评级较高的银行，故流动资金的信用风险较低。</w:t>
      </w:r>
    </w:p>
    <w:p>
      <w:pPr>
        <w:pStyle w:val="BodyText"/>
        <w:spacing w:line="300" w:lineRule="auto" w:before="76"/>
        <w:ind w:left="514" w:right="1122" w:firstLine="1"/>
        <w:jc w:val="left"/>
      </w:pPr>
      <w:r>
        <w:rPr>
          <w:rFonts w:ascii="Times New Roman" w:hAnsi="Times New Roman" w:cs="Times New Roman" w:eastAsia="Times New Roman" w:hint="default"/>
          <w:b/>
          <w:bCs/>
        </w:rPr>
        <w:t>3</w:t>
      </w:r>
      <w:r>
        <w:rPr>
          <w:rFonts w:ascii="宋体" w:hAnsi="宋体" w:cs="宋体" w:eastAsia="宋体" w:hint="default"/>
          <w:b/>
          <w:bCs/>
        </w:rPr>
        <w:t>、流动风险</w:t>
      </w:r>
      <w:r>
        <w:rPr>
          <w:rFonts w:ascii="宋体" w:hAnsi="宋体" w:cs="宋体" w:eastAsia="宋体" w:hint="default"/>
          <w:b/>
          <w:bCs/>
          <w:w w:val="99"/>
        </w:rPr>
        <w:t> </w:t>
      </w:r>
      <w:r>
        <w:rPr>
          <w:spacing w:val="-2"/>
        </w:rPr>
        <w:t>管理流动风险时，本公司保持管理层认为充分的现金及现金等价物并对其进行监控，以满足本公司经营需要，并降低现</w:t>
      </w:r>
    </w:p>
    <w:p>
      <w:pPr>
        <w:pStyle w:val="BodyText"/>
        <w:spacing w:line="316" w:lineRule="auto" w:before="31"/>
        <w:ind w:left="513" w:right="1127" w:hanging="360"/>
        <w:jc w:val="left"/>
        <w:rPr>
          <w:rFonts w:ascii="Times New Roman" w:hAnsi="Times New Roman" w:cs="Times New Roman" w:eastAsia="Times New Roman" w:hint="default"/>
        </w:rPr>
      </w:pPr>
      <w:r>
        <w:rPr/>
        <w:t>金流量波动的影响。本公司管理层对银行借款的使用情况进行监控并确保遵守借款协议。 </w:t>
      </w:r>
      <w:r>
        <w:rPr>
          <w:spacing w:val="-1"/>
        </w:rPr>
        <w:t>本公司将银行借款作为主要资金来源。</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日，本公司尚未使用的银行借款额度为人民币</w:t>
      </w:r>
      <w:r>
        <w:rPr>
          <w:rFonts w:ascii="Times New Roman" w:hAnsi="Times New Roman" w:cs="Times New Roman" w:eastAsia="Times New Roman" w:hint="default"/>
          <w:spacing w:val="-1"/>
        </w:rPr>
        <w:t>167,838.81</w:t>
      </w:r>
      <w:r>
        <w:rPr>
          <w:spacing w:val="-1"/>
        </w:rPr>
        <w:t>万元</w:t>
      </w:r>
      <w:r>
        <w:rPr>
          <w:rFonts w:ascii="Times New Roman" w:hAnsi="Times New Roman" w:cs="Times New Roman" w:eastAsia="Times New Roman" w:hint="default"/>
          <w:spacing w:val="-1"/>
        </w:rPr>
        <w:t>(2016</w:t>
      </w:r>
    </w:p>
    <w:p>
      <w:pPr>
        <w:pStyle w:val="BodyText"/>
        <w:spacing w:line="248" w:lineRule="exact"/>
        <w:ind w:right="1122"/>
        <w:jc w:val="left"/>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人民币</w:t>
      </w:r>
      <w:r>
        <w:rPr>
          <w:rFonts w:ascii="Times New Roman" w:hAnsi="Times New Roman" w:cs="Times New Roman" w:eastAsia="Times New Roman" w:hint="default"/>
        </w:rPr>
        <w:t>6,000.00</w:t>
      </w:r>
      <w:r>
        <w:rPr/>
        <w:t>万元</w:t>
      </w:r>
      <w:r>
        <w:rPr>
          <w:rFonts w:ascii="Times New Roman" w:hAnsi="Times New Roman" w:cs="Times New Roman" w:eastAsia="Times New Roman" w:hint="default"/>
        </w:rPr>
        <w:t>)</w:t>
      </w:r>
      <w:r>
        <w:rPr/>
        <w:t>。</w:t>
      </w:r>
    </w:p>
    <w:p>
      <w:pPr>
        <w:pStyle w:val="BodyText"/>
        <w:spacing w:line="316" w:lineRule="auto" w:before="63"/>
        <w:ind w:right="1122" w:firstLine="361"/>
        <w:jc w:val="left"/>
      </w:pPr>
      <w:r>
        <w:rPr>
          <w:rFonts w:ascii="宋体" w:hAnsi="宋体" w:cs="宋体" w:eastAsia="宋体" w:hint="default"/>
          <w:b/>
          <w:bCs/>
        </w:rPr>
        <w:t>（二）金融资产转移</w:t>
      </w:r>
      <w:r>
        <w:rPr>
          <w:rFonts w:ascii="宋体" w:hAnsi="宋体" w:cs="宋体" w:eastAsia="宋体" w:hint="default"/>
          <w:b/>
          <w:bCs/>
          <w:w w:val="99"/>
        </w:rPr>
        <w:t> </w:t>
      </w:r>
      <w:r>
        <w:rPr>
          <w:spacing w:val="-2"/>
        </w:rPr>
        <w:t>本期金融资产转移为应收票据背书和应收账款保理，期末公司已背书且在资产负债表日尚未到期的应收票据情况参见本附注</w:t>
      </w:r>
      <w:r>
        <w:rPr>
          <w:spacing w:val="-64"/>
        </w:rPr>
        <w:t> </w:t>
      </w:r>
      <w:r>
        <w:rPr>
          <w:spacing w:val="-64"/>
        </w:rPr>
      </w:r>
      <w:r>
        <w:rPr/>
        <w:t>七、</w:t>
      </w:r>
      <w:r>
        <w:rPr>
          <w:rFonts w:ascii="Times New Roman" w:hAnsi="Times New Roman" w:cs="Times New Roman" w:eastAsia="Times New Roman" w:hint="default"/>
        </w:rPr>
        <w:t>4“</w:t>
      </w:r>
      <w:r>
        <w:rPr/>
        <w:t>应收票据</w:t>
      </w:r>
      <w:r>
        <w:rPr>
          <w:rFonts w:ascii="Times New Roman" w:hAnsi="Times New Roman" w:cs="Times New Roman" w:eastAsia="Times New Roman" w:hint="default"/>
        </w:rPr>
        <w:t>”</w:t>
      </w:r>
      <w:r>
        <w:rPr/>
        <w:t>，因买断保理业务而终止确认的应收账款情况参见本附注七、</w:t>
      </w:r>
      <w:r>
        <w:rPr>
          <w:rFonts w:ascii="Times New Roman" w:hAnsi="Times New Roman" w:cs="Times New Roman" w:eastAsia="Times New Roman" w:hint="default"/>
        </w:rPr>
        <w:t>5“</w:t>
      </w:r>
      <w:r>
        <w:rPr/>
        <w:t>应收账款</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19"/>
          <w:szCs w:val="19"/>
        </w:rPr>
      </w:pPr>
    </w:p>
    <w:p>
      <w:pPr>
        <w:pStyle w:val="Heading2"/>
        <w:spacing w:line="240" w:lineRule="auto"/>
        <w:ind w:right="1122"/>
        <w:jc w:val="left"/>
        <w:rPr>
          <w:b w:val="0"/>
          <w:bCs w:val="0"/>
        </w:rPr>
      </w:pPr>
      <w:bookmarkStart w:name="十一、公允价值的披露" w:id="445"/>
      <w:bookmarkEnd w:id="445"/>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以公允价值计量的资产和负债的期末公允价值" w:id="446"/>
      <w:bookmarkEnd w:id="446"/>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after="0" w:line="240" w:lineRule="auto"/>
        <w:jc w:val="righ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持续和非持续第一层次公允价值计量项目市价的确定依据" w:id="447"/>
      <w:bookmarkEnd w:id="447"/>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3、持续和非持续第二层次公允价值计量项目，采用的估值技术和重要参数的定性及定量信" w:id="448"/>
      <w:bookmarkEnd w:id="448"/>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4、持续和非持续第三层次公允价值计量项目，采用的估值技术和重要参数的定性及定量信" w:id="449"/>
      <w:bookmarkEnd w:id="449"/>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5、持续的第三层次公允价值计量项目，期初与期末账面价值间的调节信息及不可观察参数" w:id="450"/>
      <w:bookmarkEnd w:id="450"/>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6、持续的公允价值计量项目，本期内发生各层级之间转换的，转换的原因及确定转换时点" w:id="451"/>
      <w:bookmarkEnd w:id="451"/>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7、本期内发生的估值技术变更及变更原因" w:id="452"/>
      <w:bookmarkEnd w:id="452"/>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8、不以公允价值计量的金融资产和金融负债的公允价值情况" w:id="453"/>
      <w:bookmarkEnd w:id="453"/>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9、其他" w:id="454"/>
      <w:bookmarkEnd w:id="454"/>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032" w:firstLine="290"/>
        <w:jc w:val="left"/>
      </w:pPr>
      <w:r>
        <w:rPr/>
        <w:t>本公司金融资产主要包括以公允价值计量且其变动计入当期损益的金融资产（远期外汇合约）、贷款和应收款项（应收 账款、其他应收款、其他流动资产等）等，金融负债主要包括借款、应付款项（应付账款、其他应付款及其他流动负债等） 等，本公司管理层认为上述金融资产、金融负债的摊余成本与公允价值无重大差异。</w:t>
      </w:r>
    </w:p>
    <w:p>
      <w:pPr>
        <w:spacing w:line="240" w:lineRule="auto" w:before="10"/>
        <w:rPr>
          <w:rFonts w:ascii="宋体" w:hAnsi="宋体" w:cs="宋体" w:eastAsia="宋体" w:hint="default"/>
          <w:sz w:val="20"/>
          <w:szCs w:val="20"/>
        </w:rPr>
      </w:pPr>
    </w:p>
    <w:p>
      <w:pPr>
        <w:pStyle w:val="Heading2"/>
        <w:spacing w:line="240" w:lineRule="auto"/>
        <w:ind w:left="154" w:right="1122"/>
        <w:jc w:val="left"/>
        <w:rPr>
          <w:b w:val="0"/>
          <w:bCs w:val="0"/>
        </w:rPr>
      </w:pPr>
      <w:bookmarkStart w:name="十二、关联方及关联交易" w:id="455"/>
      <w:bookmarkEnd w:id="455"/>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本企业的母公司情况" w:id="456"/>
      <w:bookmarkEnd w:id="4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120"/>
              <w:jc w:val="left"/>
              <w:rPr>
                <w:rFonts w:ascii="宋体" w:hAnsi="宋体" w:cs="宋体" w:eastAsia="宋体" w:hint="default"/>
                <w:sz w:val="18"/>
                <w:szCs w:val="18"/>
              </w:rPr>
            </w:pPr>
            <w:r>
              <w:rPr>
                <w:rFonts w:ascii="宋体" w:hAnsi="宋体" w:cs="宋体" w:eastAsia="宋体" w:hint="default"/>
                <w:sz w:val="18"/>
                <w:szCs w:val="18"/>
              </w:rPr>
              <w:t>江苏爱康实业集团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江苏苏州市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10"/>
                <w:sz w:val="18"/>
                <w:szCs w:val="18"/>
              </w:rPr>
              <w:t>金属模具的生产；批</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发零售以及进出口 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15.66%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15.66%</w:t>
            </w:r>
          </w:p>
        </w:tc>
      </w:tr>
    </w:tbl>
    <w:p>
      <w:pPr>
        <w:pStyle w:val="BodyText"/>
        <w:spacing w:line="357" w:lineRule="auto" w:before="51"/>
        <w:ind w:left="514" w:right="1122" w:hanging="360"/>
        <w:jc w:val="left"/>
      </w:pPr>
      <w:r>
        <w:rPr/>
        <w:t>本企业的母公司情况的说明 </w:t>
      </w:r>
      <w:r>
        <w:rPr>
          <w:spacing w:val="-2"/>
        </w:rPr>
        <w:t>注：截至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日，邹承慧先生本人和其控制的爱康国际控股有限公司、江苏爱康实业集团有限公司以及实施重</w:t>
      </w:r>
    </w:p>
    <w:p>
      <w:pPr>
        <w:pStyle w:val="BodyText"/>
        <w:spacing w:line="215" w:lineRule="exact"/>
        <w:ind w:left="154" w:right="1122"/>
        <w:jc w:val="left"/>
      </w:pPr>
      <w:r>
        <w:rPr/>
        <w:t>大影响的江阴爱康投资有限公司合计持有本公司</w:t>
      </w:r>
      <w:r>
        <w:rPr>
          <w:rFonts w:ascii="Times New Roman" w:hAnsi="Times New Roman" w:cs="Times New Roman" w:eastAsia="Times New Roman" w:hint="default"/>
        </w:rPr>
        <w:t>24.67%</w:t>
      </w:r>
      <w:r>
        <w:rPr/>
        <w:t>表决权股份，能对公司股东大会的决议产生重大影响。</w:t>
      </w:r>
    </w:p>
    <w:p>
      <w:pPr>
        <w:pStyle w:val="BodyText"/>
        <w:spacing w:line="360" w:lineRule="auto" w:before="103"/>
        <w:ind w:left="154" w:right="8412"/>
        <w:jc w:val="left"/>
      </w:pPr>
      <w:r>
        <w:rPr/>
        <w:t>本企业最终控制方是邹承慧。 其他说明：</w:t>
      </w:r>
    </w:p>
    <w:p>
      <w:pPr>
        <w:spacing w:after="0" w:line="36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3" w:right="4993" w:firstLine="0"/>
        <w:jc w:val="left"/>
        <w:rPr>
          <w:rFonts w:ascii="宋体" w:hAnsi="宋体" w:cs="宋体" w:eastAsia="宋体" w:hint="default"/>
          <w:sz w:val="21"/>
          <w:szCs w:val="21"/>
        </w:rPr>
      </w:pPr>
      <w:bookmarkStart w:name="2、本企业的子公司情况" w:id="457"/>
      <w:bookmarkEnd w:id="457"/>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58"/>
      <w:bookmarkEnd w:id="458"/>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51"/>
        <w:ind w:right="2293"/>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4、其他关联方情况" w:id="459"/>
      <w:bookmarkEnd w:id="4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江苏五实贸易有限公司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苏州爱康果业有限公司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宁阳腾源新能源有限公司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临朐祥泰光伏发电有限公司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随县爱康新能源投资有限公司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五河县爱康新能源有限公司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上海爱康富罗纳资产管理有限公司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上海爱康富罗纳投资管理有限公司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爱康富罗纳金融信息服务（上海）有限公司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宁波梅山保税港区爱康富罗纳投资管理中心（有限合伙）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张家港富罗纳区块链一号信息科技企业（有限合伙）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同受控股股东控制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MAKI SUNCOME SOLAR </w:t>
            </w:r>
            <w:r>
              <w:rPr>
                <w:rFonts w:ascii="Times New Roman"/>
                <w:spacing w:val="-3"/>
                <w:sz w:val="18"/>
              </w:rPr>
              <w:t>CO.,LTD</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同受实际控制人控制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控股股东为合伙人之一</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实际控制人近亲属控制</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公司董事徐国辉任该公司董事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公司董事徐国辉参股该公司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新疆爱康慧诚信息技术有限公司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青海蓓翔新能源开发有限公司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BodyText"/>
        <w:spacing w:line="240" w:lineRule="auto" w:before="51"/>
        <w:ind w:left="154" w:right="1122"/>
        <w:jc w:val="left"/>
      </w:pPr>
      <w:r>
        <w:rPr/>
        <w:t>其他说明</w:t>
      </w:r>
    </w:p>
    <w:p>
      <w:pPr>
        <w:pStyle w:val="BodyText"/>
        <w:spacing w:line="240" w:lineRule="auto" w:before="116"/>
        <w:ind w:left="514" w:right="1122"/>
        <w:jc w:val="left"/>
      </w:pPr>
      <w:r>
        <w:rPr/>
        <w:t>（注</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月本公司将持有的新疆爱康慧诚信息技术有限公司（以下简称</w:t>
      </w:r>
      <w:r>
        <w:rPr>
          <w:rFonts w:ascii="Times New Roman" w:hAnsi="Times New Roman" w:cs="Times New Roman" w:eastAsia="Times New Roman" w:hint="default"/>
        </w:rPr>
        <w:t>“</w:t>
      </w:r>
      <w:r>
        <w:rPr/>
        <w:t>新疆慧诚</w:t>
      </w:r>
      <w:r>
        <w:rPr>
          <w:rFonts w:ascii="Times New Roman" w:hAnsi="Times New Roman" w:cs="Times New Roman" w:eastAsia="Times New Roman" w:hint="default"/>
        </w:rPr>
        <w:t>”</w:t>
      </w:r>
      <w:r>
        <w:rPr/>
        <w:t>）股权全部转让，自</w:t>
      </w:r>
      <w:r>
        <w:rPr>
          <w:rFonts w:ascii="Times New Roman" w:hAnsi="Times New Roman" w:cs="Times New Roman" w:eastAsia="Times New Roman" w:hint="default"/>
        </w:rPr>
        <w:t>2017</w:t>
      </w:r>
      <w:r>
        <w:rPr/>
        <w:t>年</w:t>
      </w:r>
    </w:p>
    <w:p>
      <w:pPr>
        <w:pStyle w:val="BodyText"/>
        <w:spacing w:line="240" w:lineRule="auto" w:before="63"/>
        <w:ind w:right="1122"/>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日起，本公司与新疆慧诚不存在关联方关系。</w:t>
      </w:r>
    </w:p>
    <w:p>
      <w:pPr>
        <w:pStyle w:val="BodyText"/>
        <w:spacing w:line="300" w:lineRule="auto" w:before="63"/>
        <w:ind w:right="1122" w:firstLine="360"/>
        <w:jc w:val="left"/>
      </w:pPr>
      <w:r>
        <w:rPr/>
        <w:t>（注</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日本公司将持有的青海蓓翔新能源开发有限公司（以下简称</w:t>
      </w:r>
      <w:r>
        <w:rPr>
          <w:rFonts w:ascii="Times New Roman" w:hAnsi="Times New Roman" w:cs="Times New Roman" w:eastAsia="Times New Roman" w:hint="default"/>
        </w:rPr>
        <w:t>“</w:t>
      </w:r>
      <w:r>
        <w:rPr/>
        <w:t>青海蓓翔</w:t>
      </w:r>
      <w:r>
        <w:rPr>
          <w:rFonts w:ascii="Times New Roman" w:hAnsi="Times New Roman" w:cs="Times New Roman" w:eastAsia="Times New Roman" w:hint="default"/>
        </w:rPr>
        <w:t>”</w:t>
      </w:r>
      <w:r>
        <w:rPr/>
        <w:t>）股权全部转让，自</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日起，本公司与青海蓓翔不存在关联方关系。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1122"/>
        <w:jc w:val="left"/>
        <w:rPr>
          <w:b w:val="0"/>
          <w:bCs w:val="0"/>
        </w:rPr>
      </w:pPr>
      <w:bookmarkStart w:name="5、关联交易情况" w:id="460"/>
      <w:bookmarkEnd w:id="4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1）购销商品、提供和接受劳务的关联交易" w:id="461"/>
      <w:bookmarkEnd w:id="4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54" w:right="1122"/>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57"/>
        <w:gridCol w:w="1930"/>
        <w:gridCol w:w="1181"/>
        <w:gridCol w:w="1284"/>
        <w:gridCol w:w="1199"/>
        <w:gridCol w:w="1316"/>
      </w:tblGrid>
      <w:tr>
        <w:trPr>
          <w:trHeight w:val="714" w:hRule="exact"/>
        </w:trPr>
        <w:tc>
          <w:tcPr>
            <w:tcW w:w="2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9"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46" w:right="96" w:hanging="450"/>
              <w:jc w:val="left"/>
              <w:rPr>
                <w:rFonts w:ascii="宋体" w:hAnsi="宋体" w:cs="宋体" w:eastAsia="宋体" w:hint="default"/>
                <w:sz w:val="18"/>
                <w:szCs w:val="18"/>
              </w:rPr>
            </w:pPr>
            <w:r>
              <w:rPr>
                <w:rFonts w:ascii="宋体" w:hAnsi="宋体" w:cs="宋体" w:eastAsia="宋体" w:hint="default"/>
                <w:sz w:val="18"/>
                <w:szCs w:val="18"/>
              </w:rPr>
              <w:t>获批的交易额 度</w:t>
            </w:r>
          </w:p>
        </w:tc>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3" w:right="53" w:hanging="360"/>
              <w:jc w:val="left"/>
              <w:rPr>
                <w:rFonts w:ascii="宋体" w:hAnsi="宋体" w:cs="宋体" w:eastAsia="宋体" w:hint="default"/>
                <w:sz w:val="18"/>
                <w:szCs w:val="18"/>
              </w:rPr>
            </w:pPr>
            <w:r>
              <w:rPr>
                <w:rFonts w:ascii="宋体" w:hAnsi="宋体" w:cs="宋体" w:eastAsia="宋体" w:hint="default"/>
                <w:sz w:val="18"/>
                <w:szCs w:val="18"/>
              </w:rPr>
              <w:t>是否超过交易 额度</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爱康富罗纳金融信息服务（上海） 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爱康金服券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108,000.00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489,200.00</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安装服务等</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7,509.43</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435,094.10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青海蓓翔城市投资有限公司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754,068.38</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10,677,999.69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16,000,000.00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601,473.38</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小汽车</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326,495.72</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8"/>
                <w:sz w:val="18"/>
              </w:rPr>
              <w:t>EVA</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29,759,357.72</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35,543,664.02</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3,036,580.67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8,060,000.00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3,747,343.31</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苏州爱康果业有限公司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农副食品</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787,076.45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723,269.41</w:t>
            </w:r>
          </w:p>
        </w:tc>
      </w:tr>
      <w:tr>
        <w:trPr>
          <w:trHeight w:val="714"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 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工程承包</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543,073,394.64</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1,054,675,745.60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757"/>
        <w:gridCol w:w="1930"/>
        <w:gridCol w:w="1181"/>
        <w:gridCol w:w="1284"/>
        <w:gridCol w:w="1199"/>
        <w:gridCol w:w="1316"/>
      </w:tblGrid>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物业管理费等</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3,555,198.10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6" w:right="0"/>
              <w:jc w:val="left"/>
              <w:rPr>
                <w:rFonts w:ascii="Times New Roman" w:hAnsi="Times New Roman" w:cs="Times New Roman" w:eastAsia="Times New Roman" w:hint="default"/>
                <w:sz w:val="18"/>
                <w:szCs w:val="18"/>
              </w:rPr>
            </w:pPr>
            <w:r>
              <w:rPr>
                <w:rFonts w:ascii="Times New Roman"/>
                <w:sz w:val="18"/>
              </w:rPr>
              <w:t>4,000,000.00</w:t>
            </w: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3,518,044.29</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组件、硅片等</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10,544,824.08</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物流费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41,207.55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食堂费用</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117,915.50</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1,807,482.04</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广东爱康太阳能科技有限公司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181"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5,851,112.71</w:t>
            </w: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屋顶分布式电站系统</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88,034.19</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装修费、建筑安装工程 管理费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246,415.09</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110,504.72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1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3"/>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5486"/>
        <w:gridCol w:w="1367"/>
        <w:gridCol w:w="1421"/>
        <w:gridCol w:w="1421"/>
      </w:tblGrid>
      <w:tr>
        <w:trPr>
          <w:trHeight w:val="401" w:hRule="exact"/>
        </w:trPr>
        <w:tc>
          <w:tcPr>
            <w:tcW w:w="5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16,291,767.56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20,630,524.00</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35,888.46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6,757,359.39</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1,416,981.09</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186,792.45</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64,638,378.78</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13,105,975.16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92,029.84</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98,353,520.43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211,116.76</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13,929.06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2,623.39</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9,132,075.47</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6,650.60</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17,266.46</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5,470,133.33</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评估服务费</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52,830.19</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铝型材</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3,649,496.52</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1,336.32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162,569.04</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软件服务费</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28,717.95</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357,987.96</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320,891.71</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支架、组件等</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391,607,050.37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930,753,785.33</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电脑、车辆</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25,605.32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82,900.46</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3,773.58</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组件</w:t>
            </w:r>
          </w:p>
        </w:tc>
        <w:tc>
          <w:tcPr>
            <w:tcW w:w="1421"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17,094,166.67</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随县爱康新能源投资有限公司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1,186,792.41</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217,924.53</w:t>
            </w: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1,294,905.64</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67,924.53</w:t>
            </w:r>
          </w:p>
        </w:tc>
      </w:tr>
      <w:tr>
        <w:trPr>
          <w:trHeight w:val="403"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558,254.70</w:t>
            </w: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5486"/>
        <w:gridCol w:w="1367"/>
        <w:gridCol w:w="1421"/>
        <w:gridCol w:w="1421"/>
      </w:tblGrid>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运维费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648,584.89</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6,409.40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电脑</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3,759.83</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宁波梅山保税港区爱康富罗纳投资管理中心（有限合伙）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3,887,566.11</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上海爱康富罗纳资产管理有限公司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评估检测费</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2,816,981.13</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张家港富罗纳区块链一号信息科技企业（有限合伙）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6,861,515.01</w:t>
            </w:r>
          </w:p>
        </w:tc>
        <w:tc>
          <w:tcPr>
            <w:tcW w:w="142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4" w:right="1122"/>
        <w:jc w:val="left"/>
      </w:pPr>
      <w:r>
        <w:rPr/>
        <w:t>购销商品、提供和接受劳务的关联交易说明 </w:t>
      </w:r>
      <w:r>
        <w:rPr>
          <w:spacing w:val="-2"/>
        </w:rPr>
        <w:t>注：本公司及子公司与苏州爱康能源工程技术股份有限公司等关联方有组件和支架等产品的销售，同时本公司及子公司也向</w:t>
      </w:r>
      <w:r>
        <w:rPr>
          <w:spacing w:val="-64"/>
        </w:rPr>
        <w:t> </w:t>
      </w:r>
      <w:r>
        <w:rPr>
          <w:spacing w:val="-64"/>
        </w:rPr>
      </w:r>
      <w:r>
        <w:rPr>
          <w:spacing w:val="-2"/>
        </w:rPr>
        <w:t>苏州爱康能源工程技术股份有限公司等关联方采购产品或者工程劳务，本合并报告中已经将用于自建项目使用的组件、支架</w:t>
      </w:r>
    </w:p>
    <w:p>
      <w:pPr>
        <w:pStyle w:val="BodyText"/>
        <w:spacing w:line="240" w:lineRule="auto" w:before="4"/>
        <w:ind w:left="154" w:right="1122"/>
        <w:jc w:val="left"/>
      </w:pPr>
      <w:r>
        <w:rPr/>
        <w:t>相关收入成本抵消。</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2）关联受托管理/承包及委托管理/出包情况" w:id="462"/>
      <w:bookmarkEnd w:id="462"/>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22"/>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pStyle w:val="BodyText"/>
        <w:spacing w:line="340" w:lineRule="auto" w:before="51"/>
        <w:ind w:left="154" w:right="-20"/>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2545" w:space="628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2"/>
        <w:ind w:left="154" w:right="1122"/>
        <w:jc w:val="left"/>
      </w:pPr>
      <w:r>
        <w:rPr/>
        <w:t>关联管理</w:t>
      </w:r>
      <w:r>
        <w:rPr>
          <w:rFonts w:ascii="Times New Roman" w:hAnsi="Times New Roman" w:cs="Times New Roman" w:eastAsia="Times New Roman" w:hint="default"/>
        </w:rPr>
        <w:t>/</w:t>
      </w:r>
      <w:r>
        <w:rPr/>
        <w:t>出包情况说明</w:t>
      </w:r>
    </w:p>
    <w:p>
      <w:pPr>
        <w:spacing w:line="240" w:lineRule="auto" w:before="9"/>
        <w:rPr>
          <w:rFonts w:ascii="宋体" w:hAnsi="宋体" w:cs="宋体" w:eastAsia="宋体" w:hint="default"/>
          <w:sz w:val="25"/>
          <w:szCs w:val="25"/>
        </w:rPr>
      </w:pPr>
    </w:p>
    <w:p>
      <w:pPr>
        <w:pStyle w:val="Heading3"/>
        <w:spacing w:line="240" w:lineRule="auto"/>
        <w:ind w:left="154" w:right="1122"/>
        <w:jc w:val="left"/>
        <w:rPr>
          <w:b w:val="0"/>
          <w:bCs w:val="0"/>
        </w:rPr>
      </w:pPr>
      <w:bookmarkStart w:name="（3）关联租赁情况" w:id="463"/>
      <w:bookmarkEnd w:id="463"/>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22"/>
        <w:jc w:val="left"/>
      </w:pPr>
      <w:r>
        <w:rPr/>
        <w:t>本公司作为出租方：</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9,071,428.56</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2,489,598.85</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仓库</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3,142.86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21,714.29</w:t>
            </w:r>
          </w:p>
        </w:tc>
      </w:tr>
      <w:tr>
        <w:trPr>
          <w:trHeight w:val="71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996,571.43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996,571.43</w:t>
            </w:r>
          </w:p>
        </w:tc>
      </w:tr>
      <w:tr>
        <w:trPr>
          <w:trHeight w:val="402"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212,785.69</w:t>
            </w: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本公司作为承租方：</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1,609,523.80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1,609,523.80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苏州爱康薄膜新材料有限公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厂房及仓库</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1,838,521.14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1,838,521.14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上海爱康富罗纳投资管理有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802,494.82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江苏爱康房地产开发有限公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爱康大厦</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140,514.29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154" w:right="1122"/>
        <w:jc w:val="left"/>
      </w:pPr>
      <w:r>
        <w:rPr/>
        <w:t>关联租赁情况说明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4）关联担保情况" w:id="464"/>
      <w:bookmarkEnd w:id="464"/>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54" w:right="1122"/>
        <w:jc w:val="left"/>
      </w:pPr>
      <w:r>
        <w:rPr/>
        <w:t>本公司作为担保方</w:t>
      </w:r>
    </w:p>
    <w:p>
      <w:pPr>
        <w:pStyle w:val="BodyText"/>
        <w:spacing w:line="240" w:lineRule="auto" w:before="116"/>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3143"/>
        <w:gridCol w:w="1264"/>
        <w:gridCol w:w="1650"/>
        <w:gridCol w:w="1650"/>
        <w:gridCol w:w="1987"/>
      </w:tblGrid>
      <w:tr>
        <w:trPr>
          <w:trHeight w:val="402" w:hRule="exact"/>
        </w:trPr>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被担保方</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6"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9"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0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143"/>
        <w:gridCol w:w="1264"/>
        <w:gridCol w:w="1650"/>
        <w:gridCol w:w="1650"/>
        <w:gridCol w:w="1987"/>
      </w:tblGrid>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2,997,000.00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3,459,700.00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4,943,600.00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4,256,500.00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13,243,200.00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临朐祥泰光伏发电有限公司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85,259,700.00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宁阳腾源新能源有限公司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58,239,000.00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五河县爱康新能源有限公司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100,760,000.00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寻乌爱康新能源科技有限公司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海城爱康电力有限公司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崇仁县爱康新能源科技有限公司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上海爱康富罗纳融资租赁有限公司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21" w:type="dxa"/>
        <w:tblLayout w:type="fixed"/>
        <w:tblCellMar>
          <w:top w:w="0" w:type="dxa"/>
          <w:left w:w="0" w:type="dxa"/>
          <w:bottom w:w="0" w:type="dxa"/>
          <w:right w:w="0" w:type="dxa"/>
        </w:tblCellMar>
        <w:tblLook w:val="01E0"/>
      </w:tblPr>
      <w:tblGrid>
        <w:gridCol w:w="3143"/>
        <w:gridCol w:w="1264"/>
        <w:gridCol w:w="1650"/>
        <w:gridCol w:w="1650"/>
        <w:gridCol w:w="1987"/>
      </w:tblGrid>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江西慧谷供应链管理有限公司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22"/>
        <w:jc w:val="left"/>
      </w:pPr>
      <w:r>
        <w:rPr/>
        <w:t>本公司作为被担保方</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37"/>
        <w:gridCol w:w="1181"/>
        <w:gridCol w:w="1541"/>
        <w:gridCol w:w="1541"/>
        <w:gridCol w:w="1856"/>
      </w:tblGrid>
      <w:tr>
        <w:trPr>
          <w:trHeight w:val="401" w:hRule="exact"/>
        </w:trPr>
        <w:tc>
          <w:tcPr>
            <w:tcW w:w="29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9,358,300.00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7"/>
        <w:gridCol w:w="1181"/>
        <w:gridCol w:w="1541"/>
        <w:gridCol w:w="1541"/>
        <w:gridCol w:w="1856"/>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7"/>
        <w:gridCol w:w="1181"/>
        <w:gridCol w:w="1541"/>
        <w:gridCol w:w="1541"/>
        <w:gridCol w:w="1856"/>
      </w:tblGrid>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59,530,000.00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邹承慧</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330,000,000.00</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left="154" w:right="1122"/>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5）关联方资金拆借" w:id="465"/>
      <w:bookmarkEnd w:id="465"/>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9,358,327.11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赣州发展融资租赁有限 责任公司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6）关联方资产转让、债务重组情况" w:id="466"/>
      <w:bookmarkEnd w:id="466"/>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购买研究院公司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889,400.00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苏州爱康能源工程技术股份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购买阳泉发电</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91"/>
              <w:ind w:left="22" w:right="320"/>
              <w:jc w:val="left"/>
              <w:rPr>
                <w:rFonts w:ascii="宋体" w:hAnsi="宋体" w:cs="宋体" w:eastAsia="宋体" w:hint="default"/>
                <w:sz w:val="18"/>
                <w:szCs w:val="18"/>
              </w:rPr>
            </w:pPr>
            <w:r>
              <w:rPr>
                <w:rFonts w:ascii="Times New Roman" w:hAnsi="Times New Roman" w:cs="Times New Roman" w:eastAsia="Times New Roman" w:hint="default"/>
                <w:sz w:val="18"/>
                <w:szCs w:val="18"/>
              </w:rPr>
              <w:t>MAKI SUNCOME</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SOLAR</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3"/>
                <w:sz w:val="18"/>
                <w:szCs w:val="18"/>
              </w:rPr>
              <w:t>CO.,LTD</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49.18%</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2,538,685.88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购买赣发租赁公司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245,600,000.00</w:t>
            </w:r>
          </w:p>
        </w:tc>
      </w:tr>
      <w:tr>
        <w:trPr>
          <w:trHeight w:val="1338"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
              <w:jc w:val="both"/>
              <w:rPr>
                <w:rFonts w:ascii="宋体" w:hAnsi="宋体" w:cs="宋体" w:eastAsia="宋体" w:hint="default"/>
                <w:sz w:val="18"/>
                <w:szCs w:val="18"/>
              </w:rPr>
            </w:pPr>
            <w:r>
              <w:rPr>
                <w:rFonts w:ascii="宋体" w:hAnsi="宋体" w:cs="宋体" w:eastAsia="宋体" w:hint="default"/>
                <w:sz w:val="18"/>
                <w:szCs w:val="18"/>
              </w:rPr>
              <w:t>江苏爱康实业集团有限公司、 爱康国际控股有限公司、苏州 度金股权投资管理中心（有限 合伙）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购买爱康光电公司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67.0133%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股权</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643,327,680.00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7）关键管理人员报酬" w:id="467"/>
      <w:bookmarkEnd w:id="467"/>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4,321,147.00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3,028,100.00</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8）其他关联交易" w:id="468"/>
      <w:bookmarkEnd w:id="468"/>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6、关联方应收应付款项" w:id="469"/>
      <w:bookmarkEnd w:id="469"/>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应收项目" w:id="470"/>
      <w:bookmarkEnd w:id="470"/>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482"/>
        <w:gridCol w:w="3911"/>
        <w:gridCol w:w="1328"/>
        <w:gridCol w:w="874"/>
        <w:gridCol w:w="1226"/>
        <w:gridCol w:w="872"/>
      </w:tblGrid>
      <w:tr>
        <w:trPr>
          <w:trHeight w:val="402" w:hRule="exact"/>
        </w:trPr>
        <w:tc>
          <w:tcPr>
            <w:tcW w:w="14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7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39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09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3"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482" w:type="dxa"/>
            <w:vMerge/>
            <w:tcBorders>
              <w:left w:val="single" w:sz="4" w:space="0" w:color="000000"/>
              <w:bottom w:val="single" w:sz="4" w:space="0" w:color="000000"/>
              <w:right w:val="single" w:sz="4" w:space="0" w:color="000000"/>
            </w:tcBorders>
            <w:shd w:val="clear" w:color="auto" w:fill="D2D2D2"/>
          </w:tcPr>
          <w:p>
            <w:pPr/>
          </w:p>
        </w:tc>
        <w:tc>
          <w:tcPr>
            <w:tcW w:w="3911"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131,959,646.66</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52,324,899.77</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72,055,721.93</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86,974.86</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3,240,476.31</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磁县品佑光伏电力开发有限公司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794,810.00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1,363,110.51</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102,888.14</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45,942.30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35,477.96</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7,499.00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随县爱康新能源投资有限公司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231,000.00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汤阴爱康能源电力有限公司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上海爱康富罗纳股权投资基金管理有限公司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56,000.00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2,732,769.57</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20,890,800.00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75,062.37</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1,046,400.00</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24,808.00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18,724.00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3,346.00</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21" w:type="dxa"/>
        <w:tblLayout w:type="fixed"/>
        <w:tblCellMar>
          <w:top w:w="0" w:type="dxa"/>
          <w:left w:w="0" w:type="dxa"/>
          <w:bottom w:w="0" w:type="dxa"/>
          <w:right w:w="0" w:type="dxa"/>
        </w:tblCellMar>
        <w:tblLook w:val="01E0"/>
      </w:tblPr>
      <w:tblGrid>
        <w:gridCol w:w="1482"/>
        <w:gridCol w:w="3911"/>
        <w:gridCol w:w="1328"/>
        <w:gridCol w:w="874"/>
        <w:gridCol w:w="1226"/>
        <w:gridCol w:w="872"/>
      </w:tblGrid>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328"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w:t>
            </w:r>
          </w:p>
        </w:tc>
        <w:tc>
          <w:tcPr>
            <w:tcW w:w="8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0" w:right="0"/>
              <w:jc w:val="left"/>
              <w:rPr>
                <w:rFonts w:ascii="Times New Roman" w:hAnsi="Times New Roman" w:cs="Times New Roman" w:eastAsia="Times New Roman" w:hint="default"/>
                <w:sz w:val="18"/>
                <w:szCs w:val="18"/>
              </w:rPr>
            </w:pPr>
            <w:r>
              <w:rPr>
                <w:rFonts w:ascii="Times New Roman"/>
                <w:sz w:val="18"/>
              </w:rPr>
              <w:t>57,764,608.05</w:t>
            </w:r>
          </w:p>
        </w:tc>
        <w:tc>
          <w:tcPr>
            <w:tcW w:w="874" w:type="dxa"/>
            <w:tcBorders>
              <w:top w:val="single" w:sz="4" w:space="0" w:color="000000"/>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43,832,811.06</w:t>
            </w:r>
          </w:p>
        </w:tc>
        <w:tc>
          <w:tcPr>
            <w:tcW w:w="8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应付项目" w:id="471"/>
      <w:bookmarkEnd w:id="471"/>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21" w:type="dxa"/>
        <w:tblLayout w:type="fixed"/>
        <w:tblCellMar>
          <w:top w:w="0" w:type="dxa"/>
          <w:left w:w="0" w:type="dxa"/>
          <w:bottom w:w="0" w:type="dxa"/>
          <w:right w:w="0" w:type="dxa"/>
        </w:tblCellMar>
        <w:tblLook w:val="01E0"/>
      </w:tblPr>
      <w:tblGrid>
        <w:gridCol w:w="1241"/>
        <w:gridCol w:w="5446"/>
        <w:gridCol w:w="1474"/>
        <w:gridCol w:w="1534"/>
      </w:tblGrid>
      <w:tr>
        <w:trPr>
          <w:trHeight w:val="402" w:hRule="exact"/>
        </w:trPr>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5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2"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89,804,062.17</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65,136,167.13</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3,139,002.72</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19,169,998.11</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爱康富罗纳金融信息服务（上海）有限公司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210,700.00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青海蓓翔城市投资有限公司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62,500.00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45,461.70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6,793.00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MAKI SUNCOME SOLAR </w:t>
            </w:r>
            <w:r>
              <w:rPr>
                <w:rFonts w:ascii="Times New Roman"/>
                <w:spacing w:val="-3"/>
                <w:sz w:val="18"/>
              </w:rPr>
              <w:t>CO.,LTD</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228,565.25</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1,202,360.00</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苏州润德新材料有限公司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6,055.38</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95,454,974.19</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578,498.58</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江苏爱康绿色家园科技有限公司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443,715.80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张家港富罗纳区块链一号信息科技企业（有限合伙）</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3,056,727.75</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苏州爱康能源工程技术股份有限公司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17,824,785.25</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苏州广厦物业管理有限公司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431,857.64</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682,903.32</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无锡慧谷供应链管理有限公司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218,400.00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张家港惠康餐饮管理有限公司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174,080.00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苏州爱康薄膜新材料有限公司</w:t>
            </w:r>
          </w:p>
        </w:tc>
        <w:tc>
          <w:tcPr>
            <w:tcW w:w="1474" w:type="dxa"/>
            <w:tcBorders>
              <w:top w:val="single" w:sz="4" w:space="0" w:color="000000"/>
              <w:left w:val="single" w:sz="4" w:space="0" w:color="000000"/>
              <w:bottom w:val="single" w:sz="4" w:space="0" w:color="000000"/>
              <w:right w:val="single" w:sz="4" w:space="0" w:color="000000"/>
            </w:tcBorders>
          </w:tcPr>
          <w:p>
            <w:pP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1,174.29</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苏州爱康果业有限公司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2,961.87</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江阴爱康农业科技有限公司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603,802.60</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赣州发展融资租赁有限责任公司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355,610.81</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江苏爱康房地产开发有限公司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w:t>
            </w:r>
          </w:p>
        </w:tc>
        <w:tc>
          <w:tcPr>
            <w:tcW w:w="15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爱康国际控股有限公司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83,258,496.00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124,887,744.00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江苏爱康实业集团有限公司</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30,957,408.00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46,436,112.00</w:t>
            </w:r>
          </w:p>
        </w:tc>
      </w:tr>
      <w:tr>
        <w:trPr>
          <w:trHeight w:val="402" w:hRule="exact"/>
        </w:trPr>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5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苏州度金股权投资管理中心（有限合伙）</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78,782,400.00</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118,173,600.00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7、关联方承诺" w:id="472"/>
      <w:bookmarkEnd w:id="472"/>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60"/>
        <w:jc w:val="both"/>
      </w:pPr>
      <w:r>
        <w:rPr>
          <w:spacing w:val="-1"/>
        </w:rPr>
        <w:t>（</w:t>
      </w:r>
      <w:r>
        <w:rPr>
          <w:rFonts w:ascii="Times New Roman" w:hAnsi="Times New Roman" w:cs="Times New Roman" w:eastAsia="Times New Roman" w:hint="default"/>
          <w:spacing w:val="-1"/>
        </w:rPr>
        <w:t>1</w:t>
      </w:r>
      <w:r>
        <w:rPr>
          <w:spacing w:val="-1"/>
        </w:rPr>
        <w:t>）</w:t>
      </w:r>
      <w:r>
        <w:rPr>
          <w:rFonts w:ascii="Times New Roman" w:hAnsi="Times New Roman" w:cs="Times New Roman" w:eastAsia="Times New Roman" w:hint="default"/>
          <w:spacing w:val="-1"/>
        </w:rPr>
        <w:t>2016</w:t>
      </w:r>
      <w:r>
        <w:rPr>
          <w:spacing w:val="-1"/>
        </w:rPr>
        <w:t>年新股发行股权限售承诺：</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23</w:t>
      </w:r>
      <w:r>
        <w:rPr>
          <w:spacing w:val="-1"/>
        </w:rPr>
        <w:t>日，本公司非公开发行</w:t>
      </w:r>
      <w:r>
        <w:rPr>
          <w:rFonts w:ascii="Times New Roman" w:hAnsi="Times New Roman" w:cs="Times New Roman" w:eastAsia="Times New Roman" w:hint="default"/>
          <w:spacing w:val="-1"/>
        </w:rPr>
        <w:t>A</w:t>
      </w:r>
      <w:r>
        <w:rPr>
          <w:spacing w:val="-1"/>
        </w:rPr>
        <w:t>股股票上市。本次发行新增</w:t>
      </w:r>
      <w:r>
        <w:rPr>
          <w:rFonts w:ascii="Times New Roman" w:hAnsi="Times New Roman" w:cs="Times New Roman" w:eastAsia="Times New Roman" w:hint="default"/>
          <w:spacing w:val="-1"/>
        </w:rPr>
        <w:t>397,715,400</w:t>
      </w:r>
      <w:r>
        <w:rPr>
          <w:spacing w:val="-1"/>
        </w:rPr>
        <w:t>股股</w:t>
      </w:r>
      <w:r>
        <w:rPr>
          <w:spacing w:val="1"/>
        </w:rPr>
        <w:t> </w:t>
      </w:r>
      <w:r>
        <w:rPr/>
        <w:t>份中，由江苏爱康实业集团有限公司认购的</w:t>
      </w:r>
      <w:r>
        <w:rPr>
          <w:rFonts w:ascii="Times New Roman" w:hAnsi="Times New Roman" w:cs="Times New Roman" w:eastAsia="Times New Roman" w:hint="default"/>
        </w:rPr>
        <w:t>39,771,500</w:t>
      </w:r>
      <w:r>
        <w:rPr/>
        <w:t>股股份限售期为三十六个月。根据</w:t>
      </w:r>
      <w:r>
        <w:rPr>
          <w:rFonts w:ascii="Times New Roman" w:hAnsi="Times New Roman" w:cs="Times New Roman" w:eastAsia="Times New Roman" w:hint="default"/>
        </w:rPr>
        <w:t>2016</w:t>
      </w:r>
      <w:r>
        <w:rPr/>
        <w:t>年第五次临时股东大会决议和</w:t>
      </w:r>
      <w:r>
        <w:rPr>
          <w:spacing w:val="-85"/>
        </w:rPr>
        <w:t> </w:t>
      </w:r>
      <w:r>
        <w:rPr>
          <w:spacing w:val="-85"/>
        </w:rPr>
      </w:r>
      <w:r>
        <w:rPr/>
        <w:t>章程修正案规定，本公司以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日总股本</w:t>
      </w:r>
      <w:r>
        <w:rPr>
          <w:rFonts w:ascii="Times New Roman" w:hAnsi="Times New Roman" w:cs="Times New Roman" w:eastAsia="Times New Roman" w:hint="default"/>
        </w:rPr>
        <w:t>1,122,715,400</w:t>
      </w:r>
      <w:r>
        <w:rPr/>
        <w:t>股为基数以每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30</w:t>
      </w:r>
      <w:r>
        <w:rPr/>
        <w:t>股的比例用资本公积向全体股东转</w:t>
      </w:r>
      <w:r>
        <w:rPr>
          <w:spacing w:val="-49"/>
        </w:rPr>
        <w:t> </w:t>
      </w:r>
      <w:r>
        <w:rPr>
          <w:spacing w:val="-49"/>
        </w:rPr>
      </w:r>
      <w:r>
        <w:rPr/>
        <w:t>增股份，因此由江苏爱康实业集团有限公司认购的</w:t>
      </w:r>
      <w:r>
        <w:rPr>
          <w:rFonts w:ascii="Times New Roman" w:hAnsi="Times New Roman" w:cs="Times New Roman" w:eastAsia="Times New Roman" w:hint="default"/>
        </w:rPr>
        <w:t>39,771,500</w:t>
      </w:r>
      <w:r>
        <w:rPr/>
        <w:t>股增至</w:t>
      </w:r>
      <w:r>
        <w:rPr>
          <w:rFonts w:ascii="Times New Roman" w:hAnsi="Times New Roman" w:cs="Times New Roman" w:eastAsia="Times New Roman" w:hint="default"/>
        </w:rPr>
        <w:t>159,086,000</w:t>
      </w:r>
      <w:r>
        <w:rPr/>
        <w:t>股，从上市首日起算，预计可上市流通时间</w:t>
      </w:r>
      <w:r>
        <w:rPr>
          <w:spacing w:val="-85"/>
        </w:rPr>
        <w:t> </w:t>
      </w:r>
      <w:r>
        <w:rPr>
          <w:spacing w:val="-85"/>
        </w:rPr>
      </w:r>
      <w:r>
        <w:rPr/>
        <w:t>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23</w:t>
      </w:r>
      <w:r>
        <w:rPr/>
        <w:t>日。</w:t>
      </w:r>
    </w:p>
    <w:p>
      <w:pPr>
        <w:pStyle w:val="BodyText"/>
        <w:spacing w:line="300" w:lineRule="auto" w:before="13"/>
        <w:ind w:right="1129" w:firstLine="360"/>
        <w:jc w:val="both"/>
      </w:pPr>
      <w:r>
        <w:rPr/>
        <w:t>（</w:t>
      </w:r>
      <w:r>
        <w:rPr>
          <w:rFonts w:ascii="Times New Roman" w:hAnsi="Times New Roman" w:cs="Times New Roman" w:eastAsia="Times New Roman" w:hint="default"/>
        </w:rPr>
        <w:t>2</w:t>
      </w:r>
      <w:r>
        <w:rPr/>
        <w:t>）赣发租赁业绩承诺：根据赣州发展融资租赁有限责任公司股权转让协议，江苏爱康实业集团有限公司就所持有目 标公司赣州发展融资租赁有限责任公司的</w:t>
      </w:r>
      <w:r>
        <w:rPr>
          <w:rFonts w:ascii="Times New Roman" w:hAnsi="Times New Roman" w:cs="Times New Roman" w:eastAsia="Times New Roman" w:hint="default"/>
        </w:rPr>
        <w:t>40%</w:t>
      </w:r>
      <w:r>
        <w:rPr/>
        <w:t>股权转让事宜承诺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年实现净利润分别为</w:t>
      </w:r>
      <w:r>
        <w:rPr>
          <w:rFonts w:ascii="Times New Roman" w:hAnsi="Times New Roman" w:cs="Times New Roman" w:eastAsia="Times New Roman" w:hint="default"/>
        </w:rPr>
        <w:t>4,689.48</w:t>
      </w:r>
      <w:r>
        <w:rPr/>
        <w:t>万元、</w:t>
      </w:r>
      <w:r>
        <w:rPr>
          <w:spacing w:val="-58"/>
        </w:rPr>
        <w:t> </w:t>
      </w:r>
      <w:r>
        <w:rPr>
          <w:rFonts w:ascii="Times New Roman" w:hAnsi="Times New Roman" w:cs="Times New Roman" w:eastAsia="Times New Roman" w:hint="default"/>
          <w:spacing w:val="-2"/>
        </w:rPr>
        <w:t>6,890.59</w:t>
      </w:r>
      <w:r>
        <w:rPr>
          <w:spacing w:val="-2"/>
        </w:rPr>
        <w:t>万元，</w:t>
      </w:r>
      <w:r>
        <w:rPr>
          <w:rFonts w:ascii="Times New Roman" w:hAnsi="Times New Roman" w:cs="Times New Roman" w:eastAsia="Times New Roman" w:hint="default"/>
          <w:spacing w:val="-2"/>
        </w:rPr>
        <w:t>8,817.03</w:t>
      </w:r>
      <w:r>
        <w:rPr>
          <w:spacing w:val="-2"/>
        </w:rPr>
        <w:t>万元，若目标公司未能实现上述承诺业绩，由江苏爱康实业集团有限公司向本公司支付现金补足。于</w:t>
      </w:r>
      <w:r>
        <w:rPr>
          <w:spacing w:val="-50"/>
        </w:rPr>
        <w:t> </w:t>
      </w:r>
      <w:r>
        <w:rPr>
          <w:spacing w:val="-50"/>
        </w:rPr>
      </w:r>
      <w:r>
        <w:rPr/>
        <w:t>本年本公司收到江苏爱康实业集团有限公司支付的赣发租赁</w:t>
      </w:r>
      <w:r>
        <w:rPr>
          <w:rFonts w:ascii="Times New Roman" w:hAnsi="Times New Roman" w:cs="Times New Roman" w:eastAsia="Times New Roman" w:hint="default"/>
        </w:rPr>
        <w:t>2016</w:t>
      </w:r>
      <w:r>
        <w:rPr/>
        <w:t>年度业绩承诺未实现部分的补偿款</w:t>
      </w:r>
      <w:r>
        <w:rPr>
          <w:rFonts w:ascii="Times New Roman" w:hAnsi="Times New Roman" w:cs="Times New Roman" w:eastAsia="Times New Roman" w:hint="default"/>
        </w:rPr>
        <w:t>10,945,300.00</w:t>
      </w:r>
      <w:r>
        <w:rPr/>
        <w:t>元。</w:t>
      </w:r>
    </w:p>
    <w:p>
      <w:pPr>
        <w:pStyle w:val="BodyText"/>
        <w:spacing w:line="304" w:lineRule="auto" w:before="13"/>
        <w:ind w:right="1128" w:firstLine="360"/>
        <w:jc w:val="both"/>
      </w:pPr>
      <w:r>
        <w:rPr/>
        <w:t>（</w:t>
      </w:r>
      <w:r>
        <w:rPr>
          <w:rFonts w:ascii="Times New Roman" w:hAnsi="Times New Roman" w:cs="Times New Roman" w:eastAsia="Times New Roman" w:hint="default"/>
        </w:rPr>
        <w:t>3</w:t>
      </w:r>
      <w:r>
        <w:rPr/>
        <w:t>）爱康光电业绩承诺：根据本公司与苏州爱康光电科技有限公司股东关于苏州爱康光电科技有限公司之购买资产协 </w:t>
      </w:r>
      <w:r>
        <w:rPr>
          <w:spacing w:val="-2"/>
        </w:rPr>
        <w:t>议，江苏爱康实业集团有限公司、爱康国际控股有限公司、苏州度金股权投资管理中心（有限合伙）、天地国际发展有限公</w:t>
      </w:r>
      <w:r>
        <w:rPr>
          <w:spacing w:val="-68"/>
        </w:rPr>
        <w:t> </w:t>
      </w:r>
      <w:r>
        <w:rPr>
          <w:spacing w:val="-68"/>
        </w:rPr>
      </w:r>
      <w:r>
        <w:rPr>
          <w:spacing w:val="-3"/>
        </w:rPr>
        <w:t>司、钨业研究中心有限公司就所持有目标公司苏州爱康光电科技有限公司的</w:t>
      </w:r>
      <w:r>
        <w:rPr>
          <w:rFonts w:ascii="Times New Roman" w:hAnsi="Times New Roman" w:cs="Times New Roman" w:eastAsia="Times New Roman" w:hint="default"/>
          <w:spacing w:val="-3"/>
        </w:rPr>
        <w:t>100.00%</w:t>
      </w:r>
      <w:r>
        <w:rPr>
          <w:spacing w:val="-3"/>
        </w:rPr>
        <w:t>股权转让事宜承诺</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2018</w:t>
      </w:r>
      <w:r>
        <w:rPr>
          <w:rFonts w:ascii="Times New Roman" w:hAnsi="Times New Roman" w:cs="Times New Roman" w:eastAsia="Times New Roman" w:hint="default"/>
        </w:rPr>
        <w:t> </w:t>
      </w:r>
      <w:r>
        <w:rPr/>
        <w:t>年实现经审计扣除非经常性损益（依法取得的财政补贴除外）后归属于母公司股东的净利润分别为</w:t>
      </w:r>
      <w:r>
        <w:rPr>
          <w:rFonts w:ascii="Times New Roman" w:hAnsi="Times New Roman" w:cs="Times New Roman" w:eastAsia="Times New Roman" w:hint="default"/>
        </w:rPr>
        <w:t>9,000.00</w:t>
      </w:r>
      <w:r>
        <w:rPr/>
        <w:t>万元、</w:t>
      </w:r>
      <w:r>
        <w:rPr>
          <w:rFonts w:ascii="Times New Roman" w:hAnsi="Times New Roman" w:cs="Times New Roman" w:eastAsia="Times New Roman" w:hint="default"/>
        </w:rPr>
        <w:t>11,000,00</w:t>
      </w:r>
      <w:r>
        <w:rPr>
          <w:rFonts w:ascii="Times New Roman" w:hAnsi="Times New Roman" w:cs="Times New Roman" w:eastAsia="Times New Roman" w:hint="default"/>
          <w:spacing w:val="-37"/>
        </w:rPr>
        <w:t> </w:t>
      </w:r>
      <w:r>
        <w:rPr>
          <w:spacing w:val="-2"/>
        </w:rPr>
        <w:t>万元，</w:t>
      </w:r>
      <w:r>
        <w:rPr>
          <w:rFonts w:ascii="Times New Roman" w:hAnsi="Times New Roman" w:cs="Times New Roman" w:eastAsia="Times New Roman" w:hint="default"/>
          <w:spacing w:val="-2"/>
        </w:rPr>
        <w:t>12,500.00</w:t>
      </w:r>
      <w:r>
        <w:rPr>
          <w:spacing w:val="-2"/>
        </w:rPr>
        <w:t>万元，若目标公司未能实现上述承诺业绩，由江苏爱康实业集团有限公司、爱康国际控股有限公司、苏州度</w:t>
      </w:r>
      <w:r>
        <w:rPr>
          <w:spacing w:val="-58"/>
        </w:rPr>
        <w:t> </w:t>
      </w:r>
      <w:r>
        <w:rPr>
          <w:spacing w:val="-58"/>
        </w:rPr>
      </w:r>
      <w:r>
        <w:rPr/>
        <w:t>金股权投资管理中心（有限合伙）、天地国际发展有限公司、钨业研究中心有限公司向本公司支付现金补足。</w:t>
      </w:r>
    </w:p>
    <w:p>
      <w:pPr>
        <w:spacing w:line="240" w:lineRule="auto" w:before="3"/>
        <w:rPr>
          <w:rFonts w:ascii="宋体" w:hAnsi="宋体" w:cs="宋体" w:eastAsia="宋体" w:hint="default"/>
          <w:sz w:val="23"/>
          <w:szCs w:val="23"/>
        </w:rPr>
      </w:pPr>
    </w:p>
    <w:p>
      <w:pPr>
        <w:spacing w:line="487" w:lineRule="auto" w:before="0"/>
        <w:ind w:left="153" w:right="8751" w:firstLine="0"/>
        <w:jc w:val="left"/>
        <w:rPr>
          <w:rFonts w:ascii="宋体" w:hAnsi="宋体" w:cs="宋体" w:eastAsia="宋体" w:hint="default"/>
          <w:sz w:val="21"/>
          <w:szCs w:val="21"/>
        </w:rPr>
      </w:pPr>
      <w:bookmarkStart w:name="8、其他" w:id="473"/>
      <w:bookmarkEnd w:id="473"/>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74"/>
      <w:bookmarkEnd w:id="474"/>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75"/>
      <w:bookmarkEnd w:id="47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8"/>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2、以权益结算的股份支付情况" w:id="476"/>
      <w:bookmarkEnd w:id="476"/>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3、以现金结算的股份支付情况" w:id="477"/>
      <w:bookmarkEnd w:id="477"/>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22"/>
        <w:jc w:val="left"/>
        <w:rPr>
          <w:b w:val="0"/>
          <w:bCs w:val="0"/>
        </w:rPr>
      </w:pPr>
      <w:bookmarkStart w:name="4、股份支付的修改、终止情况" w:id="478"/>
      <w:bookmarkEnd w:id="478"/>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79"/>
      <w:bookmarkEnd w:id="479"/>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80"/>
      <w:bookmarkEnd w:id="480"/>
      <w:r>
        <w:rPr>
          <w:rFonts w:ascii="宋体" w:hAnsi="宋体" w:cs="宋体" w:eastAsia="宋体" w:hint="default"/>
          <w:b/>
          <w:bCs/>
          <w:spacing w:val="1"/>
          <w:w w:val="99"/>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481"/>
      <w:bookmarkEnd w:id="48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9"/>
        <w:ind w:left="514" w:right="5712" w:hanging="360"/>
        <w:jc w:val="left"/>
      </w:pPr>
      <w:r>
        <w:rPr/>
        <w:t>资产负债表日存在的重要承诺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日，本公司无需要披露的重大承诺事项。</w:t>
      </w:r>
    </w:p>
    <w:p>
      <w:pPr>
        <w:spacing w:after="0" w:line="357"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2、或有事项" w:id="482"/>
      <w:bookmarkEnd w:id="482"/>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资产负债表日存在的重要或有事项" w:id="483"/>
      <w:bookmarkEnd w:id="483"/>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4" w:right="6522"/>
        <w:jc w:val="left"/>
      </w:pPr>
      <w:r>
        <w:rPr/>
        <w:t>（</w:t>
      </w:r>
      <w:r>
        <w:rPr>
          <w:rFonts w:ascii="Times New Roman" w:hAnsi="Times New Roman" w:cs="Times New Roman" w:eastAsia="Times New Roman" w:hint="default"/>
        </w:rPr>
        <w:t>1</w:t>
      </w:r>
      <w:r>
        <w:rPr/>
        <w:t>）未决诉讼仲裁形成的或有负债及其财务影响 本公司无未决诉讼仲裁形成的或有负债。</w:t>
      </w:r>
    </w:p>
    <w:p>
      <w:pPr>
        <w:pStyle w:val="BodyText"/>
        <w:spacing w:line="240" w:lineRule="auto" w:before="31"/>
        <w:ind w:left="514" w:right="1122"/>
        <w:jc w:val="left"/>
      </w:pPr>
      <w:r>
        <w:rPr/>
        <w:t>（</w:t>
      </w:r>
      <w:r>
        <w:rPr>
          <w:rFonts w:ascii="Times New Roman" w:hAnsi="Times New Roman" w:cs="Times New Roman" w:eastAsia="Times New Roman" w:hint="default"/>
        </w:rPr>
        <w:t>2</w:t>
      </w:r>
      <w:r>
        <w:rPr/>
        <w:t>）为其他单位提供债务担保形成的或有负债及其财务影响</w:t>
      </w:r>
    </w:p>
    <w:p>
      <w:pPr>
        <w:spacing w:line="240" w:lineRule="auto" w:before="13"/>
        <w:rPr>
          <w:rFonts w:ascii="宋体" w:hAnsi="宋体" w:cs="宋体" w:eastAsia="宋体" w:hint="default"/>
          <w:sz w:val="3"/>
          <w:szCs w:val="3"/>
        </w:rPr>
      </w:pPr>
    </w:p>
    <w:tbl>
      <w:tblPr>
        <w:tblW w:w="0" w:type="auto"/>
        <w:jc w:val="left"/>
        <w:tblInd w:w="149" w:type="dxa"/>
        <w:tblLayout w:type="fixed"/>
        <w:tblCellMar>
          <w:top w:w="0" w:type="dxa"/>
          <w:left w:w="0" w:type="dxa"/>
          <w:bottom w:w="0" w:type="dxa"/>
          <w:right w:w="0" w:type="dxa"/>
        </w:tblCellMar>
        <w:tblLook w:val="01E0"/>
      </w:tblPr>
      <w:tblGrid>
        <w:gridCol w:w="1588"/>
        <w:gridCol w:w="1589"/>
        <w:gridCol w:w="5886"/>
      </w:tblGrid>
      <w:tr>
        <w:trPr>
          <w:trHeight w:val="342"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29"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财务影响</w:t>
            </w:r>
          </w:p>
        </w:tc>
      </w:tr>
      <w:tr>
        <w:trPr>
          <w:trHeight w:val="966"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31"/>
              <w:jc w:val="left"/>
              <w:rPr>
                <w:rFonts w:ascii="宋体" w:hAnsi="宋体" w:cs="宋体" w:eastAsia="宋体" w:hint="default"/>
                <w:sz w:val="18"/>
                <w:szCs w:val="18"/>
              </w:rPr>
            </w:pPr>
            <w:r>
              <w:rPr>
                <w:rFonts w:ascii="宋体" w:hAnsi="宋体" w:cs="宋体" w:eastAsia="宋体" w:hint="default"/>
                <w:sz w:val="18"/>
                <w:szCs w:val="18"/>
              </w:rPr>
              <w:t>江阴东华铝材科技 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0"/>
              <w:jc w:val="right"/>
              <w:rPr>
                <w:rFonts w:ascii="宋体" w:hAnsi="宋体" w:cs="宋体" w:eastAsia="宋体" w:hint="default"/>
                <w:sz w:val="18"/>
                <w:szCs w:val="18"/>
              </w:rPr>
            </w:pPr>
            <w:r>
              <w:rPr>
                <w:rFonts w:ascii="Times New Roman" w:hAnsi="Times New Roman" w:cs="Times New Roman" w:eastAsia="Times New Roman" w:hint="default"/>
                <w:sz w:val="18"/>
                <w:szCs w:val="18"/>
              </w:rPr>
              <w:t>24,100.00</w:t>
            </w:r>
            <w:r>
              <w:rPr>
                <w:rFonts w:ascii="宋体" w:hAnsi="宋体" w:cs="宋体" w:eastAsia="宋体" w:hint="default"/>
                <w:sz w:val="18"/>
                <w:szCs w:val="18"/>
              </w:rPr>
              <w:t>万元</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8"/>
              <w:jc w:val="both"/>
              <w:rPr>
                <w:rFonts w:ascii="宋体" w:hAnsi="宋体" w:cs="宋体" w:eastAsia="宋体" w:hint="default"/>
                <w:sz w:val="18"/>
                <w:szCs w:val="18"/>
              </w:rPr>
            </w:pPr>
            <w:r>
              <w:rPr>
                <w:rFonts w:ascii="宋体" w:hAnsi="宋体" w:cs="宋体" w:eastAsia="宋体" w:hint="default"/>
                <w:sz w:val="18"/>
                <w:szCs w:val="18"/>
              </w:rPr>
              <w:t>该公司主要从事铝型材的制造，自本公司设立以来，一直为公司重要的铝 型材供应商。近年来，东华铝材及其控股股东为本公司银行借款提供了多 </w:t>
            </w:r>
            <w:r>
              <w:rPr>
                <w:rFonts w:ascii="宋体" w:hAnsi="宋体" w:cs="宋体" w:eastAsia="宋体" w:hint="default"/>
                <w:spacing w:val="-4"/>
                <w:sz w:val="18"/>
                <w:szCs w:val="18"/>
              </w:rPr>
              <w:t>次担保支持。该公司经营情况良好，资产规模较大，具有较好的偿债能力。</w:t>
            </w:r>
          </w:p>
        </w:tc>
      </w:tr>
      <w:tr>
        <w:trPr>
          <w:trHeight w:val="654" w:hRule="exact"/>
        </w:trPr>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18"/>
              <w:jc w:val="left"/>
              <w:rPr>
                <w:rFonts w:ascii="宋体" w:hAnsi="宋体" w:cs="宋体" w:eastAsia="宋体" w:hint="default"/>
                <w:sz w:val="18"/>
                <w:szCs w:val="18"/>
              </w:rPr>
            </w:pPr>
            <w:r>
              <w:rPr>
                <w:rFonts w:ascii="宋体" w:hAnsi="宋体" w:cs="宋体" w:eastAsia="宋体" w:hint="default"/>
                <w:spacing w:val="23"/>
                <w:sz w:val="18"/>
                <w:szCs w:val="18"/>
              </w:rPr>
              <w:t>江阴科玛金属制</w:t>
            </w:r>
            <w:r>
              <w:rPr>
                <w:rFonts w:ascii="宋体" w:hAnsi="宋体" w:cs="宋体" w:eastAsia="宋体" w:hint="default"/>
                <w:spacing w:val="-63"/>
                <w:sz w:val="18"/>
                <w:szCs w:val="18"/>
              </w:rPr>
              <w:t> </w:t>
            </w:r>
            <w:r>
              <w:rPr>
                <w:rFonts w:ascii="宋体" w:hAnsi="宋体" w:cs="宋体" w:eastAsia="宋体" w:hint="default"/>
                <w:sz w:val="18"/>
                <w:szCs w:val="18"/>
              </w:rPr>
              <w:t>品有限公司</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90"/>
              <w:jc w:val="right"/>
              <w:rPr>
                <w:rFonts w:ascii="宋体" w:hAnsi="宋体" w:cs="宋体" w:eastAsia="宋体" w:hint="default"/>
                <w:sz w:val="18"/>
                <w:szCs w:val="18"/>
              </w:rPr>
            </w:pPr>
            <w:r>
              <w:rPr>
                <w:rFonts w:ascii="Times New Roman" w:hAnsi="Times New Roman" w:cs="Times New Roman" w:eastAsia="Times New Roman" w:hint="default"/>
                <w:sz w:val="18"/>
                <w:szCs w:val="18"/>
              </w:rPr>
              <w:t>7,000.00</w:t>
            </w:r>
            <w:r>
              <w:rPr>
                <w:rFonts w:ascii="宋体" w:hAnsi="宋体" w:cs="宋体" w:eastAsia="宋体" w:hint="default"/>
                <w:sz w:val="18"/>
                <w:szCs w:val="18"/>
              </w:rPr>
              <w:t>万元</w:t>
            </w:r>
          </w:p>
        </w:tc>
        <w:tc>
          <w:tcPr>
            <w:tcW w:w="58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47"/>
              <w:jc w:val="left"/>
              <w:rPr>
                <w:rFonts w:ascii="宋体" w:hAnsi="宋体" w:cs="宋体" w:eastAsia="宋体" w:hint="default"/>
                <w:sz w:val="18"/>
                <w:szCs w:val="18"/>
              </w:rPr>
            </w:pPr>
            <w:r>
              <w:rPr>
                <w:rFonts w:ascii="宋体" w:hAnsi="宋体" w:cs="宋体" w:eastAsia="宋体" w:hint="default"/>
                <w:spacing w:val="-2"/>
                <w:sz w:val="18"/>
                <w:szCs w:val="18"/>
              </w:rPr>
              <w:t>该公司主要从事金属制造、冲压件等的制造，该公司为江阴东华铝材科技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有限公司的关联方。</w:t>
            </w:r>
          </w:p>
        </w:tc>
      </w:tr>
    </w:tbl>
    <w:p>
      <w:pPr>
        <w:pStyle w:val="BodyText"/>
        <w:spacing w:line="300" w:lineRule="auto" w:before="10"/>
        <w:ind w:left="514" w:right="6522"/>
        <w:jc w:val="left"/>
      </w:pPr>
      <w:r>
        <w:rPr/>
        <w:t>（</w:t>
      </w:r>
      <w:r>
        <w:rPr>
          <w:rFonts w:ascii="Times New Roman" w:hAnsi="Times New Roman" w:cs="Times New Roman" w:eastAsia="Times New Roman" w:hint="default"/>
        </w:rPr>
        <w:t>3</w:t>
      </w:r>
      <w:r>
        <w:rPr/>
        <w:t>）与合营企业或联营企业投资相关的或有负债 参见</w:t>
      </w:r>
      <w:r>
        <w:rPr>
          <w:rFonts w:ascii="Times New Roman" w:hAnsi="Times New Roman" w:cs="Times New Roman" w:eastAsia="Times New Roman" w:hint="default"/>
        </w:rPr>
        <w:t>“</w:t>
      </w:r>
      <w:r>
        <w:rPr/>
        <w:t>附注九、在其他主体中权益</w:t>
      </w:r>
      <w:r>
        <w:rPr>
          <w:rFonts w:ascii="Times New Roman" w:hAnsi="Times New Roman" w:cs="Times New Roman" w:eastAsia="Times New Roman" w:hint="default"/>
        </w:rPr>
        <w:t>”</w:t>
      </w:r>
      <w:r>
        <w:rPr/>
        <w:t>部分。</w:t>
      </w:r>
    </w:p>
    <w:p>
      <w:pPr>
        <w:pStyle w:val="BodyText"/>
        <w:spacing w:line="300" w:lineRule="auto" w:before="13"/>
        <w:ind w:left="444" w:right="5782" w:firstLine="69"/>
        <w:jc w:val="left"/>
      </w:pPr>
      <w:r>
        <w:rPr/>
        <w:t>（</w:t>
      </w:r>
      <w:r>
        <w:rPr>
          <w:rFonts w:ascii="Times New Roman" w:hAnsi="Times New Roman" w:cs="Times New Roman" w:eastAsia="Times New Roman" w:hint="default"/>
        </w:rPr>
        <w:t>4</w:t>
      </w:r>
      <w:r>
        <w:rPr/>
        <w:t>）其他或有负债及其财务影响 截至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日，本公司无需要披露的重大或有事项。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right="1122"/>
        <w:jc w:val="left"/>
        <w:rPr>
          <w:b w:val="0"/>
          <w:bCs w:val="0"/>
        </w:rPr>
      </w:pPr>
      <w:bookmarkStart w:name="（2）公司没有需要披露的重要或有事项，也应予以说明" w:id="484"/>
      <w:bookmarkEnd w:id="484"/>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1122"/>
        <w:jc w:val="left"/>
      </w:pPr>
      <w:r>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85"/>
      <w:bookmarkEnd w:id="485"/>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86"/>
      <w:bookmarkEnd w:id="486"/>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87"/>
      <w:bookmarkEnd w:id="487"/>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股份支付</w:t>
            </w:r>
          </w:p>
        </w:tc>
        <w:tc>
          <w:tcPr>
            <w:tcW w:w="229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利润分配情况" w:id="488"/>
      <w:bookmarkEnd w:id="488"/>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24"/>
          <w:szCs w:val="24"/>
        </w:rPr>
      </w:pPr>
    </w:p>
    <w:p>
      <w:pPr>
        <w:pStyle w:val="Heading3"/>
        <w:spacing w:line="240" w:lineRule="auto" w:before="35"/>
        <w:ind w:right="1122"/>
        <w:jc w:val="left"/>
        <w:rPr>
          <w:b w:val="0"/>
          <w:bCs w:val="0"/>
        </w:rPr>
      </w:pPr>
      <w:bookmarkStart w:name="3、销售退回" w:id="489"/>
      <w:bookmarkEnd w:id="489"/>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22"/>
        <w:jc w:val="left"/>
        <w:rPr>
          <w:b w:val="0"/>
          <w:bCs w:val="0"/>
        </w:rPr>
      </w:pPr>
      <w:bookmarkStart w:name="4、其他资产负债表日后事项说明" w:id="490"/>
      <w:bookmarkEnd w:id="490"/>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3" w:firstLine="360"/>
        <w:jc w:val="left"/>
      </w:pPr>
      <w:r>
        <w:rPr>
          <w:rFonts w:ascii="Times New Roman" w:hAnsi="Times New Roman" w:cs="Times New Roman" w:eastAsia="Times New Roman" w:hint="default"/>
          <w:spacing w:val="-2"/>
        </w:rPr>
        <w:t>1</w:t>
      </w:r>
      <w:r>
        <w:rPr>
          <w:spacing w:val="-2"/>
        </w:rPr>
        <w:t>、本公司</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20</w:t>
      </w:r>
      <w:r>
        <w:rPr>
          <w:spacing w:val="-2"/>
        </w:rPr>
        <w:t>日召开的第三届董事会第十次临时会议及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6</w:t>
      </w:r>
      <w:r>
        <w:rPr>
          <w:spacing w:val="-2"/>
        </w:rPr>
        <w:t>日召开的</w:t>
      </w:r>
      <w:r>
        <w:rPr>
          <w:rFonts w:ascii="Times New Roman" w:hAnsi="Times New Roman" w:cs="Times New Roman" w:eastAsia="Times New Roman" w:hint="default"/>
          <w:spacing w:val="-2"/>
        </w:rPr>
        <w:t>2017</w:t>
      </w:r>
      <w:r>
        <w:rPr>
          <w:spacing w:val="-2"/>
        </w:rPr>
        <w:t>年第二次临时股东大会审议通</w:t>
      </w:r>
      <w:r>
        <w:rPr/>
        <w:t> 过了《关于公司面向合格投资者公开发行公司债券方案的议案》。于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月公司收到中国证券监督管理委员会（以下简</w:t>
      </w:r>
    </w:p>
    <w:p>
      <w:pPr>
        <w:spacing w:after="0" w:line="300" w:lineRule="auto"/>
        <w:jc w:val="left"/>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right="1131"/>
        <w:jc w:val="both"/>
      </w:pPr>
      <w:r>
        <w:rPr>
          <w:spacing w:val="-2"/>
        </w:rPr>
        <w:t>称</w:t>
      </w:r>
      <w:r>
        <w:rPr>
          <w:rFonts w:ascii="Times New Roman" w:hAnsi="Times New Roman" w:cs="Times New Roman" w:eastAsia="Times New Roman" w:hint="default"/>
          <w:spacing w:val="-2"/>
        </w:rPr>
        <w:t>“</w:t>
      </w:r>
      <w:r>
        <w:rPr>
          <w:spacing w:val="-2"/>
        </w:rPr>
        <w:t>中国证监会</w:t>
      </w:r>
      <w:r>
        <w:rPr>
          <w:rFonts w:ascii="Times New Roman" w:hAnsi="Times New Roman" w:cs="Times New Roman" w:eastAsia="Times New Roman" w:hint="default"/>
          <w:spacing w:val="-2"/>
        </w:rPr>
        <w:t>”</w:t>
      </w:r>
      <w:r>
        <w:rPr>
          <w:spacing w:val="-2"/>
        </w:rPr>
        <w:t>）出具的《中国证监会关于核准江苏爱康科技股份有限公司向合格投资者公开发行公司债券的批复》（证监</w:t>
      </w:r>
      <w:r>
        <w:rPr>
          <w:spacing w:val="-44"/>
        </w:rPr>
        <w:t> </w:t>
      </w:r>
      <w:r>
        <w:rPr>
          <w:spacing w:val="-44"/>
        </w:rPr>
      </w:r>
      <w:r>
        <w:rPr/>
        <w:t>许可</w:t>
      </w:r>
      <w:r>
        <w:rPr>
          <w:rFonts w:ascii="Times New Roman" w:hAnsi="Times New Roman" w:cs="Times New Roman" w:eastAsia="Times New Roman" w:hint="default"/>
        </w:rPr>
        <w:t>[2018]50</w:t>
      </w:r>
      <w:r>
        <w:rPr/>
        <w:t>号），核准公司向合格投资者公开发行面值总额不超过</w:t>
      </w:r>
      <w:r>
        <w:rPr>
          <w:rFonts w:ascii="Times New Roman" w:hAnsi="Times New Roman" w:cs="Times New Roman" w:eastAsia="Times New Roman" w:hint="default"/>
        </w:rPr>
        <w:t>10</w:t>
      </w:r>
      <w:r>
        <w:rPr/>
        <w:t>亿元的公司债券。</w:t>
      </w:r>
    </w:p>
    <w:p>
      <w:pPr>
        <w:pStyle w:val="BodyText"/>
        <w:spacing w:line="300" w:lineRule="auto" w:before="13"/>
        <w:ind w:right="1071" w:firstLine="360"/>
        <w:jc w:val="both"/>
      </w:pPr>
      <w:r>
        <w:rPr>
          <w:rFonts w:ascii="Times New Roman" w:hAnsi="Times New Roman" w:cs="Times New Roman" w:eastAsia="Times New Roman" w:hint="default"/>
        </w:rPr>
        <w:t>2</w:t>
      </w:r>
      <w:r>
        <w:rPr/>
        <w:t>、公司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日召开的第三届董事会第十七次临时会议及</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日召开的</w:t>
      </w:r>
      <w:r>
        <w:rPr>
          <w:rFonts w:ascii="Times New Roman" w:hAnsi="Times New Roman" w:cs="Times New Roman" w:eastAsia="Times New Roman" w:hint="default"/>
        </w:rPr>
        <w:t>2017</w:t>
      </w:r>
      <w:r>
        <w:rPr/>
        <w:t>年第六次临时股东大会审议 </w:t>
      </w:r>
      <w:r>
        <w:rPr>
          <w:spacing w:val="-2"/>
        </w:rPr>
        <w:t>通过了《关于公司面向合格投资者非公开发行公司债券方案的议案》。公司于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w:t>
      </w:r>
      <w:r>
        <w:rPr>
          <w:spacing w:val="-2"/>
        </w:rPr>
        <w:t>日收到深圳证券交易所（以下简称</w:t>
      </w:r>
      <w:r>
        <w:rPr>
          <w:spacing w:val="-60"/>
        </w:rPr>
        <w:t> </w:t>
      </w:r>
      <w:r>
        <w:rPr>
          <w:spacing w:val="-60"/>
        </w:rPr>
      </w:r>
      <w:r>
        <w:rPr>
          <w:rFonts w:ascii="Times New Roman" w:hAnsi="Times New Roman" w:cs="Times New Roman" w:eastAsia="Times New Roman" w:hint="default"/>
        </w:rPr>
        <w:t>“</w:t>
      </w:r>
      <w:r>
        <w:rPr/>
        <w:t>深交所</w:t>
      </w:r>
      <w:r>
        <w:rPr>
          <w:rFonts w:ascii="Times New Roman" w:hAnsi="Times New Roman" w:cs="Times New Roman" w:eastAsia="Times New Roman" w:hint="default"/>
        </w:rPr>
        <w:t>”</w:t>
      </w:r>
      <w:r>
        <w:rPr/>
        <w:t>）出具的《关于江苏爱康科技股份有限公司</w:t>
      </w:r>
      <w:r>
        <w:rPr>
          <w:rFonts w:ascii="Times New Roman" w:hAnsi="Times New Roman" w:cs="Times New Roman" w:eastAsia="Times New Roman" w:hint="default"/>
        </w:rPr>
        <w:t>2017</w:t>
      </w:r>
      <w:r>
        <w:rPr/>
        <w:t>年非公开发行创新创业公司债券符合深交所转让条件的无异议函》</w:t>
      </w:r>
    </w:p>
    <w:p>
      <w:pPr>
        <w:pStyle w:val="BodyText"/>
        <w:spacing w:line="300" w:lineRule="auto" w:before="13"/>
        <w:ind w:right="1130"/>
        <w:jc w:val="both"/>
      </w:pPr>
      <w:r>
        <w:rPr>
          <w:spacing w:val="-1"/>
        </w:rPr>
        <w:t>（深证函</w:t>
      </w:r>
      <w:r>
        <w:rPr>
          <w:rFonts w:ascii="Times New Roman" w:hAnsi="Times New Roman" w:cs="Times New Roman" w:eastAsia="Times New Roman" w:hint="default"/>
          <w:spacing w:val="-1"/>
        </w:rPr>
        <w:t>[2018]6</w:t>
      </w:r>
      <w:r>
        <w:rPr>
          <w:spacing w:val="-1"/>
        </w:rPr>
        <w:t>号），确认公司发行面值不超过</w:t>
      </w:r>
      <w:r>
        <w:rPr>
          <w:rFonts w:ascii="Times New Roman" w:hAnsi="Times New Roman" w:cs="Times New Roman" w:eastAsia="Times New Roman" w:hint="default"/>
          <w:spacing w:val="-1"/>
        </w:rPr>
        <w:t>3</w:t>
      </w:r>
      <w:r>
        <w:rPr>
          <w:spacing w:val="-1"/>
        </w:rPr>
        <w:t>亿元人民币的江苏爱康科技股份有限公司</w:t>
      </w:r>
      <w:r>
        <w:rPr>
          <w:rFonts w:ascii="Times New Roman" w:hAnsi="Times New Roman" w:cs="Times New Roman" w:eastAsia="Times New Roman" w:hint="default"/>
          <w:spacing w:val="-1"/>
        </w:rPr>
        <w:t>2017</w:t>
      </w:r>
      <w:r>
        <w:rPr>
          <w:spacing w:val="-1"/>
        </w:rPr>
        <w:t>年非公开发行创新创业公司</w:t>
      </w:r>
      <w:r>
        <w:rPr>
          <w:spacing w:val="-53"/>
        </w:rPr>
        <w:t> </w:t>
      </w:r>
      <w:r>
        <w:rPr/>
        <w:t>债券符合深交所转让条件。</w:t>
      </w:r>
    </w:p>
    <w:p>
      <w:pPr>
        <w:pStyle w:val="BodyText"/>
        <w:spacing w:line="240" w:lineRule="auto" w:before="31"/>
        <w:ind w:right="1131"/>
        <w:jc w:val="righ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6</w:t>
      </w:r>
      <w:r>
        <w:rPr/>
        <w:t>日公司召开</w:t>
      </w:r>
      <w:r>
        <w:rPr>
          <w:rFonts w:ascii="Times New Roman" w:hAnsi="Times New Roman" w:cs="Times New Roman" w:eastAsia="Times New Roman" w:hint="default"/>
        </w:rPr>
        <w:t>2017</w:t>
      </w:r>
      <w:r>
        <w:rPr/>
        <w:t>年第一次临时股东大会并审议通过《关于回购公司股份以实施股权激励计划的议案》。</w:t>
      </w:r>
    </w:p>
    <w:p>
      <w:pPr>
        <w:pStyle w:val="BodyText"/>
        <w:spacing w:line="300" w:lineRule="auto" w:before="63"/>
        <w:ind w:right="1131"/>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日公告了《江苏爱康科技股份有限公司回购股份报告书》本次股份回购实际购买公司股票</w:t>
      </w:r>
      <w:r>
        <w:rPr>
          <w:rFonts w:ascii="Times New Roman" w:hAnsi="Times New Roman" w:cs="Times New Roman" w:eastAsia="Times New Roman" w:hint="default"/>
          <w:spacing w:val="-2"/>
        </w:rPr>
        <w:t>16,900,000</w:t>
      </w:r>
      <w:r>
        <w:rPr>
          <w:spacing w:val="-2"/>
        </w:rPr>
        <w:t>股，约占公</w:t>
      </w:r>
      <w:r>
        <w:rPr>
          <w:spacing w:val="-49"/>
        </w:rPr>
        <w:t> </w:t>
      </w:r>
      <w:r>
        <w:rPr>
          <w:spacing w:val="-49"/>
        </w:rPr>
      </w:r>
      <w:r>
        <w:rPr/>
        <w:t>司股本总额的</w:t>
      </w:r>
      <w:r>
        <w:rPr>
          <w:rFonts w:ascii="Times New Roman" w:hAnsi="Times New Roman" w:cs="Times New Roman" w:eastAsia="Times New Roman" w:hint="default"/>
        </w:rPr>
        <w:t>0.38%</w:t>
      </w:r>
      <w:r>
        <w:rPr/>
        <w:t>；实际支付资金总额为人民币</w:t>
      </w:r>
      <w:r>
        <w:rPr>
          <w:rFonts w:ascii="Times New Roman" w:hAnsi="Times New Roman" w:cs="Times New Roman" w:eastAsia="Times New Roman" w:hint="default"/>
        </w:rPr>
        <w:t>49,632,055.20</w:t>
      </w:r>
      <w:r>
        <w:rPr/>
        <w:t>元。本次回购的股份存放于公司证券回购专户，根据公司本</w:t>
      </w:r>
      <w:r>
        <w:rPr>
          <w:spacing w:val="-60"/>
        </w:rPr>
        <w:t> </w:t>
      </w:r>
      <w:r>
        <w:rPr>
          <w:spacing w:val="-60"/>
        </w:rPr>
      </w:r>
      <w:r>
        <w:rPr/>
        <w:t>次回购股份的用途，公司已制定股权激励计划并于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月实施完毕。</w:t>
      </w:r>
    </w:p>
    <w:p>
      <w:pPr>
        <w:pStyle w:val="BodyText"/>
        <w:spacing w:line="300" w:lineRule="auto" w:before="13"/>
        <w:ind w:right="1130"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11</w:t>
      </w:r>
      <w:r>
        <w:rPr>
          <w:spacing w:val="-2"/>
        </w:rPr>
        <w:t>日召开的第三届董事会第二十九次临时会议审议通过了《关于转让日本全资孙公司的议案》，公</w:t>
      </w:r>
      <w:r>
        <w:rPr/>
        <w:t> </w:t>
      </w:r>
      <w:r>
        <w:rPr>
          <w:spacing w:val="-3"/>
        </w:rPr>
        <w:t>司的全资子公司香港爱康电力国际控股有限公司（以下简称</w:t>
      </w:r>
      <w:r>
        <w:rPr>
          <w:rFonts w:ascii="Times New Roman" w:hAnsi="Times New Roman" w:cs="Times New Roman" w:eastAsia="Times New Roman" w:hint="default"/>
          <w:spacing w:val="-3"/>
        </w:rPr>
        <w:t>“</w:t>
      </w:r>
      <w:r>
        <w:rPr>
          <w:spacing w:val="-3"/>
        </w:rPr>
        <w:t>香港爱康电力</w:t>
      </w:r>
      <w:r>
        <w:rPr>
          <w:rFonts w:ascii="Times New Roman" w:hAnsi="Times New Roman" w:cs="Times New Roman" w:eastAsia="Times New Roman" w:hint="default"/>
          <w:spacing w:val="-3"/>
        </w:rPr>
        <w:t>”</w:t>
      </w:r>
      <w:r>
        <w:rPr>
          <w:spacing w:val="-3"/>
        </w:rPr>
        <w:t>）拟将其持有的日本爱康株式会社（以下简称</w:t>
      </w:r>
      <w:r>
        <w:rPr>
          <w:rFonts w:ascii="Times New Roman" w:hAnsi="Times New Roman" w:cs="Times New Roman" w:eastAsia="Times New Roman" w:hint="default"/>
          <w:spacing w:val="-3"/>
        </w:rPr>
        <w:t>“</w:t>
      </w:r>
      <w:r>
        <w:rPr>
          <w:spacing w:val="-3"/>
        </w:rPr>
        <w:t>日</w:t>
      </w:r>
      <w:r>
        <w:rPr>
          <w:spacing w:val="-66"/>
        </w:rPr>
        <w:t> </w:t>
      </w:r>
      <w:r>
        <w:rPr>
          <w:spacing w:val="-1"/>
        </w:rPr>
        <w:t>本爱康</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100%</w:t>
      </w:r>
      <w:r>
        <w:rPr>
          <w:spacing w:val="-1"/>
        </w:rPr>
        <w:t>股权出售给爱康能源株式会社（以下简称</w:t>
      </w:r>
      <w:r>
        <w:rPr>
          <w:rFonts w:ascii="Times New Roman" w:hAnsi="Times New Roman" w:cs="Times New Roman" w:eastAsia="Times New Roman" w:hint="default"/>
          <w:spacing w:val="-1"/>
        </w:rPr>
        <w:t>“</w:t>
      </w:r>
      <w:r>
        <w:rPr>
          <w:spacing w:val="-1"/>
        </w:rPr>
        <w:t>爱康能源</w:t>
      </w:r>
      <w:r>
        <w:rPr>
          <w:rFonts w:ascii="Times New Roman" w:hAnsi="Times New Roman" w:cs="Times New Roman" w:eastAsia="Times New Roman" w:hint="default"/>
          <w:spacing w:val="-1"/>
        </w:rPr>
        <w:t>”</w:t>
      </w:r>
      <w:r>
        <w:rPr>
          <w:spacing w:val="-1"/>
        </w:rPr>
        <w:t>），交易金额约为</w:t>
      </w:r>
      <w:r>
        <w:rPr>
          <w:rFonts w:ascii="Times New Roman" w:hAnsi="Times New Roman" w:cs="Times New Roman" w:eastAsia="Times New Roman" w:hint="default"/>
          <w:spacing w:val="-1"/>
        </w:rPr>
        <w:t>86,210</w:t>
      </w:r>
      <w:r>
        <w:rPr>
          <w:spacing w:val="-1"/>
        </w:rPr>
        <w:t>万日元（折合人民币约</w:t>
      </w:r>
      <w:r>
        <w:rPr>
          <w:rFonts w:ascii="Times New Roman" w:hAnsi="Times New Roman" w:cs="Times New Roman" w:eastAsia="Times New Roman" w:hint="default"/>
          <w:spacing w:val="-1"/>
        </w:rPr>
        <w:t>5,000</w:t>
      </w:r>
      <w:r>
        <w:rPr>
          <w:spacing w:val="-1"/>
        </w:rPr>
        <w:t>万</w:t>
      </w:r>
      <w:r>
        <w:rPr>
          <w:spacing w:val="-53"/>
        </w:rPr>
        <w:t> </w:t>
      </w:r>
      <w:r>
        <w:rPr>
          <w:spacing w:val="-2"/>
        </w:rPr>
        <w:t>元）。根据聘请的第三方评估机构北京中同华资产评估有限公司出具的中同华评报字（</w:t>
      </w:r>
      <w:r>
        <w:rPr>
          <w:rFonts w:ascii="Times New Roman" w:hAnsi="Times New Roman" w:cs="Times New Roman" w:eastAsia="Times New Roman" w:hint="default"/>
          <w:spacing w:val="-2"/>
        </w:rPr>
        <w:t>2018</w:t>
      </w:r>
      <w:r>
        <w:rPr>
          <w:spacing w:val="-2"/>
        </w:rPr>
        <w:t>）第</w:t>
      </w:r>
      <w:r>
        <w:rPr>
          <w:rFonts w:ascii="Times New Roman" w:hAnsi="Times New Roman" w:cs="Times New Roman" w:eastAsia="Times New Roman" w:hint="default"/>
          <w:spacing w:val="-2"/>
        </w:rPr>
        <w:t>020193</w:t>
      </w:r>
      <w:r>
        <w:rPr>
          <w:spacing w:val="-2"/>
        </w:rPr>
        <w:t>号评估报告，采用收</w:t>
      </w:r>
      <w:r>
        <w:rPr>
          <w:spacing w:val="-55"/>
        </w:rPr>
        <w:t> </w:t>
      </w:r>
      <w:r>
        <w:rPr>
          <w:spacing w:val="-55"/>
        </w:rPr>
      </w:r>
      <w:r>
        <w:rPr/>
        <w:t>益法评估的标的公司股东全部权益价值为</w:t>
      </w:r>
      <w:r>
        <w:rPr>
          <w:rFonts w:ascii="Times New Roman" w:hAnsi="Times New Roman" w:cs="Times New Roman" w:eastAsia="Times New Roman" w:hint="default"/>
        </w:rPr>
        <w:t>111,400</w:t>
      </w:r>
      <w:r>
        <w:rPr/>
        <w:t>万日元（折合人民币约为</w:t>
      </w:r>
      <w:r>
        <w:rPr>
          <w:rFonts w:ascii="Times New Roman" w:hAnsi="Times New Roman" w:cs="Times New Roman" w:eastAsia="Times New Roman" w:hint="default"/>
        </w:rPr>
        <w:t>6,400</w:t>
      </w:r>
      <w:r>
        <w:rPr/>
        <w:t>万元），评估基准日为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日。经</w:t>
      </w:r>
      <w:r>
        <w:rPr>
          <w:spacing w:val="-85"/>
        </w:rPr>
        <w:t> </w:t>
      </w:r>
      <w:r>
        <w:rPr/>
        <w:t>交易各方协商确定最终的股权转让价格为</w:t>
      </w:r>
      <w:r>
        <w:rPr>
          <w:rFonts w:ascii="Times New Roman" w:hAnsi="Times New Roman" w:cs="Times New Roman" w:eastAsia="Times New Roman" w:hint="default"/>
        </w:rPr>
        <w:t>110,000</w:t>
      </w:r>
      <w:r>
        <w:rPr/>
        <w:t>万日元。于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月完成本次转让日本爱康的交割事项。</w:t>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6"/>
          <w:szCs w:val="26"/>
        </w:rPr>
      </w:pPr>
    </w:p>
    <w:p>
      <w:pPr>
        <w:pStyle w:val="Heading2"/>
        <w:spacing w:line="240" w:lineRule="auto"/>
        <w:ind w:left="154" w:right="0"/>
        <w:jc w:val="both"/>
        <w:rPr>
          <w:b w:val="0"/>
          <w:bCs w:val="0"/>
        </w:rPr>
      </w:pPr>
      <w:bookmarkStart w:name="十六、其他重要事项" w:id="491"/>
      <w:bookmarkEnd w:id="491"/>
      <w:r>
        <w:rPr>
          <w:b w:val="0"/>
          <w:bCs w:val="0"/>
        </w:rPr>
      </w: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0"/>
        <w:jc w:val="both"/>
        <w:rPr>
          <w:b w:val="0"/>
          <w:bCs w:val="0"/>
        </w:rPr>
      </w:pPr>
      <w:bookmarkStart w:name="1、前期会计差错更正" w:id="492"/>
      <w:bookmarkEnd w:id="492"/>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0"/>
        <w:jc w:val="both"/>
        <w:rPr>
          <w:b w:val="0"/>
          <w:bCs w:val="0"/>
        </w:rPr>
      </w:pPr>
      <w:bookmarkStart w:name="（1）追溯重述法" w:id="493"/>
      <w:bookmarkEnd w:id="493"/>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2）未来适用法" w:id="494"/>
      <w:bookmarkEnd w:id="494"/>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1122"/>
        <w:jc w:val="left"/>
        <w:rPr>
          <w:b w:val="0"/>
          <w:bCs w:val="0"/>
        </w:rPr>
      </w:pPr>
      <w:bookmarkStart w:name="2、债务重组" w:id="495"/>
      <w:bookmarkEnd w:id="495"/>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3、资产置换" w:id="496"/>
      <w:bookmarkEnd w:id="496"/>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22"/>
        <w:jc w:val="left"/>
        <w:rPr>
          <w:b w:val="0"/>
          <w:bCs w:val="0"/>
        </w:rPr>
      </w:pPr>
      <w:bookmarkStart w:name="（1）非货币性资产交换" w:id="497"/>
      <w:bookmarkEnd w:id="497"/>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2）其他资产置换" w:id="498"/>
      <w:bookmarkEnd w:id="498"/>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年金计划" w:id="499"/>
      <w:bookmarkEnd w:id="499"/>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5、终止经营" w:id="500"/>
      <w:bookmarkEnd w:id="500"/>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left="154" w:right="1122"/>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22"/>
        <w:jc w:val="left"/>
        <w:rPr>
          <w:b w:val="0"/>
          <w:bCs w:val="0"/>
        </w:rPr>
      </w:pPr>
      <w:bookmarkStart w:name="6、分部信息" w:id="501"/>
      <w:bookmarkEnd w:id="501"/>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报告分部的确定依据与会计政策" w:id="502"/>
      <w:bookmarkEnd w:id="502"/>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4" w:right="1130" w:firstLine="360"/>
        <w:jc w:val="both"/>
      </w:pPr>
      <w:r>
        <w:rPr>
          <w:spacing w:val="-2"/>
        </w:rPr>
        <w:t>根据本公司的内部组织结构、管理要求及内部报告制度，本公司的经营业务划分为制造业和电站营运两个经营分部，本</w:t>
      </w:r>
      <w:r>
        <w:rPr/>
        <w:t> </w:t>
      </w:r>
      <w:r>
        <w:rPr>
          <w:spacing w:val="-2"/>
        </w:rPr>
        <w:t>公司的管理层定期评价这些分部的经营成果，以决定向其分配资源及评价其业绩。在经营分部的基础上本公司确定了四个报</w:t>
      </w:r>
      <w:r>
        <w:rPr>
          <w:spacing w:val="-64"/>
        </w:rPr>
        <w:t> </w:t>
      </w:r>
      <w:r>
        <w:rPr>
          <w:spacing w:val="-64"/>
        </w:rPr>
      </w:r>
      <w:r>
        <w:rPr>
          <w:spacing w:val="-2"/>
        </w:rPr>
        <w:t>告分部，分别为边框型材、支架、电力、其他。这些报告分部是以产品为基础确定的。本公司各个报告分部提供的主要产品</w:t>
      </w:r>
      <w:r>
        <w:rPr>
          <w:spacing w:val="-67"/>
        </w:rPr>
        <w:t> </w:t>
      </w:r>
      <w:r>
        <w:rPr>
          <w:spacing w:val="-67"/>
        </w:rPr>
      </w:r>
      <w:r>
        <w:rPr/>
        <w:t>及劳务分别为生产和销售边框型材、支架、电力、其他。</w:t>
      </w:r>
    </w:p>
    <w:p>
      <w:pPr>
        <w:pStyle w:val="BodyText"/>
        <w:spacing w:line="316" w:lineRule="auto" w:before="19"/>
        <w:ind w:left="154" w:right="1131" w:firstLine="360"/>
        <w:jc w:val="both"/>
      </w:pPr>
      <w:r>
        <w:rPr>
          <w:spacing w:val="-2"/>
        </w:rPr>
        <w:t>分部报告信息根据各分部向管理层报告时采用的会计政策及计量标准披露，这些计量基础与编制财务报表时的会计与计</w:t>
      </w:r>
      <w:r>
        <w:rPr/>
        <w:t> 量基础保持一致。</w:t>
      </w:r>
    </w:p>
    <w:p>
      <w:pPr>
        <w:spacing w:line="240" w:lineRule="auto" w:before="7"/>
        <w:rPr>
          <w:rFonts w:ascii="宋体" w:hAnsi="宋体" w:cs="宋体" w:eastAsia="宋体" w:hint="default"/>
          <w:sz w:val="22"/>
          <w:szCs w:val="22"/>
        </w:rPr>
      </w:pPr>
    </w:p>
    <w:p>
      <w:pPr>
        <w:pStyle w:val="Heading3"/>
        <w:spacing w:line="240" w:lineRule="auto"/>
        <w:ind w:left="154" w:right="1122"/>
        <w:jc w:val="left"/>
        <w:rPr>
          <w:b w:val="0"/>
          <w:bCs w:val="0"/>
        </w:rPr>
      </w:pPr>
      <w:bookmarkStart w:name="（2）报告分部的财务信息" w:id="503"/>
      <w:bookmarkEnd w:id="503"/>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边框型材</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支架</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电力</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主营业务收入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1,700,769,978.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514,879,808.44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1,306,718,990.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901,727,739.07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74,087,991.20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4,498,184,507.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9"/>
              <w:jc w:val="center"/>
              <w:rPr>
                <w:rFonts w:ascii="宋体" w:hAnsi="宋体" w:cs="宋体" w:eastAsia="宋体" w:hint="default"/>
                <w:sz w:val="18"/>
                <w:szCs w:val="18"/>
              </w:rPr>
            </w:pPr>
            <w:r>
              <w:rPr>
                <w:rFonts w:ascii="宋体" w:hAnsi="宋体" w:cs="宋体" w:eastAsia="宋体" w:hint="default"/>
                <w:sz w:val="18"/>
                <w:szCs w:val="18"/>
              </w:rPr>
              <w:t>主营业务成本</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1,507,685,209.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 w:right="0"/>
              <w:jc w:val="center"/>
              <w:rPr>
                <w:rFonts w:ascii="Times New Roman" w:hAnsi="Times New Roman" w:cs="Times New Roman" w:eastAsia="Times New Roman" w:hint="default"/>
                <w:sz w:val="18"/>
                <w:szCs w:val="18"/>
              </w:rPr>
            </w:pPr>
            <w:r>
              <w:rPr>
                <w:rFonts w:ascii="Times New Roman"/>
                <w:sz w:val="18"/>
              </w:rPr>
              <w:t>440,486,045.09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1,191,431,404.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 w:right="0"/>
              <w:jc w:val="center"/>
              <w:rPr>
                <w:rFonts w:ascii="Times New Roman" w:hAnsi="Times New Roman" w:cs="Times New Roman" w:eastAsia="Times New Roman" w:hint="default"/>
                <w:sz w:val="18"/>
                <w:szCs w:val="18"/>
              </w:rPr>
            </w:pPr>
            <w:r>
              <w:rPr>
                <w:rFonts w:ascii="Times New Roman"/>
                <w:sz w:val="18"/>
              </w:rPr>
              <w:t>449,471,242.56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62,114,163.76</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3,651,188,066.</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公司无报告分部的，或者不能披露各报告分部的资产总额和负债总额的，应说明原因" w:id="504"/>
      <w:bookmarkEnd w:id="504"/>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4" w:right="1122"/>
        <w:jc w:val="left"/>
        <w:rPr>
          <w:b w:val="0"/>
          <w:bCs w:val="0"/>
        </w:rPr>
      </w:pPr>
      <w:bookmarkStart w:name="（4）其他说明" w:id="505"/>
      <w:bookmarkEnd w:id="505"/>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514" w:right="1122"/>
        <w:jc w:val="left"/>
      </w:pPr>
      <w:r>
        <w:rPr/>
        <w:t>因公司部分资产、负债为多个产品共同占有，故没有按分部披露。</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7、其他对投资者决策有影响的重要交易和事项" w:id="506"/>
      <w:bookmarkEnd w:id="50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6473" w:firstLine="0"/>
        <w:jc w:val="left"/>
        <w:rPr>
          <w:rFonts w:ascii="宋体" w:hAnsi="宋体" w:cs="宋体" w:eastAsia="宋体" w:hint="default"/>
          <w:sz w:val="21"/>
          <w:szCs w:val="21"/>
        </w:rPr>
      </w:pPr>
      <w:bookmarkStart w:name="8、其他" w:id="507"/>
      <w:bookmarkEnd w:id="507"/>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508"/>
      <w:bookmarkEnd w:id="508"/>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账款" w:id="509"/>
      <w:bookmarkEnd w:id="509"/>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3"/>
        <w:ind w:right="1122"/>
        <w:jc w:val="left"/>
        <w:rPr>
          <w:b w:val="0"/>
          <w:bCs w:val="0"/>
        </w:rPr>
      </w:pPr>
      <w:bookmarkStart w:name="（1）应收账款分类披露" w:id="510"/>
      <w:bookmarkEnd w:id="51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5,985,03</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4,977,06</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83.16%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1,007,975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2,467,1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62.13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2,407,608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59,553.43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692,262,</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797.22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692,262,7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97.22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537,257</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,864.83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99.30%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537,257,86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4.83</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1,686,52</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1.60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1,685,59</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1.15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930.45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1,323,9</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18.59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1,291,835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32,082.78</w:t>
            </w: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699,934,</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354.26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6,662,65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1.23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0.95%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693,271,7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03.03</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541,048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,945.55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3,699,444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537,349,50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1.04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期末单项金额重大并单项计提坏账准备的应收账款：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79"/>
              <w:jc w:val="left"/>
              <w:rPr>
                <w:rFonts w:ascii="Times New Roman" w:hAnsi="Times New Roman" w:cs="Times New Roman" w:eastAsia="Times New Roman" w:hint="default"/>
                <w:sz w:val="18"/>
                <w:szCs w:val="18"/>
              </w:rPr>
            </w:pPr>
            <w:r>
              <w:rPr>
                <w:rFonts w:ascii="Times New Roman" w:hAnsi="Times New Roman"/>
                <w:sz w:val="18"/>
              </w:rPr>
              <w:t>SolarWorld</w:t>
            </w:r>
            <w:r>
              <w:rPr>
                <w:rFonts w:ascii="Times New Roman" w:hAnsi="Times New Roman"/>
                <w:spacing w:val="-13"/>
                <w:sz w:val="18"/>
              </w:rPr>
              <w:t> </w:t>
            </w:r>
            <w:r>
              <w:rPr>
                <w:rFonts w:ascii="Times New Roman" w:hAnsi="Times New Roman"/>
                <w:sz w:val="18"/>
              </w:rPr>
              <w:t>Industries</w:t>
            </w:r>
            <w:r>
              <w:rPr>
                <w:rFonts w:ascii="Times New Roman" w:hAnsi="Times New Roman"/>
                <w:w w:val="99"/>
                <w:sz w:val="18"/>
              </w:rPr>
              <w:t> </w:t>
            </w:r>
            <w:r>
              <w:rPr>
                <w:rFonts w:ascii="Times New Roman" w:hAnsi="Times New Roman"/>
                <w:sz w:val="18"/>
              </w:rPr>
              <w:t>Thüringen</w:t>
            </w:r>
            <w:r>
              <w:rPr>
                <w:rFonts w:ascii="Times New Roman" w:hAnsi="Times New Roman"/>
                <w:spacing w:val="-5"/>
                <w:sz w:val="18"/>
              </w:rPr>
              <w:t> </w:t>
            </w:r>
            <w:r>
              <w:rPr>
                <w:rFonts w:ascii="Times New Roman" w:hAns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1,961,588.99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1,961,588.99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Sovello</w:t>
            </w:r>
            <w:r>
              <w:rPr>
                <w:rFonts w:ascii="Times New Roman"/>
                <w:spacing w:val="-2"/>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1,718,156.97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1,718,156.97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SILLIA VL</w:t>
            </w:r>
            <w:r>
              <w:rPr>
                <w:rFonts w:ascii="Times New Roman"/>
                <w:spacing w:val="-22"/>
                <w:sz w:val="18"/>
              </w:rPr>
              <w:t> </w:t>
            </w:r>
            <w:r>
              <w:rPr>
                <w:rFonts w:ascii="Times New Roman"/>
                <w:sz w:val="18"/>
              </w:rPr>
              <w:t>SAS</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1,510,660.91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502,685.55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Hanwha Q.Cells</w:t>
            </w:r>
            <w:r>
              <w:rPr>
                <w:rFonts w:ascii="Times New Roman"/>
                <w:spacing w:val="-6"/>
                <w:sz w:val="18"/>
              </w:rPr>
              <w:t> </w:t>
            </w:r>
            <w:r>
              <w:rPr>
                <w:rFonts w:ascii="Times New Roman"/>
                <w:sz w:val="18"/>
              </w:rPr>
              <w:t>GmbH</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794,628.57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794,628.57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40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5,985,035.44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4,977,060.08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组合中，按账龄分析法计提坏账准备的应收账款：</w:t>
      </w:r>
    </w:p>
    <w:p>
      <w:pPr>
        <w:pStyle w:val="BodyText"/>
        <w:spacing w:line="240" w:lineRule="auto" w:before="116"/>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组合中，采用余额百分比法计提坏账准备的应收账款：</w:t>
      </w:r>
    </w:p>
    <w:p>
      <w:pPr>
        <w:pStyle w:val="BodyText"/>
        <w:spacing w:line="340" w:lineRule="auto" w:before="116"/>
        <w:ind w:right="67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240" w:lineRule="auto" w:before="39"/>
        <w:ind w:left="513" w:right="1122"/>
        <w:jc w:val="left"/>
      </w:pPr>
      <w:r>
        <w:rPr/>
        <w:t>年末单项金额不重大但单独计提坏账准备的应收账款</w:t>
      </w:r>
    </w:p>
    <w:p>
      <w:pPr>
        <w:spacing w:line="240" w:lineRule="auto" w:before="1"/>
        <w:rPr>
          <w:rFonts w:ascii="宋体" w:hAnsi="宋体" w:cs="宋体" w:eastAsia="宋体" w:hint="default"/>
          <w:sz w:val="5"/>
          <w:szCs w:val="5"/>
        </w:rPr>
      </w:pPr>
    </w:p>
    <w:tbl>
      <w:tblPr>
        <w:tblW w:w="0" w:type="auto"/>
        <w:jc w:val="left"/>
        <w:tblInd w:w="149" w:type="dxa"/>
        <w:tblLayout w:type="fixed"/>
        <w:tblCellMar>
          <w:top w:w="0" w:type="dxa"/>
          <w:left w:w="0" w:type="dxa"/>
          <w:bottom w:w="0" w:type="dxa"/>
          <w:right w:w="0" w:type="dxa"/>
        </w:tblCellMar>
        <w:tblLook w:val="01E0"/>
      </w:tblPr>
      <w:tblGrid>
        <w:gridCol w:w="3086"/>
        <w:gridCol w:w="1558"/>
        <w:gridCol w:w="1536"/>
        <w:gridCol w:w="1157"/>
        <w:gridCol w:w="1874"/>
      </w:tblGrid>
      <w:tr>
        <w:trPr>
          <w:trHeight w:val="342" w:hRule="exact"/>
        </w:trPr>
        <w:tc>
          <w:tcPr>
            <w:tcW w:w="3086" w:type="dxa"/>
            <w:vMerge w:val="restart"/>
            <w:tcBorders>
              <w:top w:val="single" w:sz="4" w:space="0" w:color="000000"/>
              <w:left w:val="single" w:sz="4" w:space="0" w:color="000000"/>
              <w:right w:val="single" w:sz="4" w:space="0" w:color="000000"/>
            </w:tcBorders>
          </w:tcPr>
          <w:p>
            <w:pPr>
              <w:pStyle w:val="TableParagraph"/>
              <w:spacing w:line="240" w:lineRule="auto" w:before="21"/>
              <w:ind w:left="727"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12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086" w:type="dxa"/>
            <w:vMerge/>
            <w:tcBorders>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0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AU</w:t>
            </w:r>
            <w:r>
              <w:rPr>
                <w:rFonts w:ascii="Times New Roman"/>
                <w:spacing w:val="-4"/>
                <w:sz w:val="18"/>
              </w:rPr>
              <w:t> </w:t>
            </w:r>
            <w:r>
              <w:rPr>
                <w:rFonts w:ascii="Times New Roman"/>
                <w:sz w:val="18"/>
              </w:rPr>
              <w:t>Optronics(Czech)s.r.o</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355,904.87</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355,904.87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Q-CELLS</w:t>
            </w:r>
            <w:r>
              <w:rPr>
                <w:rFonts w:ascii="Times New Roman"/>
                <w:spacing w:val="-2"/>
                <w:sz w:val="18"/>
              </w:rPr>
              <w:t> </w:t>
            </w:r>
            <w:r>
              <w:rPr>
                <w:rFonts w:ascii="Times New Roman"/>
                <w:sz w:val="18"/>
              </w:rPr>
              <w:t>SE</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271,640.15</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271,640.15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Jabil Circuit, Poland Sp. z</w:t>
            </w:r>
            <w:r>
              <w:rPr>
                <w:rFonts w:ascii="Times New Roman"/>
                <w:spacing w:val="-6"/>
                <w:sz w:val="18"/>
              </w:rPr>
              <w:t> </w:t>
            </w:r>
            <w:r>
              <w:rPr>
                <w:rFonts w:ascii="Times New Roman"/>
                <w:sz w:val="18"/>
              </w:rPr>
              <w:t>o.o.</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263,729.20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263,729.20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金额小于</w:t>
            </w:r>
            <w:r>
              <w:rPr>
                <w:rFonts w:ascii="Times New Roman" w:hAnsi="Times New Roman" w:cs="Times New Roman" w:eastAsia="Times New Roman" w:hint="default"/>
                <w:sz w:val="18"/>
                <w:szCs w:val="18"/>
              </w:rPr>
              <w:t>20</w:t>
            </w:r>
            <w:r>
              <w:rPr>
                <w:rFonts w:ascii="宋体" w:hAnsi="宋体" w:cs="宋体" w:eastAsia="宋体" w:hint="default"/>
                <w:sz w:val="18"/>
                <w:szCs w:val="18"/>
              </w:rPr>
              <w:t>万的</w:t>
            </w:r>
            <w:r>
              <w:rPr>
                <w:rFonts w:ascii="Times New Roman" w:hAnsi="Times New Roman" w:cs="Times New Roman" w:eastAsia="Times New Roman" w:hint="default"/>
                <w:sz w:val="18"/>
                <w:szCs w:val="18"/>
              </w:rPr>
              <w:t>29</w:t>
            </w:r>
            <w:r>
              <w:rPr>
                <w:rFonts w:ascii="宋体" w:hAnsi="宋体" w:cs="宋体" w:eastAsia="宋体" w:hint="default"/>
                <w:sz w:val="18"/>
                <w:szCs w:val="18"/>
              </w:rPr>
              <w:t>家公司小计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795,247.38</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794,316.93</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99.88%</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1,686,521.60</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1,685,591.15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99.94%</w:t>
            </w: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3"/>
        <w:spacing w:line="240" w:lineRule="auto" w:before="35"/>
        <w:ind w:left="154" w:right="1122"/>
        <w:jc w:val="left"/>
        <w:rPr>
          <w:b w:val="0"/>
          <w:bCs w:val="0"/>
        </w:rPr>
      </w:pPr>
      <w:bookmarkStart w:name="（2）本期计提、收回或转回的坏账准备情况" w:id="511"/>
      <w:bookmarkEnd w:id="51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40" w:lineRule="auto" w:before="44"/>
        <w:ind w:left="154" w:right="-12"/>
        <w:jc w:val="left"/>
      </w:pPr>
      <w:r>
        <w:rPr/>
        <w:t>本期计提坏账准备金额</w:t>
      </w:r>
      <w:r>
        <w:rPr>
          <w:spacing w:val="-47"/>
        </w:rPr>
        <w:t> </w:t>
      </w:r>
      <w:r>
        <w:rPr>
          <w:rFonts w:ascii="Times New Roman" w:hAnsi="Times New Roman" w:cs="Times New Roman" w:eastAsia="Times New Roman" w:hint="default"/>
        </w:rPr>
        <w:t>3,017,745.37</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54,538.65</w:t>
      </w:r>
      <w:r>
        <w:rPr>
          <w:rFonts w:ascii="Times New Roman" w:hAnsi="Times New Roman" w:cs="Times New Roman" w:eastAsia="Times New Roman" w:hint="default"/>
          <w:spacing w:val="-2"/>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4" w:right="0"/>
        <w:jc w:val="left"/>
      </w:pPr>
      <w:r>
        <w:rPr/>
        <w:t>单位： 元</w:t>
      </w:r>
    </w:p>
    <w:p>
      <w:pPr>
        <w:spacing w:after="0" w:line="240" w:lineRule="auto"/>
        <w:jc w:val="left"/>
        <w:sectPr>
          <w:type w:val="continuous"/>
          <w:pgSz w:w="11910" w:h="16840"/>
          <w:pgMar w:top="1060" w:bottom="1160" w:left="980" w:right="0"/>
          <w:cols w:num="2" w:equalWidth="0">
            <w:col w:w="6860" w:space="197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本期实际核销的应收账款情况" w:id="512"/>
      <w:bookmarkEnd w:id="51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left="154" w:right="1122"/>
        <w:jc w:val="left"/>
      </w:pPr>
      <w:r>
        <w:rPr/>
        <w:t>其中重要的应收账款核销情况：</w:t>
      </w:r>
    </w:p>
    <w:p>
      <w:pPr>
        <w:pStyle w:val="BodyText"/>
        <w:spacing w:line="240" w:lineRule="auto" w:before="117"/>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2"/>
        <w:ind w:left="154" w:right="1122"/>
        <w:jc w:val="left"/>
      </w:pPr>
      <w:r>
        <w:rPr/>
        <w:t>应收账款核销说明：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4）按欠款方归集的期末余额前五名的应收账款情况" w:id="513"/>
      <w:bookmarkEnd w:id="51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left="154" w:right="1122" w:firstLine="360"/>
        <w:jc w:val="left"/>
      </w:pPr>
      <w:r>
        <w:rPr/>
        <w:t>本公司本年按欠款方归集的年末余额前五名应收账款汇总金额</w:t>
      </w:r>
      <w:r>
        <w:rPr>
          <w:rFonts w:ascii="Times New Roman" w:hAnsi="Times New Roman" w:cs="Times New Roman" w:eastAsia="Times New Roman" w:hint="default"/>
        </w:rPr>
        <w:t>402,472,765.33</w:t>
      </w:r>
      <w:r>
        <w:rPr/>
        <w:t>元，占应收账款年末余额合计数的比</w:t>
      </w:r>
      <w:r>
        <w:rPr>
          <w:spacing w:val="1"/>
        </w:rPr>
        <w:t> </w:t>
      </w:r>
      <w:r>
        <w:rPr/>
        <w:t>例</w:t>
      </w:r>
      <w:r>
        <w:rPr>
          <w:rFonts w:ascii="Times New Roman" w:hAnsi="Times New Roman" w:cs="Times New Roman" w:eastAsia="Times New Roman" w:hint="default"/>
        </w:rPr>
        <w:t>57.50%</w:t>
      </w:r>
      <w:r>
        <w:rPr/>
        <w:t>，相应计提的坏账准备年末余额汇总金额</w:t>
      </w:r>
      <w:r>
        <w:rPr>
          <w:rFonts w:ascii="Times New Roman" w:hAnsi="Times New Roman" w:cs="Times New Roman" w:eastAsia="Times New Roman" w:hint="default"/>
        </w:rPr>
        <w:t>0.00</w:t>
      </w:r>
      <w:r>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3"/>
        <w:spacing w:line="240" w:lineRule="auto" w:before="129"/>
        <w:ind w:left="154" w:right="1122"/>
        <w:jc w:val="left"/>
        <w:rPr>
          <w:b w:val="0"/>
          <w:bCs w:val="0"/>
        </w:rPr>
      </w:pPr>
      <w:bookmarkStart w:name="（5）因金融资产转移而终止确认的应收账款" w:id="514"/>
      <w:bookmarkEnd w:id="51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952"/>
        <w:gridCol w:w="2763"/>
        <w:gridCol w:w="3500"/>
      </w:tblGrid>
      <w:tr>
        <w:trPr>
          <w:trHeight w:val="342"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50" w:right="0"/>
              <w:jc w:val="left"/>
              <w:rPr>
                <w:rFonts w:ascii="宋体" w:hAnsi="宋体" w:cs="宋体" w:eastAsia="宋体" w:hint="default"/>
                <w:sz w:val="18"/>
                <w:szCs w:val="18"/>
              </w:rPr>
            </w:pPr>
            <w:r>
              <w:rPr>
                <w:rFonts w:ascii="宋体" w:hAnsi="宋体" w:cs="宋体" w:eastAsia="宋体" w:hint="default"/>
                <w:sz w:val="18"/>
                <w:szCs w:val="18"/>
              </w:rPr>
              <w:t>金融资产转移方式</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85" w:right="0"/>
              <w:jc w:val="left"/>
              <w:rPr>
                <w:rFonts w:ascii="宋体" w:hAnsi="宋体" w:cs="宋体" w:eastAsia="宋体" w:hint="default"/>
                <w:sz w:val="18"/>
                <w:szCs w:val="18"/>
              </w:rPr>
            </w:pPr>
            <w:r>
              <w:rPr>
                <w:rFonts w:ascii="宋体" w:hAnsi="宋体" w:cs="宋体" w:eastAsia="宋体" w:hint="default"/>
                <w:sz w:val="18"/>
                <w:szCs w:val="18"/>
              </w:rPr>
              <w:t>终止确认的应收账款金额</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74"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r>
        <w:trPr>
          <w:trHeight w:val="342"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应收账款买断保理</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61,445,947.40</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-813,118.40</w:t>
            </w:r>
            <w:r>
              <w:rPr>
                <w:rFonts w:ascii="Times New Roman"/>
                <w:sz w:val="18"/>
              </w:rPr>
            </w:r>
          </w:p>
        </w:tc>
      </w:tr>
      <w:tr>
        <w:trPr>
          <w:trHeight w:val="343"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61,445,947.40</w:t>
            </w:r>
          </w:p>
        </w:tc>
        <w:tc>
          <w:tcPr>
            <w:tcW w:w="3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5"/>
                <w:sz w:val="18"/>
              </w:rPr>
              <w:t>-813,118.40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2"/>
        <w:rPr>
          <w:rFonts w:ascii="宋体" w:hAnsi="宋体" w:cs="宋体" w:eastAsia="宋体" w:hint="default"/>
          <w:b/>
          <w:bCs/>
          <w:sz w:val="25"/>
          <w:szCs w:val="25"/>
        </w:rPr>
      </w:pPr>
    </w:p>
    <w:p>
      <w:pPr>
        <w:pStyle w:val="BodyText"/>
        <w:spacing w:line="240" w:lineRule="auto" w:before="44"/>
        <w:ind w:right="1220"/>
        <w:jc w:val="right"/>
      </w:pPr>
      <w:r>
        <w:rPr>
          <w:spacing w:val="-1"/>
        </w:rPr>
        <w:t>注：于</w:t>
      </w:r>
      <w:r>
        <w:rPr>
          <w:rFonts w:ascii="Times New Roman" w:hAnsi="Times New Roman" w:cs="Times New Roman" w:eastAsia="Times New Roman" w:hint="default"/>
          <w:spacing w:val="-1"/>
        </w:rPr>
        <w:t>2017</w:t>
      </w:r>
      <w:r>
        <w:rPr>
          <w:spacing w:val="-1"/>
        </w:rPr>
        <w:t>年，本公司向金融机构以不附追索权的方式转让了应收账款</w:t>
      </w:r>
      <w:r>
        <w:rPr>
          <w:rFonts w:ascii="Times New Roman" w:hAnsi="Times New Roman" w:cs="Times New Roman" w:eastAsia="Times New Roman" w:hint="default"/>
          <w:spacing w:val="-1"/>
        </w:rPr>
        <w:t>61,445,947.40</w:t>
      </w:r>
      <w:r>
        <w:rPr>
          <w:spacing w:val="-1"/>
        </w:rPr>
        <w:t>元，相关的损失为</w:t>
      </w:r>
      <w:r>
        <w:rPr>
          <w:rFonts w:ascii="Times New Roman" w:hAnsi="Times New Roman" w:cs="Times New Roman" w:eastAsia="Times New Roman" w:hint="default"/>
          <w:spacing w:val="-1"/>
        </w:rPr>
        <w:t>813,118.40</w:t>
      </w:r>
      <w:r>
        <w:rPr>
          <w:spacing w:val="-1"/>
        </w:rPr>
        <w:t>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3"/>
          <w:szCs w:val="13"/>
        </w:rPr>
      </w:pPr>
    </w:p>
    <w:p>
      <w:pPr>
        <w:pStyle w:val="Heading3"/>
        <w:spacing w:line="240" w:lineRule="auto"/>
        <w:ind w:right="1122"/>
        <w:jc w:val="left"/>
        <w:rPr>
          <w:b w:val="0"/>
          <w:bCs w:val="0"/>
        </w:rPr>
      </w:pPr>
      <w:bookmarkStart w:name="（6）转移应收账款且继续涉入形成的资产、负债金额" w:id="515"/>
      <w:bookmarkEnd w:id="51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left="154" w:right="1122"/>
        <w:jc w:val="left"/>
        <w:rPr>
          <w:b w:val="0"/>
          <w:bCs w:val="0"/>
        </w:rPr>
      </w:pPr>
      <w:bookmarkStart w:name="2、其他应收款" w:id="516"/>
      <w:bookmarkEnd w:id="51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其他应收款分类披露" w:id="517"/>
      <w:bookmarkEnd w:id="517"/>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8,936,89</w:t>
            </w:r>
          </w:p>
          <w:p>
            <w:pPr>
              <w:pStyle w:val="TableParagraph"/>
              <w:spacing w:line="240" w:lineRule="auto" w:before="105"/>
              <w:ind w:left="415" w:right="0"/>
              <w:jc w:val="left"/>
              <w:rPr>
                <w:rFonts w:ascii="Times New Roman" w:hAnsi="Times New Roman" w:cs="Times New Roman" w:eastAsia="Times New Roman" w:hint="default"/>
                <w:sz w:val="18"/>
                <w:szCs w:val="18"/>
              </w:rPr>
            </w:pPr>
            <w:r>
              <w:rPr>
                <w:rFonts w:ascii="Times New Roman"/>
                <w:sz w:val="18"/>
              </w:rPr>
              <w:t>5.58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8,408,53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4.72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94.09%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528,360.8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3,078,47</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5,408.78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3,078,475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,408.78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2,960,8</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31,198.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99.99%</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2,960,831,1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98.37</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240,208.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240,208.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279,208</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3,087,65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2,512.36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8,648,74</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0.28%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3,079,003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,769.64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2,961,1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10,406.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279,208.0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2,960,831,1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98.37</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pStyle w:val="BodyText"/>
        <w:spacing w:line="240" w:lineRule="auto" w:before="51"/>
        <w:ind w:left="154" w:right="-20"/>
        <w:jc w:val="left"/>
      </w:pPr>
      <w:r>
        <w:rPr/>
        <w:t>期末单项金额重大并单项计提坏账准备的其他应收款：</w:t>
      </w:r>
    </w:p>
    <w:p>
      <w:pPr>
        <w:pStyle w:val="BodyText"/>
        <w:spacing w:line="240" w:lineRule="auto" w:before="117"/>
        <w:ind w:left="15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4475" w:space="435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无锡爱康电力发展有限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8,936,895.58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8,408,534.72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净资产为负无法回收</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8,936,895.58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8,408,534.72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1122"/>
        <w:jc w:val="left"/>
      </w:pPr>
      <w:r>
        <w:rPr/>
        <w:t>组合中，按账龄分析法计提坏账准备的其他应收款：</w:t>
      </w:r>
    </w:p>
    <w:p>
      <w:pPr>
        <w:pStyle w:val="BodyText"/>
        <w:spacing w:line="338" w:lineRule="auto" w:before="116"/>
        <w:ind w:right="62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240" w:lineRule="auto" w:before="43"/>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1122"/>
        <w:jc w:val="left"/>
      </w:pPr>
      <w:r>
        <w:rPr/>
        <w:t>组合中，采用其他方法计提坏账准备的其他应收款：</w:t>
      </w:r>
    </w:p>
    <w:p>
      <w:pPr>
        <w:pStyle w:val="BodyText"/>
        <w:spacing w:line="338" w:lineRule="auto" w:before="116"/>
        <w:ind w:left="513" w:right="5893"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年末单项金额虽不重大但单项计提坏账准备的其他应收款</w:t>
      </w:r>
    </w:p>
    <w:tbl>
      <w:tblPr>
        <w:tblW w:w="0" w:type="auto"/>
        <w:jc w:val="left"/>
        <w:tblInd w:w="149" w:type="dxa"/>
        <w:tblLayout w:type="fixed"/>
        <w:tblCellMar>
          <w:top w:w="0" w:type="dxa"/>
          <w:left w:w="0" w:type="dxa"/>
          <w:bottom w:w="0" w:type="dxa"/>
          <w:right w:w="0" w:type="dxa"/>
        </w:tblCellMar>
        <w:tblLook w:val="01E0"/>
      </w:tblPr>
      <w:tblGrid>
        <w:gridCol w:w="3087"/>
        <w:gridCol w:w="1559"/>
        <w:gridCol w:w="1537"/>
        <w:gridCol w:w="1157"/>
        <w:gridCol w:w="1874"/>
      </w:tblGrid>
      <w:tr>
        <w:trPr>
          <w:trHeight w:val="342" w:hRule="exact"/>
        </w:trPr>
        <w:tc>
          <w:tcPr>
            <w:tcW w:w="3087"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37"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6128" w:type="dxa"/>
            <w:gridSpan w:val="4"/>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2" w:hRule="exact"/>
        </w:trPr>
        <w:tc>
          <w:tcPr>
            <w:tcW w:w="3087" w:type="dxa"/>
            <w:vMerge/>
            <w:tcBorders>
              <w:left w:val="single" w:sz="4" w:space="0" w:color="000000"/>
              <w:bottom w:val="single" w:sz="4" w:space="0" w:color="000000"/>
              <w:right w:val="single" w:sz="4" w:space="0" w:color="000000"/>
            </w:tcBorders>
            <w:shd w:val="clear" w:color="auto" w:fill="D9D9D9"/>
          </w:tcPr>
          <w:p>
            <w:pPr/>
          </w:p>
        </w:tc>
        <w:tc>
          <w:tcPr>
            <w:tcW w:w="155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32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3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40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21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7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2"/>
              <w:ind w:left="57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3"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239,458.00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239,458.00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750.00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z w:val="18"/>
              </w:rPr>
              <w:t>750.00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4" w:right="0"/>
              <w:jc w:val="left"/>
              <w:rPr>
                <w:rFonts w:ascii="宋体" w:hAnsi="宋体" w:cs="宋体" w:eastAsia="宋体" w:hint="default"/>
                <w:sz w:val="18"/>
                <w:szCs w:val="18"/>
              </w:rPr>
            </w:pPr>
            <w:r>
              <w:rPr>
                <w:rFonts w:ascii="宋体" w:hAnsi="宋体" w:cs="宋体" w:eastAsia="宋体" w:hint="default"/>
                <w:sz w:val="18"/>
                <w:szCs w:val="18"/>
              </w:rPr>
              <w:t>逾期未收回</w:t>
            </w:r>
          </w:p>
        </w:tc>
      </w:tr>
      <w:tr>
        <w:trPr>
          <w:trHeight w:val="342" w:hRule="exact"/>
        </w:trPr>
        <w:tc>
          <w:tcPr>
            <w:tcW w:w="3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240,208.00</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240,208.00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z w:val="18"/>
              </w:rPr>
              <w:t>100.00%</w:t>
            </w:r>
          </w:p>
        </w:tc>
        <w:tc>
          <w:tcPr>
            <w:tcW w:w="18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pStyle w:val="Heading3"/>
        <w:spacing w:line="240" w:lineRule="auto" w:before="35"/>
        <w:ind w:left="154" w:right="1122"/>
        <w:jc w:val="left"/>
        <w:rPr>
          <w:b w:val="0"/>
          <w:bCs w:val="0"/>
        </w:rPr>
      </w:pPr>
      <w:bookmarkStart w:name="（2）本期计提、收回或转回的坏账准备情况" w:id="518"/>
      <w:bookmarkEnd w:id="518"/>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pStyle w:val="BodyText"/>
        <w:spacing w:line="338" w:lineRule="auto" w:before="44"/>
        <w:ind w:right="-12"/>
        <w:jc w:val="left"/>
      </w:pPr>
      <w:r>
        <w:rPr/>
        <w:t>本期计提坏账准备金额</w:t>
      </w:r>
      <w:r>
        <w:rPr>
          <w:spacing w:val="-47"/>
        </w:rPr>
        <w:t> </w:t>
      </w:r>
      <w:r>
        <w:rPr>
          <w:rFonts w:ascii="Times New Roman" w:hAnsi="Times New Roman" w:cs="Times New Roman" w:eastAsia="Times New Roman" w:hint="default"/>
        </w:rPr>
        <w:t>8,408,534.72</w:t>
      </w:r>
      <w:r>
        <w:rPr>
          <w:rFonts w:ascii="Times New Roman" w:hAnsi="Times New Roman" w:cs="Times New Roman" w:eastAsia="Times New Roman" w:hint="default"/>
          <w:spacing w:val="-2"/>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3）本期实际核销的其他应收款情况" w:id="519"/>
      <w:bookmarkEnd w:id="519"/>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39,000.00</w:t>
            </w:r>
          </w:p>
        </w:tc>
      </w:tr>
    </w:tbl>
    <w:p>
      <w:pPr>
        <w:pStyle w:val="BodyText"/>
        <w:spacing w:line="240" w:lineRule="auto" w:before="51"/>
        <w:ind w:left="154" w:right="1122"/>
        <w:jc w:val="left"/>
      </w:pPr>
      <w:r>
        <w:rPr/>
        <w:t>其中重要的其他应收款核销情况：</w:t>
      </w:r>
    </w:p>
    <w:p>
      <w:pPr>
        <w:pStyle w:val="BodyText"/>
        <w:spacing w:line="240" w:lineRule="auto" w:before="117"/>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left="154" w:right="1122"/>
        <w:jc w:val="left"/>
      </w:pPr>
      <w:r>
        <w:rPr/>
        <w:t>其他应收款核销说明：</w:t>
      </w:r>
    </w:p>
    <w:p>
      <w:pPr>
        <w:spacing w:line="240" w:lineRule="auto" w:before="11"/>
        <w:rPr>
          <w:rFonts w:ascii="宋体" w:hAnsi="宋体" w:cs="宋体" w:eastAsia="宋体" w:hint="default"/>
          <w:sz w:val="26"/>
          <w:szCs w:val="26"/>
        </w:rPr>
      </w:pPr>
    </w:p>
    <w:p>
      <w:pPr>
        <w:pStyle w:val="Heading3"/>
        <w:spacing w:line="240" w:lineRule="auto"/>
        <w:ind w:left="154" w:right="1122"/>
        <w:jc w:val="left"/>
        <w:rPr>
          <w:b w:val="0"/>
          <w:bCs w:val="0"/>
        </w:rPr>
      </w:pPr>
      <w:bookmarkStart w:name="（4）其他应收款按款项性质分类情况" w:id="520"/>
      <w:bookmarkEnd w:id="520"/>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出口退税</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11,407,413.43</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3,038,089,747.20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2,953,054,976.01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1,198.00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4,897.84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38,154,153.73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8,050,532.52</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3,087,652,512.36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2,961,110,406.37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5）按欠款方归集的期末余额前五名的其他应收款情况" w:id="521"/>
      <w:bookmarkEnd w:id="521"/>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苏州中康电力开发有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2,322,857,598.82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75.23%</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苏州爱康电力开发有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596,251,765.26</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19.31%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江阴爱康光伏焊带有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38,548,581.54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新疆汇达捷创业投资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上海爱康富罗纳售电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18,792,994.00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3,006,450,939.62</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97.37%</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6）涉及政府补助的应收款项" w:id="522"/>
      <w:bookmarkEnd w:id="522"/>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7）因金融资产转移而终止确认的其他应收款" w:id="523"/>
      <w:bookmarkEnd w:id="523"/>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4" w:right="1122"/>
        <w:jc w:val="left"/>
        <w:rPr>
          <w:b w:val="0"/>
          <w:bCs w:val="0"/>
        </w:rPr>
      </w:pPr>
      <w:bookmarkStart w:name="（8）转移其他应收款且继续涉入形成的资产、负债金额" w:id="524"/>
      <w:bookmarkEnd w:id="524"/>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3、长期股权投资" w:id="525"/>
      <w:bookmarkEnd w:id="52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5,194,345,669.81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5,176,348,309.81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3,481,535,642.34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3,466,535,642.34</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1,169,490,480.79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1,169,490,480.79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250,731,605.19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250,731,605.19</w:t>
            </w: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6,363,836,150.60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17,997,360.00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6,345,838,790.60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3,732,267,247.53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3,717,267,247.53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1）对子公司投资" w:id="526"/>
      <w:bookmarkEnd w:id="52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9" w:right="59"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无锡爱康电力发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南通爱康金属科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279,300,000.00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279,300,000.00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苏州爱康金属科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187,048,000.00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192,048,000.00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江阴爱康光伏焊 带有限公司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11" w:right="0"/>
              <w:jc w:val="left"/>
              <w:rPr>
                <w:rFonts w:ascii="Times New Roman" w:hAnsi="Times New Roman" w:cs="Times New Roman" w:eastAsia="Times New Roman" w:hint="default"/>
                <w:sz w:val="18"/>
                <w:szCs w:val="18"/>
              </w:rPr>
            </w:pPr>
            <w:r>
              <w:rPr>
                <w:rFonts w:ascii="Times New Roman"/>
                <w:sz w:val="18"/>
              </w:rPr>
              <w:t>2,997,360.00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2,997,360.00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2"/>
              <w:jc w:val="left"/>
              <w:rPr>
                <w:rFonts w:ascii="宋体" w:hAnsi="宋体" w:cs="宋体" w:eastAsia="宋体" w:hint="default"/>
                <w:sz w:val="18"/>
                <w:szCs w:val="18"/>
              </w:rPr>
            </w:pPr>
            <w:r>
              <w:rPr>
                <w:rFonts w:ascii="宋体" w:hAnsi="宋体" w:cs="宋体" w:eastAsia="宋体" w:hint="default"/>
                <w:sz w:val="18"/>
                <w:szCs w:val="18"/>
              </w:rPr>
              <w:t>苏州爱康电力开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香港爱康电力国 际控股有限公司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591,775,324.67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591,775,324.67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苏州中康电力开 发有限公司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1,415,046,064.84</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1,415,046,064.84</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苏州爱康光电科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507,759,349.38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507,759,349.38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苏州爱康电力检 测有限公司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苏州中康电力运 营有限公司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青海爱康电力有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上海富罗纳征信 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北京碳诺科技有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2,546,903.45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12,346,903.45</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安徽爱康新能电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北京爱康新能电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53"/>
              <w:jc w:val="left"/>
              <w:rPr>
                <w:rFonts w:ascii="宋体" w:hAnsi="宋体" w:cs="宋体" w:eastAsia="宋体" w:hint="default"/>
                <w:sz w:val="18"/>
                <w:szCs w:val="18"/>
              </w:rPr>
            </w:pPr>
            <w:r>
              <w:rPr>
                <w:rFonts w:ascii="宋体" w:hAnsi="宋体" w:cs="宋体" w:eastAsia="宋体" w:hint="default"/>
                <w:sz w:val="18"/>
                <w:szCs w:val="18"/>
              </w:rPr>
              <w:t>福建爱康电力有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甘肃爱康电力有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赣州爱康新能电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广西新康电力有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贵州爱康新能电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河南爱康新能电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湖南爱康新能电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江苏爱康能源研 究院有限公司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182,527.47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182,527.47</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江苏智鸿能源科 技发展有限公司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21,360,000.00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辽宁爱康电力有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内蒙古爱康电力 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陕西爱康新能电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上海爱康富罗纳 售电有限公司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上海慧喆信息技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四川爱康新能电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新疆爱康天电能 源有限公司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新疆爱康新能电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阳泉爱康新能电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阳泉爱康智慧电 力科技有限公司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云南新康能源电 力有限责任公司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浙江爱康电力有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重庆爱康新能电 力有限公司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西安爱康智慧能 源管理有限公司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2,167,500.00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2,167,500.00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3,481,535,642.34</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1,712,810,027.47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5,194,345,669.81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1" w:right="0"/>
              <w:jc w:val="left"/>
              <w:rPr>
                <w:rFonts w:ascii="Times New Roman" w:hAnsi="Times New Roman" w:cs="Times New Roman" w:eastAsia="Times New Roman" w:hint="default"/>
                <w:sz w:val="18"/>
                <w:szCs w:val="18"/>
              </w:rPr>
            </w:pPr>
            <w:r>
              <w:rPr>
                <w:rFonts w:ascii="Times New Roman"/>
                <w:sz w:val="18"/>
              </w:rPr>
              <w:t>2,997,360.00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21" w:right="0"/>
              <w:jc w:val="left"/>
              <w:rPr>
                <w:rFonts w:ascii="Times New Roman" w:hAnsi="Times New Roman" w:cs="Times New Roman" w:eastAsia="Times New Roman" w:hint="default"/>
                <w:sz w:val="18"/>
                <w:szCs w:val="18"/>
              </w:rPr>
            </w:pPr>
            <w:r>
              <w:rPr>
                <w:rFonts w:ascii="Times New Roman"/>
                <w:sz w:val="18"/>
              </w:rPr>
              <w:t>17,997,360.00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54" w:right="1122"/>
        <w:jc w:val="left"/>
        <w:rPr>
          <w:b w:val="0"/>
          <w:bCs w:val="0"/>
        </w:rPr>
      </w:pPr>
      <w:bookmarkStart w:name="（2）对联营、合营企业投资" w:id="527"/>
      <w:bookmarkEnd w:id="52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苏州爱康 能源工程 技术股份 有限公司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790,440,0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23,327,80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813,767,8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09.71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赣州融资 租赁有限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230,923,4</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04.64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24,799,26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6.44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355,722,6</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71.08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青海蓓翔 城市投资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19,808,20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-7,465.38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-19,800,7</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35.17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250,731,6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05.19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890,440,0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48,119,61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1,169,490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,480.79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250,731,6</w:t>
            </w:r>
          </w:p>
          <w:p>
            <w:pPr>
              <w:pStyle w:val="TableParagraph"/>
              <w:spacing w:line="240" w:lineRule="auto" w:before="105"/>
              <w:ind w:left="361" w:right="0"/>
              <w:jc w:val="left"/>
              <w:rPr>
                <w:rFonts w:ascii="Times New Roman" w:hAnsi="Times New Roman" w:cs="Times New Roman" w:eastAsia="Times New Roman" w:hint="default"/>
                <w:sz w:val="18"/>
                <w:szCs w:val="18"/>
              </w:rPr>
            </w:pPr>
            <w:r>
              <w:rPr>
                <w:rFonts w:ascii="Times New Roman"/>
                <w:sz w:val="18"/>
              </w:rPr>
              <w:t>05.19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890,440,0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48,119,61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0.77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1,169,490</w:t>
            </w:r>
          </w:p>
          <w:p>
            <w:pPr>
              <w:pStyle w:val="TableParagraph"/>
              <w:spacing w:line="240" w:lineRule="auto" w:before="105"/>
              <w:ind w:left="201" w:right="0"/>
              <w:jc w:val="center"/>
              <w:rPr>
                <w:rFonts w:ascii="Times New Roman" w:hAnsi="Times New Roman" w:cs="Times New Roman" w:eastAsia="Times New Roman" w:hint="default"/>
                <w:sz w:val="18"/>
                <w:szCs w:val="18"/>
              </w:rPr>
            </w:pPr>
            <w:r>
              <w:rPr>
                <w:rFonts w:ascii="Times New Roman"/>
                <w:sz w:val="18"/>
              </w:rPr>
              <w:t>,480.79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right="1122"/>
        <w:jc w:val="left"/>
        <w:rPr>
          <w:b w:val="0"/>
          <w:bCs w:val="0"/>
        </w:rPr>
      </w:pPr>
      <w:bookmarkStart w:name="（3）其他说明" w:id="528"/>
      <w:bookmarkEnd w:id="52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营业收入和营业成本" w:id="529"/>
      <w:bookmarkEnd w:id="52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1,544,213,787.15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1,382,262,701.00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1,555,111,769.88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1,375,398,179.82</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37,071,357.99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57,735,613.64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51,076,468.47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70,123,783.41</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1,581,285,145.14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1,439,998,314.64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1,606,188,238.35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1,445,521,963.23</w:t>
            </w:r>
          </w:p>
        </w:tc>
      </w:tr>
    </w:tbl>
    <w:p>
      <w:pPr>
        <w:pStyle w:val="BodyText"/>
        <w:spacing w:line="240" w:lineRule="auto" w:before="51"/>
        <w:ind w:left="154" w:right="1122"/>
        <w:jc w:val="left"/>
      </w:pPr>
      <w:r>
        <w:rPr/>
        <w:t>其他说明：</w:t>
      </w:r>
    </w:p>
    <w:p>
      <w:pPr>
        <w:spacing w:line="240" w:lineRule="auto" w:before="10"/>
        <w:rPr>
          <w:rFonts w:ascii="宋体" w:hAnsi="宋体" w:cs="宋体" w:eastAsia="宋体" w:hint="default"/>
          <w:sz w:val="26"/>
          <w:szCs w:val="26"/>
        </w:rPr>
      </w:pPr>
    </w:p>
    <w:p>
      <w:pPr>
        <w:pStyle w:val="Heading3"/>
        <w:spacing w:line="240" w:lineRule="auto"/>
        <w:ind w:right="1122"/>
        <w:jc w:val="left"/>
        <w:rPr>
          <w:b w:val="0"/>
          <w:bCs w:val="0"/>
        </w:rPr>
      </w:pPr>
      <w:bookmarkStart w:name="5、投资收益" w:id="530"/>
      <w:bookmarkEnd w:id="53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13,838,018.17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48,119,610.77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23,823,576.42</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59,999,264.83</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98,694,661.48</w:t>
            </w: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 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99,760.00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208,218,635.60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136,356,256.07</w:t>
            </w:r>
          </w:p>
        </w:tc>
      </w:tr>
    </w:tbl>
    <w:p>
      <w:pPr>
        <w:spacing w:line="240" w:lineRule="auto" w:before="2"/>
        <w:rPr>
          <w:rFonts w:ascii="宋体" w:hAnsi="宋体" w:cs="宋体" w:eastAsia="宋体" w:hint="default"/>
          <w:sz w:val="19"/>
          <w:szCs w:val="19"/>
        </w:rPr>
      </w:pPr>
    </w:p>
    <w:p>
      <w:pPr>
        <w:pStyle w:val="Heading3"/>
        <w:spacing w:line="240" w:lineRule="auto" w:before="35"/>
        <w:ind w:left="154" w:right="1122"/>
        <w:jc w:val="left"/>
        <w:rPr>
          <w:b w:val="0"/>
          <w:bCs w:val="0"/>
        </w:rPr>
      </w:pPr>
      <w:bookmarkStart w:name="6、其他" w:id="531"/>
      <w:bookmarkEnd w:id="531"/>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122"/>
        <w:jc w:val="left"/>
        <w:rPr>
          <w:b w:val="0"/>
          <w:bCs w:val="0"/>
        </w:rPr>
      </w:pPr>
      <w:bookmarkStart w:name="十八、补充资料" w:id="532"/>
      <w:bookmarkEnd w:id="53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1、当期非经常性损益明细表" w:id="533"/>
      <w:bookmarkEnd w:id="53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86"/>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629" w:hRule="exact"/>
        </w:trPr>
        <w:tc>
          <w:tcPr>
            <w:tcW w:w="33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5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984" w:right="0"/>
              <w:jc w:val="left"/>
              <w:rPr>
                <w:rFonts w:ascii="Times New Roman" w:hAnsi="Times New Roman" w:cs="Times New Roman" w:eastAsia="Times New Roman" w:hint="default"/>
                <w:sz w:val="18"/>
                <w:szCs w:val="18"/>
              </w:rPr>
            </w:pPr>
            <w:r>
              <w:rPr>
                <w:rFonts w:ascii="Times New Roman"/>
                <w:sz w:val="18"/>
              </w:rPr>
              <w:t>44,353,769.33</w:t>
            </w:r>
          </w:p>
        </w:tc>
        <w:tc>
          <w:tcPr>
            <w:tcW w:w="3186" w:type="dxa"/>
            <w:vMerge w:val="restart"/>
            <w:tcBorders>
              <w:top w:val="single" w:sz="4" w:space="0" w:color="000000"/>
              <w:left w:val="single" w:sz="4" w:space="0" w:color="000000"/>
              <w:right w:val="single" w:sz="4" w:space="0" w:color="000000"/>
            </w:tcBorders>
          </w:tcPr>
          <w:p>
            <w:pPr>
              <w:pStyle w:val="TableParagraph"/>
              <w:spacing w:line="319" w:lineRule="auto" w:before="51"/>
              <w:ind w:left="22" w:right="93"/>
              <w:jc w:val="both"/>
              <w:rPr>
                <w:rFonts w:ascii="宋体" w:hAnsi="宋体" w:cs="宋体" w:eastAsia="宋体" w:hint="default"/>
                <w:sz w:val="18"/>
                <w:szCs w:val="18"/>
              </w:rPr>
            </w:pPr>
            <w:r>
              <w:rPr>
                <w:rFonts w:ascii="宋体" w:hAnsi="宋体" w:cs="宋体" w:eastAsia="宋体" w:hint="default"/>
                <w:sz w:val="18"/>
                <w:szCs w:val="18"/>
              </w:rPr>
              <w:t>主要为报告期公司出售子公司徐闻爱康 电力开发有限公司、新疆爱康慧诚信息 技术有限公司、青海蓓翔新能源开发有 限公司等公司股权所取得投资收益和出 售日本秋天电站所取得资产处置收益。</w:t>
            </w:r>
          </w:p>
        </w:tc>
      </w:tr>
      <w:tr>
        <w:trPr>
          <w:trHeight w:val="392" w:hRule="exact"/>
        </w:trPr>
        <w:tc>
          <w:tcPr>
            <w:tcW w:w="33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9" w:space="0" w:color="D2D2D2"/>
              <w:right w:val="single" w:sz="4" w:space="0" w:color="000000"/>
            </w:tcBorders>
          </w:tcPr>
          <w:p>
            <w:pPr/>
          </w:p>
        </w:tc>
        <w:tc>
          <w:tcPr>
            <w:tcW w:w="3186" w:type="dxa"/>
            <w:vMerge/>
            <w:tcBorders>
              <w:left w:val="single" w:sz="4" w:space="0" w:color="000000"/>
              <w:right w:val="single" w:sz="4" w:space="0" w:color="000000"/>
            </w:tcBorders>
          </w:tcPr>
          <w:p>
            <w:pPr/>
          </w:p>
        </w:tc>
      </w:tr>
      <w:tr>
        <w:trPr>
          <w:trHeight w:val="629" w:hRule="exact"/>
        </w:trPr>
        <w:tc>
          <w:tcPr>
            <w:tcW w:w="331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59" w:type="dxa"/>
            <w:vMerge/>
            <w:tcBorders>
              <w:left w:val="single" w:sz="9" w:space="0" w:color="D2D2D2"/>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1026"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79" w:right="0"/>
              <w:jc w:val="left"/>
              <w:rPr>
                <w:rFonts w:ascii="Times New Roman" w:hAnsi="Times New Roman" w:cs="Times New Roman" w:eastAsia="Times New Roman" w:hint="default"/>
                <w:sz w:val="18"/>
                <w:szCs w:val="18"/>
              </w:rPr>
            </w:pPr>
            <w:r>
              <w:rPr>
                <w:rFonts w:ascii="Times New Roman"/>
                <w:sz w:val="18"/>
              </w:rPr>
              <w:t>57,320,778.77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主要为报告期公司取得上市挂牌公司做 大做强做优资金补助</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1108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万元、新能源</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产业扶持奖励款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万元等政府补助。</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同一控制下企业合并产生的子公司期初至 合并日的当期净损益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-610,745.80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1"/>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3,280,207.00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4,532,033.86</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43,738,518.50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3"/>
              <w:jc w:val="left"/>
              <w:rPr>
                <w:rFonts w:ascii="宋体" w:hAnsi="宋体" w:cs="宋体" w:eastAsia="宋体" w:hint="default"/>
                <w:sz w:val="18"/>
                <w:szCs w:val="18"/>
              </w:rPr>
            </w:pPr>
            <w:r>
              <w:rPr>
                <w:rFonts w:ascii="宋体" w:hAnsi="宋体" w:cs="宋体" w:eastAsia="宋体" w:hint="default"/>
                <w:sz w:val="18"/>
                <w:szCs w:val="18"/>
              </w:rPr>
              <w:t>主要为公司取得光伏电站电量的补偿 款。</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41,605,148.41</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342,005.72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110,667,407.53</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left="154"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20"/>
        <w:jc w:val="left"/>
      </w:pPr>
      <w:r>
        <w:rPr/>
        <w:t>开发行证券的公司信息披露解释性公告第</w:t>
      </w:r>
      <w:r>
        <w:rPr>
          <w:spacing w:val="-36"/>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spacing w:val="-88"/>
        </w:rPr>
        <w:t> </w:t>
      </w:r>
      <w:r>
        <w:rPr>
          <w:spacing w:val="-88"/>
        </w:rPr>
      </w:r>
      <w:r>
        <w:rPr/>
        <w:t>说明原因。</w:t>
      </w:r>
    </w:p>
    <w:p>
      <w:pPr>
        <w:pStyle w:val="BodyText"/>
        <w:spacing w:line="240" w:lineRule="auto" w:before="69"/>
        <w:ind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净资产收益率及每股收益" w:id="534"/>
      <w:bookmarkEnd w:id="53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1"/>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0.025</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0.001</w:t>
            </w:r>
          </w:p>
        </w:tc>
      </w:tr>
    </w:tbl>
    <w:p>
      <w:pPr>
        <w:spacing w:line="240" w:lineRule="auto" w:before="2"/>
        <w:rPr>
          <w:rFonts w:ascii="宋体" w:hAnsi="宋体" w:cs="宋体" w:eastAsia="宋体" w:hint="default"/>
          <w:b/>
          <w:bCs/>
          <w:sz w:val="19"/>
          <w:szCs w:val="19"/>
        </w:rPr>
      </w:pPr>
    </w:p>
    <w:p>
      <w:pPr>
        <w:pStyle w:val="Heading3"/>
        <w:spacing w:line="240" w:lineRule="auto" w:before="35"/>
        <w:ind w:left="154" w:right="1122"/>
        <w:jc w:val="left"/>
        <w:rPr>
          <w:b w:val="0"/>
          <w:bCs w:val="0"/>
        </w:rPr>
      </w:pPr>
      <w:bookmarkStart w:name="3、境内外会计准则下会计数据差异" w:id="535"/>
      <w:bookmarkEnd w:id="53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4" w:right="1122"/>
        <w:jc w:val="left"/>
        <w:rPr>
          <w:b w:val="0"/>
          <w:bCs w:val="0"/>
        </w:rPr>
      </w:pPr>
      <w:bookmarkStart w:name="（1）同时按照国际会计准则与按中国会计准则披露的财务报告中净利润和净资产差异情况" w:id="536"/>
      <w:bookmarkEnd w:id="53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40" w:lineRule="auto"/>
        <w:ind w:right="1122"/>
        <w:jc w:val="left"/>
        <w:rPr>
          <w:b w:val="0"/>
          <w:bCs w:val="0"/>
        </w:rPr>
      </w:pPr>
      <w:bookmarkStart w:name="（2）同时按照境外会计准则与按中国会计准则披露的财务报告中净利润和净资产差异情况" w:id="537"/>
      <w:bookmarkEnd w:id="53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54" w:right="112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3"/>
        <w:spacing w:line="259" w:lineRule="auto"/>
        <w:ind w:right="1122"/>
        <w:jc w:val="left"/>
        <w:rPr>
          <w:b w:val="0"/>
          <w:bCs w:val="0"/>
        </w:rPr>
      </w:pPr>
      <w:bookmarkStart w:name="（3）境内外会计准则下会计数据差异原因说明，对已经境外审计机构审计的数据进行差异" w:id="538"/>
      <w:bookmarkEnd w:id="53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22"/>
        <w:jc w:val="left"/>
        <w:rPr>
          <w:b w:val="0"/>
          <w:bCs w:val="0"/>
        </w:rPr>
      </w:pPr>
      <w:bookmarkStart w:name="4、其他" w:id="539"/>
      <w:bookmarkEnd w:id="539"/>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1122"/>
        <w:jc w:val="left"/>
        <w:rPr>
          <w:b w:val="0"/>
          <w:bCs w:val="0"/>
        </w:rPr>
      </w:pPr>
      <w:bookmarkStart w:name="第十二节 备查文件目录" w:id="540"/>
      <w:bookmarkEnd w:id="540"/>
      <w:r>
        <w:rPr>
          <w:b w:val="0"/>
          <w:bCs w:val="0"/>
        </w:rPr>
      </w:r>
      <w:bookmarkStart w:name="_bookmark11" w:id="541"/>
      <w:bookmarkEnd w:id="541"/>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9" w:lineRule="auto"/>
        <w:ind w:right="3733"/>
        <w:jc w:val="left"/>
      </w:pPr>
      <w:r>
        <w:rPr/>
        <w:t>一、载有法定代表人、主管会计负责人、会计机构负责人签名并盖章的会计报表。 二、载有会计师事务所盖章、注册会计师签名并盖章的审计报告原件。 三、报告期内在中国证监会指定报纸上公开披露过的所有公司文件的正文及公告的原稿。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816" type="#_x0000_t75" stroked="false">
          <v:imagedata r:id="rId1" o:title=""/>
        </v:shape>
      </w:pict>
    </w:r>
    <w:r>
      <w:rPr/>
      <w:pict>
        <v:shape style="position:absolute;margin-left:533.179993pt;margin-top:795.517944pt;width:6.5pt;height:11pt;mso-position-horizontal-relative:page;mso-position-vertical-relative:page;z-index:-165179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768" type="#_x0000_t75" stroked="false">
          <v:imagedata r:id="rId1" o:title=""/>
        </v:shape>
      </w:pict>
    </w:r>
    <w:r>
      <w:rPr/>
      <w:pict>
        <v:shape style="position:absolute;margin-left:527.679993pt;margin-top:781.957947pt;width:13pt;height:11pt;mso-position-horizontal-relative:page;mso-position-vertical-relative:page;z-index:-16517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720" type="#_x0000_t75" stroked="false">
          <v:imagedata r:id="rId1" o:title=""/>
        </v:shape>
      </w:pict>
    </w:r>
    <w:r>
      <w:rPr/>
      <w:pict>
        <v:shape style="position:absolute;margin-left:527.679993pt;margin-top:781.957947pt;width:13pt;height:11pt;mso-position-horizontal-relative:page;mso-position-vertical-relative:page;z-index:-16516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672" type="#_x0000_t75" stroked="false">
          <v:imagedata r:id="rId1" o:title=""/>
        </v:shape>
      </w:pict>
    </w:r>
    <w:r>
      <w:rPr/>
      <w:pict>
        <v:shape style="position:absolute;margin-left:524.179993pt;margin-top:781.957947pt;width:15.5pt;height:11pt;mso-position-horizontal-relative:page;mso-position-vertical-relative:page;z-index:-16516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624" type="#_x0000_t75" stroked="false">
          <v:imagedata r:id="rId1" o:title=""/>
        </v:shape>
      </w:pict>
    </w:r>
    <w:r>
      <w:rPr/>
      <w:pict>
        <v:shape style="position:absolute;margin-left:523.179993pt;margin-top:781.957947pt;width:17.5pt;height:11pt;mso-position-horizontal-relative:page;mso-position-vertical-relative:page;z-index:-16516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576" type="#_x0000_t75" stroked="false">
          <v:imagedata r:id="rId1" o:title=""/>
        </v:shape>
      </w:pict>
    </w:r>
    <w:r>
      <w:rPr/>
      <w:pict>
        <v:shape style="position:absolute;margin-left:497.179993pt;margin-top:752.725586pt;width:42.5pt;height:11pt;mso-position-horizontal-relative:page;mso-position-vertical-relative:page;z-index:-1651552" type="#_x0000_t202" filled="false" stroked="false">
          <v:textbox inset="0,0,0,0">
            <w:txbxContent>
              <w:p>
                <w:pPr>
                  <w:pStyle w:val="BodyText"/>
                  <w:spacing w:line="200" w:lineRule="exact"/>
                  <w:ind w:left="20" w:right="0"/>
                  <w:jc w:val="left"/>
                </w:pPr>
                <w:r>
                  <w:rPr/>
                  <w:t>单位： 元</w:t>
                </w:r>
              </w:p>
            </w:txbxContent>
          </v:textbox>
          <w10:wrap type="none"/>
        </v:shape>
      </w:pict>
    </w:r>
    <w:r>
      <w:rPr/>
      <w:pict>
        <v:shape style="position:absolute;margin-left:523.179993pt;margin-top:781.957947pt;width:17.5pt;height:11pt;mso-position-horizontal-relative:page;mso-position-vertical-relative:page;z-index:-1651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159</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504" type="#_x0000_t75" stroked="false">
          <v:imagedata r:id="rId1" o:title=""/>
        </v:shape>
      </w:pict>
    </w:r>
    <w:r>
      <w:rPr/>
      <w:pict>
        <v:shape style="position:absolute;margin-left:523.179993pt;margin-top:781.957947pt;width:17.5pt;height:11pt;mso-position-horizontal-relative:page;mso-position-vertical-relative:page;z-index:-165148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161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456" type="#_x0000_t75" stroked="false">
          <v:imagedata r:id="rId1" o:title=""/>
        </v:shape>
      </w:pict>
    </w:r>
    <w:r>
      <w:rPr/>
      <w:pict>
        <v:shape style="position:absolute;margin-left:524.179993pt;margin-top:781.957947pt;width:15.5pt;height:11pt;mso-position-horizontal-relative:page;mso-position-vertical-relative:page;z-index:-165143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651408" type="#_x0000_t75" stroked="false">
          <v:imagedata r:id="rId1" o:title=""/>
        </v:shape>
      </w:pict>
    </w:r>
    <w:r>
      <w:rPr/>
      <w:pict>
        <v:shape style="position:absolute;margin-left:523.179993pt;margin-top:781.957947pt;width:17.5pt;height:11pt;mso-position-horizontal-relative:page;mso-position-vertical-relative:page;z-index:-1651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220001pt;margin-top:36.325607pt;width:195.5pt;height:11.5pt;mso-position-horizontal-relative:page;mso-position-vertical-relative:page;z-index:-1651840" type="#_x0000_t202" filled="false" stroked="false">
          <v:textbox inset="0,0,0,0">
            <w:txbxContent>
              <w:p>
                <w:pPr>
                  <w:pStyle w:val="BodyText"/>
                  <w:spacing w:line="214" w:lineRule="exact"/>
                  <w:ind w:left="20" w:right="0"/>
                  <w:jc w:val="left"/>
                </w:pPr>
                <w:r>
                  <w:rPr/>
                  <w:t>江苏爱康科技股份有限公司</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3"/>
    </w:pPr>
    <w:rPr>
      <w:rFonts w:ascii="宋体" w:hAnsi="宋体" w:eastAsia="宋体"/>
      <w:sz w:val="18"/>
      <w:szCs w:val="18"/>
    </w:rPr>
  </w:style>
  <w:style w:styleId="BodyText" w:type="paragraph">
    <w:name w:val="Body Text"/>
    <w:basedOn w:val="Normal"/>
    <w:uiPriority w:val="1"/>
    <w:qFormat/>
    <w:pPr>
      <w:ind w:left="153"/>
    </w:pPr>
    <w:rPr>
      <w:rFonts w:ascii="宋体" w:hAnsi="宋体" w:eastAsia="宋体"/>
      <w:sz w:val="18"/>
      <w:szCs w:val="18"/>
    </w:rPr>
  </w:style>
  <w:style w:styleId="Heading1" w:type="paragraph">
    <w:name w:val="Heading 1"/>
    <w:basedOn w:val="Normal"/>
    <w:uiPriority w:val="1"/>
    <w:qFormat/>
    <w:pPr>
      <w:spacing w:before="1"/>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3"/>
      <w:outlineLvl w:val="3"/>
    </w:pPr>
    <w:rPr>
      <w:rFonts w:ascii="宋体" w:hAnsi="宋体" w:eastAsia="宋体"/>
      <w:b/>
      <w:bCs/>
      <w:sz w:val="21"/>
      <w:szCs w:val="21"/>
    </w:rPr>
  </w:style>
  <w:style w:styleId="Heading4" w:type="paragraph">
    <w:name w:val="Heading 4"/>
    <w:basedOn w:val="Normal"/>
    <w:uiPriority w:val="1"/>
    <w:qFormat/>
    <w:pPr>
      <w:ind w:left="51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akcome.com/" TargetMode="External"/><Relationship Id="rId10" Type="http://schemas.openxmlformats.org/officeDocument/2006/relationships/hyperlink" Target="mailto:zhengquanbu@akcome.com" TargetMode="External"/><Relationship Id="rId11" Type="http://schemas.openxmlformats.org/officeDocument/2006/relationships/hyperlink" Target="http://www.cninfo.com.cn/" TargetMode="External"/><Relationship Id="rId12" Type="http://schemas.openxmlformats.org/officeDocument/2006/relationships/footer" Target="footer3.xm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江苏爱康科技股份有限公司</dc:creator>
  <dc:title>江苏爱康科技股份有限公司2017年年度报告全文</dc:title>
  <dcterms:created xsi:type="dcterms:W3CDTF">2020-05-02T22:53:19Z</dcterms:created>
  <dcterms:modified xsi:type="dcterms:W3CDTF">2020-05-02T22:53:19Z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2018-04-24T00:00:00Z</vt:filetime>
  </property>
  <property fmtid="{D5CDD505-2E9C-101B-9397-08002B2CF9AE}" pid="3" name="Creator">
    <vt:lpwstr>Microsoft® Office Word 2007</vt:lpwstr>
  </property>
  <property fmtid="{D5CDD505-2E9C-101B-9397-08002B2CF9AE}" pid="4" name="LastSaved">
    <vt:filetime>2020-05-02T00:00:00Z</vt:filetime>
  </property>
</Properties>
</file>