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50"/>
        <w:ind w:left="674" w:right="1651" w:firstLine="0"/>
        <w:jc w:val="center"/>
        <w:rPr>
          <w:rFonts w:ascii="宋体" w:hAnsi="宋体" w:cs="宋体" w:eastAsia="宋体" w:hint="default"/>
          <w:sz w:val="36"/>
          <w:szCs w:val="36"/>
        </w:rPr>
      </w:pPr>
      <w:r>
        <w:rPr>
          <w:rFonts w:ascii="宋体" w:hAnsi="宋体" w:cs="宋体" w:eastAsia="宋体" w:hint="default"/>
          <w:b/>
          <w:bCs/>
          <w:sz w:val="36"/>
          <w:szCs w:val="36"/>
        </w:rPr>
        <w:t>江苏爱康科技股份有限公司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674" w:right="165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line="2250" w:lineRule="exact"/>
        <w:ind w:left="3835" w:right="0" w:firstLine="0"/>
        <w:rPr>
          <w:rFonts w:ascii="宋体" w:hAnsi="宋体" w:cs="宋体" w:eastAsia="宋体" w:hint="default"/>
          <w:sz w:val="20"/>
          <w:szCs w:val="20"/>
        </w:rPr>
      </w:pPr>
      <w:r>
        <w:rPr>
          <w:rFonts w:ascii="宋体" w:hAnsi="宋体" w:cs="宋体" w:eastAsia="宋体" w:hint="default"/>
          <w:position w:val="-44"/>
          <w:sz w:val="20"/>
          <w:szCs w:val="20"/>
        </w:rPr>
        <w:drawing>
          <wp:inline distT="0" distB="0" distL="0" distR="0">
            <wp:extent cx="1409700" cy="14287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700" cy="1428750"/>
                    </a:xfrm>
                    <a:prstGeom prst="rect">
                      <a:avLst/>
                    </a:prstGeom>
                  </pic:spPr>
                </pic:pic>
              </a:graphicData>
            </a:graphic>
          </wp:inline>
        </w:drawing>
      </w:r>
      <w:r>
        <w:rPr>
          <w:rFonts w:ascii="宋体" w:hAnsi="宋体" w:cs="宋体" w:eastAsia="宋体" w:hint="default"/>
          <w:position w:val="-44"/>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1"/>
        <w:rPr>
          <w:rFonts w:ascii="宋体" w:hAnsi="宋体" w:cs="宋体" w:eastAsia="宋体" w:hint="default"/>
          <w:b/>
          <w:bCs/>
          <w:sz w:val="32"/>
          <w:szCs w:val="32"/>
        </w:rPr>
      </w:pPr>
    </w:p>
    <w:p>
      <w:pPr>
        <w:spacing w:before="0"/>
        <w:ind w:left="674" w:right="165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122"/>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7"/>
        <w:rPr>
          <w:rFonts w:ascii="宋体" w:hAnsi="宋体" w:cs="宋体" w:eastAsia="宋体" w:hint="default"/>
          <w:b/>
          <w:bCs/>
          <w:sz w:val="42"/>
          <w:szCs w:val="42"/>
        </w:rPr>
      </w:pPr>
    </w:p>
    <w:p>
      <w:pPr>
        <w:pStyle w:val="BodyText"/>
        <w:spacing w:line="319" w:lineRule="auto"/>
        <w:ind w:right="1122" w:firstLine="360"/>
        <w:jc w:val="left"/>
      </w:pPr>
      <w:r>
        <w:rPr>
          <w:spacing w:val="-2"/>
        </w:rPr>
        <w:t>公司董事会、监事会及董事、监事、高级管理人员保证年度报告内容的真实、准确、完整，不存在虚假记载、误导性陈</w:t>
      </w:r>
      <w:r>
        <w:rPr/>
        <w:t> 述或重大遗漏，并承担个别和连带的法律责任。</w:t>
      </w:r>
    </w:p>
    <w:p>
      <w:pPr>
        <w:pStyle w:val="BodyText"/>
        <w:spacing w:line="302" w:lineRule="auto" w:before="116"/>
        <w:ind w:right="1122" w:firstLine="360"/>
        <w:jc w:val="left"/>
      </w:pPr>
      <w:r>
        <w:rPr>
          <w:spacing w:val="-1"/>
        </w:rPr>
        <w:t>公司负责人邹承慧、主管会计工作负责人李静及会计机构负责人</w:t>
      </w:r>
      <w:r>
        <w:rPr>
          <w:rFonts w:ascii="Times New Roman" w:hAnsi="Times New Roman" w:cs="Times New Roman" w:eastAsia="Times New Roman" w:hint="default"/>
          <w:spacing w:val="-1"/>
        </w:rPr>
        <w:t>(</w:t>
      </w:r>
      <w:r>
        <w:rPr>
          <w:spacing w:val="-1"/>
        </w:rPr>
        <w:t>会计主管人员</w:t>
      </w:r>
      <w:r>
        <w:rPr>
          <w:rFonts w:ascii="Times New Roman" w:hAnsi="Times New Roman" w:cs="Times New Roman" w:eastAsia="Times New Roman" w:hint="default"/>
          <w:spacing w:val="-1"/>
        </w:rPr>
        <w:t>)</w:t>
      </w:r>
      <w:r>
        <w:rPr>
          <w:spacing w:val="-1"/>
        </w:rPr>
        <w:t>钱健声明：保证年度报告中财务报告的</w:t>
      </w:r>
      <w:r>
        <w:rPr/>
        <w:t> 真实、准确、完整。</w:t>
      </w:r>
    </w:p>
    <w:p>
      <w:pPr>
        <w:pStyle w:val="BodyText"/>
        <w:spacing w:line="240" w:lineRule="auto" w:before="129"/>
        <w:ind w:left="514" w:right="1122"/>
        <w:jc w:val="left"/>
      </w:pPr>
      <w:r>
        <w:rPr/>
        <w:t>所有董事均已出席了审议本报告的董事会会议。</w:t>
      </w:r>
    </w:p>
    <w:p>
      <w:pPr>
        <w:spacing w:line="240" w:lineRule="auto" w:before="5"/>
        <w:rPr>
          <w:rFonts w:ascii="宋体" w:hAnsi="宋体" w:cs="宋体" w:eastAsia="宋体" w:hint="default"/>
          <w:sz w:val="13"/>
          <w:szCs w:val="13"/>
        </w:rPr>
      </w:pPr>
    </w:p>
    <w:p>
      <w:pPr>
        <w:pStyle w:val="BodyText"/>
        <w:spacing w:line="302" w:lineRule="auto"/>
        <w:ind w:right="1122" w:firstLine="360"/>
        <w:jc w:val="left"/>
      </w:pPr>
      <w:r>
        <w:rPr>
          <w:rFonts w:ascii="Times New Roman" w:hAnsi="Times New Roman" w:cs="Times New Roman" w:eastAsia="Times New Roman" w:hint="default"/>
        </w:rPr>
        <w:t>1</w:t>
      </w:r>
      <w:r>
        <w:rPr/>
        <w:t>、政策风险。电站的并网政策与电价补贴的下调等情况会对公司的经营业绩产生不利影响，西部地区的税收优惠政策 的变化将对公司经营业绩产生一定影响。</w:t>
      </w:r>
    </w:p>
    <w:p>
      <w:pPr>
        <w:pStyle w:val="BodyText"/>
        <w:spacing w:line="240" w:lineRule="auto" w:before="130"/>
        <w:ind w:left="514" w:right="1122"/>
        <w:jc w:val="left"/>
      </w:pPr>
      <w:r>
        <w:rPr>
          <w:rFonts w:ascii="Times New Roman" w:hAnsi="Times New Roman" w:cs="Times New Roman" w:eastAsia="Times New Roman" w:hint="default"/>
        </w:rPr>
        <w:t>2</w:t>
      </w:r>
      <w:r>
        <w:rPr/>
        <w:t>、弃光限电风险。若公司光伏电站所在区域出现</w:t>
      </w:r>
      <w:r>
        <w:rPr>
          <w:rFonts w:ascii="Times New Roman" w:hAnsi="Times New Roman" w:cs="Times New Roman" w:eastAsia="Times New Roman" w:hint="default"/>
        </w:rPr>
        <w:t>“</w:t>
      </w:r>
      <w:r>
        <w:rPr/>
        <w:t>弃光限电</w:t>
      </w:r>
      <w:r>
        <w:rPr>
          <w:rFonts w:ascii="Times New Roman" w:hAnsi="Times New Roman" w:cs="Times New Roman" w:eastAsia="Times New Roman" w:hint="default"/>
        </w:rPr>
        <w:t>”</w:t>
      </w:r>
      <w:r>
        <w:rPr/>
        <w:t>的情形，将影响公司的盈利情况。</w:t>
      </w:r>
    </w:p>
    <w:p>
      <w:pPr>
        <w:pStyle w:val="BodyText"/>
        <w:spacing w:line="302" w:lineRule="auto" w:before="161"/>
        <w:ind w:right="1122" w:firstLine="360"/>
        <w:jc w:val="left"/>
      </w:pPr>
      <w:r>
        <w:rPr>
          <w:rFonts w:ascii="Times New Roman" w:hAnsi="Times New Roman" w:cs="Times New Roman" w:eastAsia="Times New Roman" w:hint="default"/>
        </w:rPr>
        <w:t>3</w:t>
      </w:r>
      <w:r>
        <w:rPr/>
        <w:t>、汇率波动风险。公司外销比例较高，而原材料主要在境内采购，如未来人民币短期大幅升值，则将会给公司经营业 绩带来一定不利影响。</w:t>
      </w:r>
    </w:p>
    <w:p>
      <w:pPr>
        <w:pStyle w:val="BodyText"/>
        <w:spacing w:line="240" w:lineRule="auto" w:before="129"/>
        <w:ind w:left="514" w:right="0"/>
        <w:jc w:val="left"/>
      </w:pPr>
      <w:r>
        <w:rPr>
          <w:rFonts w:ascii="Times New Roman" w:hAnsi="Times New Roman" w:cs="Times New Roman" w:eastAsia="Times New Roman" w:hint="default"/>
        </w:rPr>
        <w:t>4</w:t>
      </w:r>
      <w:r>
        <w:rPr/>
        <w:t>、应收帐款和现金流的风险。公司在市场扩张的过程中，存在着扩大销售、争取市场份额和信用政策稳健的相对矛盾。</w:t>
      </w:r>
    </w:p>
    <w:p>
      <w:pPr>
        <w:spacing w:line="240" w:lineRule="auto" w:before="5"/>
        <w:rPr>
          <w:rFonts w:ascii="宋体" w:hAnsi="宋体" w:cs="宋体" w:eastAsia="宋体" w:hint="default"/>
          <w:sz w:val="12"/>
          <w:szCs w:val="12"/>
        </w:rPr>
      </w:pPr>
    </w:p>
    <w:p>
      <w:pPr>
        <w:pStyle w:val="BodyText"/>
        <w:spacing w:line="302" w:lineRule="auto"/>
        <w:ind w:right="1122" w:firstLine="360"/>
        <w:jc w:val="left"/>
      </w:pPr>
      <w:r>
        <w:rPr>
          <w:rFonts w:ascii="Times New Roman" w:hAnsi="Times New Roman" w:cs="Times New Roman" w:eastAsia="Times New Roman" w:hint="default"/>
        </w:rPr>
        <w:t>5</w:t>
      </w:r>
      <w:r>
        <w:rPr/>
        <w:t>、管理风险。在快速发展过程中若公司的生产管理、销售管理、质量控制、风险管理等能力不能适应公司规模迅速扩 张的要求，将会引发相应的管理风险。</w:t>
      </w:r>
    </w:p>
    <w:p>
      <w:pPr>
        <w:pStyle w:val="BodyText"/>
        <w:spacing w:line="240" w:lineRule="auto" w:before="129"/>
        <w:ind w:left="514" w:right="1122"/>
        <w:jc w:val="left"/>
      </w:pPr>
      <w:r>
        <w:rPr/>
        <w:t>公司计划不派发现金红利，不送红股，不以公积金转增股本。</w:t>
      </w:r>
    </w:p>
    <w:p>
      <w:pPr>
        <w:spacing w:after="0" w:line="240" w:lineRule="auto"/>
        <w:jc w:val="left"/>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460" w:lineRule="exact" w:before="0"/>
        <w:ind w:left="674" w:right="165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5</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9</w:t>
            </w:r>
          </w:hyperlink>
        </w:p>
        <w:p>
          <w:pPr>
            <w:pStyle w:val="TOC1"/>
            <w:tabs>
              <w:tab w:pos="9775"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8"/>
              </w:rPr>
              <w:t>11</w:t>
            </w:r>
            <w:r>
              <w:rPr>
                <w:rFonts w:ascii="Times New Roman" w:hAnsi="Times New Roman" w:cs="Times New Roman" w:eastAsia="Times New Roman" w:hint="default"/>
              </w:rPr>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36</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59</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66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67</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77</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82</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86</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246</w:t>
            </w:r>
          </w:hyperlink>
        </w:p>
        <w:p>
          <w:pPr/>
          <w:r>
            <w:fldChar w:fldCharType="end"/>
          </w:r>
        </w:p>
      </w:sdtContent>
    </w:sdt>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5"/>
        <w:rPr>
          <w:rFonts w:ascii="Times New Roman" w:hAnsi="Times New Roman" w:cs="Times New Roman" w:eastAsia="Times New Roman" w:hint="default"/>
          <w:sz w:val="30"/>
          <w:szCs w:val="30"/>
        </w:rPr>
      </w:pPr>
    </w:p>
    <w:p>
      <w:pPr>
        <w:spacing w:before="0"/>
        <w:ind w:left="674" w:right="165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爱康科技、公司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江苏爱康科技股份有限公司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爱康实业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江苏爱康实业集团有限公司，系本公司控股股东</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爱康国际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爱康国际控股有限公司，系本公司控股股东</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爱康投资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江阴爱康投资有限公司，系本公司控股股东</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南通金属</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南通爱康金属科技有限公司，系本公司控股子公司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苏州金属</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苏州爱康金属科技有限公司，系本公司控股子公司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爱康光电</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苏州爱康光电科技有限公司，系本公司控股子公司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中康电力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苏州中康电力运营有限公司，系本公司控股子公司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爱康电力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无锡爱康电力发展有限公司，系本公司控股子公司</w:t>
            </w:r>
          </w:p>
        </w:tc>
      </w:tr>
      <w:tr>
        <w:trPr>
          <w:trHeight w:val="162"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能源工程</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22"/>
              <w:jc w:val="left"/>
              <w:rPr>
                <w:rFonts w:ascii="宋体" w:hAnsi="宋体" w:cs="宋体" w:eastAsia="宋体" w:hint="default"/>
                <w:sz w:val="18"/>
                <w:szCs w:val="18"/>
              </w:rPr>
            </w:pPr>
            <w:r>
              <w:rPr>
                <w:rFonts w:ascii="宋体" w:hAnsi="宋体" w:cs="宋体" w:eastAsia="宋体" w:hint="default"/>
                <w:spacing w:val="-2"/>
                <w:sz w:val="18"/>
                <w:szCs w:val="18"/>
              </w:rPr>
              <w:t>苏州爱康能源工程技术股份有限公司，系本公司控股股东控制的其他</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企业</w:t>
            </w:r>
          </w:p>
        </w:tc>
      </w:tr>
      <w:tr>
        <w:trPr>
          <w:trHeight w:val="391"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赣发租赁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赣州发展融资租赁有限责任公司，系本公司参股子公司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江西金控</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江西省金控融资租赁股份有限公司，系本公司参股子公司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富罗纳租赁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上海爱康富罗纳融资租赁有限公司，系泵送参股子公司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爱康农业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江阴爱康农业科技有限公司，系本公司控股股东控制的其他企业</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爱康薄膜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苏州爱康薄膜新材料有限公司，系本公司控股股东控制的其他企业</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《江苏爱康科技股份有限公司章程》</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亿元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人民币亿元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1593352"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1122"/>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22"/>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爱康科技</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002610</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江苏爱康科技股份有限公司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爱康科技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Jiangsu</w:t>
            </w:r>
            <w:r>
              <w:rPr>
                <w:rFonts w:ascii="Times New Roman"/>
                <w:spacing w:val="-13"/>
                <w:sz w:val="18"/>
              </w:rPr>
              <w:t> </w:t>
            </w:r>
            <w:r>
              <w:rPr>
                <w:rFonts w:ascii="Times New Roman"/>
                <w:sz w:val="18"/>
              </w:rPr>
              <w:t>Akcome</w:t>
            </w:r>
            <w:r>
              <w:rPr>
                <w:rFonts w:ascii="Times New Roman"/>
                <w:spacing w:val="-6"/>
                <w:sz w:val="18"/>
              </w:rPr>
              <w:t> </w:t>
            </w:r>
            <w:r>
              <w:rPr>
                <w:rFonts w:ascii="Times New Roman"/>
                <w:sz w:val="18"/>
              </w:rPr>
              <w:t>Science</w:t>
            </w:r>
            <w:r>
              <w:rPr>
                <w:rFonts w:ascii="Times New Roman"/>
                <w:spacing w:val="-5"/>
                <w:sz w:val="18"/>
              </w:rPr>
              <w:t> </w:t>
            </w:r>
            <w:r>
              <w:rPr>
                <w:rFonts w:ascii="Times New Roman"/>
                <w:sz w:val="18"/>
              </w:rPr>
              <w:t>&amp;</w:t>
            </w:r>
            <w:r>
              <w:rPr>
                <w:rFonts w:ascii="Times New Roman"/>
                <w:spacing w:val="-8"/>
                <w:sz w:val="18"/>
              </w:rPr>
              <w:t> </w:t>
            </w:r>
            <w:r>
              <w:rPr>
                <w:rFonts w:ascii="Times New Roman"/>
                <w:sz w:val="18"/>
              </w:rPr>
              <w:t>Technology</w:t>
            </w:r>
            <w:r>
              <w:rPr>
                <w:rFonts w:ascii="Times New Roman"/>
                <w:spacing w:val="-4"/>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AKCOME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邹承慧</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江苏省江阴市华士工业集中区红苗园区勤丰路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214425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江苏省张家港市经济技术开发区金塘西路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215600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http://www.akcome.com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zhengquanbu@akcome.com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122"/>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ZHANG</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JING</w:t>
            </w:r>
            <w:r>
              <w:rPr>
                <w:rFonts w:ascii="宋体" w:hAnsi="宋体" w:cs="宋体" w:eastAsia="宋体" w:hint="default"/>
                <w:sz w:val="18"/>
                <w:szCs w:val="18"/>
              </w:rPr>
              <w:t>（张静）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周晓萍</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3"/>
              <w:jc w:val="left"/>
              <w:rPr>
                <w:rFonts w:ascii="宋体" w:hAnsi="宋体" w:cs="宋体" w:eastAsia="宋体" w:hint="default"/>
                <w:sz w:val="18"/>
                <w:szCs w:val="18"/>
              </w:rPr>
            </w:pPr>
            <w:r>
              <w:rPr>
                <w:rFonts w:ascii="宋体" w:hAnsi="宋体" w:cs="宋体" w:eastAsia="宋体" w:hint="default"/>
                <w:spacing w:val="3"/>
                <w:sz w:val="18"/>
                <w:szCs w:val="18"/>
              </w:rPr>
              <w:t>江苏省张家港市经济技术开发区金塘西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江苏省张家港市经济技术开发区金塘西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0512-82557563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0512-82557563</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0512-82557644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0512-82557644</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zhengquanbu@akcome.com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zhengquanbu@akcome.com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122"/>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1122"/>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1122"/>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号楼中海地产广场西塔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徐殷鹏、秦松涛</w:t>
            </w:r>
          </w:p>
        </w:tc>
      </w:tr>
    </w:tbl>
    <w:p>
      <w:pPr>
        <w:pStyle w:val="BodyText"/>
        <w:spacing w:line="240" w:lineRule="auto" w:before="51"/>
        <w:ind w:right="1122"/>
        <w:jc w:val="left"/>
      </w:pPr>
      <w:r>
        <w:rPr/>
        <w:t>公司聘请的报告期内履行持续督导职责的保荐机构</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2"/>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t>公司是否需追溯调整或重述以前年度会计数据</w:t>
      </w:r>
    </w:p>
    <w:p>
      <w:pPr>
        <w:pStyle w:val="BodyText"/>
        <w:spacing w:line="240" w:lineRule="auto" w:before="116"/>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54"/>
        <w:gridCol w:w="1713"/>
        <w:gridCol w:w="1560"/>
        <w:gridCol w:w="1701"/>
        <w:gridCol w:w="1631"/>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4,842,707,329.51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4,856,493,249.54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-0.28%</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3,899,266,692.00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125,342,472.05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113,455,312.64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10.48%</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141,227,739.68</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8,101,101.07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2,787,905.11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190.58%</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14,341,817.46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868,538,493.18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871,339,865.98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-0.32%</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27,031,182.44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0.025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0.0350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0.025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0.0350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0.16%</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14,056,677,310.68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17,082,786,381.88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-17.71%</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16,509,525,365.67</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5,867,084,922.05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5,715,066,629.53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2.66%</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5,633,657,156.28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22"/>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1122"/>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122"/>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1,000,421,001.30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1,491,297,744.20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1,179,120,391.04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1,171,868,192.97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14,430,907.09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54,577,785.73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65,119,972.97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-8,786,193.74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-6,364,121.07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55,230,470.37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56,200,409.89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-96,965,658.12</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-119,777,756.64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291,960,564.28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291,925,182.47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404,430,503.07</w:t>
            </w:r>
          </w:p>
        </w:tc>
      </w:tr>
    </w:tbl>
    <w:p>
      <w:pPr>
        <w:pStyle w:val="BodyText"/>
        <w:spacing w:line="240" w:lineRule="auto" w:before="51"/>
        <w:ind w:right="1122"/>
        <w:jc w:val="left"/>
      </w:pPr>
      <w:r>
        <w:rPr/>
        <w:t>上述财务指标或其加总数是否与公司已披露季度报告、半年度报告相关财务指标存在重大差异</w:t>
      </w:r>
    </w:p>
    <w:p>
      <w:pPr>
        <w:pStyle w:val="BodyText"/>
        <w:spacing w:line="240" w:lineRule="auto" w:before="116"/>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1122"/>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5"/>
        <w:gridCol w:w="1571"/>
        <w:gridCol w:w="1559"/>
        <w:gridCol w:w="1559"/>
        <w:gridCol w:w="2764"/>
      </w:tblGrid>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6"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非流动资产处置损益（包括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已计提资产减值准备的冲 销部分）</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25,820,426.27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44,353,769.33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97,698,095.59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主要为报告期公司出售子公司日本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爱康株式会社、部分光伏电站股权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所取得投资收益等。</w:t>
            </w:r>
          </w:p>
        </w:tc>
      </w:tr>
      <w:tr>
        <w:trPr>
          <w:trHeight w:val="1338"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pStyle w:val="TableParagraph"/>
              <w:spacing w:line="319" w:lineRule="auto" w:before="76"/>
              <w:ind w:left="11" w:right="10"/>
              <w:jc w:val="left"/>
              <w:rPr>
                <w:rFonts w:ascii="宋体" w:hAnsi="宋体" w:cs="宋体" w:eastAsia="宋体" w:hint="default"/>
                <w:sz w:val="18"/>
                <w:szCs w:val="18"/>
              </w:rPr>
            </w:pPr>
            <w:r>
              <w:rPr>
                <w:rFonts w:ascii="宋体" w:hAnsi="宋体" w:cs="宋体" w:eastAsia="宋体" w:hint="default"/>
                <w:spacing w:val="-8"/>
                <w:sz w:val="18"/>
                <w:szCs w:val="18"/>
              </w:rPr>
              <w:t>（与企业业务密切相关，按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照国家统一标准定额或定 量享受的政府补助除外）</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121,640,205.12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57,320,778.77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58,482,432.48</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主要系报告期公司收到政府补贴增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加所致。</w:t>
            </w:r>
          </w:p>
        </w:tc>
      </w:tr>
      <w:tr>
        <w:trPr>
          <w:trHeight w:val="714"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1"/>
              <w:jc w:val="left"/>
              <w:rPr>
                <w:rFonts w:ascii="宋体" w:hAnsi="宋体" w:cs="宋体" w:eastAsia="宋体" w:hint="default"/>
                <w:sz w:val="18"/>
                <w:szCs w:val="18"/>
              </w:rPr>
            </w:pPr>
            <w:r>
              <w:rPr>
                <w:rFonts w:ascii="宋体" w:hAnsi="宋体" w:cs="宋体" w:eastAsia="宋体" w:hint="default"/>
                <w:sz w:val="18"/>
                <w:szCs w:val="18"/>
              </w:rPr>
              <w:t>计入当期损益的对非金融 企业收取的资金占用费</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8,736,951.69</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同一控制下企业合并产生 的子公司期初至合并日的 当期净损益</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-610,745.80</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52,481,775.77</w:t>
            </w:r>
          </w:p>
        </w:tc>
        <w:tc>
          <w:tcPr>
            <w:tcW w:w="27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7"/>
        <w:gridCol w:w="293"/>
        <w:gridCol w:w="1266"/>
        <w:gridCol w:w="1559"/>
        <w:gridCol w:w="1559"/>
        <w:gridCol w:w="2764"/>
      </w:tblGrid>
      <w:tr>
        <w:trPr>
          <w:trHeight w:val="2586"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除同公司正常经营业务相 关的有效套期保值业务外 </w:t>
            </w:r>
            <w:r>
              <w:rPr>
                <w:rFonts w:ascii="宋体" w:hAnsi="宋体" w:cs="宋体" w:eastAsia="宋体" w:hint="default"/>
                <w:spacing w:val="-8"/>
                <w:sz w:val="18"/>
                <w:szCs w:val="18"/>
              </w:rPr>
              <w:t>持有交易性金融资产、交易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性金融负债产生的公允价 </w:t>
            </w:r>
            <w:r>
              <w:rPr>
                <w:rFonts w:ascii="宋体" w:hAnsi="宋体" w:cs="宋体" w:eastAsia="宋体" w:hint="default"/>
                <w:spacing w:val="-8"/>
                <w:sz w:val="18"/>
                <w:szCs w:val="18"/>
              </w:rPr>
              <w:t>值变动损益，以及处置交易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性金融资产、交易性金融负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债和可供出售金融资产取 得的投资收益</w:t>
            </w:r>
          </w:p>
        </w:tc>
        <w:tc>
          <w:tcPr>
            <w:tcW w:w="2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26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-9,670,420.80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3,280,207.00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单独进行减值测试的应收 款项减值准备转回</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7" w:right="0"/>
              <w:jc w:val="left"/>
              <w:rPr>
                <w:rFonts w:ascii="Times New Roman" w:hAnsi="Times New Roman" w:cs="Times New Roman" w:eastAsia="Times New Roman" w:hint="default"/>
                <w:sz w:val="18"/>
                <w:szCs w:val="18"/>
              </w:rPr>
            </w:pPr>
            <w:r>
              <w:rPr>
                <w:rFonts w:ascii="Times New Roman"/>
                <w:sz w:val="18"/>
              </w:rPr>
              <w:t>4,283,711.29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4,532,033.86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10,414,456.96</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除上述各项之外的其他营 业外收入和支出</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1" w:right="0"/>
              <w:jc w:val="left"/>
              <w:rPr>
                <w:rFonts w:ascii="Times New Roman" w:hAnsi="Times New Roman" w:cs="Times New Roman" w:eastAsia="Times New Roman" w:hint="default"/>
                <w:sz w:val="18"/>
                <w:szCs w:val="18"/>
              </w:rPr>
            </w:pPr>
            <w:r>
              <w:rPr>
                <w:rFonts w:ascii="Times New Roman"/>
                <w:sz w:val="18"/>
              </w:rPr>
              <w:t>1,995,760.87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43,738,518.50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4,858,890.63</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35,286,873.58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41,605,148.41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61,731,421.62</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（税后）</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5" w:right="0"/>
              <w:jc w:val="left"/>
              <w:rPr>
                <w:rFonts w:ascii="Times New Roman" w:hAnsi="Times New Roman" w:cs="Times New Roman" w:eastAsia="Times New Roman" w:hint="default"/>
                <w:sz w:val="18"/>
                <w:szCs w:val="18"/>
              </w:rPr>
            </w:pPr>
            <w:r>
              <w:rPr>
                <w:rFonts w:ascii="Times New Roman"/>
                <w:sz w:val="18"/>
              </w:rPr>
              <w:t>278,389.88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342,005.72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35,318,307.59</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7" w:right="0"/>
              <w:jc w:val="left"/>
              <w:rPr>
                <w:rFonts w:ascii="Times New Roman" w:hAnsi="Times New Roman" w:cs="Times New Roman" w:eastAsia="Times New Roman" w:hint="default"/>
                <w:sz w:val="18"/>
                <w:szCs w:val="18"/>
              </w:rPr>
            </w:pPr>
            <w:r>
              <w:rPr>
                <w:rFonts w:ascii="Times New Roman"/>
                <w:sz w:val="18"/>
              </w:rPr>
              <w:t>117,241,370.98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110,667,407.53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126,885,922.22</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122"/>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22"/>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16" w:lineRule="auto" w:before="25"/>
        <w:ind w:right="1116"/>
        <w:jc w:val="left"/>
      </w:pPr>
      <w:r>
        <w:rPr>
          <w:rFonts w:ascii="宋体" w:hAnsi="宋体" w:cs="宋体" w:eastAsia="宋体" w:hint="default"/>
          <w:b/>
          <w:bCs/>
        </w:rPr>
        <w:t>1</w:t>
      </w:r>
      <w:r>
        <w:rPr>
          <w:rFonts w:ascii="宋体" w:hAnsi="宋体" w:cs="宋体" w:eastAsia="宋体" w:hint="default"/>
          <w:b/>
          <w:bCs/>
        </w:rPr>
        <w:t>、配件制造板块：</w:t>
      </w:r>
      <w:r>
        <w:rPr/>
        <w:t>主要产品包括太阳能电池铝边框、光伏安装支架、铝型材，以及其他非光伏制造业产品等。作为公司的 传统优势业务，报告期内继续潜心研发、稳健转型，产线自动化率高、产销量稳定。</w:t>
      </w:r>
    </w:p>
    <w:p>
      <w:pPr>
        <w:pStyle w:val="BodyText"/>
        <w:spacing w:line="316" w:lineRule="auto" w:before="19"/>
        <w:ind w:right="1032"/>
        <w:jc w:val="left"/>
      </w:pPr>
      <w:r>
        <w:rPr>
          <w:rFonts w:ascii="宋体" w:hAnsi="宋体" w:cs="宋体" w:eastAsia="宋体" w:hint="default"/>
          <w:b/>
          <w:bCs/>
        </w:rPr>
        <w:t>2</w:t>
      </w:r>
      <w:r>
        <w:rPr>
          <w:rFonts w:ascii="宋体" w:hAnsi="宋体" w:cs="宋体" w:eastAsia="宋体" w:hint="default"/>
          <w:b/>
          <w:bCs/>
        </w:rPr>
        <w:t>、高效光伏电池组件制造板块： </w:t>
      </w:r>
      <w:r>
        <w:rPr/>
        <w:t>公司坚持自建、技术改造和收购并举的战略规划，不断扩充和提升现有产能，同时增加</w:t>
      </w:r>
      <w:r>
        <w:rPr>
          <w:spacing w:val="-14"/>
        </w:rPr>
        <w:t> </w:t>
      </w:r>
      <w:r>
        <w:rPr>
          <w:spacing w:val="-14"/>
        </w:rPr>
      </w:r>
      <w:r>
        <w:rPr>
          <w:spacing w:val="-4"/>
        </w:rPr>
        <w:t>研发力度，在电池、组件制造方面坚持高效路线，已顺利导入</w:t>
      </w:r>
      <w:r>
        <w:rPr>
          <w:rFonts w:ascii="宋体" w:hAnsi="宋体" w:cs="宋体" w:eastAsia="宋体" w:hint="default"/>
          <w:spacing w:val="-4"/>
        </w:rPr>
        <w:t>PERC</w:t>
      </w:r>
      <w:r>
        <w:rPr>
          <w:spacing w:val="-4"/>
        </w:rPr>
        <w:t>高效电池产线，提升了电池效率和优良率及组件主流功率。</w:t>
      </w:r>
      <w:r>
        <w:rPr>
          <w:spacing w:val="-38"/>
        </w:rPr>
        <w:t> </w:t>
      </w:r>
      <w:r>
        <w:rPr>
          <w:spacing w:val="-38"/>
        </w:rPr>
      </w:r>
      <w:r>
        <w:rPr>
          <w:rFonts w:ascii="宋体" w:hAnsi="宋体" w:cs="宋体" w:eastAsia="宋体" w:hint="default"/>
          <w:b/>
          <w:bCs/>
          <w:w w:val="95"/>
        </w:rPr>
        <w:t>3</w:t>
      </w:r>
      <w:r>
        <w:rPr>
          <w:rFonts w:ascii="宋体" w:hAnsi="宋体" w:cs="宋体" w:eastAsia="宋体" w:hint="default"/>
          <w:b/>
          <w:bCs/>
          <w:w w:val="95"/>
        </w:rPr>
        <w:t>、新能源发电与综合电力服务板块：</w:t>
      </w:r>
      <w:r>
        <w:rPr>
          <w:w w:val="95"/>
        </w:rPr>
        <w:t>公司在报告期内出售</w:t>
      </w:r>
      <w:r>
        <w:rPr>
          <w:rFonts w:ascii="宋体" w:hAnsi="宋体" w:cs="宋体" w:eastAsia="宋体" w:hint="default"/>
          <w:w w:val="95"/>
        </w:rPr>
        <w:t>503MW</w:t>
      </w:r>
      <w:r>
        <w:rPr>
          <w:w w:val="95"/>
        </w:rPr>
        <w:t>并网光伏电站，有效地降低了资产负债率，增加了现金流。</w:t>
      </w:r>
      <w:r>
        <w:rPr>
          <w:spacing w:val="51"/>
          <w:w w:val="95"/>
        </w:rPr>
        <w:t> </w:t>
      </w:r>
      <w:r>
        <w:rPr>
          <w:spacing w:val="51"/>
          <w:w w:val="95"/>
        </w:rPr>
      </w:r>
      <w:r>
        <w:rPr>
          <w:spacing w:val="-4"/>
        </w:rPr>
        <w:t>同时作为新能源发电的运维服务商，公司通过专业的运维服务，紧盯发电收益、度电必争、降本增效，通过技改创新等措施，</w:t>
      </w:r>
      <w:r>
        <w:rPr>
          <w:spacing w:val="-44"/>
        </w:rPr>
        <w:t> </w:t>
      </w:r>
      <w:r>
        <w:rPr>
          <w:spacing w:val="-44"/>
        </w:rPr>
      </w:r>
      <w:r>
        <w:rPr>
          <w:spacing w:val="-2"/>
        </w:rPr>
        <w:t>实现电力销售收入</w:t>
      </w:r>
      <w:r>
        <w:rPr>
          <w:rFonts w:ascii="宋体" w:hAnsi="宋体" w:cs="宋体" w:eastAsia="宋体" w:hint="default"/>
          <w:spacing w:val="-2"/>
        </w:rPr>
        <w:t>8.39</w:t>
      </w:r>
      <w:r>
        <w:rPr>
          <w:spacing w:val="-2"/>
        </w:rPr>
        <w:t>亿元。另一方面，公司努力拓展新能源电站代理运维业务积极布局中小企业能源解决方案和用电服务</w:t>
      </w:r>
      <w:r>
        <w:rPr>
          <w:spacing w:val="-60"/>
        </w:rPr>
        <w:t> </w:t>
      </w:r>
      <w:r>
        <w:rPr>
          <w:spacing w:val="-60"/>
        </w:rPr>
      </w:r>
      <w:r>
        <w:rPr>
          <w:spacing w:val="-2"/>
        </w:rPr>
        <w:t>市场，目前管理电站规模</w:t>
      </w:r>
      <w:r>
        <w:rPr>
          <w:rFonts w:ascii="宋体" w:hAnsi="宋体" w:cs="宋体" w:eastAsia="宋体" w:hint="default"/>
          <w:spacing w:val="-2"/>
        </w:rPr>
        <w:t>1.4GW</w:t>
      </w:r>
      <w:r>
        <w:rPr>
          <w:spacing w:val="-2"/>
        </w:rPr>
        <w:t>，其中代理运营浙能集团、招商资本等持有的电站约</w:t>
      </w:r>
      <w:r>
        <w:rPr>
          <w:rFonts w:ascii="宋体" w:hAnsi="宋体" w:cs="宋体" w:eastAsia="宋体" w:hint="default"/>
          <w:spacing w:val="-2"/>
        </w:rPr>
        <w:t>700MW</w:t>
      </w:r>
      <w:r>
        <w:rPr>
          <w:spacing w:val="-2"/>
        </w:rPr>
        <w:t>；售电业务在</w:t>
      </w:r>
      <w:r>
        <w:rPr>
          <w:rFonts w:ascii="宋体" w:hAnsi="宋体" w:cs="宋体" w:eastAsia="宋体" w:hint="default"/>
          <w:spacing w:val="-2"/>
        </w:rPr>
        <w:t>15</w:t>
      </w:r>
      <w:r>
        <w:rPr>
          <w:spacing w:val="-2"/>
        </w:rPr>
        <w:t>个电力交易中心完</w:t>
      </w:r>
      <w:r>
        <w:rPr>
          <w:spacing w:val="-54"/>
        </w:rPr>
        <w:t> </w:t>
      </w:r>
      <w:r>
        <w:rPr/>
        <w:t>成市场准入。</w:t>
      </w:r>
    </w:p>
    <w:p>
      <w:pPr>
        <w:spacing w:line="240" w:lineRule="auto" w:before="10"/>
        <w:rPr>
          <w:rFonts w:ascii="宋体" w:hAnsi="宋体" w:cs="宋体" w:eastAsia="宋体" w:hint="default"/>
          <w:sz w:val="20"/>
          <w:szCs w:val="20"/>
        </w:rPr>
      </w:pPr>
    </w:p>
    <w:p>
      <w:pPr>
        <w:pStyle w:val="Heading2"/>
        <w:spacing w:line="240" w:lineRule="auto"/>
        <w:ind w:right="1122"/>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pStyle w:val="BodyText"/>
        <w:spacing w:line="240" w:lineRule="auto" w:before="44"/>
        <w:ind w:left="0" w:right="1139"/>
        <w:jc w:val="right"/>
      </w:pPr>
      <w:r>
        <w:rPr/>
        <w:pict>
          <v:shape style="position:absolute;margin-left:57.029999pt;margin-top:-39.068291pt;width:478.6pt;height:197.1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17"/>
                    <w:gridCol w:w="7441"/>
                  </w:tblGrid>
                  <w:tr>
                    <w:trPr>
                      <w:trHeight w:val="186" w:hRule="exact"/>
                    </w:trPr>
                    <w:tc>
                      <w:tcPr>
                        <w:tcW w:w="2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44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1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4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21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44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3" w:hRule="exact"/>
                    </w:trPr>
                    <w:tc>
                      <w:tcPr>
                        <w:tcW w:w="2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441" w:type="dxa"/>
                        <w:vMerge w:val="restart"/>
                        <w:tcBorders>
                          <w:top w:val="single" w:sz="4" w:space="0" w:color="000000"/>
                          <w:left w:val="single" w:sz="9" w:space="0" w:color="D2D2D2"/>
                          <w:right w:val="single" w:sz="4" w:space="0" w:color="000000"/>
                        </w:tcBorders>
                      </w:tcPr>
                      <w:p>
                        <w:pPr>
                          <w:pStyle w:val="TableParagraph"/>
                          <w:spacing w:line="307" w:lineRule="auto" w:before="51"/>
                          <w:ind w:left="16" w:right="-2"/>
                          <w:jc w:val="left"/>
                          <w:rPr>
                            <w:rFonts w:ascii="宋体" w:hAnsi="宋体" w:cs="宋体" w:eastAsia="宋体" w:hint="default"/>
                            <w:sz w:val="18"/>
                            <w:szCs w:val="18"/>
                          </w:rPr>
                        </w:pPr>
                        <w:r>
                          <w:rPr>
                            <w:rFonts w:ascii="宋体" w:hAnsi="宋体" w:cs="宋体" w:eastAsia="宋体" w:hint="default"/>
                            <w:sz w:val="18"/>
                            <w:szCs w:val="18"/>
                          </w:rPr>
                          <w:t>较年初增加了</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50.26%</w:t>
                        </w:r>
                        <w:r>
                          <w:rPr>
                            <w:rFonts w:ascii="宋体" w:hAnsi="宋体" w:cs="宋体" w:eastAsia="宋体" w:hint="default"/>
                            <w:spacing w:val="-3"/>
                            <w:sz w:val="18"/>
                            <w:szCs w:val="18"/>
                          </w:rPr>
                          <w:t>，报告期内公司购买了苏州爱康能源工程技术股份有限公司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9.76%</w:t>
                        </w:r>
                        <w:r>
                          <w:rPr>
                            <w:rFonts w:ascii="宋体" w:hAnsi="宋体" w:cs="宋体" w:eastAsia="宋体" w:hint="default"/>
                            <w:sz w:val="18"/>
                            <w:szCs w:val="18"/>
                          </w:rPr>
                          <w:t>的股权</w:t>
                        </w:r>
                        <w:r>
                          <w:rPr>
                            <w:rFonts w:ascii="宋体" w:hAnsi="宋体" w:cs="宋体" w:eastAsia="宋体" w:hint="default"/>
                            <w:spacing w:val="-88"/>
                            <w:sz w:val="18"/>
                            <w:szCs w:val="18"/>
                          </w:rPr>
                          <w:t> </w:t>
                        </w:r>
                        <w:r>
                          <w:rPr>
                            <w:rFonts w:ascii="宋体" w:hAnsi="宋体" w:cs="宋体" w:eastAsia="宋体" w:hint="default"/>
                            <w:sz w:val="18"/>
                            <w:szCs w:val="18"/>
                          </w:rPr>
                          <w:t>江西省金控融资租赁股份有限公司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的股权、九州方园博乐市新能源有限公司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的股权， 增资了赣州发展融资租赁有限责任公司。同时，报告期公司联营企业均获得较好的收益。上述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因素致报告期公司长期股权投资净额有较大幅度的上升。</w:t>
                        </w:r>
                      </w:p>
                    </w:tc>
                  </w:tr>
                  <w:tr>
                    <w:trPr>
                      <w:trHeight w:val="392" w:hRule="exact"/>
                    </w:trPr>
                    <w:tc>
                      <w:tcPr>
                        <w:tcW w:w="21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441" w:type="dxa"/>
                        <w:vMerge/>
                        <w:tcBorders>
                          <w:left w:val="single" w:sz="9" w:space="0" w:color="D2D2D2"/>
                          <w:right w:val="single" w:sz="4" w:space="0" w:color="000000"/>
                        </w:tcBorders>
                      </w:tcPr>
                      <w:p>
                        <w:pPr/>
                      </w:p>
                    </w:tc>
                  </w:tr>
                  <w:tr>
                    <w:trPr>
                      <w:trHeight w:val="473" w:hRule="exact"/>
                    </w:trPr>
                    <w:tc>
                      <w:tcPr>
                        <w:tcW w:w="21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441" w:type="dxa"/>
                        <w:vMerge/>
                        <w:tcBorders>
                          <w:left w:val="single" w:sz="9" w:space="0" w:color="D2D2D2"/>
                          <w:bottom w:val="single" w:sz="4" w:space="0" w:color="000000"/>
                          <w:right w:val="single" w:sz="4" w:space="0" w:color="000000"/>
                        </w:tcBorders>
                      </w:tcPr>
                      <w:p>
                        <w:pPr/>
                      </w:p>
                    </w:tc>
                  </w:tr>
                  <w:tr>
                    <w:trPr>
                      <w:trHeight w:val="161" w:hRule="exact"/>
                    </w:trPr>
                    <w:tc>
                      <w:tcPr>
                        <w:tcW w:w="2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441"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40.23%</w:t>
                        </w:r>
                        <w:r>
                          <w:rPr>
                            <w:rFonts w:ascii="宋体" w:hAnsi="宋体" w:cs="宋体" w:eastAsia="宋体" w:hint="default"/>
                            <w:sz w:val="18"/>
                            <w:szCs w:val="18"/>
                          </w:rPr>
                          <w:t>，主要系报告期除正常折旧减少固定资产净值外，公司出售</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503MW</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光伏电 站致固定资产净值大幅减少。</w:t>
                        </w:r>
                      </w:p>
                    </w:tc>
                  </w:tr>
                  <w:tr>
                    <w:trPr>
                      <w:trHeight w:val="392" w:hRule="exact"/>
                    </w:trPr>
                    <w:tc>
                      <w:tcPr>
                        <w:tcW w:w="21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441" w:type="dxa"/>
                        <w:vMerge/>
                        <w:tcBorders>
                          <w:left w:val="single" w:sz="9" w:space="0" w:color="D2D2D2"/>
                          <w:right w:val="single" w:sz="4" w:space="0" w:color="000000"/>
                        </w:tcBorders>
                      </w:tcPr>
                      <w:p>
                        <w:pPr/>
                      </w:p>
                    </w:tc>
                  </w:tr>
                  <w:tr>
                    <w:trPr>
                      <w:trHeight w:val="161" w:hRule="exact"/>
                    </w:trPr>
                    <w:tc>
                      <w:tcPr>
                        <w:tcW w:w="21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441" w:type="dxa"/>
                        <w:vMerge/>
                        <w:tcBorders>
                          <w:left w:val="single" w:sz="9" w:space="0" w:color="D2D2D2"/>
                          <w:bottom w:val="single" w:sz="4" w:space="0" w:color="000000"/>
                          <w:right w:val="single" w:sz="4" w:space="0" w:color="000000"/>
                        </w:tcBorders>
                      </w:tcPr>
                      <w:p>
                        <w:pP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4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18.44%</w:t>
                        </w:r>
                        <w:r>
                          <w:rPr>
                            <w:rFonts w:ascii="宋体" w:hAnsi="宋体" w:cs="宋体" w:eastAsia="宋体" w:hint="default"/>
                            <w:sz w:val="18"/>
                            <w:szCs w:val="18"/>
                          </w:rPr>
                          <w:t>，主要系报告期出售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503MW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光伏电站致无形资产特许经营权减少所致。</w:t>
                        </w:r>
                      </w:p>
                    </w:tc>
                  </w:tr>
                  <w:tr>
                    <w:trPr>
                      <w:trHeight w:val="161" w:hRule="exact"/>
                    </w:trPr>
                    <w:tc>
                      <w:tcPr>
                        <w:tcW w:w="2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441"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3"/>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91.39%</w:t>
                        </w:r>
                        <w:r>
                          <w:rPr>
                            <w:rFonts w:ascii="宋体" w:hAnsi="宋体" w:cs="宋体" w:eastAsia="宋体" w:hint="default"/>
                            <w:sz w:val="18"/>
                            <w:szCs w:val="18"/>
                          </w:rPr>
                          <w:t>，主要系报告期在建光伏电站项目并网、赣州</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600MW</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组件项目及</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PERC</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车 间技改项目完工转固所致。</w:t>
                        </w:r>
                      </w:p>
                    </w:tc>
                  </w:tr>
                  <w:tr>
                    <w:trPr>
                      <w:trHeight w:val="392" w:hRule="exact"/>
                    </w:trPr>
                    <w:tc>
                      <w:tcPr>
                        <w:tcW w:w="21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441" w:type="dxa"/>
                        <w:vMerge/>
                        <w:tcBorders>
                          <w:left w:val="single" w:sz="9" w:space="0" w:color="D2D2D2"/>
                          <w:right w:val="single" w:sz="4" w:space="0" w:color="000000"/>
                        </w:tcBorders>
                      </w:tcPr>
                      <w:p>
                        <w:pPr/>
                      </w:p>
                    </w:tc>
                  </w:tr>
                  <w:tr>
                    <w:trPr>
                      <w:trHeight w:val="161" w:hRule="exact"/>
                    </w:trPr>
                    <w:tc>
                      <w:tcPr>
                        <w:tcW w:w="21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441" w:type="dxa"/>
                        <w:vMerge/>
                        <w:tcBorders>
                          <w:left w:val="single" w:sz="9" w:space="0" w:color="D2D2D2"/>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Heading3"/>
        <w:spacing w:line="240" w:lineRule="auto" w:before="35"/>
        <w:ind w:right="1122"/>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76"/>
        <w:gridCol w:w="568"/>
        <w:gridCol w:w="1346"/>
        <w:gridCol w:w="780"/>
        <w:gridCol w:w="851"/>
        <w:gridCol w:w="1276"/>
        <w:gridCol w:w="993"/>
        <w:gridCol w:w="1420"/>
        <w:gridCol w:w="1061"/>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42" w:right="93" w:hanging="451"/>
              <w:jc w:val="left"/>
              <w:rPr>
                <w:rFonts w:ascii="宋体" w:hAnsi="宋体" w:cs="宋体" w:eastAsia="宋体" w:hint="default"/>
                <w:sz w:val="18"/>
                <w:szCs w:val="18"/>
              </w:rPr>
            </w:pPr>
            <w:r>
              <w:rPr>
                <w:rFonts w:ascii="宋体" w:hAnsi="宋体" w:cs="宋体" w:eastAsia="宋体" w:hint="default"/>
                <w:sz w:val="18"/>
                <w:szCs w:val="18"/>
              </w:rPr>
              <w:t>资产的具体内 容</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9" w:right="96"/>
              <w:jc w:val="left"/>
              <w:rPr>
                <w:rFonts w:ascii="宋体" w:hAnsi="宋体" w:cs="宋体" w:eastAsia="宋体" w:hint="default"/>
                <w:sz w:val="18"/>
                <w:szCs w:val="18"/>
              </w:rPr>
            </w:pPr>
            <w:r>
              <w:rPr>
                <w:rFonts w:ascii="宋体" w:hAnsi="宋体" w:cs="宋体" w:eastAsia="宋体" w:hint="default"/>
                <w:sz w:val="18"/>
                <w:szCs w:val="18"/>
              </w:rPr>
              <w:t>形成 原因</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资产规模</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所在地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运营模式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left"/>
              <w:rPr>
                <w:rFonts w:ascii="宋体" w:hAnsi="宋体" w:cs="宋体" w:eastAsia="宋体" w:hint="default"/>
                <w:sz w:val="18"/>
                <w:szCs w:val="18"/>
              </w:rPr>
            </w:pPr>
            <w:r>
              <w:rPr>
                <w:rFonts w:ascii="宋体" w:hAnsi="宋体" w:cs="宋体" w:eastAsia="宋体" w:hint="default"/>
                <w:sz w:val="18"/>
                <w:szCs w:val="18"/>
              </w:rPr>
              <w:t>保障资产安全 性的控制措施</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收益状况</w:t>
            </w:r>
          </w:p>
        </w:tc>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64" w:right="73" w:hanging="90"/>
              <w:jc w:val="left"/>
              <w:rPr>
                <w:rFonts w:ascii="宋体" w:hAnsi="宋体" w:cs="宋体" w:eastAsia="宋体" w:hint="default"/>
                <w:sz w:val="18"/>
                <w:szCs w:val="18"/>
              </w:rPr>
            </w:pPr>
            <w:r>
              <w:rPr>
                <w:rFonts w:ascii="宋体" w:hAnsi="宋体" w:cs="宋体" w:eastAsia="宋体" w:hint="default"/>
                <w:sz w:val="18"/>
                <w:szCs w:val="18"/>
              </w:rPr>
              <w:t>境外资产占公司 净资产的比重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5" w:right="73"/>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67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159" w:right="46" w:hanging="113"/>
              <w:jc w:val="left"/>
              <w:rPr>
                <w:rFonts w:ascii="Times New Roman" w:hAnsi="Times New Roman" w:cs="Times New Roman" w:eastAsia="Times New Roman" w:hint="default"/>
                <w:sz w:val="18"/>
                <w:szCs w:val="18"/>
              </w:rPr>
            </w:pPr>
            <w:r>
              <w:rPr>
                <w:rFonts w:ascii="Times New Roman"/>
                <w:sz w:val="18"/>
              </w:rPr>
              <w:t>Akcome</w:t>
            </w:r>
            <w:r>
              <w:rPr>
                <w:rFonts w:ascii="Times New Roman"/>
                <w:spacing w:val="-5"/>
                <w:sz w:val="18"/>
              </w:rPr>
              <w:t> </w:t>
            </w:r>
            <w:r>
              <w:rPr>
                <w:rFonts w:ascii="Times New Roman"/>
                <w:sz w:val="18"/>
              </w:rPr>
              <w:t>Energy</w:t>
            </w:r>
            <w:r>
              <w:rPr>
                <w:rFonts w:ascii="Times New Roman"/>
                <w:w w:val="99"/>
                <w:sz w:val="18"/>
              </w:rPr>
              <w:t> </w:t>
            </w:r>
            <w:r>
              <w:rPr>
                <w:rFonts w:ascii="Times New Roman"/>
                <w:sz w:val="18"/>
              </w:rPr>
              <w:t>Australia</w:t>
            </w:r>
            <w:r>
              <w:rPr>
                <w:rFonts w:ascii="Times New Roman"/>
                <w:spacing w:val="-5"/>
                <w:sz w:val="18"/>
              </w:rPr>
              <w:t> </w:t>
            </w:r>
            <w:r>
              <w:rPr>
                <w:rFonts w:ascii="Times New Roman"/>
                <w:sz w:val="18"/>
              </w:rPr>
              <w:t>Pty</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2,535.63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澳大利亚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光伏发电</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加强风险管控</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162.04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0.43%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76"/>
        <w:gridCol w:w="568"/>
        <w:gridCol w:w="1346"/>
        <w:gridCol w:w="780"/>
        <w:gridCol w:w="851"/>
        <w:gridCol w:w="1276"/>
        <w:gridCol w:w="993"/>
        <w:gridCol w:w="1420"/>
        <w:gridCol w:w="1061"/>
      </w:tblGrid>
      <w:tr>
        <w:trPr>
          <w:trHeight w:val="36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Ltd.</w:t>
            </w:r>
          </w:p>
        </w:tc>
        <w:tc>
          <w:tcPr>
            <w:tcW w:w="56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1122"/>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6" w:lineRule="auto" w:before="28"/>
        <w:ind w:left="514" w:right="1122" w:hanging="360"/>
        <w:jc w:val="left"/>
      </w:pPr>
      <w:r>
        <w:rPr>
          <w:rFonts w:ascii="宋体" w:hAnsi="宋体" w:cs="宋体" w:eastAsia="宋体" w:hint="default"/>
          <w:b/>
          <w:bCs/>
        </w:rPr>
        <w:t>（一）、公司的市场地位</w:t>
      </w:r>
      <w:r>
        <w:rPr>
          <w:rFonts w:ascii="宋体" w:hAnsi="宋体" w:cs="宋体" w:eastAsia="宋体" w:hint="default"/>
          <w:b/>
          <w:bCs/>
          <w:w w:val="99"/>
        </w:rPr>
        <w:t> </w:t>
      </w:r>
      <w:r>
        <w:rPr>
          <w:spacing w:val="-2"/>
        </w:rPr>
        <w:t>公司作为国内首家光伏配件上市企业，主要产品包括太阳能电池铝边框、支架等，长期在光伏配件领域占据细分龙头地</w:t>
      </w:r>
    </w:p>
    <w:p>
      <w:pPr>
        <w:pStyle w:val="BodyText"/>
        <w:spacing w:line="316" w:lineRule="auto" w:before="19"/>
        <w:ind w:right="0"/>
        <w:jc w:val="left"/>
      </w:pPr>
      <w:r>
        <w:rPr>
          <w:spacing w:val="-4"/>
        </w:rPr>
        <w:t>位。随着平价上网的推进，公司光伏电池组件业务率先通过差异化、多措并举的战略在扩大产能的同时，不断提升产品效率，</w:t>
      </w:r>
      <w:r>
        <w:rPr>
          <w:spacing w:val="-46"/>
        </w:rPr>
        <w:t> </w:t>
      </w:r>
      <w:r>
        <w:rPr>
          <w:spacing w:val="-46"/>
        </w:rPr>
      </w:r>
      <w:r>
        <w:rPr>
          <w:spacing w:val="-2"/>
        </w:rPr>
        <w:t>正向着高效电池组件制造商迈进。发电及综合能源服务方面，公司是新能源发电与综合能源服务先行者，累计运维电站量已</w:t>
      </w:r>
      <w:r>
        <w:rPr>
          <w:spacing w:val="-66"/>
        </w:rPr>
        <w:t> </w:t>
      </w:r>
      <w:r>
        <w:rPr>
          <w:spacing w:val="-66"/>
        </w:rPr>
      </w:r>
      <w:r>
        <w:rPr/>
        <w:t>处在国内同行业民营企业的前列。通过以上布局，公司已全方位打通能源生产到消费的产业链。</w:t>
      </w:r>
    </w:p>
    <w:p>
      <w:pPr>
        <w:pStyle w:val="Heading5"/>
        <w:spacing w:line="240" w:lineRule="auto" w:before="19"/>
        <w:ind w:left="154" w:right="1122"/>
        <w:jc w:val="left"/>
        <w:rPr>
          <w:b w:val="0"/>
          <w:bCs w:val="0"/>
        </w:rPr>
      </w:pPr>
      <w:r>
        <w:rPr/>
        <w:t>（二）、公司的竞争优势</w:t>
      </w:r>
      <w:r>
        <w:rPr>
          <w:b w:val="0"/>
          <w:bCs w:val="0"/>
        </w:rPr>
      </w:r>
    </w:p>
    <w:p>
      <w:pPr>
        <w:pStyle w:val="BodyText"/>
        <w:spacing w:line="300" w:lineRule="auto" w:before="76"/>
        <w:ind w:right="0" w:firstLine="360"/>
        <w:jc w:val="left"/>
      </w:pPr>
      <w:r>
        <w:rPr>
          <w:rFonts w:ascii="Times New Roman" w:hAnsi="Times New Roman" w:cs="Times New Roman" w:eastAsia="Times New Roman" w:hint="default"/>
          <w:spacing w:val="-2"/>
        </w:rPr>
        <w:t>1</w:t>
      </w:r>
      <w:r>
        <w:rPr>
          <w:spacing w:val="-2"/>
        </w:rPr>
        <w:t>、产业链优势。公司以边框支架等配件制造、光伏电池与组件生产、电站运维业务为核心，业务涵盖全产业链上下游，</w:t>
      </w:r>
      <w:r>
        <w:rPr/>
        <w:t> 具有显著的产业链优势。</w:t>
      </w:r>
    </w:p>
    <w:p>
      <w:pPr>
        <w:pStyle w:val="BodyText"/>
        <w:spacing w:line="312" w:lineRule="auto" w:before="31"/>
        <w:ind w:right="1032" w:firstLine="360"/>
        <w:jc w:val="left"/>
      </w:pPr>
      <w:r>
        <w:rPr>
          <w:rFonts w:ascii="Times New Roman" w:hAnsi="Times New Roman" w:cs="Times New Roman" w:eastAsia="Times New Roman" w:hint="default"/>
        </w:rPr>
        <w:t>2</w:t>
      </w:r>
      <w:r>
        <w:rPr/>
        <w:t>、客户资源优势。自成立以来，公司凭借着优质的产品与服务，赢得了大批优质客户，包括国际知名企业与实力雄厚 </w:t>
      </w:r>
      <w:r>
        <w:rPr>
          <w:spacing w:val="-4"/>
        </w:rPr>
        <w:t>的大国企。以光伏电池铝边框业务为例，公司的核心客户包括住商、友达、韩华、隆基、</w:t>
      </w:r>
      <w:r>
        <w:rPr>
          <w:rFonts w:ascii="Times New Roman" w:hAnsi="Times New Roman" w:cs="Times New Roman" w:eastAsia="Times New Roman" w:hint="default"/>
          <w:spacing w:val="-4"/>
        </w:rPr>
        <w:t>SUNPOWER</w:t>
      </w:r>
      <w:r>
        <w:rPr>
          <w:spacing w:val="-4"/>
        </w:rPr>
        <w:t>、晶澳、</w:t>
      </w:r>
      <w:r>
        <w:rPr>
          <w:rFonts w:ascii="Times New Roman" w:hAnsi="Times New Roman" w:cs="Times New Roman" w:eastAsia="Times New Roman" w:hint="default"/>
          <w:spacing w:val="-4"/>
        </w:rPr>
        <w:t>FIRST </w:t>
      </w:r>
      <w:r>
        <w:rPr>
          <w:rFonts w:ascii="Times New Roman" w:hAnsi="Times New Roman" w:cs="Times New Roman" w:eastAsia="Times New Roman" w:hint="default"/>
        </w:rPr>
        <w:t>SOLAR</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等。同时，公司与浙能集团等大型能源集团均建立了长期战略合作伙伴关系，在电站开发、投资等方面都开展了全面合作。 </w:t>
      </w:r>
      <w:r>
        <w:rPr>
          <w:spacing w:val="-2"/>
        </w:rPr>
        <w:t>公司长期以来积累的这部分优质客户，具有信誉良好与需求稳定的特点，并且具有较强的抗风险能力。通过长期的合作，公</w:t>
      </w:r>
      <w:r>
        <w:rPr>
          <w:spacing w:val="-66"/>
        </w:rPr>
        <w:t> </w:t>
      </w:r>
      <w:r>
        <w:rPr>
          <w:spacing w:val="-66"/>
        </w:rPr>
      </w:r>
      <w:r>
        <w:rPr>
          <w:spacing w:val="-2"/>
        </w:rPr>
        <w:t>司已经获得了这些优质客户的认可，并逐步建立了长期稳定的合作关系，而公司主要制造类产品为光伏配件领域，客户资源</w:t>
      </w:r>
      <w:r>
        <w:rPr>
          <w:spacing w:val="-66"/>
        </w:rPr>
        <w:t> </w:t>
      </w:r>
      <w:r>
        <w:rPr>
          <w:spacing w:val="-66"/>
        </w:rPr>
      </w:r>
      <w:r>
        <w:rPr/>
        <w:t>具有一定交叉性，优质客户的背书对于新产品的推广也将大有助益。</w:t>
      </w:r>
    </w:p>
    <w:p>
      <w:pPr>
        <w:pStyle w:val="BodyText"/>
        <w:spacing w:line="312" w:lineRule="auto" w:before="22"/>
        <w:ind w:right="1131" w:firstLine="360"/>
        <w:jc w:val="both"/>
      </w:pPr>
      <w:r>
        <w:rPr>
          <w:rFonts w:ascii="Times New Roman" w:hAnsi="Times New Roman" w:cs="Times New Roman" w:eastAsia="Times New Roman" w:hint="default"/>
        </w:rPr>
        <w:t>3</w:t>
      </w:r>
      <w:r>
        <w:rPr/>
        <w:t>、太阳能光伏发电先发优势。公司自</w:t>
      </w:r>
      <w:r>
        <w:rPr>
          <w:rFonts w:ascii="Times New Roman" w:hAnsi="Times New Roman" w:cs="Times New Roman" w:eastAsia="Times New Roman" w:hint="default"/>
        </w:rPr>
        <w:t>2011</w:t>
      </w:r>
      <w:r>
        <w:rPr/>
        <w:t>年进入光伏发电领域，累计运维管理容量约</w:t>
      </w:r>
      <w:r>
        <w:rPr>
          <w:rFonts w:ascii="Times New Roman" w:hAnsi="Times New Roman" w:cs="Times New Roman" w:eastAsia="Times New Roman" w:hint="default"/>
        </w:rPr>
        <w:t>1.4GW</w:t>
      </w:r>
      <w:r>
        <w:rPr/>
        <w:t>，通过上述项目的投资运 </w:t>
      </w:r>
      <w:r>
        <w:rPr>
          <w:spacing w:val="-2"/>
        </w:rPr>
        <w:t>营、出售，公司积累了丰富的投资、开发、运维经验，搭建了成熟的盈利模式。储备了足够的技术和管理人才，具备了从开</w:t>
      </w:r>
      <w:r>
        <w:rPr>
          <w:spacing w:val="-72"/>
        </w:rPr>
        <w:t> </w:t>
      </w:r>
      <w:r>
        <w:rPr>
          <w:spacing w:val="-72"/>
        </w:rPr>
      </w:r>
      <w:r>
        <w:rPr>
          <w:spacing w:val="-2"/>
        </w:rPr>
        <w:t>发、设计、建设到运维的电站全寿命期管理能力和技术解决能力，具有行业领先的专业化、精细化、标准化、信息化和智能</w:t>
      </w:r>
      <w:r>
        <w:rPr>
          <w:spacing w:val="-69"/>
        </w:rPr>
        <w:t> </w:t>
      </w:r>
      <w:r>
        <w:rPr>
          <w:spacing w:val="-69"/>
        </w:rPr>
      </w:r>
      <w:r>
        <w:rPr/>
        <w:t>化运营管理体系和信息化平台。公司运维的各电站发电能力和成本管控能力目前均处于行业领先水平。</w:t>
      </w:r>
    </w:p>
    <w:p>
      <w:pPr>
        <w:spacing w:after="0" w:line="312"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1122"/>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22"/>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公司是中国较早投身光伏新能源事业的民营企业之一。从</w:t>
      </w:r>
      <w:r>
        <w:rPr>
          <w:rFonts w:ascii="宋体" w:hAnsi="宋体" w:cs="宋体" w:eastAsia="宋体" w:hint="default"/>
          <w:spacing w:val="-2"/>
        </w:rPr>
        <w:t>2006</w:t>
      </w:r>
      <w:r>
        <w:rPr>
          <w:spacing w:val="-2"/>
        </w:rPr>
        <w:t>年成立至今，通过三次战略转型，逐步成为目前拥有三大</w:t>
      </w:r>
      <w:r>
        <w:rPr/>
        <w:t> </w:t>
      </w:r>
      <w:r>
        <w:rPr>
          <w:spacing w:val="-2"/>
        </w:rPr>
        <w:t>核心业务的新能源综合服务商。第一次，</w:t>
      </w:r>
      <w:r>
        <w:rPr>
          <w:rFonts w:ascii="宋体" w:hAnsi="宋体" w:cs="宋体" w:eastAsia="宋体" w:hint="default"/>
          <w:spacing w:val="-2"/>
        </w:rPr>
        <w:t>2006</w:t>
      </w:r>
      <w:r>
        <w:rPr>
          <w:spacing w:val="-2"/>
        </w:rPr>
        <w:t>年至</w:t>
      </w:r>
      <w:r>
        <w:rPr>
          <w:rFonts w:ascii="宋体" w:hAnsi="宋体" w:cs="宋体" w:eastAsia="宋体" w:hint="default"/>
          <w:spacing w:val="-2"/>
        </w:rPr>
        <w:t>2010</w:t>
      </w:r>
      <w:r>
        <w:rPr>
          <w:spacing w:val="-2"/>
        </w:rPr>
        <w:t>年，公司专注于光伏配件制造领域，确立了光伏制造板块细分产品的</w:t>
      </w:r>
      <w:r>
        <w:rPr>
          <w:spacing w:val="-58"/>
        </w:rPr>
        <w:t> </w:t>
      </w:r>
      <w:r>
        <w:rPr>
          <w:spacing w:val="-58"/>
        </w:rPr>
      </w:r>
      <w:r>
        <w:rPr>
          <w:spacing w:val="-2"/>
        </w:rPr>
        <w:t>龙头地位；第二次，</w:t>
      </w:r>
      <w:r>
        <w:rPr>
          <w:rFonts w:ascii="宋体" w:hAnsi="宋体" w:cs="宋体" w:eastAsia="宋体" w:hint="default"/>
          <w:spacing w:val="-2"/>
        </w:rPr>
        <w:t>2011</w:t>
      </w:r>
      <w:r>
        <w:rPr>
          <w:spacing w:val="-2"/>
        </w:rPr>
        <w:t>年至</w:t>
      </w:r>
      <w:r>
        <w:rPr>
          <w:rFonts w:ascii="宋体" w:hAnsi="宋体" w:cs="宋体" w:eastAsia="宋体" w:hint="default"/>
          <w:spacing w:val="-2"/>
        </w:rPr>
        <w:t>2015</w:t>
      </w:r>
      <w:r>
        <w:rPr>
          <w:spacing w:val="-2"/>
        </w:rPr>
        <w:t>年，以光伏电站投资为核心，公司完成了从配件供应商到电站运营商的转型，并确立了自</w:t>
      </w:r>
      <w:r>
        <w:rPr>
          <w:spacing w:val="-58"/>
        </w:rPr>
        <w:t> </w:t>
      </w:r>
      <w:r>
        <w:rPr>
          <w:spacing w:val="-58"/>
        </w:rPr>
      </w:r>
      <w:r>
        <w:rPr>
          <w:spacing w:val="-2"/>
        </w:rPr>
        <w:t>身民营光伏电站运维领军者的地位；第三次，</w:t>
      </w:r>
      <w:r>
        <w:rPr>
          <w:rFonts w:ascii="宋体" w:hAnsi="宋体" w:cs="宋体" w:eastAsia="宋体" w:hint="default"/>
          <w:spacing w:val="-2"/>
        </w:rPr>
        <w:t>2016</w:t>
      </w:r>
      <w:r>
        <w:rPr>
          <w:spacing w:val="-2"/>
        </w:rPr>
        <w:t>年至今，公司逐渐发展成为以光伏配件制造、高效电池组件制造、新能源</w:t>
      </w:r>
      <w:r>
        <w:rPr>
          <w:spacing w:val="-62"/>
        </w:rPr>
        <w:t> </w:t>
      </w:r>
      <w:r>
        <w:rPr>
          <w:spacing w:val="-62"/>
        </w:rPr>
      </w:r>
      <w:r>
        <w:rPr/>
        <w:t>电力服务为三大核心业务的新能源综合服务提供商。</w:t>
      </w:r>
    </w:p>
    <w:p>
      <w:pPr>
        <w:pStyle w:val="BodyText"/>
        <w:spacing w:line="319" w:lineRule="auto" w:before="55"/>
        <w:ind w:right="1129" w:firstLine="360"/>
        <w:jc w:val="both"/>
      </w:pPr>
      <w:r>
        <w:rPr/>
        <w:t>报告期内，行业政策发生了巨大的变化，公司积极应对，主动调整战略方向，出售了</w:t>
      </w:r>
      <w:r>
        <w:rPr>
          <w:rFonts w:ascii="宋体" w:hAnsi="宋体" w:cs="宋体" w:eastAsia="宋体" w:hint="default"/>
        </w:rPr>
        <w:t>503MW</w:t>
      </w:r>
      <w:r>
        <w:rPr/>
        <w:t>并网电站，降低负债率。通 </w:t>
      </w:r>
      <w:r>
        <w:rPr>
          <w:spacing w:val="-2"/>
        </w:rPr>
        <w:t>过光伏全产业链的降本增效潜力分析，电池片及组件环节将成为本轮技术迭代的主阵地，提高光电转换效率及降低组件封装</w:t>
      </w:r>
      <w:r>
        <w:rPr>
          <w:spacing w:val="-64"/>
        </w:rPr>
        <w:t> </w:t>
      </w:r>
      <w:r>
        <w:rPr>
          <w:spacing w:val="-64"/>
        </w:rPr>
      </w:r>
      <w:r>
        <w:rPr/>
        <w:t>损失是实现发电侧平价上网的关键。公司将加码高效电池组件制造，拥抱新能源电力平价上网时代。</w:t>
      </w:r>
    </w:p>
    <w:p>
      <w:pPr>
        <w:pStyle w:val="BodyText"/>
        <w:spacing w:line="357" w:lineRule="auto" w:before="56"/>
        <w:ind w:left="514" w:right="0" w:firstLine="60"/>
        <w:jc w:val="left"/>
      </w:pPr>
      <w:r>
        <w:rPr>
          <w:rFonts w:ascii="宋体" w:hAnsi="宋体" w:cs="宋体" w:eastAsia="宋体" w:hint="default"/>
          <w:b/>
          <w:bCs/>
        </w:rPr>
        <w:t>（一）配件制造</w:t>
      </w:r>
      <w:r>
        <w:rPr>
          <w:rFonts w:ascii="宋体" w:hAnsi="宋体" w:cs="宋体" w:eastAsia="宋体" w:hint="default"/>
          <w:b/>
          <w:bCs/>
          <w:w w:val="99"/>
        </w:rPr>
        <w:t> </w:t>
      </w:r>
      <w:r>
        <w:rPr>
          <w:spacing w:val="-4"/>
        </w:rPr>
        <w:t>公司作为国内首家光伏配件上市企业，太阳能铝边框产品是细分行业龙头，拥有丰富的制造经验、卓越的品质控制能力、</w:t>
      </w:r>
    </w:p>
    <w:p>
      <w:pPr>
        <w:pStyle w:val="BodyText"/>
        <w:spacing w:line="224" w:lineRule="exact"/>
        <w:ind w:right="0"/>
        <w:jc w:val="left"/>
      </w:pPr>
      <w:r>
        <w:rPr/>
        <w:t>巨大的产能优势以及优质的客户群体，公司连续多年占据全球市场份额的首位。太阳能支架业务方面，强大的设计研发能力</w:t>
      </w:r>
    </w:p>
    <w:p>
      <w:pPr>
        <w:pStyle w:val="BodyText"/>
        <w:spacing w:line="319" w:lineRule="auto" w:before="76"/>
        <w:ind w:right="1042"/>
        <w:jc w:val="left"/>
      </w:pPr>
      <w:r>
        <w:rPr>
          <w:spacing w:val="-2"/>
        </w:rPr>
        <w:t>以及丰富的服务方案设计经验，成就了公司优秀的光伏支架系统方案制造商和供应商的市场地位。报告期内，边框团队专注</w:t>
      </w:r>
      <w:r>
        <w:rPr>
          <w:spacing w:val="-66"/>
        </w:rPr>
        <w:t> </w:t>
      </w:r>
      <w:r>
        <w:rPr>
          <w:spacing w:val="-66"/>
        </w:rPr>
      </w:r>
      <w:r>
        <w:rPr>
          <w:spacing w:val="-1"/>
        </w:rPr>
        <w:t>于通过精益降本、自动化改造及</w:t>
      </w:r>
      <w:r>
        <w:rPr>
          <w:rFonts w:ascii="宋体" w:hAnsi="宋体" w:cs="宋体" w:eastAsia="宋体" w:hint="default"/>
          <w:spacing w:val="-1"/>
        </w:rPr>
        <w:t>First</w:t>
      </w:r>
      <w:r>
        <w:rPr>
          <w:rFonts w:ascii="宋体" w:hAnsi="宋体" w:cs="宋体" w:eastAsia="宋体" w:hint="default"/>
          <w:spacing w:val="-30"/>
        </w:rPr>
        <w:t> </w:t>
      </w:r>
      <w:r>
        <w:rPr>
          <w:rFonts w:ascii="宋体" w:hAnsi="宋体" w:cs="宋体" w:eastAsia="宋体" w:hint="default"/>
          <w:spacing w:val="-1"/>
        </w:rPr>
        <w:t>Solar</w:t>
      </w:r>
      <w:r>
        <w:rPr>
          <w:spacing w:val="-1"/>
        </w:rPr>
        <w:t>等大客户开发，持续提升了行业竞争力。金属支架业务坚定执行“调客户结构、</w:t>
      </w:r>
      <w:r>
        <w:rPr>
          <w:spacing w:val="-87"/>
        </w:rPr>
        <w:t> </w:t>
      </w:r>
      <w:r>
        <w:rPr>
          <w:spacing w:val="-87"/>
        </w:rPr>
      </w:r>
      <w:r>
        <w:rPr>
          <w:spacing w:val="-2"/>
        </w:rPr>
        <w:t>促公司发展”的经营思想，强化客户质量的同时稳定了企业盈利能力，获得</w:t>
      </w:r>
      <w:r>
        <w:rPr>
          <w:rFonts w:ascii="宋体" w:hAnsi="宋体" w:cs="宋体" w:eastAsia="宋体" w:hint="default"/>
          <w:spacing w:val="-2"/>
        </w:rPr>
        <w:t>365</w:t>
      </w:r>
      <w:r>
        <w:rPr>
          <w:spacing w:val="-2"/>
        </w:rPr>
        <w:t>光伏</w:t>
      </w:r>
      <w:r>
        <w:rPr>
          <w:rFonts w:ascii="宋体" w:hAnsi="宋体" w:cs="宋体" w:eastAsia="宋体" w:hint="default"/>
          <w:spacing w:val="-2"/>
        </w:rPr>
        <w:t>-PVP365</w:t>
      </w:r>
      <w:r>
        <w:rPr>
          <w:spacing w:val="-2"/>
        </w:rPr>
        <w:t>中国光伏行业年度奖评选委员会</w:t>
      </w:r>
      <w:r>
        <w:rPr>
          <w:spacing w:val="-56"/>
        </w:rPr>
        <w:t> </w:t>
      </w:r>
      <w:r>
        <w:rPr/>
        <w:t>颁发的“</w:t>
      </w:r>
      <w:r>
        <w:rPr>
          <w:rFonts w:ascii="宋体" w:hAnsi="宋体" w:cs="宋体" w:eastAsia="宋体" w:hint="default"/>
        </w:rPr>
        <w:t>2018</w:t>
      </w:r>
      <w:r>
        <w:rPr/>
        <w:t>年中国光伏支架企业</w:t>
      </w:r>
      <w:r>
        <w:rPr>
          <w:rFonts w:ascii="宋体" w:hAnsi="宋体" w:cs="宋体" w:eastAsia="宋体" w:hint="default"/>
        </w:rPr>
        <w:t>20</w:t>
      </w:r>
      <w:r>
        <w:rPr/>
        <w:t>强第三位”。</w:t>
      </w:r>
    </w:p>
    <w:p>
      <w:pPr>
        <w:spacing w:line="357" w:lineRule="auto" w:before="57"/>
        <w:ind w:left="514" w:right="1122" w:firstLine="60"/>
        <w:jc w:val="left"/>
        <w:rPr>
          <w:rFonts w:ascii="宋体" w:hAnsi="宋体" w:cs="宋体" w:eastAsia="宋体" w:hint="default"/>
          <w:sz w:val="18"/>
          <w:szCs w:val="18"/>
        </w:rPr>
      </w:pPr>
      <w:r>
        <w:rPr>
          <w:rFonts w:ascii="宋体" w:hAnsi="宋体" w:cs="宋体" w:eastAsia="宋体" w:hint="default"/>
          <w:b/>
          <w:bCs/>
          <w:sz w:val="18"/>
          <w:szCs w:val="18"/>
        </w:rPr>
        <w:t>（二）先进高端光伏设备制造</w:t>
      </w:r>
      <w:r>
        <w:rPr>
          <w:rFonts w:ascii="宋体" w:hAnsi="宋体" w:cs="宋体" w:eastAsia="宋体" w:hint="default"/>
          <w:b/>
          <w:bCs/>
          <w:w w:val="99"/>
          <w:sz w:val="18"/>
          <w:szCs w:val="18"/>
        </w:rPr>
        <w:t> </w:t>
      </w:r>
      <w:r>
        <w:rPr>
          <w:rFonts w:ascii="宋体" w:hAnsi="宋体" w:cs="宋体" w:eastAsia="宋体" w:hint="default"/>
          <w:sz w:val="18"/>
          <w:szCs w:val="18"/>
        </w:rPr>
        <w:t>公司坚持走差异化、多举措并举的战略路线，通过对全资子公司苏州爱康光电有限公司的持续技改，在顺利导入</w:t>
      </w:r>
      <w:r>
        <w:rPr>
          <w:rFonts w:ascii="宋体" w:hAnsi="宋体" w:cs="宋体" w:eastAsia="宋体" w:hint="default"/>
          <w:sz w:val="18"/>
          <w:szCs w:val="18"/>
        </w:rPr>
        <w:t>PERC</w:t>
      </w:r>
    </w:p>
    <w:p>
      <w:pPr>
        <w:pStyle w:val="BodyText"/>
        <w:spacing w:line="224" w:lineRule="exact"/>
        <w:ind w:right="0"/>
        <w:jc w:val="left"/>
      </w:pPr>
      <w:r>
        <w:rPr/>
        <w:t>高效电池产线基础上，稳步提升电池效率，并于长兴绿色制造产业园投资建设高效光伏电池及组件项目，推动光伏发电早日</w:t>
      </w:r>
    </w:p>
    <w:p>
      <w:pPr>
        <w:pStyle w:val="BodyText"/>
        <w:spacing w:line="319" w:lineRule="auto" w:before="76"/>
        <w:ind w:right="1032"/>
        <w:jc w:val="left"/>
      </w:pPr>
      <w:r>
        <w:rPr/>
        <w:t>实现平价上网。组件业务研发团队通过研发自主产权的差异化组件产品，延伸产品链，拓宽了渠道，有效缓解了市场压力。 报告期内，公司入选“</w:t>
      </w:r>
      <w:r>
        <w:rPr>
          <w:rFonts w:ascii="宋体" w:hAnsi="宋体" w:cs="宋体" w:eastAsia="宋体" w:hint="default"/>
        </w:rPr>
        <w:t>2018</w:t>
      </w:r>
      <w:r>
        <w:rPr/>
        <w:t>光伏行业创新能力企业</w:t>
      </w:r>
      <w:r>
        <w:rPr>
          <w:rFonts w:ascii="宋体" w:hAnsi="宋体" w:cs="宋体" w:eastAsia="宋体" w:hint="default"/>
        </w:rPr>
        <w:t>50</w:t>
      </w:r>
      <w:r>
        <w:rPr/>
        <w:t>强”榜单。</w:t>
      </w:r>
    </w:p>
    <w:p>
      <w:pPr>
        <w:spacing w:line="357" w:lineRule="auto" w:before="58"/>
        <w:ind w:left="514" w:right="1122" w:firstLine="60"/>
        <w:jc w:val="left"/>
        <w:rPr>
          <w:rFonts w:ascii="宋体" w:hAnsi="宋体" w:cs="宋体" w:eastAsia="宋体" w:hint="default"/>
          <w:sz w:val="18"/>
          <w:szCs w:val="18"/>
        </w:rPr>
      </w:pPr>
      <w:r>
        <w:rPr>
          <w:rFonts w:ascii="宋体" w:hAnsi="宋体" w:cs="宋体" w:eastAsia="宋体" w:hint="default"/>
          <w:b/>
          <w:bCs/>
          <w:sz w:val="18"/>
          <w:szCs w:val="18"/>
        </w:rPr>
        <w:t>（三）新能源发电与综合能源服务</w:t>
      </w:r>
      <w:r>
        <w:rPr>
          <w:rFonts w:ascii="宋体" w:hAnsi="宋体" w:cs="宋体" w:eastAsia="宋体" w:hint="default"/>
          <w:b/>
          <w:bCs/>
          <w:w w:val="99"/>
          <w:sz w:val="18"/>
          <w:szCs w:val="18"/>
        </w:rPr>
        <w:t> </w:t>
      </w:r>
      <w:r>
        <w:rPr>
          <w:rFonts w:ascii="宋体" w:hAnsi="宋体" w:cs="宋体" w:eastAsia="宋体" w:hint="default"/>
          <w:spacing w:val="-2"/>
          <w:sz w:val="18"/>
          <w:szCs w:val="18"/>
        </w:rPr>
        <w:t>公司自</w:t>
      </w:r>
      <w:r>
        <w:rPr>
          <w:rFonts w:ascii="宋体" w:hAnsi="宋体" w:cs="宋体" w:eastAsia="宋体" w:hint="default"/>
          <w:spacing w:val="-2"/>
          <w:sz w:val="18"/>
          <w:szCs w:val="18"/>
        </w:rPr>
        <w:t>2011</w:t>
      </w:r>
      <w:r>
        <w:rPr>
          <w:rFonts w:ascii="宋体" w:hAnsi="宋体" w:cs="宋体" w:eastAsia="宋体" w:hint="default"/>
          <w:spacing w:val="-2"/>
          <w:sz w:val="18"/>
          <w:szCs w:val="18"/>
        </w:rPr>
        <w:t>年进入光伏产业链终端太阳能电站运营，报告期内，受到行业政策影响，公司率先调整了战略方向，深入与</w:t>
      </w:r>
    </w:p>
    <w:p>
      <w:pPr>
        <w:pStyle w:val="BodyText"/>
        <w:spacing w:line="224" w:lineRule="exact"/>
        <w:ind w:right="0"/>
        <w:jc w:val="left"/>
      </w:pPr>
      <w:r>
        <w:rPr/>
        <w:t>优质战略合作伙伴开展多元化合作，积极推动光伏电站为主的资产出售，通过资产出售降低负债率、增加现金流，提高资产</w:t>
      </w:r>
    </w:p>
    <w:p>
      <w:pPr>
        <w:pStyle w:val="BodyText"/>
        <w:spacing w:line="357" w:lineRule="auto" w:before="77"/>
        <w:ind w:left="514" w:right="1122" w:hanging="360"/>
        <w:jc w:val="left"/>
      </w:pPr>
      <w:r>
        <w:rPr/>
        <w:t>流动性，进一步优化公司资产结构，增强抗风险能力。 </w:t>
      </w:r>
      <w:r>
        <w:rPr>
          <w:spacing w:val="-2"/>
        </w:rPr>
        <w:t>公司致力于打造成为业内一流的新能源运营服务商，按照全寿命期效益最大化的原则，打通了开发、建设、生产的各个</w:t>
      </w:r>
    </w:p>
    <w:p>
      <w:pPr>
        <w:pStyle w:val="BodyText"/>
        <w:spacing w:line="224" w:lineRule="exact"/>
        <w:ind w:right="0"/>
        <w:jc w:val="left"/>
      </w:pPr>
      <w:r>
        <w:rPr/>
        <w:t>管理环节，做到了各个生命周期内经营活动目标一致、标准一致，真正构建起了光伏电站全寿命期投资和运营一体化的核心</w:t>
      </w:r>
    </w:p>
    <w:p>
      <w:pPr>
        <w:pStyle w:val="BodyText"/>
        <w:spacing w:line="319" w:lineRule="auto" w:before="76"/>
        <w:ind w:right="1032"/>
        <w:jc w:val="left"/>
      </w:pPr>
      <w:r>
        <w:rPr/>
        <w:t>管理能力。已累计运维管理电站</w:t>
      </w:r>
      <w:r>
        <w:rPr>
          <w:rFonts w:ascii="宋体" w:hAnsi="宋体" w:cs="宋体" w:eastAsia="宋体" w:hint="default"/>
        </w:rPr>
        <w:t>1.4GW</w:t>
      </w:r>
      <w:r>
        <w:rPr/>
        <w:t>，处于国内同行业民营企业的前列。报告期内有效发电小时数同比提高</w:t>
      </w:r>
      <w:r>
        <w:rPr>
          <w:rFonts w:ascii="宋体" w:hAnsi="宋体" w:cs="宋体" w:eastAsia="宋体" w:hint="default"/>
        </w:rPr>
        <w:t>153h</w:t>
      </w:r>
      <w:r>
        <w:rPr/>
        <w:t>，远高于</w:t>
      </w:r>
      <w:r>
        <w:rPr>
          <w:spacing w:val="-82"/>
        </w:rPr>
        <w:t> </w:t>
      </w:r>
      <w:r>
        <w:rPr/>
        <w:t>行业平均水平，故障率持续下降，处于行业较好水平；行业同口径度电运维成本，在保证优秀发电量的同时低于平均水平。</w:t>
      </w:r>
    </w:p>
    <w:p>
      <w:pPr>
        <w:pStyle w:val="BodyText"/>
        <w:spacing w:line="316" w:lineRule="auto" w:before="56"/>
        <w:ind w:right="1131" w:firstLine="360"/>
        <w:jc w:val="both"/>
      </w:pPr>
      <w:r>
        <w:rPr>
          <w:spacing w:val="-2"/>
        </w:rPr>
        <w:t>随着新一轮电力改革的全面展开，各地售电市场陆续开放。公司紧跟市场变化，与发电和用电侧企业密切合作，与神华</w:t>
      </w:r>
      <w:r>
        <w:rPr/>
        <w:t> </w:t>
      </w:r>
      <w:r>
        <w:rPr>
          <w:spacing w:val="-2"/>
        </w:rPr>
        <w:t>国华电力等公司签署战略合作框架协议，分别与江苏张家港、新疆博州、山西阳泉、江西赣州等地工业园区签署合作协议并</w:t>
      </w:r>
      <w:r>
        <w:rPr>
          <w:spacing w:val="-66"/>
        </w:rPr>
        <w:t> </w:t>
      </w:r>
      <w:r>
        <w:rPr>
          <w:spacing w:val="-66"/>
        </w:rPr>
      </w:r>
      <w:r>
        <w:rPr>
          <w:spacing w:val="-2"/>
        </w:rPr>
        <w:t>成立合资公司积极推进能源互联网项目建设，全力打通能源生产端和消费端。报告期内，已基本完成绿色智慧能源的综合服</w:t>
      </w:r>
      <w:r>
        <w:rPr>
          <w:spacing w:val="-66"/>
        </w:rPr>
        <w:t> </w:t>
      </w:r>
      <w:r>
        <w:rPr>
          <w:spacing w:val="-66"/>
        </w:rPr>
      </w:r>
      <w:r>
        <w:rPr/>
        <w:t>务和解决方案提供商的战略转型。</w:t>
      </w:r>
    </w:p>
    <w:p>
      <w:pPr>
        <w:spacing w:after="0" w:line="316" w:lineRule="auto"/>
        <w:jc w:val="both"/>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2"/>
        <w:jc w:val="left"/>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22"/>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3"/>
        <w:gridCol w:w="1499"/>
        <w:gridCol w:w="1591"/>
        <w:gridCol w:w="1499"/>
        <w:gridCol w:w="1588"/>
        <w:gridCol w:w="1597"/>
      </w:tblGrid>
      <w:tr>
        <w:trPr>
          <w:trHeight w:val="205" w:hRule="exact"/>
        </w:trPr>
        <w:tc>
          <w:tcPr>
            <w:tcW w:w="1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843" w:type="dxa"/>
            <w:vMerge w:val="restart"/>
            <w:tcBorders>
              <w:top w:val="nil" w:sz="6" w:space="0" w:color="auto"/>
              <w:left w:val="single" w:sz="4" w:space="0" w:color="000000"/>
              <w:right w:val="single" w:sz="4" w:space="0" w:color="000000"/>
            </w:tcBorders>
            <w:shd w:val="clear" w:color="auto" w:fill="D2D2D2"/>
          </w:tcPr>
          <w:p>
            <w:pPr/>
          </w:p>
        </w:tc>
        <w:tc>
          <w:tcPr>
            <w:tcW w:w="3090" w:type="dxa"/>
            <w:gridSpan w:val="2"/>
            <w:vMerge/>
            <w:tcBorders>
              <w:left w:val="single" w:sz="4" w:space="0" w:color="000000"/>
              <w:bottom w:val="single" w:sz="4" w:space="0" w:color="000000"/>
              <w:right w:val="single" w:sz="4" w:space="0" w:color="000000"/>
            </w:tcBorders>
            <w:shd w:val="clear" w:color="auto" w:fill="D2D2D2"/>
          </w:tcPr>
          <w:p>
            <w:pPr/>
          </w:p>
        </w:tc>
        <w:tc>
          <w:tcPr>
            <w:tcW w:w="3088"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843" w:type="dxa"/>
            <w:vMerge/>
            <w:tcBorders>
              <w:left w:val="single" w:sz="4" w:space="0" w:color="000000"/>
              <w:bottom w:val="nil" w:sz="6" w:space="0" w:color="auto"/>
              <w:right w:val="single" w:sz="4" w:space="0" w:color="000000"/>
            </w:tcBorders>
            <w:shd w:val="clear" w:color="auto" w:fill="D2D2D2"/>
          </w:tcPr>
          <w:p>
            <w:pPr/>
          </w:p>
        </w:tc>
        <w:tc>
          <w:tcPr>
            <w:tcW w:w="14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4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9"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4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49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4,842,707,329.51</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9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4,856,493,249.54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r>
      <w:tr>
        <w:trPr>
          <w:trHeight w:val="397" w:hRule="exact"/>
        </w:trPr>
        <w:tc>
          <w:tcPr>
            <w:tcW w:w="96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其他制造业</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4,003,440,345.61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82.67%</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3,954,765,510.47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839,266,983.90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17.33%</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901,727,739.07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w:t>
            </w:r>
          </w:p>
        </w:tc>
      </w:tr>
      <w:tr>
        <w:trPr>
          <w:trHeight w:val="402" w:hRule="exact"/>
        </w:trPr>
        <w:tc>
          <w:tcPr>
            <w:tcW w:w="96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1,879,714,075.12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38.82%</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1,534,591,620.01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22.49%</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657,325,950.48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13.57%</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514,879,808.44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27.67%</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太阳能电池板（组件）</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1,188,980,240.28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1,306,718,990.18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-9.01%</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839,266,983.90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17.33%</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901,727,739.07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277,420,079.73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598,575,091.84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-53.65%</w:t>
            </w:r>
          </w:p>
        </w:tc>
      </w:tr>
      <w:tr>
        <w:trPr>
          <w:trHeight w:val="402" w:hRule="exact"/>
        </w:trPr>
        <w:tc>
          <w:tcPr>
            <w:tcW w:w="96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2,633,557,863.98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54.38%</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3,229,540,452.73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-18.45%</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2,209,149,465.53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45.62%</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1,626,952,796.81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35.78%</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4,003,440,345.61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3,572,994,876.05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839,266,983.90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398,427,634.96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1,879,714,075.12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1,641,966,326.30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657,325,950.48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569,448,751.81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w:t>
            </w:r>
            <w:r>
              <w:rPr>
                <w:rFonts w:ascii="宋体" w:hAnsi="宋体" w:cs="宋体" w:eastAsia="宋体" w:hint="default"/>
                <w:spacing w:val="-45"/>
                <w:sz w:val="18"/>
                <w:szCs w:val="18"/>
              </w:rPr>
              <w:t> </w:t>
            </w:r>
            <w:r>
              <w:rPr>
                <w:rFonts w:ascii="宋体" w:hAnsi="宋体" w:cs="宋体" w:eastAsia="宋体" w:hint="default"/>
                <w:sz w:val="18"/>
                <w:szCs w:val="18"/>
              </w:rPr>
              <w:t>阳</w:t>
            </w:r>
            <w:r>
              <w:rPr>
                <w:rFonts w:ascii="宋体" w:hAnsi="宋体" w:cs="宋体" w:eastAsia="宋体" w:hint="default"/>
                <w:spacing w:val="-45"/>
                <w:sz w:val="18"/>
                <w:szCs w:val="18"/>
              </w:rPr>
              <w:t> </w:t>
            </w:r>
            <w:r>
              <w:rPr>
                <w:rFonts w:ascii="宋体" w:hAnsi="宋体" w:cs="宋体" w:eastAsia="宋体" w:hint="default"/>
                <w:sz w:val="18"/>
                <w:szCs w:val="18"/>
              </w:rPr>
              <w:t>能</w:t>
            </w:r>
            <w:r>
              <w:rPr>
                <w:rFonts w:ascii="宋体" w:hAnsi="宋体" w:cs="宋体" w:eastAsia="宋体" w:hint="default"/>
                <w:spacing w:val="-44"/>
                <w:sz w:val="18"/>
                <w:szCs w:val="18"/>
              </w:rPr>
              <w:t> </w:t>
            </w:r>
            <w:r>
              <w:rPr>
                <w:rFonts w:ascii="宋体" w:hAnsi="宋体" w:cs="宋体" w:eastAsia="宋体" w:hint="default"/>
                <w:sz w:val="18"/>
                <w:szCs w:val="18"/>
              </w:rPr>
              <w:t>电</w:t>
            </w:r>
            <w:r>
              <w:rPr>
                <w:rFonts w:ascii="宋体" w:hAnsi="宋体" w:cs="宋体" w:eastAsia="宋体" w:hint="default"/>
                <w:spacing w:val="-45"/>
                <w:sz w:val="18"/>
                <w:szCs w:val="18"/>
              </w:rPr>
              <w:t> </w:t>
            </w:r>
            <w:r>
              <w:rPr>
                <w:rFonts w:ascii="宋体" w:hAnsi="宋体" w:cs="宋体" w:eastAsia="宋体" w:hint="default"/>
                <w:sz w:val="18"/>
                <w:szCs w:val="18"/>
              </w:rPr>
              <w:t>池</w:t>
            </w:r>
            <w:r>
              <w:rPr>
                <w:rFonts w:ascii="宋体" w:hAnsi="宋体" w:cs="宋体" w:eastAsia="宋体" w:hint="default"/>
                <w:spacing w:val="-44"/>
                <w:sz w:val="18"/>
                <w:szCs w:val="18"/>
              </w:rPr>
              <w:t> </w:t>
            </w:r>
            <w:r>
              <w:rPr>
                <w:rFonts w:ascii="宋体" w:hAnsi="宋体" w:cs="宋体" w:eastAsia="宋体" w:hint="default"/>
                <w:sz w:val="18"/>
                <w:szCs w:val="18"/>
              </w:rPr>
              <w:t>板</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1,188,980,240.28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1,080,295,958.02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839,266,983.90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398,427,634.96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277,420,079.73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281,283,839.92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2,633,557,863.98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2,058,028,619.66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2,209,149,465.53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1,913,393,891.35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r>
    </w:tbl>
    <w:p>
      <w:pPr>
        <w:pStyle w:val="BodyText"/>
        <w:spacing w:line="240" w:lineRule="auto" w:before="51"/>
        <w:ind w:right="1122"/>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97"/>
        <w:gridCol w:w="1182"/>
        <w:gridCol w:w="1607"/>
        <w:gridCol w:w="1594"/>
        <w:gridCol w:w="1594"/>
        <w:gridCol w:w="1595"/>
      </w:tblGrid>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997"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28"/>
              <w:jc w:val="left"/>
              <w:rPr>
                <w:rFonts w:ascii="宋体" w:hAnsi="宋体" w:cs="宋体" w:eastAsia="宋体" w:hint="default"/>
                <w:sz w:val="18"/>
                <w:szCs w:val="18"/>
              </w:rPr>
            </w:pPr>
            <w:r>
              <w:rPr>
                <w:rFonts w:ascii="宋体" w:hAnsi="宋体" w:cs="宋体" w:eastAsia="宋体" w:hint="default"/>
                <w:sz w:val="18"/>
                <w:szCs w:val="18"/>
              </w:rPr>
              <w:t>太阳能电池边框（万套）</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2,579.97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19.96%</w:t>
            </w:r>
          </w:p>
        </w:tc>
      </w:tr>
      <w:tr>
        <w:trPr>
          <w:trHeight w:val="402" w:hRule="exact"/>
        </w:trPr>
        <w:tc>
          <w:tcPr>
            <w:tcW w:w="1997" w:type="dxa"/>
            <w:vMerge/>
            <w:tcBorders>
              <w:left w:val="single" w:sz="4" w:space="0" w:color="000000"/>
              <w:right w:val="single" w:sz="13" w:space="0" w:color="D2D2D2"/>
            </w:tcBorders>
          </w:tcPr>
          <w:p>
            <w:pP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3,083.25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2,584.64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19.29%</w:t>
            </w:r>
          </w:p>
        </w:tc>
      </w:tr>
      <w:tr>
        <w:trPr>
          <w:trHeight w:val="402" w:hRule="exact"/>
        </w:trPr>
        <w:tc>
          <w:tcPr>
            <w:tcW w:w="1997" w:type="dxa"/>
            <w:vMerge/>
            <w:tcBorders>
              <w:left w:val="single" w:sz="4" w:space="0" w:color="000000"/>
              <w:bottom w:val="single" w:sz="4" w:space="0" w:color="000000"/>
              <w:right w:val="single" w:sz="13" w:space="0" w:color="D2D2D2"/>
            </w:tcBorders>
          </w:tcPr>
          <w:p>
            <w:pP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-10.84%</w:t>
            </w:r>
          </w:p>
        </w:tc>
      </w:tr>
      <w:tr>
        <w:trPr>
          <w:trHeight w:val="402" w:hRule="exact"/>
        </w:trPr>
        <w:tc>
          <w:tcPr>
            <w:tcW w:w="1997"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太阳能安装支架（</w:t>
            </w:r>
            <w:r>
              <w:rPr>
                <w:rFonts w:ascii="Times New Roman" w:hAnsi="Times New Roman" w:cs="Times New Roman" w:eastAsia="Times New Roman" w:hint="default"/>
                <w:sz w:val="18"/>
                <w:szCs w:val="18"/>
              </w:rPr>
              <w:t>MW</w:t>
            </w:r>
            <w:r>
              <w:rPr>
                <w:rFonts w:ascii="宋体" w:hAnsi="宋体" w:cs="宋体" w:eastAsia="宋体" w:hint="default"/>
                <w:sz w:val="18"/>
                <w:szCs w:val="18"/>
              </w:rPr>
              <w:t>）</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MW</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1,523.56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1,212.11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25.69%</w:t>
            </w:r>
          </w:p>
        </w:tc>
      </w:tr>
      <w:tr>
        <w:trPr>
          <w:trHeight w:val="402" w:hRule="exact"/>
        </w:trPr>
        <w:tc>
          <w:tcPr>
            <w:tcW w:w="1997" w:type="dxa"/>
            <w:vMerge/>
            <w:tcBorders>
              <w:left w:val="single" w:sz="4" w:space="0" w:color="000000"/>
              <w:right w:val="single" w:sz="13" w:space="0" w:color="D2D2D2"/>
            </w:tcBorders>
          </w:tcPr>
          <w:p>
            <w:pP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MW</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1,534.55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1,221.1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25.67%</w:t>
            </w:r>
          </w:p>
        </w:tc>
      </w:tr>
      <w:tr>
        <w:trPr>
          <w:trHeight w:val="402" w:hRule="exact"/>
        </w:trPr>
        <w:tc>
          <w:tcPr>
            <w:tcW w:w="1997" w:type="dxa"/>
            <w:vMerge/>
            <w:tcBorders>
              <w:left w:val="single" w:sz="4" w:space="0" w:color="000000"/>
              <w:bottom w:val="single" w:sz="4" w:space="0" w:color="000000"/>
              <w:right w:val="single" w:sz="13" w:space="0" w:color="D2D2D2"/>
            </w:tcBorders>
          </w:tcPr>
          <w:p>
            <w:pP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MW</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78.89%</w:t>
            </w:r>
          </w:p>
        </w:tc>
      </w:tr>
      <w:tr>
        <w:trPr>
          <w:trHeight w:val="402" w:hRule="exact"/>
        </w:trPr>
        <w:tc>
          <w:tcPr>
            <w:tcW w:w="1997"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电力销售（</w:t>
            </w:r>
            <w:r>
              <w:rPr>
                <w:rFonts w:ascii="Times New Roman" w:hAnsi="Times New Roman" w:cs="Times New Roman" w:eastAsia="Times New Roman" w:hint="default"/>
                <w:sz w:val="18"/>
                <w:szCs w:val="18"/>
              </w:rPr>
              <w:t>KWH</w:t>
            </w:r>
            <w:r>
              <w:rPr>
                <w:rFonts w:ascii="宋体" w:hAnsi="宋体" w:cs="宋体" w:eastAsia="宋体" w:hint="default"/>
                <w:sz w:val="18"/>
                <w:szCs w:val="18"/>
              </w:rPr>
              <w:t>）</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KWH</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1,129,508,690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1,161,382,069.17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-2.74%</w:t>
            </w:r>
          </w:p>
        </w:tc>
      </w:tr>
      <w:tr>
        <w:trPr>
          <w:trHeight w:val="402" w:hRule="exact"/>
        </w:trPr>
        <w:tc>
          <w:tcPr>
            <w:tcW w:w="1997" w:type="dxa"/>
            <w:vMerge/>
            <w:tcBorders>
              <w:left w:val="single" w:sz="4" w:space="0" w:color="000000"/>
              <w:right w:val="single" w:sz="13" w:space="0" w:color="D2D2D2"/>
            </w:tcBorders>
          </w:tcPr>
          <w:p>
            <w:pP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KWH</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1,129,508,690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1,161,382,069.17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-2.74%</w:t>
            </w:r>
          </w:p>
        </w:tc>
      </w:tr>
      <w:tr>
        <w:trPr>
          <w:trHeight w:val="402" w:hRule="exact"/>
        </w:trPr>
        <w:tc>
          <w:tcPr>
            <w:tcW w:w="1997" w:type="dxa"/>
            <w:vMerge/>
            <w:tcBorders>
              <w:left w:val="single" w:sz="4" w:space="0" w:color="000000"/>
              <w:bottom w:val="single" w:sz="4" w:space="0" w:color="000000"/>
              <w:right w:val="single" w:sz="13" w:space="0" w:color="D2D2D2"/>
            </w:tcBorders>
          </w:tcPr>
          <w:p>
            <w:pP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KWH</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7"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太阳能组件（</w:t>
            </w:r>
            <w:r>
              <w:rPr>
                <w:rFonts w:ascii="Times New Roman" w:hAnsi="Times New Roman" w:cs="Times New Roman" w:eastAsia="Times New Roman" w:hint="default"/>
                <w:sz w:val="18"/>
                <w:szCs w:val="18"/>
              </w:rPr>
              <w:t>KW</w:t>
            </w:r>
            <w:r>
              <w:rPr>
                <w:rFonts w:ascii="宋体" w:hAnsi="宋体" w:cs="宋体" w:eastAsia="宋体" w:hint="default"/>
                <w:sz w:val="18"/>
                <w:szCs w:val="18"/>
              </w:rPr>
              <w:t>）</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KW</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627,920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641,849.6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w:t>
            </w:r>
          </w:p>
        </w:tc>
      </w:tr>
      <w:tr>
        <w:trPr>
          <w:trHeight w:val="402" w:hRule="exact"/>
        </w:trPr>
        <w:tc>
          <w:tcPr>
            <w:tcW w:w="1997" w:type="dxa"/>
            <w:vMerge/>
            <w:tcBorders>
              <w:left w:val="single" w:sz="4" w:space="0" w:color="000000"/>
              <w:right w:val="single" w:sz="13" w:space="0" w:color="D2D2D2"/>
            </w:tcBorders>
          </w:tcPr>
          <w:p>
            <w:pP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KW</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658,689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636,769.6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3.44%</w:t>
            </w:r>
          </w:p>
        </w:tc>
      </w:tr>
      <w:tr>
        <w:trPr>
          <w:trHeight w:val="403" w:hRule="exact"/>
        </w:trPr>
        <w:tc>
          <w:tcPr>
            <w:tcW w:w="1997" w:type="dxa"/>
            <w:vMerge/>
            <w:tcBorders>
              <w:left w:val="single" w:sz="4" w:space="0" w:color="000000"/>
              <w:bottom w:val="single" w:sz="4" w:space="0" w:color="000000"/>
              <w:right w:val="single" w:sz="13" w:space="0" w:color="D2D2D2"/>
            </w:tcBorders>
          </w:tcPr>
          <w:p>
            <w:pP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KW</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178.36%</w:t>
            </w:r>
          </w:p>
        </w:tc>
      </w:tr>
    </w:tbl>
    <w:p>
      <w:pPr>
        <w:pStyle w:val="BodyText"/>
        <w:spacing w:line="240" w:lineRule="auto" w:before="51"/>
        <w:ind w:right="1122"/>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2"/>
        <w:ind w:right="33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太阳能安装支架和太阳能组件期末库存比上年增加主要系为本年末订单增加而增加备库所致。</w:t>
      </w:r>
    </w:p>
    <w:p>
      <w:pPr>
        <w:spacing w:line="240" w:lineRule="auto" w:before="4"/>
        <w:rPr>
          <w:rFonts w:ascii="宋体" w:hAnsi="宋体" w:cs="宋体" w:eastAsia="宋体" w:hint="default"/>
          <w:sz w:val="21"/>
          <w:szCs w:val="21"/>
        </w:rPr>
      </w:pPr>
    </w:p>
    <w:p>
      <w:pPr>
        <w:pStyle w:val="Heading3"/>
        <w:spacing w:line="240" w:lineRule="auto"/>
        <w:ind w:right="1122"/>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22"/>
        <w:jc w:val="left"/>
      </w:pPr>
      <w:r>
        <w:rPr/>
        <w:t>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4"/>
        <w:gridCol w:w="893"/>
        <w:gridCol w:w="1367"/>
        <w:gridCol w:w="1367"/>
        <w:gridCol w:w="1368"/>
        <w:gridCol w:w="1367"/>
        <w:gridCol w:w="1367"/>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8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1,450,639,547.39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1,195,381,217.35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61,916,816.73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57,715,920.03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129,409,962.18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99,635,603.53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546,146,939.88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413,480,869.58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8,317,697.85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11,674,617.03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14,984,114.08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15,330,558.48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太阳能电池板（组件）</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987,526,241.37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1,114,141,612.74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太阳能电池板（组件）</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35,834,590.06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26,657,144.23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太阳能电池板（组件）</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56,935,126.59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50,632,647.73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398,427,634.96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449,471,242.56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204,478,351.52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504,994,897.63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-15.17%</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4,303,083.07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10,665,017.07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72,502,405.33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59,122,907.60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15.49%</w:t>
            </w:r>
          </w:p>
        </w:tc>
      </w:tr>
    </w:tbl>
    <w:p>
      <w:pPr>
        <w:pStyle w:val="BodyText"/>
        <w:spacing w:line="240" w:lineRule="auto" w:before="51"/>
        <w:ind w:right="1122"/>
        <w:jc w:val="left"/>
      </w:pPr>
      <w:r>
        <w:rPr/>
        <w:t>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28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w:t>
      </w:r>
      <w:r>
        <w:rPr>
          <w:rFonts w:ascii="宋体" w:hAnsi="宋体" w:cs="宋体" w:eastAsia="宋体" w:hint="default"/>
        </w:rPr>
        <w:t>1.</w:t>
      </w:r>
      <w:r>
        <w:rPr/>
        <w:t>本年新纳入合并范围的子公司、特殊目的主体、通过受托经营或承租等方式形成控制权的经营实体</w:t>
      </w:r>
    </w:p>
    <w:p>
      <w:pPr>
        <w:spacing w:line="240" w:lineRule="auto" w:before="3"/>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986"/>
        <w:gridCol w:w="1134"/>
        <w:gridCol w:w="1002"/>
        <w:gridCol w:w="1266"/>
        <w:gridCol w:w="1370"/>
        <w:gridCol w:w="1004"/>
      </w:tblGrid>
      <w:tr>
        <w:trPr>
          <w:trHeight w:val="634" w:hRule="exact"/>
        </w:trPr>
        <w:tc>
          <w:tcPr>
            <w:tcW w:w="398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1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10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37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股权取得比例</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0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新增方式</w:t>
            </w:r>
          </w:p>
        </w:tc>
      </w:tr>
      <w:tr>
        <w:trPr>
          <w:trHeight w:val="32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青岛中德爱康能源科技有限公司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山东</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山东</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sz w:val="18"/>
                <w:szCs w:val="18"/>
              </w:rPr>
              <w:t>能源互联网</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80%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浙江爱康光电科技有限公司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浙江湖州</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浙江湖州</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徐州慧康国创股权投资合伙企业（有限合伙）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股权投资</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23.22%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徐州慧兴康新能源科技有限公司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sz w:val="18"/>
                <w:szCs w:val="18"/>
              </w:rPr>
              <w:t>新能源</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23.22%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爱康科技</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新能源私募投资基金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基金</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51"/>
        <w:ind w:right="1122"/>
        <w:jc w:val="left"/>
      </w:pPr>
      <w:r>
        <w:rPr>
          <w:rFonts w:ascii="宋体" w:hAnsi="宋体" w:cs="宋体" w:eastAsia="宋体" w:hint="default"/>
        </w:rPr>
        <w:t>2.</w:t>
      </w:r>
      <w:r>
        <w:rPr/>
        <w:t>本年不再纳入合并范围的公司、特殊目的主体、通过受托经营或承租等方式形成控制权的经营实体</w:t>
      </w:r>
    </w:p>
    <w:p>
      <w:pPr>
        <w:spacing w:line="240" w:lineRule="auto" w:before="1"/>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3702"/>
        <w:gridCol w:w="1418"/>
        <w:gridCol w:w="1417"/>
        <w:gridCol w:w="993"/>
        <w:gridCol w:w="1418"/>
        <w:gridCol w:w="815"/>
      </w:tblGrid>
      <w:tr>
        <w:trPr>
          <w:trHeight w:val="634" w:hRule="exact"/>
        </w:trPr>
        <w:tc>
          <w:tcPr>
            <w:tcW w:w="3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4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14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9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股权取得比例</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81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10"/>
              <w:ind w:left="220" w:right="132" w:hanging="90"/>
              <w:jc w:val="left"/>
              <w:rPr>
                <w:rFonts w:ascii="宋体" w:hAnsi="宋体" w:cs="宋体" w:eastAsia="宋体" w:hint="default"/>
                <w:sz w:val="18"/>
                <w:szCs w:val="18"/>
              </w:rPr>
            </w:pPr>
            <w:r>
              <w:rPr>
                <w:rFonts w:ascii="宋体" w:hAnsi="宋体" w:cs="宋体" w:eastAsia="宋体" w:hint="default"/>
                <w:sz w:val="18"/>
                <w:szCs w:val="18"/>
              </w:rPr>
              <w:t>不纳入 原因</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云南新康能源电力有限责任公司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云南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云南</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0" w:right="0"/>
              <w:jc w:val="left"/>
              <w:rPr>
                <w:rFonts w:ascii="宋体" w:hAnsi="宋体" w:cs="宋体" w:eastAsia="宋体" w:hint="default"/>
                <w:sz w:val="18"/>
                <w:szCs w:val="18"/>
              </w:rPr>
            </w:pPr>
            <w:r>
              <w:rPr>
                <w:rFonts w:ascii="宋体" w:hAnsi="宋体" w:cs="宋体" w:eastAsia="宋体" w:hint="default"/>
                <w:sz w:val="18"/>
                <w:szCs w:val="18"/>
              </w:rPr>
              <w:t>注销</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3702"/>
        <w:gridCol w:w="1418"/>
        <w:gridCol w:w="1417"/>
        <w:gridCol w:w="993"/>
        <w:gridCol w:w="1418"/>
        <w:gridCol w:w="815"/>
      </w:tblGrid>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绥滨昱辉太阳能发电有限公司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黑龙江绥滨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黑龙江绥滨</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抚州爱康电力开发有限公司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江西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江西</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宽甸满族自治县爱康太阳能发电有限公司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辽宁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辽宁</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阳谷宏大电力开发有限公司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贵溪爱康电力开发有限公司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江西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江西</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95%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无棣隆康电力开发有限公司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无棣县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无棣县</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湖北中康新能电力有限公司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湖北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湖北</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江西碳诺科技有限公司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江西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江西</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平泉县仁辉光伏发电有限公司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河北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河北</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
                <w:sz w:val="18"/>
                <w:szCs w:val="18"/>
              </w:rPr>
              <w:t>徐州慧康国创股权投资合伙企业（有限合伙）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股权投资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23.22%</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徐州慧兴康新能源科技有限公司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新能源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23.22%</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浙江瑞旭投资有限公司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浙江嘉兴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浙江嘉兴</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贸易</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新疆爱康电力开发有限公司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新疆精河</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新疆精河</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青海昱辉新能源有限公司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青海乌兰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青海乌兰</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柯坪嘉盛阳光电力有限公司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新疆柯坪县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新疆柯坪县</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苏州慧康电力开发有限公司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湖南中康电力开发有限公司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湖南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湖南</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新疆聚阳能源科技有限公司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新疆奇台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新疆奇台</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九州方园博州新能源有限公司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新疆博州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新疆博州</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九州方园博乐市新能源有限公司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新疆博州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新疆博州</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70%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宿州恒康新能源有限公司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安徽宿州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安徽宿州</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特克斯昱辉太阳能开发有限公司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新疆特克斯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新疆特克斯</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内蒙古四子王旗神光能源发展有限公司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内蒙古</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内蒙古</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新疆伊阳能源科技有限公司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赣州市南康区爱康新能源科技有限公司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江西南康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江西南康</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徐州统联新能源有限公司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江苏徐州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江苏徐州</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济南统联新能源有限公司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山东</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山东</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泰州中康新能源有限公司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江苏泰州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江苏泰州</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丹阳中康电力开发有限公司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丹阳市云阳镇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丹阳市云阳镇</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无锡中康电力开发有限公司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江苏无锡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江苏无锡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日本爱康株式会社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日本</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AJE</w:t>
            </w:r>
            <w:r>
              <w:rPr>
                <w:rFonts w:ascii="宋体" w:hAnsi="宋体" w:cs="宋体" w:eastAsia="宋体" w:hint="default"/>
                <w:spacing w:val="-46"/>
                <w:sz w:val="18"/>
                <w:szCs w:val="18"/>
              </w:rPr>
              <w:t> </w:t>
            </w:r>
            <w:r>
              <w:rPr>
                <w:rFonts w:ascii="宋体" w:hAnsi="宋体" w:cs="宋体" w:eastAsia="宋体" w:hint="default"/>
                <w:sz w:val="18"/>
                <w:szCs w:val="18"/>
              </w:rPr>
              <w:t>第一合同会社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日本</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AJE</w:t>
            </w:r>
            <w:r>
              <w:rPr>
                <w:rFonts w:ascii="宋体" w:hAnsi="宋体" w:cs="宋体" w:eastAsia="宋体" w:hint="default"/>
                <w:spacing w:val="-46"/>
                <w:sz w:val="18"/>
                <w:szCs w:val="18"/>
              </w:rPr>
              <w:t> </w:t>
            </w:r>
            <w:r>
              <w:rPr>
                <w:rFonts w:ascii="宋体" w:hAnsi="宋体" w:cs="宋体" w:eastAsia="宋体" w:hint="default"/>
                <w:sz w:val="18"/>
                <w:szCs w:val="18"/>
              </w:rPr>
              <w:t>第二合同会社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日本</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电现第二阳光产业园株式会社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日本</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1,465,574,007.87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30.26%</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8"/>
              <w:jc w:val="left"/>
              <w:rPr>
                <w:rFonts w:ascii="宋体" w:hAnsi="宋体" w:cs="宋体" w:eastAsia="宋体" w:hint="default"/>
                <w:sz w:val="18"/>
                <w:szCs w:val="18"/>
              </w:rPr>
            </w:pPr>
            <w:r>
              <w:rPr>
                <w:rFonts w:ascii="宋体" w:hAnsi="宋体" w:cs="宋体" w:eastAsia="宋体" w:hint="default"/>
                <w:spacing w:val="2"/>
                <w:sz w:val="18"/>
                <w:szCs w:val="18"/>
              </w:rPr>
              <w:t>前五名客户销售额中关联方销售额占年度销售总额比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2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469,818,735.78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366,232,167.18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273,952,286.36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188,432,227.51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167,138,591.04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1,465,574,007.87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30.26%</w:t>
            </w:r>
          </w:p>
        </w:tc>
      </w:tr>
    </w:tbl>
    <w:p>
      <w:pPr>
        <w:pStyle w:val="BodyText"/>
        <w:spacing w:line="240" w:lineRule="auto" w:before="51"/>
        <w:ind w:right="1122"/>
        <w:jc w:val="left"/>
      </w:pPr>
      <w:r>
        <w:rPr/>
        <w:t>主要客户其他情况说明</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1,381,310,344.68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35.75%</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8"/>
              <w:jc w:val="left"/>
              <w:rPr>
                <w:rFonts w:ascii="宋体" w:hAnsi="宋体" w:cs="宋体" w:eastAsia="宋体" w:hint="default"/>
                <w:sz w:val="18"/>
                <w:szCs w:val="18"/>
              </w:rPr>
            </w:pPr>
            <w:r>
              <w:rPr>
                <w:rFonts w:ascii="宋体" w:hAnsi="宋体" w:cs="宋体" w:eastAsia="宋体" w:hint="default"/>
                <w:spacing w:val="2"/>
                <w:sz w:val="18"/>
                <w:szCs w:val="18"/>
              </w:rPr>
              <w:t>前五名供应商采购额中关联方采购额占年度采购总额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2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554,467,975.00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253,439,265.17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241,642,946.85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183,417,723.62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147,342,434.04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1,381,310,344.68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35.75%</w:t>
            </w:r>
          </w:p>
        </w:tc>
      </w:tr>
    </w:tbl>
    <w:p>
      <w:pPr>
        <w:pStyle w:val="BodyText"/>
        <w:spacing w:line="240" w:lineRule="auto" w:before="51"/>
        <w:ind w:right="1122"/>
        <w:jc w:val="left"/>
      </w:pPr>
      <w:r>
        <w:rPr/>
        <w:t>主要供应商其他情况说明</w:t>
      </w:r>
    </w:p>
    <w:p>
      <w:pPr>
        <w:pStyle w:val="BodyText"/>
        <w:spacing w:line="240" w:lineRule="auto" w:before="117"/>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07"/>
        <w:gridCol w:w="1559"/>
        <w:gridCol w:w="1559"/>
        <w:gridCol w:w="1134"/>
        <w:gridCol w:w="3898"/>
      </w:tblGrid>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7" w:hRule="exact"/>
        </w:trPr>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139,758,903.98</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0" w:right="0"/>
              <w:jc w:val="left"/>
              <w:rPr>
                <w:rFonts w:ascii="Times New Roman" w:hAnsi="Times New Roman" w:cs="Times New Roman" w:eastAsia="Times New Roman" w:hint="default"/>
                <w:sz w:val="18"/>
                <w:szCs w:val="18"/>
              </w:rPr>
            </w:pPr>
            <w:r>
              <w:rPr>
                <w:rFonts w:ascii="Times New Roman"/>
                <w:sz w:val="18"/>
              </w:rPr>
              <w:t>111,535,511.47</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25.30%</w:t>
            </w:r>
          </w:p>
        </w:tc>
        <w:tc>
          <w:tcPr>
            <w:tcW w:w="389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主要系报告期加大市场开拓力度，重点向海外市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场布局，取得了一定成果，但也导致销售人员报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酬和市场开拓的相关费用有所上升。</w:t>
            </w:r>
          </w:p>
        </w:tc>
      </w:tr>
      <w:tr>
        <w:trPr>
          <w:trHeight w:val="392" w:hRule="exact"/>
        </w:trPr>
        <w:tc>
          <w:tcPr>
            <w:tcW w:w="14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59" w:type="dxa"/>
            <w:vMerge/>
            <w:tcBorders>
              <w:left w:val="single" w:sz="9" w:space="0" w:color="D2D2D2"/>
              <w:right w:val="single" w:sz="4" w:space="0" w:color="000000"/>
            </w:tcBorders>
          </w:tcPr>
          <w:p>
            <w:pPr/>
          </w:p>
        </w:tc>
        <w:tc>
          <w:tcPr>
            <w:tcW w:w="155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898" w:type="dxa"/>
            <w:vMerge/>
            <w:tcBorders>
              <w:left w:val="single" w:sz="4" w:space="0" w:color="000000"/>
              <w:right w:val="single" w:sz="4" w:space="0" w:color="000000"/>
            </w:tcBorders>
          </w:tcPr>
          <w:p>
            <w:pPr/>
          </w:p>
        </w:tc>
      </w:tr>
      <w:tr>
        <w:trPr>
          <w:trHeight w:val="317" w:hRule="exact"/>
        </w:trPr>
        <w:tc>
          <w:tcPr>
            <w:tcW w:w="1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vMerge/>
            <w:tcBorders>
              <w:left w:val="single" w:sz="9" w:space="0" w:color="D2D2D2"/>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89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44"/>
        <w:ind w:left="0" w:right="1139"/>
        <w:jc w:val="right"/>
      </w:pPr>
      <w:r>
        <w:rPr/>
        <w:pict>
          <v:shape style="position:absolute;margin-left:56.459999pt;margin-top:-36.548309pt;width:479.2pt;height:92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1559"/>
                    <w:gridCol w:w="1559"/>
                    <w:gridCol w:w="1134"/>
                    <w:gridCol w:w="3898"/>
                  </w:tblGrid>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235,977,038.48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206,051,341.28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14.52%</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
                          <w:jc w:val="left"/>
                          <w:rPr>
                            <w:rFonts w:ascii="宋体" w:hAnsi="宋体" w:cs="宋体" w:eastAsia="宋体" w:hint="default"/>
                            <w:sz w:val="18"/>
                            <w:szCs w:val="18"/>
                          </w:rPr>
                        </w:pPr>
                        <w:r>
                          <w:rPr>
                            <w:rFonts w:ascii="宋体" w:hAnsi="宋体" w:cs="宋体" w:eastAsia="宋体" w:hint="default"/>
                            <w:spacing w:val="2"/>
                            <w:sz w:val="18"/>
                            <w:szCs w:val="18"/>
                          </w:rPr>
                          <w:t>主要系报告期公司出售光伏电站、发行股份购买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资产等事项的中介机构咨询费用增加所致。</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439,732,047.54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451,625,943.77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主要系报告期公司利息收入、汇兑收益增加所致</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41,918,613.36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31,323,983.55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33.82%</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主要系报告期公司用于产品升级、技术创新投入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的费用增加所致。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3"/>
        <w:spacing w:line="240" w:lineRule="auto" w:before="35"/>
        <w:ind w:right="1122"/>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444" w:right="1122"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公司一直高度重视产品研发的投入以及自身研发综合实力的提升，在产品、产线智能化等方面公司紧跟市场前沿及需求</w:t>
      </w:r>
    </w:p>
    <w:p>
      <w:pPr>
        <w:pStyle w:val="BodyText"/>
        <w:spacing w:line="312" w:lineRule="auto" w:before="2"/>
        <w:ind w:right="1122"/>
        <w:jc w:val="left"/>
      </w:pPr>
      <w:r>
        <w:rPr>
          <w:spacing w:val="-2"/>
        </w:rPr>
        <w:t>保持一定的预研和开发，以保持、提升公司在市场中的竞争力。报告期内，公司主要研发精力集中在光伏电池边框柔性自动</w:t>
      </w:r>
      <w:r>
        <w:rPr>
          <w:spacing w:val="-66"/>
        </w:rPr>
        <w:t> </w:t>
      </w:r>
      <w:r>
        <w:rPr>
          <w:spacing w:val="-66"/>
        </w:rPr>
      </w:r>
      <w:r>
        <w:rPr/>
        <w:t>化生产线和支架、组件、区块链等产品研发及创新上，共计投入研发费用</w:t>
      </w:r>
      <w:r>
        <w:rPr>
          <w:rFonts w:ascii="Times New Roman" w:hAnsi="Times New Roman" w:cs="Times New Roman" w:eastAsia="Times New Roman" w:hint="default"/>
        </w:rPr>
        <w:t>4,191.86</w:t>
      </w:r>
      <w:r>
        <w:rPr/>
        <w:t>万元，占营业收入的</w:t>
      </w:r>
      <w:r>
        <w:rPr>
          <w:rFonts w:ascii="Times New Roman" w:hAnsi="Times New Roman" w:cs="Times New Roman" w:eastAsia="Times New Roman" w:hint="default"/>
        </w:rPr>
        <w:t>0.87%</w:t>
      </w:r>
      <w:r>
        <w:rPr/>
        <w:t>。公司在产线 </w:t>
      </w:r>
      <w:r>
        <w:rPr>
          <w:spacing w:val="-2"/>
        </w:rPr>
        <w:t>智能、自动化和新产品等方面的研发投入，有利于保持公司的产品研发与创新能力，不断推出受市场欢迎的新产品和高品质</w:t>
      </w:r>
      <w:r>
        <w:rPr>
          <w:spacing w:val="-66"/>
        </w:rPr>
        <w:t> </w:t>
      </w:r>
      <w:r>
        <w:rPr>
          <w:spacing w:val="-66"/>
        </w:rPr>
      </w:r>
      <w:r>
        <w:rPr/>
        <w:t>产品，为公司的经营业绩提升带来积极的影响。</w:t>
      </w:r>
    </w:p>
    <w:p>
      <w:pPr>
        <w:pStyle w:val="BodyText"/>
        <w:spacing w:line="240" w:lineRule="auto" w:before="63"/>
        <w:ind w:right="1122"/>
        <w:jc w:val="left"/>
      </w:pPr>
      <w:r>
        <w:rPr/>
        <w:t>公司研发投入情况</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2280"/>
        <w:gridCol w:w="2073"/>
        <w:gridCol w:w="2392"/>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101</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3"/>
                <w:sz w:val="18"/>
              </w:rPr>
              <w:t>112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-9.82%</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4.38%</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41,918,613.36</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31,323,983.55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33.82%</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0.87%</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0.23%</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22"/>
        <w:jc w:val="left"/>
      </w:pPr>
      <w:r>
        <w:rPr/>
        <w:t>研发投入总额占营业收入的比重较上年发生显著变化的原因</w:t>
      </w:r>
    </w:p>
    <w:p>
      <w:pPr>
        <w:pStyle w:val="BodyText"/>
        <w:spacing w:line="340" w:lineRule="auto" w:before="11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29"/>
        <w:gridCol w:w="2244"/>
        <w:gridCol w:w="2392"/>
        <w:gridCol w:w="2392"/>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4,938,699,101.30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4,137,309,088.14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19.37%</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4,070,160,608.12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3,265,969,222.16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24.62%</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868,538,493.18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871,339,865.98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844,976,123.49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185,825,860.85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354.71%</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2,457,479,837.92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1,396,130,389.07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76.02%</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-1,612,503,714.43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-1,210,304,528.22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33.23%</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8,050,986,361.67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5,647,703,703.02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41"/>
        <w:gridCol w:w="2244"/>
        <w:gridCol w:w="2392"/>
        <w:gridCol w:w="2392"/>
      </w:tblGrid>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7,344,923,125.18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6,490,047,433.40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13.17%</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706,063,236.49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-842,343,730.38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-183.82%</w:t>
            </w:r>
            <w:r>
              <w:rPr>
                <w:rFonts w:ascii="Times New Roman"/>
                <w:sz w:val="18"/>
              </w:rPr>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-37,748,479.81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-1,189,183,232.74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-96.83%</w:t>
            </w:r>
          </w:p>
        </w:tc>
      </w:tr>
    </w:tbl>
    <w:p>
      <w:pPr>
        <w:pStyle w:val="BodyText"/>
        <w:spacing w:line="240" w:lineRule="auto" w:before="51"/>
        <w:ind w:right="1122"/>
        <w:jc w:val="left"/>
      </w:pPr>
      <w:r>
        <w:rPr/>
        <w:t>相关数据同比发生重大变动的主要影响因素说明</w:t>
      </w:r>
    </w:p>
    <w:p>
      <w:pPr>
        <w:pStyle w:val="BodyText"/>
        <w:spacing w:line="240" w:lineRule="auto" w:before="117"/>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1122"/>
        <w:jc w:val="left"/>
      </w:pPr>
      <w:r>
        <w:rPr>
          <w:rFonts w:ascii="Times New Roman" w:hAnsi="Times New Roman" w:cs="Times New Roman" w:eastAsia="Times New Roman" w:hint="default"/>
        </w:rPr>
        <w:t>1</w:t>
      </w:r>
      <w:r>
        <w:rPr/>
        <w:t>、经营活动产生的现金流量净额本年金额为</w:t>
      </w:r>
      <w:r>
        <w:rPr>
          <w:rFonts w:ascii="Times New Roman" w:hAnsi="Times New Roman" w:cs="Times New Roman" w:eastAsia="Times New Roman" w:hint="default"/>
        </w:rPr>
        <w:t>8.68</w:t>
      </w:r>
      <w:r>
        <w:rPr/>
        <w:t>亿元，比上期金额减少了</w:t>
      </w:r>
      <w:r>
        <w:rPr>
          <w:rFonts w:ascii="Times New Roman" w:hAnsi="Times New Roman" w:cs="Times New Roman" w:eastAsia="Times New Roman" w:hint="default"/>
        </w:rPr>
        <w:t>0.03</w:t>
      </w:r>
      <w:r>
        <w:rPr/>
        <w:t>亿元，无重大变动。</w:t>
      </w:r>
    </w:p>
    <w:p>
      <w:pPr>
        <w:pStyle w:val="BodyText"/>
        <w:spacing w:line="309" w:lineRule="auto" w:before="63"/>
        <w:ind w:right="1122"/>
        <w:jc w:val="left"/>
      </w:pPr>
      <w:r>
        <w:rPr>
          <w:rFonts w:ascii="Times New Roman" w:hAnsi="Times New Roman" w:cs="Times New Roman" w:eastAsia="Times New Roman" w:hint="default"/>
          <w:spacing w:val="-1"/>
        </w:rPr>
        <w:t>2</w:t>
      </w:r>
      <w:r>
        <w:rPr>
          <w:spacing w:val="-1"/>
        </w:rPr>
        <w:t>、投资活动产生的现金流量净额本年金额为</w:t>
      </w:r>
      <w:r>
        <w:rPr>
          <w:rFonts w:ascii="Times New Roman" w:hAnsi="Times New Roman" w:cs="Times New Roman" w:eastAsia="Times New Roman" w:hint="default"/>
          <w:spacing w:val="-1"/>
        </w:rPr>
        <w:t>-16.12</w:t>
      </w:r>
      <w:r>
        <w:rPr>
          <w:spacing w:val="-1"/>
        </w:rPr>
        <w:t>亿元，比上期金额减少</w:t>
      </w:r>
      <w:r>
        <w:rPr>
          <w:rFonts w:ascii="Times New Roman" w:hAnsi="Times New Roman" w:cs="Times New Roman" w:eastAsia="Times New Roman" w:hint="default"/>
          <w:spacing w:val="-1"/>
        </w:rPr>
        <w:t>4.02</w:t>
      </w:r>
      <w:r>
        <w:rPr>
          <w:spacing w:val="-1"/>
        </w:rPr>
        <w:t>亿元，主要系报告期公司支付股权投资的款项</w:t>
      </w:r>
      <w:r>
        <w:rPr>
          <w:spacing w:val="-84"/>
        </w:rPr>
        <w:t> </w:t>
      </w:r>
      <w:r>
        <w:rPr>
          <w:spacing w:val="-84"/>
        </w:rPr>
      </w:r>
      <w:r>
        <w:rPr/>
        <w:t>增加所致。 </w:t>
      </w:r>
      <w:r>
        <w:rPr>
          <w:rFonts w:ascii="Times New Roman" w:hAnsi="Times New Roman" w:cs="Times New Roman" w:eastAsia="Times New Roman" w:hint="default"/>
        </w:rPr>
        <w:t>3</w:t>
      </w:r>
      <w:r>
        <w:rPr/>
        <w:t>、筹资活动产生的现金流量净额本年金额为</w:t>
      </w:r>
      <w:r>
        <w:rPr>
          <w:rFonts w:ascii="Times New Roman" w:hAnsi="Times New Roman" w:cs="Times New Roman" w:eastAsia="Times New Roman" w:hint="default"/>
        </w:rPr>
        <w:t>7.06</w:t>
      </w:r>
      <w:r>
        <w:rPr/>
        <w:t>亿元，比上期金额增加了</w:t>
      </w:r>
      <w:r>
        <w:rPr>
          <w:rFonts w:ascii="Times New Roman" w:hAnsi="Times New Roman" w:cs="Times New Roman" w:eastAsia="Times New Roman" w:hint="default"/>
        </w:rPr>
        <w:t>15.48</w:t>
      </w:r>
      <w:r>
        <w:rPr/>
        <w:t>亿元，主要系报告期公司通过发行债券、新</w:t>
      </w:r>
      <w:r>
        <w:rPr>
          <w:spacing w:val="-85"/>
        </w:rPr>
        <w:t> </w:t>
      </w:r>
      <w:r>
        <w:rPr>
          <w:spacing w:val="-85"/>
        </w:rPr>
      </w:r>
      <w:r>
        <w:rPr/>
        <w:t>能源基金等形式融入的资金增加和收回借款、票据保证金增加所致。 </w:t>
      </w:r>
      <w:r>
        <w:rPr>
          <w:rFonts w:ascii="Times New Roman" w:hAnsi="Times New Roman" w:cs="Times New Roman" w:eastAsia="Times New Roman" w:hint="default"/>
        </w:rPr>
        <w:t>4</w:t>
      </w:r>
      <w:r>
        <w:rPr/>
        <w:t>、现金及现金等价物比上年增加了</w:t>
      </w:r>
      <w:r>
        <w:rPr>
          <w:rFonts w:ascii="Times New Roman" w:hAnsi="Times New Roman" w:cs="Times New Roman" w:eastAsia="Times New Roman" w:hint="default"/>
        </w:rPr>
        <w:t>0.81</w:t>
      </w:r>
      <w:r>
        <w:rPr/>
        <w:t>亿元，主要系报告期筹资活动产生的现金净流量增加所致。</w:t>
      </w:r>
    </w:p>
    <w:p>
      <w:pPr>
        <w:pStyle w:val="BodyText"/>
        <w:spacing w:line="240" w:lineRule="auto" w:before="46"/>
        <w:ind w:right="1122"/>
        <w:jc w:val="left"/>
      </w:pPr>
      <w:r>
        <w:rPr/>
        <w:t>报告期内公司经营活动产生的现金净流量与本年度净利润存在重大差异的原因说明</w:t>
      </w:r>
    </w:p>
    <w:p>
      <w:pPr>
        <w:pStyle w:val="BodyText"/>
        <w:spacing w:line="328" w:lineRule="auto" w:before="117"/>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报告期内公司经营活动的现金净流量与本年度归属于上市公司股东的净利润相差较大，主要是报告期公司净利润中扣减了固</w:t>
      </w:r>
      <w:r>
        <w:rPr>
          <w:spacing w:val="-63"/>
        </w:rPr>
        <w:t> </w:t>
      </w:r>
      <w:r>
        <w:rPr>
          <w:spacing w:val="-63"/>
        </w:rPr>
      </w:r>
      <w:r>
        <w:rPr/>
        <w:t>定资产折旧</w:t>
      </w:r>
      <w:r>
        <w:rPr>
          <w:rFonts w:ascii="Times New Roman" w:hAnsi="Times New Roman" w:cs="Times New Roman" w:eastAsia="Times New Roman" w:hint="default"/>
        </w:rPr>
        <w:t>4.35</w:t>
      </w:r>
      <w:r>
        <w:rPr/>
        <w:t>亿元、财务费用</w:t>
      </w:r>
      <w:r>
        <w:rPr>
          <w:rFonts w:ascii="Times New Roman" w:hAnsi="Times New Roman" w:cs="Times New Roman" w:eastAsia="Times New Roman" w:hint="default"/>
        </w:rPr>
        <w:t>4.40</w:t>
      </w:r>
      <w:r>
        <w:rPr/>
        <w:t>亿元所致。</w:t>
      </w:r>
    </w:p>
    <w:p>
      <w:pPr>
        <w:spacing w:line="240" w:lineRule="auto" w:before="6"/>
        <w:rPr>
          <w:rFonts w:ascii="宋体" w:hAnsi="宋体" w:cs="宋体" w:eastAsia="宋体" w:hint="default"/>
          <w:sz w:val="18"/>
          <w:szCs w:val="18"/>
        </w:rPr>
      </w:pPr>
    </w:p>
    <w:p>
      <w:pPr>
        <w:pStyle w:val="Heading2"/>
        <w:spacing w:line="240" w:lineRule="auto"/>
        <w:ind w:right="1122"/>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12"/>
        <w:gridCol w:w="1454"/>
        <w:gridCol w:w="1419"/>
        <w:gridCol w:w="4252"/>
        <w:gridCol w:w="922"/>
      </w:tblGrid>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2" w:type="dxa"/>
            <w:tcBorders>
              <w:top w:val="single" w:sz="4" w:space="0" w:color="000000"/>
              <w:left w:val="single" w:sz="4" w:space="0" w:color="000000"/>
              <w:bottom w:val="nil" w:sz="6" w:space="0" w:color="auto"/>
              <w:right w:val="single" w:sz="4" w:space="0" w:color="000000"/>
            </w:tcBorders>
            <w:shd w:val="clear" w:color="auto" w:fill="D2D2D2"/>
          </w:tcPr>
          <w:p>
            <w:pP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5" w:right="95"/>
              <w:jc w:val="left"/>
              <w:rPr>
                <w:rFonts w:ascii="宋体" w:hAnsi="宋体" w:cs="宋体" w:eastAsia="宋体" w:hint="default"/>
                <w:sz w:val="18"/>
                <w:szCs w:val="18"/>
              </w:rPr>
            </w:pPr>
            <w:r>
              <w:rPr>
                <w:rFonts w:ascii="宋体" w:hAnsi="宋体" w:cs="宋体" w:eastAsia="宋体" w:hint="default"/>
                <w:sz w:val="18"/>
                <w:szCs w:val="18"/>
              </w:rPr>
              <w:t>是否具有 可持续性</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
        </w:tc>
        <w:tc>
          <w:tcPr>
            <w:tcW w:w="14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5"/>
              <w:jc w:val="right"/>
              <w:rPr>
                <w:rFonts w:ascii="宋体" w:hAnsi="宋体" w:cs="宋体" w:eastAsia="宋体" w:hint="default"/>
                <w:sz w:val="18"/>
                <w:szCs w:val="18"/>
              </w:rPr>
            </w:pPr>
            <w:r>
              <w:rPr>
                <w:rFonts w:ascii="宋体" w:hAnsi="宋体" w:cs="宋体" w:eastAsia="宋体" w:hint="default"/>
                <w:sz w:val="18"/>
                <w:szCs w:val="18"/>
              </w:rPr>
              <w:t>占利润总额比例</w:t>
            </w:r>
          </w:p>
        </w:tc>
        <w:tc>
          <w:tcPr>
            <w:tcW w:w="4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922" w:type="dxa"/>
            <w:vMerge/>
            <w:tcBorders>
              <w:left w:val="single" w:sz="4" w:space="0" w:color="000000"/>
              <w:right w:val="single" w:sz="4" w:space="0" w:color="000000"/>
            </w:tcBorders>
            <w:shd w:val="clear" w:color="auto" w:fill="D2D2D2"/>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2" w:type="dxa"/>
            <w:tcBorders>
              <w:top w:val="nil" w:sz="6" w:space="0" w:color="auto"/>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9" w:right="0"/>
              <w:jc w:val="left"/>
              <w:rPr>
                <w:rFonts w:ascii="Times New Roman" w:hAnsi="Times New Roman" w:cs="Times New Roman" w:eastAsia="Times New Roman" w:hint="default"/>
                <w:sz w:val="18"/>
                <w:szCs w:val="18"/>
              </w:rPr>
            </w:pPr>
            <w:r>
              <w:rPr>
                <w:rFonts w:ascii="Times New Roman"/>
                <w:sz w:val="18"/>
              </w:rPr>
              <w:t>151,274,662.10</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0" w:right="0"/>
              <w:jc w:val="left"/>
              <w:rPr>
                <w:rFonts w:ascii="Times New Roman" w:hAnsi="Times New Roman" w:cs="Times New Roman" w:eastAsia="Times New Roman" w:hint="default"/>
                <w:sz w:val="18"/>
                <w:szCs w:val="18"/>
              </w:rPr>
            </w:pPr>
            <w:r>
              <w:rPr>
                <w:rFonts w:ascii="Times New Roman"/>
                <w:sz w:val="18"/>
              </w:rPr>
              <w:t>96.08%</w:t>
            </w:r>
          </w:p>
        </w:tc>
        <w:tc>
          <w:tcPr>
            <w:tcW w:w="4252"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6"/>
              <w:jc w:val="both"/>
              <w:rPr>
                <w:rFonts w:ascii="宋体" w:hAnsi="宋体" w:cs="宋体" w:eastAsia="宋体" w:hint="default"/>
                <w:sz w:val="18"/>
                <w:szCs w:val="18"/>
              </w:rPr>
            </w:pPr>
            <w:r>
              <w:rPr>
                <w:rFonts w:ascii="宋体" w:hAnsi="宋体" w:cs="宋体" w:eastAsia="宋体" w:hint="default"/>
                <w:spacing w:val="2"/>
                <w:sz w:val="18"/>
                <w:szCs w:val="18"/>
              </w:rPr>
              <w:t>主要系报告期以权益法按持股比率确认的参股公司的</w:t>
            </w:r>
            <w:r>
              <w:rPr>
                <w:rFonts w:ascii="宋体" w:hAnsi="宋体" w:cs="宋体" w:eastAsia="宋体" w:hint="default"/>
                <w:sz w:val="18"/>
                <w:szCs w:val="18"/>
              </w:rPr>
              <w:t> </w:t>
            </w:r>
            <w:r>
              <w:rPr>
                <w:rFonts w:ascii="宋体" w:hAnsi="宋体" w:cs="宋体" w:eastAsia="宋体" w:hint="default"/>
                <w:spacing w:val="2"/>
                <w:sz w:val="18"/>
                <w:szCs w:val="18"/>
              </w:rPr>
              <w:t>投资收益增加和出售光伏电站公司股权所取得的处置</w:t>
            </w:r>
            <w:r>
              <w:rPr>
                <w:rFonts w:ascii="宋体" w:hAnsi="宋体" w:cs="宋体" w:eastAsia="宋体" w:hint="default"/>
                <w:sz w:val="18"/>
                <w:szCs w:val="18"/>
              </w:rPr>
              <w:t> 收益增加所致。</w:t>
            </w: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54" w:type="dxa"/>
            <w:vMerge/>
            <w:tcBorders>
              <w:left w:val="single" w:sz="9"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4252"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vMerge/>
            <w:tcBorders>
              <w:left w:val="single" w:sz="9"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4252"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-1,976,271.00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主要系报告期远期外汇合约汇率变动所致。</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83,036,810.43</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0" w:right="0"/>
              <w:jc w:val="left"/>
              <w:rPr>
                <w:rFonts w:ascii="Times New Roman" w:hAnsi="Times New Roman" w:cs="Times New Roman" w:eastAsia="Times New Roman" w:hint="default"/>
                <w:sz w:val="18"/>
                <w:szCs w:val="18"/>
              </w:rPr>
            </w:pPr>
            <w:r>
              <w:rPr>
                <w:rFonts w:ascii="Times New Roman"/>
                <w:sz w:val="18"/>
              </w:rPr>
              <w:t>52.74%</w:t>
            </w:r>
          </w:p>
        </w:tc>
        <w:tc>
          <w:tcPr>
            <w:tcW w:w="4252"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6"/>
              <w:jc w:val="left"/>
              <w:rPr>
                <w:rFonts w:ascii="宋体" w:hAnsi="宋体" w:cs="宋体" w:eastAsia="宋体" w:hint="default"/>
                <w:sz w:val="18"/>
                <w:szCs w:val="18"/>
              </w:rPr>
            </w:pPr>
            <w:r>
              <w:rPr>
                <w:rFonts w:ascii="宋体" w:hAnsi="宋体" w:cs="宋体" w:eastAsia="宋体" w:hint="default"/>
                <w:spacing w:val="2"/>
                <w:sz w:val="18"/>
                <w:szCs w:val="18"/>
              </w:rPr>
              <w:t>主要系报告期公司计提电站资产固定资产减值、存货</w:t>
            </w:r>
            <w:r>
              <w:rPr>
                <w:rFonts w:ascii="宋体" w:hAnsi="宋体" w:cs="宋体" w:eastAsia="宋体" w:hint="default"/>
                <w:sz w:val="18"/>
                <w:szCs w:val="18"/>
              </w:rPr>
              <w:t> 跌价准备、应收账款坏账准备等增加所致。</w:t>
            </w: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54" w:type="dxa"/>
            <w:vMerge/>
            <w:tcBorders>
              <w:left w:val="single" w:sz="9"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4252"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vMerge/>
            <w:tcBorders>
              <w:left w:val="single" w:sz="9"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4252"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3,136,590.58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主要系报告期核销长期挂账应付、预收款项所致。</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21,387,802.35</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0" w:right="0"/>
              <w:jc w:val="left"/>
              <w:rPr>
                <w:rFonts w:ascii="Times New Roman" w:hAnsi="Times New Roman" w:cs="Times New Roman" w:eastAsia="Times New Roman" w:hint="default"/>
                <w:sz w:val="18"/>
                <w:szCs w:val="18"/>
              </w:rPr>
            </w:pPr>
            <w:r>
              <w:rPr>
                <w:rFonts w:ascii="Times New Roman"/>
                <w:sz w:val="18"/>
              </w:rPr>
              <w:t>13.58%</w:t>
            </w:r>
          </w:p>
        </w:tc>
        <w:tc>
          <w:tcPr>
            <w:tcW w:w="4252"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6"/>
              <w:jc w:val="left"/>
              <w:rPr>
                <w:rFonts w:ascii="宋体" w:hAnsi="宋体" w:cs="宋体" w:eastAsia="宋体" w:hint="default"/>
                <w:sz w:val="18"/>
                <w:szCs w:val="18"/>
              </w:rPr>
            </w:pPr>
            <w:r>
              <w:rPr>
                <w:rFonts w:ascii="宋体" w:hAnsi="宋体" w:cs="宋体" w:eastAsia="宋体" w:hint="default"/>
                <w:spacing w:val="2"/>
                <w:sz w:val="18"/>
                <w:szCs w:val="18"/>
              </w:rPr>
              <w:t>主要系报告期公司处置固定资产等长期资产形成损失</w:t>
            </w:r>
            <w:r>
              <w:rPr>
                <w:rFonts w:ascii="宋体" w:hAnsi="宋体" w:cs="宋体" w:eastAsia="宋体" w:hint="default"/>
                <w:sz w:val="18"/>
                <w:szCs w:val="18"/>
              </w:rPr>
              <w:t> 所致。</w:t>
            </w: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54" w:type="dxa"/>
            <w:vMerge/>
            <w:tcBorders>
              <w:left w:val="single" w:sz="9"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4252"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vMerge/>
            <w:tcBorders>
              <w:left w:val="single" w:sz="9"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4252"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122,401,690.09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77.74%</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主要系公司取得与日常经营相关政府补贴所致。</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1122"/>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468"/>
        <w:gridCol w:w="760"/>
        <w:gridCol w:w="1509"/>
        <w:gridCol w:w="750"/>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4" w:right="0"/>
              <w:jc w:val="left"/>
              <w:rPr>
                <w:rFonts w:ascii="宋体" w:hAnsi="宋体" w:cs="宋体" w:eastAsia="宋体" w:hint="default"/>
                <w:sz w:val="18"/>
                <w:szCs w:val="18"/>
              </w:rPr>
            </w:pPr>
            <w:r>
              <w:rPr>
                <w:rFonts w:ascii="宋体" w:hAnsi="宋体" w:cs="宋体" w:eastAsia="宋体" w:hint="default"/>
                <w:sz w:val="18"/>
                <w:szCs w:val="18"/>
              </w:rPr>
              <w:t>占总资</w:t>
            </w:r>
          </w:p>
        </w:tc>
        <w:tc>
          <w:tcPr>
            <w:tcW w:w="1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9" w:right="0"/>
              <w:jc w:val="left"/>
              <w:rPr>
                <w:rFonts w:ascii="宋体" w:hAnsi="宋体" w:cs="宋体" w:eastAsia="宋体" w:hint="default"/>
                <w:sz w:val="18"/>
                <w:szCs w:val="18"/>
              </w:rPr>
            </w:pPr>
            <w:r>
              <w:rPr>
                <w:rFonts w:ascii="宋体" w:hAnsi="宋体" w:cs="宋体" w:eastAsia="宋体" w:hint="default"/>
                <w:sz w:val="18"/>
                <w:szCs w:val="18"/>
              </w:rPr>
              <w:t>占总资</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479"/>
        <w:gridCol w:w="760"/>
        <w:gridCol w:w="1509"/>
        <w:gridCol w:w="750"/>
        <w:gridCol w:w="798"/>
        <w:gridCol w:w="2918"/>
      </w:tblGrid>
      <w:tr>
        <w:trPr>
          <w:trHeight w:val="36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产比例</w:t>
            </w:r>
          </w:p>
        </w:tc>
        <w:tc>
          <w:tcPr>
            <w:tcW w:w="15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产比例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2,050,426,425.64</w:t>
            </w: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14.59%</w:t>
            </w: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2,862,939,724.35</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16.76%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-2.17%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主要系报告期公司资金用于支付投</w:t>
            </w:r>
            <w:r>
              <w:rPr>
                <w:rFonts w:ascii="宋体" w:hAnsi="宋体" w:cs="宋体" w:eastAsia="宋体" w:hint="default"/>
                <w:sz w:val="18"/>
                <w:szCs w:val="18"/>
              </w:rPr>
              <w:t> 资款、偿还借款所致。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9" w:type="dxa"/>
            <w:vMerge/>
            <w:tcBorders>
              <w:left w:val="single" w:sz="9" w:space="0" w:color="D2D2D2"/>
              <w:right w:val="single" w:sz="4" w:space="0" w:color="000000"/>
            </w:tcBorders>
          </w:tcPr>
          <w:p>
            <w:pPr/>
          </w:p>
        </w:tc>
        <w:tc>
          <w:tcPr>
            <w:tcW w:w="760" w:type="dxa"/>
            <w:vMerge/>
            <w:tcBorders>
              <w:left w:val="single" w:sz="4" w:space="0" w:color="000000"/>
              <w:right w:val="single" w:sz="4" w:space="0" w:color="000000"/>
            </w:tcBorders>
          </w:tcPr>
          <w:p>
            <w:pPr/>
          </w:p>
        </w:tc>
        <w:tc>
          <w:tcPr>
            <w:tcW w:w="1509"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9" w:type="dxa"/>
            <w:vMerge/>
            <w:tcBorders>
              <w:left w:val="single" w:sz="9" w:space="0" w:color="D2D2D2"/>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1,785,438,271.55</w:t>
            </w: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12.70%</w:t>
            </w: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1,899,270,363.06</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11.12%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1.58%</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10"/>
                <w:sz w:val="18"/>
                <w:szCs w:val="18"/>
              </w:rPr>
              <w:t>主要系报告期公司出售部分光伏电</w:t>
            </w:r>
            <w:r>
              <w:rPr>
                <w:rFonts w:ascii="宋体" w:hAnsi="宋体" w:cs="宋体" w:eastAsia="宋体" w:hint="default"/>
                <w:sz w:val="18"/>
                <w:szCs w:val="18"/>
              </w:rPr>
              <w:t> </w:t>
            </w:r>
            <w:r>
              <w:rPr>
                <w:rFonts w:ascii="宋体" w:hAnsi="宋体" w:cs="宋体" w:eastAsia="宋体" w:hint="default"/>
                <w:spacing w:val="10"/>
                <w:sz w:val="18"/>
                <w:szCs w:val="18"/>
              </w:rPr>
              <w:t>站股权致应收光伏电费及可再生能</w:t>
            </w:r>
            <w:r>
              <w:rPr>
                <w:rFonts w:ascii="宋体" w:hAnsi="宋体" w:cs="宋体" w:eastAsia="宋体" w:hint="default"/>
                <w:sz w:val="18"/>
                <w:szCs w:val="18"/>
              </w:rPr>
              <w:t> 源补贴款减少所致。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9" w:type="dxa"/>
            <w:vMerge/>
            <w:tcBorders>
              <w:left w:val="single" w:sz="9" w:space="0" w:color="D2D2D2"/>
              <w:right w:val="single" w:sz="4" w:space="0" w:color="000000"/>
            </w:tcBorders>
          </w:tcPr>
          <w:p>
            <w:pPr/>
          </w:p>
        </w:tc>
        <w:tc>
          <w:tcPr>
            <w:tcW w:w="760" w:type="dxa"/>
            <w:vMerge/>
            <w:tcBorders>
              <w:left w:val="single" w:sz="4" w:space="0" w:color="000000"/>
              <w:right w:val="single" w:sz="4" w:space="0" w:color="000000"/>
            </w:tcBorders>
          </w:tcPr>
          <w:p>
            <w:pPr/>
          </w:p>
        </w:tc>
        <w:tc>
          <w:tcPr>
            <w:tcW w:w="1509"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9" w:type="dxa"/>
            <w:vMerge/>
            <w:tcBorders>
              <w:left w:val="single" w:sz="9" w:space="0" w:color="D2D2D2"/>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278,492,981.39</w:t>
            </w: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1.98%</w:t>
            </w: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255,569,403.48</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1.50%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0.48%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主要系报告期公司制造业业务量增</w:t>
            </w:r>
            <w:r>
              <w:rPr>
                <w:rFonts w:ascii="宋体" w:hAnsi="宋体" w:cs="宋体" w:eastAsia="宋体" w:hint="default"/>
                <w:sz w:val="18"/>
                <w:szCs w:val="18"/>
              </w:rPr>
              <w:t> 加致存货库存量增加所致。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9" w:type="dxa"/>
            <w:vMerge/>
            <w:tcBorders>
              <w:left w:val="single" w:sz="9" w:space="0" w:color="D2D2D2"/>
              <w:right w:val="single" w:sz="4" w:space="0" w:color="000000"/>
            </w:tcBorders>
          </w:tcPr>
          <w:p>
            <w:pPr/>
          </w:p>
        </w:tc>
        <w:tc>
          <w:tcPr>
            <w:tcW w:w="760" w:type="dxa"/>
            <w:vMerge/>
            <w:tcBorders>
              <w:left w:val="single" w:sz="4" w:space="0" w:color="000000"/>
              <w:right w:val="single" w:sz="4" w:space="0" w:color="000000"/>
            </w:tcBorders>
          </w:tcPr>
          <w:p>
            <w:pPr/>
          </w:p>
        </w:tc>
        <w:tc>
          <w:tcPr>
            <w:tcW w:w="1509"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9" w:type="dxa"/>
            <w:vMerge/>
            <w:tcBorders>
              <w:left w:val="single" w:sz="9" w:space="0" w:color="D2D2D2"/>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10,405,314.37</w:t>
            </w: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0.07%</w:t>
            </w:r>
          </w:p>
        </w:tc>
        <w:tc>
          <w:tcPr>
            <w:tcW w:w="1509" w:type="dxa"/>
            <w:vMerge w:val="restart"/>
            <w:tcBorders>
              <w:top w:val="single" w:sz="4" w:space="0" w:color="000000"/>
              <w:left w:val="single" w:sz="4" w:space="0" w:color="000000"/>
              <w:right w:val="single" w:sz="4" w:space="0" w:color="000000"/>
            </w:tcBorders>
          </w:tcPr>
          <w:p>
            <w:pP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0.07%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主要系报告期公司将部分厂房用于</w:t>
            </w:r>
            <w:r>
              <w:rPr>
                <w:rFonts w:ascii="宋体" w:hAnsi="宋体" w:cs="宋体" w:eastAsia="宋体" w:hint="default"/>
                <w:sz w:val="18"/>
                <w:szCs w:val="18"/>
              </w:rPr>
              <w:t> 出租所致。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79" w:type="dxa"/>
            <w:vMerge/>
            <w:tcBorders>
              <w:left w:val="single" w:sz="9" w:space="0" w:color="D2D2D2"/>
              <w:right w:val="single" w:sz="4" w:space="0" w:color="000000"/>
            </w:tcBorders>
          </w:tcPr>
          <w:p>
            <w:pPr/>
          </w:p>
        </w:tc>
        <w:tc>
          <w:tcPr>
            <w:tcW w:w="760" w:type="dxa"/>
            <w:vMerge/>
            <w:tcBorders>
              <w:left w:val="single" w:sz="4" w:space="0" w:color="000000"/>
              <w:right w:val="single" w:sz="4" w:space="0" w:color="000000"/>
            </w:tcBorders>
          </w:tcPr>
          <w:p>
            <w:pPr/>
          </w:p>
        </w:tc>
        <w:tc>
          <w:tcPr>
            <w:tcW w:w="1509"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9" w:type="dxa"/>
            <w:vMerge/>
            <w:tcBorders>
              <w:left w:val="single" w:sz="9" w:space="0" w:color="D2D2D2"/>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253"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78" w:right="0"/>
              <w:jc w:val="left"/>
              <w:rPr>
                <w:rFonts w:ascii="Times New Roman" w:hAnsi="Times New Roman" w:cs="Times New Roman" w:eastAsia="Times New Roman" w:hint="default"/>
                <w:sz w:val="18"/>
                <w:szCs w:val="18"/>
              </w:rPr>
            </w:pPr>
            <w:r>
              <w:rPr>
                <w:rFonts w:ascii="Times New Roman"/>
                <w:sz w:val="18"/>
              </w:rPr>
              <w:t>2,076,028,040.78</w:t>
            </w: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72" w:right="0"/>
              <w:jc w:val="left"/>
              <w:rPr>
                <w:rFonts w:ascii="Times New Roman" w:hAnsi="Times New Roman" w:cs="Times New Roman" w:eastAsia="Times New Roman" w:hint="default"/>
                <w:sz w:val="18"/>
                <w:szCs w:val="18"/>
              </w:rPr>
            </w:pPr>
            <w:r>
              <w:rPr>
                <w:rFonts w:ascii="Times New Roman"/>
                <w:sz w:val="18"/>
              </w:rPr>
              <w:t>14.77%</w:t>
            </w: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15" w:right="0"/>
              <w:jc w:val="left"/>
              <w:rPr>
                <w:rFonts w:ascii="Times New Roman" w:hAnsi="Times New Roman" w:cs="Times New Roman" w:eastAsia="Times New Roman" w:hint="default"/>
                <w:sz w:val="18"/>
                <w:szCs w:val="18"/>
              </w:rPr>
            </w:pPr>
            <w:r>
              <w:rPr>
                <w:rFonts w:ascii="Times New Roman"/>
                <w:sz w:val="18"/>
              </w:rPr>
              <w:t>1,381,612,236.47</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51" w:right="0"/>
              <w:jc w:val="left"/>
              <w:rPr>
                <w:rFonts w:ascii="Times New Roman" w:hAnsi="Times New Roman" w:cs="Times New Roman" w:eastAsia="Times New Roman" w:hint="default"/>
                <w:sz w:val="18"/>
                <w:szCs w:val="18"/>
              </w:rPr>
            </w:pPr>
            <w:r>
              <w:rPr>
                <w:rFonts w:ascii="Times New Roman"/>
                <w:sz w:val="18"/>
              </w:rPr>
              <w:t>8.09%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99" w:right="0"/>
              <w:jc w:val="left"/>
              <w:rPr>
                <w:rFonts w:ascii="Times New Roman" w:hAnsi="Times New Roman" w:cs="Times New Roman" w:eastAsia="Times New Roman" w:hint="default"/>
                <w:sz w:val="18"/>
                <w:szCs w:val="18"/>
              </w:rPr>
            </w:pPr>
            <w:r>
              <w:rPr>
                <w:rFonts w:ascii="Times New Roman"/>
                <w:sz w:val="18"/>
              </w:rPr>
              <w:t>6.68%</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11"/>
              <w:jc w:val="both"/>
              <w:rPr>
                <w:rFonts w:ascii="宋体" w:hAnsi="宋体" w:cs="宋体" w:eastAsia="宋体" w:hint="default"/>
                <w:sz w:val="18"/>
                <w:szCs w:val="18"/>
              </w:rPr>
            </w:pPr>
            <w:r>
              <w:rPr>
                <w:rFonts w:ascii="宋体" w:hAnsi="宋体" w:cs="宋体" w:eastAsia="宋体" w:hint="default"/>
                <w:sz w:val="18"/>
                <w:szCs w:val="18"/>
              </w:rPr>
              <w:t>较年初增加了</w:t>
            </w:r>
            <w:r>
              <w:rPr>
                <w:rFonts w:ascii="宋体" w:hAnsi="宋体" w:cs="宋体" w:eastAsia="宋体" w:hint="default"/>
                <w:spacing w:val="-40"/>
                <w:sz w:val="18"/>
                <w:szCs w:val="18"/>
              </w:rPr>
              <w:t> </w:t>
            </w:r>
            <w:r>
              <w:rPr>
                <w:rFonts w:ascii="Times New Roman" w:hAnsi="Times New Roman" w:cs="Times New Roman" w:eastAsia="Times New Roman" w:hint="default"/>
                <w:spacing w:val="-7"/>
                <w:sz w:val="18"/>
                <w:szCs w:val="18"/>
              </w:rPr>
              <w:t>50.26%</w:t>
            </w:r>
            <w:r>
              <w:rPr>
                <w:rFonts w:ascii="宋体" w:hAnsi="宋体" w:cs="宋体" w:eastAsia="宋体" w:hint="default"/>
                <w:spacing w:val="-7"/>
                <w:sz w:val="18"/>
                <w:szCs w:val="18"/>
              </w:rPr>
              <w:t>，主要系报告公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司购买了苏州爱康能源工程技术股</w:t>
            </w:r>
            <w:r>
              <w:rPr>
                <w:rFonts w:ascii="宋体" w:hAnsi="宋体" w:cs="宋体" w:eastAsia="宋体" w:hint="default"/>
                <w:sz w:val="18"/>
                <w:szCs w:val="18"/>
              </w:rPr>
              <w:t> 份有限公司</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9.76%</w:t>
            </w:r>
            <w:r>
              <w:rPr>
                <w:rFonts w:ascii="宋体" w:hAnsi="宋体" w:cs="宋体" w:eastAsia="宋体" w:hint="default"/>
                <w:sz w:val="18"/>
                <w:szCs w:val="18"/>
              </w:rPr>
              <w:t>的股权、江西省金 </w:t>
            </w:r>
            <w:r>
              <w:rPr>
                <w:rFonts w:ascii="宋体" w:hAnsi="宋体" w:cs="宋体" w:eastAsia="宋体" w:hint="default"/>
                <w:spacing w:val="6"/>
                <w:sz w:val="18"/>
                <w:szCs w:val="18"/>
              </w:rPr>
              <w:t>控融资租赁股份有限公司</w:t>
            </w:r>
            <w:r>
              <w:rPr>
                <w:rFonts w:ascii="宋体" w:hAnsi="宋体" w:cs="宋体" w:eastAsia="宋体" w:hint="default"/>
                <w:spacing w:val="20"/>
                <w:sz w:val="18"/>
                <w:szCs w:val="18"/>
              </w:rPr>
              <w:t> </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的股</w:t>
            </w:r>
            <w:r>
              <w:rPr>
                <w:rFonts w:ascii="宋体" w:hAnsi="宋体" w:cs="宋体" w:eastAsia="宋体" w:hint="default"/>
                <w:spacing w:val="8"/>
                <w:sz w:val="18"/>
                <w:szCs w:val="18"/>
              </w:rPr>
              <w:t> </w:t>
            </w:r>
            <w:r>
              <w:rPr>
                <w:rFonts w:ascii="宋体" w:hAnsi="宋体" w:cs="宋体" w:eastAsia="宋体" w:hint="default"/>
                <w:spacing w:val="-2"/>
                <w:sz w:val="18"/>
                <w:szCs w:val="18"/>
              </w:rPr>
              <w:t>权、九州方园博乐市新能源有限公司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30%</w:t>
            </w:r>
            <w:r>
              <w:rPr>
                <w:rFonts w:ascii="宋体" w:hAnsi="宋体" w:cs="宋体" w:eastAsia="宋体" w:hint="default"/>
                <w:sz w:val="18"/>
                <w:szCs w:val="18"/>
              </w:rPr>
              <w:t>的股权，增加投资了赣州发展融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资租赁有限责任公司。同时，报告期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公司联营企业均获得较好的收益，致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长期股权投资净额大幅上升。</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79" w:type="dxa"/>
            <w:vMerge/>
            <w:tcBorders>
              <w:left w:val="single" w:sz="9" w:space="0" w:color="D2D2D2"/>
              <w:right w:val="single" w:sz="4" w:space="0" w:color="000000"/>
            </w:tcBorders>
          </w:tcPr>
          <w:p>
            <w:pPr/>
          </w:p>
        </w:tc>
        <w:tc>
          <w:tcPr>
            <w:tcW w:w="760" w:type="dxa"/>
            <w:vMerge/>
            <w:tcBorders>
              <w:left w:val="single" w:sz="4" w:space="0" w:color="000000"/>
              <w:right w:val="single" w:sz="4" w:space="0" w:color="000000"/>
            </w:tcBorders>
          </w:tcPr>
          <w:p>
            <w:pPr/>
          </w:p>
        </w:tc>
        <w:tc>
          <w:tcPr>
            <w:tcW w:w="1509"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253"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9" w:type="dxa"/>
            <w:vMerge/>
            <w:tcBorders>
              <w:left w:val="single" w:sz="9" w:space="0" w:color="D2D2D2"/>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4,322,737,584.86</w:t>
            </w: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30.75%</w:t>
            </w: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7,232,797,715.04</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42.34%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-11.59%</w:t>
            </w:r>
          </w:p>
        </w:tc>
        <w:tc>
          <w:tcPr>
            <w:tcW w:w="2918" w:type="dxa"/>
            <w:vMerge w:val="restart"/>
            <w:tcBorders>
              <w:top w:val="single" w:sz="4" w:space="0" w:color="000000"/>
              <w:left w:val="single" w:sz="4" w:space="0" w:color="000000"/>
              <w:right w:val="single" w:sz="4" w:space="0" w:color="000000"/>
            </w:tcBorders>
          </w:tcPr>
          <w:p>
            <w:pPr>
              <w:pStyle w:val="TableParagraph"/>
              <w:spacing w:line="307"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40.23%</w:t>
            </w:r>
            <w:r>
              <w:rPr>
                <w:rFonts w:ascii="宋体" w:hAnsi="宋体" w:cs="宋体" w:eastAsia="宋体" w:hint="default"/>
                <w:spacing w:val="-6"/>
                <w:sz w:val="18"/>
                <w:szCs w:val="18"/>
              </w:rPr>
              <w:t>，主要系报告期除</w:t>
            </w:r>
            <w:r>
              <w:rPr>
                <w:rFonts w:ascii="宋体" w:hAnsi="宋体" w:cs="宋体" w:eastAsia="宋体" w:hint="default"/>
                <w:sz w:val="18"/>
                <w:szCs w:val="18"/>
              </w:rPr>
              <w:t> </w:t>
            </w:r>
            <w:r>
              <w:rPr>
                <w:rFonts w:ascii="宋体" w:hAnsi="宋体" w:cs="宋体" w:eastAsia="宋体" w:hint="default"/>
                <w:spacing w:val="-2"/>
                <w:sz w:val="18"/>
                <w:szCs w:val="18"/>
              </w:rPr>
              <w:t>正常折旧减少固定资产净值外，公司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出售</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503MW</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光伏电站致固定资产净 值大幅减少。</w:t>
            </w:r>
          </w:p>
        </w:tc>
      </w:tr>
      <w:tr>
        <w:trPr>
          <w:trHeight w:val="393"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79" w:type="dxa"/>
            <w:vMerge/>
            <w:tcBorders>
              <w:left w:val="single" w:sz="9" w:space="0" w:color="D2D2D2"/>
              <w:right w:val="single" w:sz="4" w:space="0" w:color="000000"/>
            </w:tcBorders>
          </w:tcPr>
          <w:p>
            <w:pPr/>
          </w:p>
        </w:tc>
        <w:tc>
          <w:tcPr>
            <w:tcW w:w="760" w:type="dxa"/>
            <w:vMerge/>
            <w:tcBorders>
              <w:left w:val="single" w:sz="4" w:space="0" w:color="000000"/>
              <w:right w:val="single" w:sz="4" w:space="0" w:color="000000"/>
            </w:tcBorders>
          </w:tcPr>
          <w:p>
            <w:pPr/>
          </w:p>
        </w:tc>
        <w:tc>
          <w:tcPr>
            <w:tcW w:w="1509"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9" w:type="dxa"/>
            <w:vMerge/>
            <w:tcBorders>
              <w:left w:val="single" w:sz="9" w:space="0" w:color="D2D2D2"/>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98,798,906.27</w:t>
            </w: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0.70%</w:t>
            </w: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1,147,900,028.05</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6.72%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-6.02%</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91.39%</w:t>
            </w:r>
            <w:r>
              <w:rPr>
                <w:rFonts w:ascii="宋体" w:hAnsi="宋体" w:cs="宋体" w:eastAsia="宋体" w:hint="default"/>
                <w:spacing w:val="-6"/>
                <w:sz w:val="18"/>
                <w:szCs w:val="18"/>
              </w:rPr>
              <w:t>，主要系报告期在</w:t>
            </w:r>
            <w:r>
              <w:rPr>
                <w:rFonts w:ascii="宋体" w:hAnsi="宋体" w:cs="宋体" w:eastAsia="宋体" w:hint="default"/>
                <w:sz w:val="18"/>
                <w:szCs w:val="18"/>
              </w:rPr>
              <w:t> 建光伏电站项目并网、赣州</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600MW </w:t>
            </w:r>
            <w:r>
              <w:rPr>
                <w:rFonts w:ascii="宋体" w:hAnsi="宋体" w:cs="宋体" w:eastAsia="宋体" w:hint="default"/>
                <w:sz w:val="18"/>
                <w:szCs w:val="18"/>
              </w:rPr>
              <w:t>组件项目及</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PERC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车间技改项目完工 转固所致。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79" w:type="dxa"/>
            <w:vMerge/>
            <w:tcBorders>
              <w:left w:val="single" w:sz="9" w:space="0" w:color="D2D2D2"/>
              <w:right w:val="single" w:sz="4" w:space="0" w:color="000000"/>
            </w:tcBorders>
          </w:tcPr>
          <w:p>
            <w:pPr/>
          </w:p>
        </w:tc>
        <w:tc>
          <w:tcPr>
            <w:tcW w:w="760" w:type="dxa"/>
            <w:vMerge/>
            <w:tcBorders>
              <w:left w:val="single" w:sz="4" w:space="0" w:color="000000"/>
              <w:right w:val="single" w:sz="4" w:space="0" w:color="000000"/>
            </w:tcBorders>
          </w:tcPr>
          <w:p>
            <w:pPr/>
          </w:p>
        </w:tc>
        <w:tc>
          <w:tcPr>
            <w:tcW w:w="1509"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9" w:type="dxa"/>
            <w:vMerge/>
            <w:tcBorders>
              <w:left w:val="single" w:sz="9" w:space="0" w:color="D2D2D2"/>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3,205,250,000.00</w:t>
            </w: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22.80%</w:t>
            </w: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4,137,819,111.66</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24.22%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-1.42%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主要系报告期公司偿还了部分短期</w:t>
            </w:r>
            <w:r>
              <w:rPr>
                <w:rFonts w:ascii="宋体" w:hAnsi="宋体" w:cs="宋体" w:eastAsia="宋体" w:hint="default"/>
                <w:sz w:val="18"/>
                <w:szCs w:val="18"/>
              </w:rPr>
              <w:t> 借款所致。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79" w:type="dxa"/>
            <w:vMerge/>
            <w:tcBorders>
              <w:left w:val="single" w:sz="9" w:space="0" w:color="D2D2D2"/>
              <w:right w:val="single" w:sz="4" w:space="0" w:color="000000"/>
            </w:tcBorders>
          </w:tcPr>
          <w:p>
            <w:pPr/>
          </w:p>
        </w:tc>
        <w:tc>
          <w:tcPr>
            <w:tcW w:w="760" w:type="dxa"/>
            <w:vMerge/>
            <w:tcBorders>
              <w:left w:val="single" w:sz="4" w:space="0" w:color="000000"/>
              <w:right w:val="single" w:sz="4" w:space="0" w:color="000000"/>
            </w:tcBorders>
          </w:tcPr>
          <w:p>
            <w:pPr/>
          </w:p>
        </w:tc>
        <w:tc>
          <w:tcPr>
            <w:tcW w:w="1509"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9" w:type="dxa"/>
            <w:vMerge/>
            <w:tcBorders>
              <w:left w:val="single" w:sz="9" w:space="0" w:color="D2D2D2"/>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394,570,000.00</w:t>
            </w: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2.81%</w:t>
            </w: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2,651,919,241.71</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15.52%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-12.71%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主要系报告期公司出售部分光伏电</w:t>
            </w:r>
            <w:r>
              <w:rPr>
                <w:rFonts w:ascii="宋体" w:hAnsi="宋体" w:cs="宋体" w:eastAsia="宋体" w:hint="default"/>
                <w:sz w:val="18"/>
                <w:szCs w:val="18"/>
              </w:rPr>
              <w:t> 站股权致项目借款减少所致。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79" w:type="dxa"/>
            <w:vMerge/>
            <w:tcBorders>
              <w:left w:val="single" w:sz="9" w:space="0" w:color="D2D2D2"/>
              <w:right w:val="single" w:sz="4" w:space="0" w:color="000000"/>
            </w:tcBorders>
          </w:tcPr>
          <w:p>
            <w:pPr/>
          </w:p>
        </w:tc>
        <w:tc>
          <w:tcPr>
            <w:tcW w:w="760" w:type="dxa"/>
            <w:vMerge/>
            <w:tcBorders>
              <w:left w:val="single" w:sz="4" w:space="0" w:color="000000"/>
              <w:right w:val="single" w:sz="4" w:space="0" w:color="000000"/>
            </w:tcBorders>
          </w:tcPr>
          <w:p>
            <w:pPr/>
          </w:p>
        </w:tc>
        <w:tc>
          <w:tcPr>
            <w:tcW w:w="1509"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9" w:type="dxa"/>
            <w:vMerge/>
            <w:tcBorders>
              <w:left w:val="single" w:sz="9" w:space="0" w:color="D2D2D2"/>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9"/>
        <w:gridCol w:w="1134"/>
        <w:gridCol w:w="1276"/>
        <w:gridCol w:w="1134"/>
        <w:gridCol w:w="1109"/>
        <w:gridCol w:w="1214"/>
        <w:gridCol w:w="1213"/>
        <w:gridCol w:w="1073"/>
      </w:tblGrid>
      <w:tr>
        <w:trPr>
          <w:trHeight w:val="102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2" w:right="93"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10"/>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8" w:right="98"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1"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152"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07"/>
        <w:gridCol w:w="1146"/>
        <w:gridCol w:w="1276"/>
        <w:gridCol w:w="1134"/>
        <w:gridCol w:w="1109"/>
        <w:gridCol w:w="1214"/>
        <w:gridCol w:w="1213"/>
        <w:gridCol w:w="1073"/>
      </w:tblGrid>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3,180,447.00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-1,976,271.00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1,204,176.00</w:t>
            </w: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3,180,447.00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-1,976,271.00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1,204,176.00</w:t>
            </w: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3,180,447.00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-1,976,271.00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1,204,176.00</w:t>
            </w: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22"/>
        <w:jc w:val="left"/>
      </w:pPr>
      <w:r>
        <w:rPr/>
        <w:t>报告期内公司主要资产计量属性是否发生重大变化</w:t>
      </w:r>
    </w:p>
    <w:p>
      <w:pPr>
        <w:pStyle w:val="BodyText"/>
        <w:spacing w:line="240" w:lineRule="auto" w:before="117"/>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890"/>
        <w:gridCol w:w="3244"/>
        <w:gridCol w:w="4552"/>
      </w:tblGrid>
      <w:tr>
        <w:trPr>
          <w:trHeight w:val="419" w:hRule="exact"/>
        </w:trPr>
        <w:tc>
          <w:tcPr>
            <w:tcW w:w="1890"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tabs>
                <w:tab w:pos="449" w:val="left" w:leader="none"/>
              </w:tabs>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244"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10"/>
              <w:ind w:left="7" w:right="0"/>
              <w:jc w:val="center"/>
              <w:rPr>
                <w:rFonts w:ascii="宋体" w:hAnsi="宋体" w:cs="宋体" w:eastAsia="宋体" w:hint="default"/>
                <w:sz w:val="18"/>
                <w:szCs w:val="18"/>
              </w:rPr>
            </w:pPr>
            <w:r>
              <w:rPr>
                <w:rFonts w:ascii="宋体" w:hAnsi="宋体" w:cs="宋体" w:eastAsia="宋体" w:hint="default"/>
                <w:sz w:val="18"/>
                <w:szCs w:val="18"/>
              </w:rPr>
              <w:t>年末账面价值</w:t>
            </w:r>
          </w:p>
        </w:tc>
        <w:tc>
          <w:tcPr>
            <w:tcW w:w="455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22" w:hRule="exact"/>
        </w:trPr>
        <w:tc>
          <w:tcPr>
            <w:tcW w:w="1890" w:type="dxa"/>
            <w:tcBorders>
              <w:top w:val="single" w:sz="8" w:space="0" w:color="000000"/>
              <w:left w:val="single" w:sz="8" w:space="0" w:color="000000"/>
              <w:bottom w:val="nil" w:sz="6" w:space="0" w:color="auto"/>
              <w:right w:val="single" w:sz="8" w:space="0" w:color="000000"/>
            </w:tcBorders>
            <w:shd w:val="clear" w:color="auto" w:fill="BEBEBE"/>
          </w:tcPr>
          <w:p>
            <w:pPr/>
          </w:p>
        </w:tc>
        <w:tc>
          <w:tcPr>
            <w:tcW w:w="3244" w:type="dxa"/>
            <w:vMerge w:val="restart"/>
            <w:tcBorders>
              <w:top w:val="single" w:sz="8" w:space="0" w:color="000000"/>
              <w:left w:val="single" w:sz="15" w:space="0" w:color="000000"/>
              <w:right w:val="single" w:sz="8"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976" w:right="0"/>
              <w:jc w:val="left"/>
              <w:rPr>
                <w:rFonts w:ascii="Times New Roman" w:hAnsi="Times New Roman" w:cs="Times New Roman" w:eastAsia="Times New Roman" w:hint="default"/>
                <w:sz w:val="18"/>
                <w:szCs w:val="18"/>
              </w:rPr>
            </w:pPr>
            <w:r>
              <w:rPr>
                <w:rFonts w:ascii="Times New Roman"/>
                <w:sz w:val="18"/>
              </w:rPr>
              <w:t>1,375,081,968.75</w:t>
            </w:r>
          </w:p>
        </w:tc>
        <w:tc>
          <w:tcPr>
            <w:tcW w:w="4552" w:type="dxa"/>
            <w:vMerge w:val="restart"/>
            <w:tcBorders>
              <w:top w:val="single" w:sz="8" w:space="0" w:color="000000"/>
              <w:left w:val="single" w:sz="8" w:space="0" w:color="000000"/>
              <w:right w:val="single" w:sz="8" w:space="0" w:color="000000"/>
            </w:tcBorders>
          </w:tcPr>
          <w:p>
            <w:pPr>
              <w:pStyle w:val="TableParagraph"/>
              <w:spacing w:line="316" w:lineRule="auto" w:before="11"/>
              <w:ind w:left="915" w:right="16" w:hanging="898"/>
              <w:jc w:val="left"/>
              <w:rPr>
                <w:rFonts w:ascii="宋体" w:hAnsi="宋体" w:cs="宋体" w:eastAsia="宋体" w:hint="default"/>
                <w:sz w:val="18"/>
                <w:szCs w:val="18"/>
              </w:rPr>
            </w:pPr>
            <w:r>
              <w:rPr>
                <w:rFonts w:ascii="宋体" w:hAnsi="宋体" w:cs="宋体" w:eastAsia="宋体" w:hint="default"/>
                <w:sz w:val="18"/>
                <w:szCs w:val="18"/>
              </w:rPr>
              <w:t>银行承兑汇票保证金、信用证保证金、质押定期存款、保 函保证金、远期外汇合约保证金等</w:t>
            </w:r>
          </w:p>
        </w:tc>
      </w:tr>
      <w:tr>
        <w:trPr>
          <w:trHeight w:val="522" w:hRule="exact"/>
        </w:trPr>
        <w:tc>
          <w:tcPr>
            <w:tcW w:w="1890" w:type="dxa"/>
            <w:tcBorders>
              <w:top w:val="nil" w:sz="6" w:space="0" w:color="auto"/>
              <w:left w:val="single" w:sz="8" w:space="0" w:color="000000"/>
              <w:bottom w:val="single" w:sz="8" w:space="0" w:color="000000"/>
              <w:right w:val="single" w:sz="8" w:space="0" w:color="000000"/>
            </w:tcBorders>
            <w:shd w:val="clear" w:color="auto" w:fill="BEBEBE"/>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244" w:type="dxa"/>
            <w:vMerge/>
            <w:tcBorders>
              <w:left w:val="single" w:sz="15" w:space="0" w:color="000000"/>
              <w:bottom w:val="single" w:sz="8" w:space="0" w:color="000000"/>
              <w:right w:val="single" w:sz="8" w:space="0" w:color="000000"/>
            </w:tcBorders>
          </w:tcPr>
          <w:p>
            <w:pPr/>
          </w:p>
        </w:tc>
        <w:tc>
          <w:tcPr>
            <w:tcW w:w="4552" w:type="dxa"/>
            <w:vMerge/>
            <w:tcBorders>
              <w:left w:val="single" w:sz="8" w:space="0" w:color="000000"/>
              <w:bottom w:val="single" w:sz="8" w:space="0" w:color="000000"/>
              <w:right w:val="single" w:sz="8" w:space="0" w:color="000000"/>
            </w:tcBorders>
          </w:tcPr>
          <w:p>
            <w:pPr/>
          </w:p>
        </w:tc>
      </w:tr>
      <w:tr>
        <w:trPr>
          <w:trHeight w:val="420" w:hRule="exact"/>
        </w:trPr>
        <w:tc>
          <w:tcPr>
            <w:tcW w:w="1890"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3244" w:type="dxa"/>
            <w:tcBorders>
              <w:top w:val="single" w:sz="8" w:space="0" w:color="000000"/>
              <w:left w:val="single" w:sz="15" w:space="0" w:color="000000"/>
              <w:bottom w:val="single" w:sz="8" w:space="0" w:color="000000"/>
              <w:right w:val="single" w:sz="8"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106,586,034.40</w:t>
            </w:r>
          </w:p>
        </w:tc>
        <w:tc>
          <w:tcPr>
            <w:tcW w:w="4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420" w:hRule="exact"/>
        </w:trPr>
        <w:tc>
          <w:tcPr>
            <w:tcW w:w="1890"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244" w:type="dxa"/>
            <w:tcBorders>
              <w:top w:val="single" w:sz="8" w:space="0" w:color="000000"/>
              <w:left w:val="single" w:sz="15" w:space="0" w:color="000000"/>
              <w:bottom w:val="single" w:sz="8" w:space="0" w:color="000000"/>
              <w:right w:val="single" w:sz="8"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420,821,651.62</w:t>
            </w:r>
          </w:p>
        </w:tc>
        <w:tc>
          <w:tcPr>
            <w:tcW w:w="4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420" w:hRule="exact"/>
        </w:trPr>
        <w:tc>
          <w:tcPr>
            <w:tcW w:w="1890"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存货</w:t>
            </w:r>
          </w:p>
        </w:tc>
        <w:tc>
          <w:tcPr>
            <w:tcW w:w="3244" w:type="dxa"/>
            <w:tcBorders>
              <w:top w:val="single" w:sz="8" w:space="0" w:color="000000"/>
              <w:left w:val="single" w:sz="15" w:space="0" w:color="000000"/>
              <w:bottom w:val="single" w:sz="8" w:space="0" w:color="000000"/>
              <w:right w:val="single" w:sz="8" w:space="0" w:color="000000"/>
            </w:tcBorders>
          </w:tcPr>
          <w:p>
            <w:pPr>
              <w:pStyle w:val="TableParagraph"/>
              <w:spacing w:line="240" w:lineRule="auto" w:before="153"/>
              <w:ind w:right="1"/>
              <w:jc w:val="center"/>
              <w:rPr>
                <w:rFonts w:ascii="Times New Roman" w:hAnsi="Times New Roman" w:cs="Times New Roman" w:eastAsia="Times New Roman" w:hint="default"/>
                <w:sz w:val="18"/>
                <w:szCs w:val="18"/>
              </w:rPr>
            </w:pPr>
            <w:r>
              <w:rPr>
                <w:rFonts w:ascii="Times New Roman"/>
                <w:sz w:val="18"/>
              </w:rPr>
              <w:t>68,965,517.24</w:t>
            </w:r>
          </w:p>
        </w:tc>
        <w:tc>
          <w:tcPr>
            <w:tcW w:w="4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作为借款的抵押物</w:t>
            </w:r>
          </w:p>
        </w:tc>
      </w:tr>
      <w:tr>
        <w:trPr>
          <w:trHeight w:val="420" w:hRule="exact"/>
        </w:trPr>
        <w:tc>
          <w:tcPr>
            <w:tcW w:w="1890"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3244" w:type="dxa"/>
            <w:tcBorders>
              <w:top w:val="single" w:sz="8" w:space="0" w:color="000000"/>
              <w:left w:val="single" w:sz="15" w:space="0" w:color="000000"/>
              <w:bottom w:val="single" w:sz="8" w:space="0" w:color="000000"/>
              <w:right w:val="single" w:sz="8" w:space="0" w:color="000000"/>
            </w:tcBorders>
          </w:tcPr>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2,348,101,069.56</w:t>
            </w:r>
          </w:p>
        </w:tc>
        <w:tc>
          <w:tcPr>
            <w:tcW w:w="4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作为借款的抵押物</w:t>
            </w:r>
          </w:p>
        </w:tc>
      </w:tr>
      <w:tr>
        <w:trPr>
          <w:trHeight w:val="420" w:hRule="exact"/>
        </w:trPr>
        <w:tc>
          <w:tcPr>
            <w:tcW w:w="1890"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3244" w:type="dxa"/>
            <w:tcBorders>
              <w:top w:val="single" w:sz="8" w:space="0" w:color="000000"/>
              <w:left w:val="single" w:sz="15" w:space="0" w:color="000000"/>
              <w:bottom w:val="single" w:sz="8" w:space="0" w:color="000000"/>
              <w:right w:val="single" w:sz="8" w:space="0" w:color="000000"/>
            </w:tcBorders>
          </w:tcPr>
          <w:p>
            <w:pPr>
              <w:pStyle w:val="TableParagraph"/>
              <w:spacing w:line="240" w:lineRule="auto" w:before="153"/>
              <w:ind w:right="1"/>
              <w:jc w:val="center"/>
              <w:rPr>
                <w:rFonts w:ascii="Times New Roman" w:hAnsi="Times New Roman" w:cs="Times New Roman" w:eastAsia="Times New Roman" w:hint="default"/>
                <w:sz w:val="18"/>
                <w:szCs w:val="18"/>
              </w:rPr>
            </w:pPr>
            <w:r>
              <w:rPr>
                <w:rFonts w:ascii="Times New Roman"/>
                <w:sz w:val="18"/>
              </w:rPr>
              <w:t>44,924,506.77</w:t>
            </w:r>
          </w:p>
        </w:tc>
        <w:tc>
          <w:tcPr>
            <w:tcW w:w="4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作为借款的抵押物</w:t>
            </w:r>
          </w:p>
        </w:tc>
      </w:tr>
      <w:tr>
        <w:trPr>
          <w:trHeight w:val="420" w:hRule="exact"/>
        </w:trPr>
        <w:tc>
          <w:tcPr>
            <w:tcW w:w="1890"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3244" w:type="dxa"/>
            <w:tcBorders>
              <w:top w:val="single" w:sz="8" w:space="0" w:color="000000"/>
              <w:left w:val="single" w:sz="15" w:space="0" w:color="000000"/>
              <w:bottom w:val="single" w:sz="8" w:space="0" w:color="000000"/>
              <w:right w:val="single" w:sz="8" w:space="0" w:color="000000"/>
            </w:tcBorders>
          </w:tcPr>
          <w:p>
            <w:pPr>
              <w:pStyle w:val="TableParagraph"/>
              <w:spacing w:line="240" w:lineRule="auto" w:before="154"/>
              <w:ind w:right="0"/>
              <w:jc w:val="center"/>
              <w:rPr>
                <w:rFonts w:ascii="Times New Roman" w:hAnsi="Times New Roman" w:cs="Times New Roman" w:eastAsia="Times New Roman" w:hint="default"/>
                <w:sz w:val="18"/>
                <w:szCs w:val="18"/>
              </w:rPr>
            </w:pPr>
            <w:r>
              <w:rPr>
                <w:rFonts w:ascii="Times New Roman"/>
                <w:sz w:val="18"/>
              </w:rPr>
              <w:t>4,364,480,748.34</w:t>
            </w:r>
          </w:p>
        </w:tc>
        <w:tc>
          <w:tcPr>
            <w:tcW w:w="4552"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3"/>
        <w:rPr>
          <w:rFonts w:ascii="宋体" w:hAnsi="宋体" w:cs="宋体" w:eastAsia="宋体" w:hint="default"/>
          <w:sz w:val="18"/>
          <w:szCs w:val="18"/>
        </w:rPr>
      </w:pPr>
    </w:p>
    <w:p>
      <w:pPr>
        <w:pStyle w:val="Heading2"/>
        <w:spacing w:line="240" w:lineRule="auto" w:before="26"/>
        <w:ind w:right="1122"/>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5" w:right="0"/>
              <w:jc w:val="left"/>
              <w:rPr>
                <w:rFonts w:ascii="Times New Roman" w:hAnsi="Times New Roman" w:cs="Times New Roman" w:eastAsia="Times New Roman" w:hint="default"/>
                <w:sz w:val="18"/>
                <w:szCs w:val="18"/>
              </w:rPr>
            </w:pPr>
            <w:r>
              <w:rPr>
                <w:rFonts w:ascii="Times New Roman"/>
                <w:sz w:val="18"/>
              </w:rPr>
              <w:t>3,956,613,670.94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7" w:right="0"/>
              <w:jc w:val="left"/>
              <w:rPr>
                <w:rFonts w:ascii="Times New Roman" w:hAnsi="Times New Roman" w:cs="Times New Roman" w:eastAsia="Times New Roman" w:hint="default"/>
                <w:sz w:val="18"/>
                <w:szCs w:val="18"/>
              </w:rPr>
            </w:pPr>
            <w:r>
              <w:rPr>
                <w:rFonts w:ascii="Times New Roman"/>
                <w:sz w:val="18"/>
              </w:rPr>
              <w:t>3,710,035,440.67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6.65%</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44"/>
        <w:ind w:left="0" w:right="1045"/>
        <w:jc w:val="right"/>
      </w:pPr>
      <w:r>
        <w:rPr/>
        <w:pict>
          <v:shape style="position:absolute;margin-left:55.080002pt;margin-top:-46.678322pt;width:485.5pt;height:112.2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8"/>
                    <w:gridCol w:w="749"/>
                    <w:gridCol w:w="276"/>
                    <w:gridCol w:w="1320"/>
                    <w:gridCol w:w="708"/>
                    <w:gridCol w:w="275"/>
                    <w:gridCol w:w="977"/>
                    <w:gridCol w:w="275"/>
                    <w:gridCol w:w="532"/>
                    <w:gridCol w:w="390"/>
                    <w:gridCol w:w="398"/>
                    <w:gridCol w:w="1186"/>
                    <w:gridCol w:w="275"/>
                    <w:gridCol w:w="496"/>
                    <w:gridCol w:w="1410"/>
                  </w:tblGrid>
                  <w:tr>
                    <w:trPr>
                      <w:trHeight w:val="2234" w:hRule="exact"/>
                    </w:trPr>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8" w:right="29"/>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319" w:lineRule="auto"/>
                          <w:ind w:left="278" w:right="9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43" w:right="41"/>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319" w:lineRule="auto"/>
                          <w:ind w:left="257"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41" w:right="41"/>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41" w:right="41"/>
                          <w:jc w:val="both"/>
                          <w:rPr>
                            <w:rFonts w:ascii="宋体" w:hAnsi="宋体" w:cs="宋体" w:eastAsia="宋体" w:hint="default"/>
                            <w:sz w:val="18"/>
                            <w:szCs w:val="18"/>
                          </w:rPr>
                        </w:pPr>
                        <w:r>
                          <w:rPr>
                            <w:rFonts w:ascii="宋体" w:hAnsi="宋体" w:cs="宋体" w:eastAsia="宋体" w:hint="default"/>
                            <w:sz w:val="18"/>
                            <w:szCs w:val="18"/>
                          </w:rPr>
                          <w:t>投 资 期 限</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319" w:lineRule="auto"/>
                          <w:ind w:left="80" w:right="79"/>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98"/>
                          <w:jc w:val="both"/>
                          <w:rPr>
                            <w:rFonts w:ascii="宋体" w:hAnsi="宋体" w:cs="宋体" w:eastAsia="宋体" w:hint="default"/>
                            <w:sz w:val="18"/>
                            <w:szCs w:val="18"/>
                          </w:rPr>
                        </w:pPr>
                        <w:r>
                          <w:rPr>
                            <w:rFonts w:ascii="宋体" w:hAnsi="宋体" w:cs="宋体" w:eastAsia="宋体" w:hint="default"/>
                            <w:sz w:val="18"/>
                            <w:szCs w:val="18"/>
                          </w:rPr>
                          <w:t>截 至 资 产 负 债 表</w:t>
                        </w:r>
                      </w:p>
                    </w:tc>
                    <w:tc>
                      <w:tcPr>
                        <w:tcW w:w="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104" w:right="102"/>
                          <w:jc w:val="both"/>
                          <w:rPr>
                            <w:rFonts w:ascii="宋体" w:hAnsi="宋体" w:cs="宋体" w:eastAsia="宋体" w:hint="default"/>
                            <w:sz w:val="18"/>
                            <w:szCs w:val="18"/>
                          </w:rPr>
                        </w:pPr>
                        <w:r>
                          <w:rPr>
                            <w:rFonts w:ascii="宋体" w:hAnsi="宋体" w:cs="宋体" w:eastAsia="宋体" w:hint="default"/>
                            <w:sz w:val="18"/>
                            <w:szCs w:val="18"/>
                          </w:rPr>
                          <w:t>预 计 收 益</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41" w:right="41"/>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62" w:right="61"/>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62" w:right="61"/>
                          <w:jc w:val="left"/>
                          <w:rPr>
                            <w:rFonts w:ascii="宋体" w:hAnsi="宋体" w:cs="宋体" w:eastAsia="宋体" w:hint="default"/>
                            <w:sz w:val="18"/>
                            <w:szCs w:val="18"/>
                          </w:rPr>
                        </w:pPr>
                        <w:r>
                          <w:rPr>
                            <w:rFonts w:ascii="宋体" w:hAnsi="宋体" w:cs="宋体" w:eastAsia="宋体" w:hint="default"/>
                            <w:sz w:val="18"/>
                            <w:szCs w:val="18"/>
                          </w:rPr>
                          <w:t>（如 有）</w:t>
                        </w:r>
                      </w:p>
                    </w:tc>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428"/>
        <w:gridCol w:w="749"/>
        <w:gridCol w:w="276"/>
        <w:gridCol w:w="1320"/>
        <w:gridCol w:w="708"/>
        <w:gridCol w:w="275"/>
        <w:gridCol w:w="977"/>
        <w:gridCol w:w="275"/>
        <w:gridCol w:w="532"/>
        <w:gridCol w:w="390"/>
        <w:gridCol w:w="398"/>
        <w:gridCol w:w="1186"/>
        <w:gridCol w:w="275"/>
        <w:gridCol w:w="496"/>
        <w:gridCol w:w="1410"/>
      </w:tblGrid>
      <w:tr>
        <w:trPr>
          <w:trHeight w:val="1923" w:hRule="exact"/>
        </w:trPr>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9" w:right="98"/>
              <w:jc w:val="both"/>
              <w:rPr>
                <w:rFonts w:ascii="宋体" w:hAnsi="宋体" w:cs="宋体" w:eastAsia="宋体" w:hint="default"/>
                <w:sz w:val="18"/>
                <w:szCs w:val="18"/>
              </w:rPr>
            </w:pPr>
            <w:r>
              <w:rPr>
                <w:rFonts w:ascii="宋体" w:hAnsi="宋体" w:cs="宋体" w:eastAsia="宋体" w:hint="default"/>
                <w:sz w:val="18"/>
                <w:szCs w:val="18"/>
              </w:rPr>
              <w:t>日 的 进 展 情 况</w:t>
            </w:r>
          </w:p>
        </w:tc>
        <w:tc>
          <w:tcPr>
            <w:tcW w:w="3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74" w:hRule="exact"/>
        </w:trPr>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8" w:right="29"/>
              <w:jc w:val="both"/>
              <w:rPr>
                <w:rFonts w:ascii="宋体" w:hAnsi="宋体" w:cs="宋体" w:eastAsia="宋体" w:hint="default"/>
                <w:sz w:val="18"/>
                <w:szCs w:val="18"/>
              </w:rPr>
            </w:pPr>
            <w:r>
              <w:rPr>
                <w:rFonts w:ascii="宋体" w:hAnsi="宋体" w:cs="宋体" w:eastAsia="宋体" w:hint="default"/>
                <w:sz w:val="18"/>
                <w:szCs w:val="18"/>
              </w:rPr>
              <w:t>苏州 中康 电力 开发 有限 公司</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hanging="1"/>
              <w:jc w:val="center"/>
              <w:rPr>
                <w:rFonts w:ascii="宋体" w:hAnsi="宋体" w:cs="宋体" w:eastAsia="宋体" w:hint="default"/>
                <w:sz w:val="18"/>
                <w:szCs w:val="18"/>
              </w:rPr>
            </w:pPr>
            <w:r>
              <w:rPr>
                <w:rFonts w:ascii="宋体" w:hAnsi="宋体" w:cs="宋体" w:eastAsia="宋体" w:hint="default"/>
                <w:sz w:val="18"/>
                <w:szCs w:val="18"/>
              </w:rPr>
              <w:t>光伏电 站运营 维护服 </w:t>
            </w:r>
            <w:r>
              <w:rPr>
                <w:rFonts w:ascii="宋体" w:hAnsi="宋体" w:cs="宋体" w:eastAsia="宋体" w:hint="default"/>
                <w:spacing w:val="-7"/>
                <w:sz w:val="18"/>
                <w:szCs w:val="18"/>
              </w:rPr>
              <w:t>务；电站</w:t>
            </w:r>
            <w:r>
              <w:rPr>
                <w:rFonts w:ascii="宋体" w:hAnsi="宋体" w:cs="宋体" w:eastAsia="宋体" w:hint="default"/>
                <w:sz w:val="18"/>
                <w:szCs w:val="18"/>
              </w:rPr>
              <w:t> </w:t>
            </w:r>
            <w:r>
              <w:rPr>
                <w:rFonts w:ascii="宋体" w:hAnsi="宋体" w:cs="宋体" w:eastAsia="宋体" w:hint="default"/>
                <w:spacing w:val="-7"/>
                <w:sz w:val="18"/>
                <w:szCs w:val="18"/>
              </w:rPr>
              <w:t>投资；贸</w:t>
            </w:r>
            <w:r>
              <w:rPr>
                <w:rFonts w:ascii="宋体" w:hAnsi="宋体" w:cs="宋体" w:eastAsia="宋体" w:hint="default"/>
                <w:sz w:val="18"/>
                <w:szCs w:val="18"/>
              </w:rPr>
              <w:t> 易业务 等</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43" w:right="41"/>
              <w:jc w:val="left"/>
              <w:rPr>
                <w:rFonts w:ascii="宋体" w:hAnsi="宋体" w:cs="宋体" w:eastAsia="宋体" w:hint="default"/>
                <w:sz w:val="18"/>
                <w:szCs w:val="18"/>
              </w:rPr>
            </w:pPr>
            <w:r>
              <w:rPr>
                <w:rFonts w:ascii="宋体" w:hAnsi="宋体" w:cs="宋体" w:eastAsia="宋体" w:hint="default"/>
                <w:sz w:val="18"/>
                <w:szCs w:val="18"/>
              </w:rPr>
              <w:t>增 资</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2,391,117,694.38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41" w:right="41"/>
              <w:jc w:val="left"/>
              <w:rPr>
                <w:rFonts w:ascii="宋体" w:hAnsi="宋体" w:cs="宋体" w:eastAsia="宋体" w:hint="default"/>
                <w:sz w:val="18"/>
                <w:szCs w:val="18"/>
              </w:rPr>
            </w:pPr>
            <w:r>
              <w:rPr>
                <w:rFonts w:ascii="宋体" w:hAnsi="宋体" w:cs="宋体" w:eastAsia="宋体" w:hint="default"/>
                <w:sz w:val="18"/>
                <w:szCs w:val="18"/>
              </w:rPr>
              <w:t>自 筹</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41" w:right="41"/>
              <w:jc w:val="left"/>
              <w:rPr>
                <w:rFonts w:ascii="宋体" w:hAnsi="宋体" w:cs="宋体" w:eastAsia="宋体" w:hint="default"/>
                <w:sz w:val="18"/>
                <w:szCs w:val="18"/>
              </w:rPr>
            </w:pPr>
            <w:r>
              <w:rPr>
                <w:rFonts w:ascii="宋体" w:hAnsi="宋体" w:cs="宋体" w:eastAsia="宋体" w:hint="default"/>
                <w:sz w:val="18"/>
                <w:szCs w:val="18"/>
              </w:rPr>
              <w:t>长 期</w:t>
            </w:r>
          </w:p>
        </w:tc>
        <w:tc>
          <w:tcPr>
            <w:tcW w:w="532"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80" w:right="-48" w:hanging="58"/>
              <w:jc w:val="left"/>
              <w:rPr>
                <w:rFonts w:ascii="宋体" w:hAnsi="宋体" w:cs="宋体" w:eastAsia="宋体" w:hint="default"/>
                <w:sz w:val="18"/>
                <w:szCs w:val="18"/>
              </w:rPr>
            </w:pPr>
            <w:r>
              <w:rPr>
                <w:rFonts w:ascii="宋体" w:hAnsi="宋体" w:cs="宋体" w:eastAsia="宋体" w:hint="default"/>
                <w:sz w:val="18"/>
                <w:szCs w:val="18"/>
              </w:rPr>
              <w:t>投资、 贸易</w:t>
            </w:r>
          </w:p>
        </w:tc>
        <w:tc>
          <w:tcPr>
            <w:tcW w:w="39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92" w:right="98"/>
              <w:jc w:val="both"/>
              <w:rPr>
                <w:rFonts w:ascii="宋体" w:hAnsi="宋体" w:cs="宋体" w:eastAsia="宋体" w:hint="default"/>
                <w:sz w:val="18"/>
                <w:szCs w:val="18"/>
              </w:rPr>
            </w:pPr>
            <w:r>
              <w:rPr>
                <w:rFonts w:ascii="宋体" w:hAnsi="宋体" w:cs="宋体" w:eastAsia="宋体" w:hint="default"/>
                <w:sz w:val="18"/>
                <w:szCs w:val="18"/>
              </w:rPr>
              <w:t>已 完 成</w:t>
            </w:r>
          </w:p>
        </w:tc>
        <w:tc>
          <w:tcPr>
            <w:tcW w:w="3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153,115,651.11</w:t>
            </w:r>
          </w:p>
        </w:tc>
        <w:tc>
          <w:tcPr>
            <w:tcW w:w="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6"/>
              <w:jc w:val="both"/>
              <w:rPr>
                <w:rFonts w:ascii="Times New Roman" w:hAnsi="Times New Roman" w:cs="Times New Roman" w:eastAsia="Times New Roman" w:hint="default"/>
                <w:sz w:val="18"/>
                <w:szCs w:val="18"/>
              </w:rPr>
            </w:pPr>
            <w:r>
              <w:rPr>
                <w:rFonts w:ascii="宋体" w:hAnsi="宋体" w:cs="宋体" w:eastAsia="宋体" w:hint="default"/>
                <w:sz w:val="18"/>
                <w:szCs w:val="18"/>
              </w:rPr>
              <w:t>公 告 编 号 ： </w:t>
            </w:r>
            <w:r>
              <w:rPr>
                <w:rFonts w:ascii="Times New Roman" w:hAnsi="Times New Roman" w:cs="Times New Roman" w:eastAsia="Times New Roman" w:hint="default"/>
                <w:spacing w:val="-6"/>
                <w:sz w:val="18"/>
                <w:szCs w:val="18"/>
              </w:rPr>
              <w:t>2018-78</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&lt;</w:t>
            </w:r>
            <w:r>
              <w:rPr>
                <w:rFonts w:ascii="宋体" w:hAnsi="宋体" w:cs="宋体" w:eastAsia="宋体" w:hint="default"/>
                <w:spacing w:val="-6"/>
                <w:sz w:val="18"/>
                <w:szCs w:val="18"/>
              </w:rPr>
              <w:t>关于对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全资子公司苏州</w:t>
            </w:r>
            <w:r>
              <w:rPr>
                <w:rFonts w:ascii="宋体" w:hAnsi="宋体" w:cs="宋体" w:eastAsia="宋体" w:hint="default"/>
                <w:spacing w:val="15"/>
                <w:sz w:val="18"/>
                <w:szCs w:val="18"/>
              </w:rPr>
              <w:t> 中康电力投资的 </w:t>
            </w:r>
            <w:r>
              <w:rPr>
                <w:rFonts w:ascii="宋体" w:hAnsi="宋体" w:cs="宋体" w:eastAsia="宋体" w:hint="default"/>
                <w:sz w:val="18"/>
                <w:szCs w:val="18"/>
              </w:rPr>
              <w:t>公告 </w:t>
            </w:r>
            <w:r>
              <w:rPr>
                <w:rFonts w:ascii="Times New Roman" w:hAnsi="Times New Roman" w:cs="Times New Roman" w:eastAsia="Times New Roman" w:hint="default"/>
                <w:sz w:val="18"/>
                <w:szCs w:val="18"/>
              </w:rPr>
              <w:t>&gt;</w:t>
            </w:r>
          </w:p>
        </w:tc>
      </w:tr>
      <w:tr>
        <w:trPr>
          <w:trHeight w:val="2274" w:hRule="exact"/>
        </w:trPr>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8" w:right="29"/>
              <w:jc w:val="both"/>
              <w:rPr>
                <w:rFonts w:ascii="宋体" w:hAnsi="宋体" w:cs="宋体" w:eastAsia="宋体" w:hint="default"/>
                <w:sz w:val="18"/>
                <w:szCs w:val="18"/>
              </w:rPr>
            </w:pPr>
            <w:r>
              <w:rPr>
                <w:rFonts w:ascii="宋体" w:hAnsi="宋体" w:cs="宋体" w:eastAsia="宋体" w:hint="default"/>
                <w:sz w:val="18"/>
                <w:szCs w:val="18"/>
              </w:rPr>
              <w:t>赣州 发展 融资 租赁 有限 责任 公司</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hanging="1"/>
              <w:jc w:val="center"/>
              <w:rPr>
                <w:rFonts w:ascii="宋体" w:hAnsi="宋体" w:cs="宋体" w:eastAsia="宋体" w:hint="default"/>
                <w:sz w:val="18"/>
                <w:szCs w:val="18"/>
              </w:rPr>
            </w:pPr>
            <w:r>
              <w:rPr>
                <w:rFonts w:ascii="宋体" w:hAnsi="宋体" w:cs="宋体" w:eastAsia="宋体" w:hint="default"/>
                <w:sz w:val="18"/>
                <w:szCs w:val="18"/>
              </w:rPr>
              <w:t>融资租 </w:t>
            </w:r>
            <w:r>
              <w:rPr>
                <w:rFonts w:ascii="宋体" w:hAnsi="宋体" w:cs="宋体" w:eastAsia="宋体" w:hint="default"/>
                <w:spacing w:val="-7"/>
                <w:sz w:val="18"/>
                <w:szCs w:val="18"/>
              </w:rPr>
              <w:t>赁，企业</w:t>
            </w:r>
            <w:r>
              <w:rPr>
                <w:rFonts w:ascii="宋体" w:hAnsi="宋体" w:cs="宋体" w:eastAsia="宋体" w:hint="default"/>
                <w:sz w:val="18"/>
                <w:szCs w:val="18"/>
              </w:rPr>
              <w:t> 项目投 资管理 与咨询 等</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43" w:right="41"/>
              <w:jc w:val="left"/>
              <w:rPr>
                <w:rFonts w:ascii="宋体" w:hAnsi="宋体" w:cs="宋体" w:eastAsia="宋体" w:hint="default"/>
                <w:sz w:val="18"/>
                <w:szCs w:val="18"/>
              </w:rPr>
            </w:pPr>
            <w:r>
              <w:rPr>
                <w:rFonts w:ascii="宋体" w:hAnsi="宋体" w:cs="宋体" w:eastAsia="宋体" w:hint="default"/>
                <w:sz w:val="18"/>
                <w:szCs w:val="18"/>
              </w:rPr>
              <w:t>增 资</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168,870,000.00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41" w:right="41"/>
              <w:jc w:val="left"/>
              <w:rPr>
                <w:rFonts w:ascii="宋体" w:hAnsi="宋体" w:cs="宋体" w:eastAsia="宋体" w:hint="default"/>
                <w:sz w:val="18"/>
                <w:szCs w:val="18"/>
              </w:rPr>
            </w:pPr>
            <w:r>
              <w:rPr>
                <w:rFonts w:ascii="宋体" w:hAnsi="宋体" w:cs="宋体" w:eastAsia="宋体" w:hint="default"/>
                <w:sz w:val="18"/>
                <w:szCs w:val="18"/>
              </w:rPr>
              <w:t>自 筹</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34" w:right="31"/>
              <w:jc w:val="center"/>
              <w:rPr>
                <w:rFonts w:ascii="宋体" w:hAnsi="宋体" w:cs="宋体" w:eastAsia="宋体" w:hint="default"/>
                <w:sz w:val="18"/>
                <w:szCs w:val="18"/>
              </w:rPr>
            </w:pPr>
            <w:r>
              <w:rPr>
                <w:rFonts w:ascii="宋体" w:hAnsi="宋体" w:cs="宋体" w:eastAsia="宋体" w:hint="default"/>
                <w:sz w:val="18"/>
                <w:szCs w:val="18"/>
              </w:rPr>
              <w:t>赣州发展投 资控股集团 有限责任公 司</w:t>
            </w:r>
          </w:p>
        </w:tc>
        <w:tc>
          <w:tcPr>
            <w:tcW w:w="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41" w:right="41"/>
              <w:jc w:val="left"/>
              <w:rPr>
                <w:rFonts w:ascii="宋体" w:hAnsi="宋体" w:cs="宋体" w:eastAsia="宋体" w:hint="default"/>
                <w:sz w:val="18"/>
                <w:szCs w:val="18"/>
              </w:rPr>
            </w:pPr>
            <w:r>
              <w:rPr>
                <w:rFonts w:ascii="宋体" w:hAnsi="宋体" w:cs="宋体" w:eastAsia="宋体" w:hint="default"/>
                <w:sz w:val="18"/>
                <w:szCs w:val="18"/>
              </w:rPr>
              <w:t>长 期</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80" w:right="79"/>
              <w:jc w:val="left"/>
              <w:rPr>
                <w:rFonts w:ascii="宋体" w:hAnsi="宋体" w:cs="宋体" w:eastAsia="宋体" w:hint="default"/>
                <w:sz w:val="18"/>
                <w:szCs w:val="18"/>
              </w:rPr>
            </w:pPr>
            <w:r>
              <w:rPr>
                <w:rFonts w:ascii="宋体" w:hAnsi="宋体" w:cs="宋体" w:eastAsia="宋体" w:hint="default"/>
                <w:sz w:val="18"/>
                <w:szCs w:val="18"/>
              </w:rPr>
              <w:t>金融 服务</w:t>
            </w:r>
          </w:p>
        </w:tc>
        <w:tc>
          <w:tcPr>
            <w:tcW w:w="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99" w:right="98"/>
              <w:jc w:val="both"/>
              <w:rPr>
                <w:rFonts w:ascii="宋体" w:hAnsi="宋体" w:cs="宋体" w:eastAsia="宋体" w:hint="default"/>
                <w:sz w:val="18"/>
                <w:szCs w:val="18"/>
              </w:rPr>
            </w:pPr>
            <w:r>
              <w:rPr>
                <w:rFonts w:ascii="宋体" w:hAnsi="宋体" w:cs="宋体" w:eastAsia="宋体" w:hint="default"/>
                <w:sz w:val="18"/>
                <w:szCs w:val="18"/>
              </w:rPr>
              <w:t>已 完 成</w:t>
            </w:r>
          </w:p>
        </w:tc>
        <w:tc>
          <w:tcPr>
            <w:tcW w:w="3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33,861,664.00</w:t>
            </w:r>
          </w:p>
        </w:tc>
        <w:tc>
          <w:tcPr>
            <w:tcW w:w="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496"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8" w:right="29"/>
              <w:jc w:val="both"/>
              <w:rPr>
                <w:rFonts w:ascii="宋体" w:hAnsi="宋体" w:cs="宋体" w:eastAsia="宋体" w:hint="default"/>
                <w:sz w:val="18"/>
                <w:szCs w:val="18"/>
              </w:rPr>
            </w:pPr>
            <w:r>
              <w:rPr>
                <w:rFonts w:ascii="宋体" w:hAnsi="宋体" w:cs="宋体" w:eastAsia="宋体" w:hint="default"/>
                <w:sz w:val="18"/>
                <w:szCs w:val="18"/>
              </w:rPr>
              <w:t>苏州 爱康 能源 工程 技术 股份 有限 公司</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hanging="1"/>
              <w:jc w:val="center"/>
              <w:rPr>
                <w:rFonts w:ascii="宋体" w:hAnsi="宋体" w:cs="宋体" w:eastAsia="宋体" w:hint="default"/>
                <w:sz w:val="18"/>
                <w:szCs w:val="18"/>
              </w:rPr>
            </w:pPr>
            <w:r>
              <w:rPr>
                <w:rFonts w:ascii="宋体" w:hAnsi="宋体" w:cs="宋体" w:eastAsia="宋体" w:hint="default"/>
                <w:sz w:val="18"/>
                <w:szCs w:val="18"/>
              </w:rPr>
              <w:t>能源工 程技术 </w:t>
            </w:r>
            <w:r>
              <w:rPr>
                <w:rFonts w:ascii="宋体" w:hAnsi="宋体" w:cs="宋体" w:eastAsia="宋体" w:hint="default"/>
                <w:spacing w:val="-7"/>
                <w:sz w:val="18"/>
                <w:szCs w:val="18"/>
              </w:rPr>
              <w:t>服务；新</w:t>
            </w:r>
            <w:r>
              <w:rPr>
                <w:rFonts w:ascii="宋体" w:hAnsi="宋体" w:cs="宋体" w:eastAsia="宋体" w:hint="default"/>
                <w:sz w:val="18"/>
                <w:szCs w:val="18"/>
              </w:rPr>
              <w:t> 能源发 电工程 设计； </w:t>
            </w: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w:t>
            </w:r>
          </w:p>
          <w:p>
            <w:pPr>
              <w:pStyle w:val="TableParagraph"/>
              <w:spacing w:line="319" w:lineRule="auto"/>
              <w:ind w:left="98" w:right="98"/>
              <w:jc w:val="center"/>
              <w:rPr>
                <w:rFonts w:ascii="宋体" w:hAnsi="宋体" w:cs="宋体" w:eastAsia="宋体" w:hint="default"/>
                <w:sz w:val="18"/>
                <w:szCs w:val="18"/>
              </w:rPr>
            </w:pPr>
            <w:r>
              <w:rPr>
                <w:rFonts w:ascii="宋体" w:hAnsi="宋体" w:cs="宋体" w:eastAsia="宋体" w:hint="default"/>
                <w:sz w:val="18"/>
                <w:szCs w:val="18"/>
              </w:rPr>
              <w:t>程管理 服务等</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43" w:right="41"/>
              <w:jc w:val="left"/>
              <w:rPr>
                <w:rFonts w:ascii="宋体" w:hAnsi="宋体" w:cs="宋体" w:eastAsia="宋体" w:hint="default"/>
                <w:sz w:val="18"/>
                <w:szCs w:val="18"/>
              </w:rPr>
            </w:pPr>
            <w:r>
              <w:rPr>
                <w:rFonts w:ascii="宋体" w:hAnsi="宋体" w:cs="宋体" w:eastAsia="宋体" w:hint="default"/>
                <w:sz w:val="18"/>
                <w:szCs w:val="18"/>
              </w:rPr>
              <w:t>收 购</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205,036,000.00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47.40%</w:t>
            </w:r>
          </w:p>
        </w:tc>
        <w:tc>
          <w:tcPr>
            <w:tcW w:w="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41" w:right="41"/>
              <w:jc w:val="left"/>
              <w:rPr>
                <w:rFonts w:ascii="宋体" w:hAnsi="宋体" w:cs="宋体" w:eastAsia="宋体" w:hint="default"/>
                <w:sz w:val="18"/>
                <w:szCs w:val="18"/>
              </w:rPr>
            </w:pPr>
            <w:r>
              <w:rPr>
                <w:rFonts w:ascii="宋体" w:hAnsi="宋体" w:cs="宋体" w:eastAsia="宋体" w:hint="default"/>
                <w:sz w:val="18"/>
                <w:szCs w:val="18"/>
              </w:rPr>
              <w:t>自 筹</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4" w:right="31"/>
              <w:jc w:val="both"/>
              <w:rPr>
                <w:rFonts w:ascii="宋体" w:hAnsi="宋体" w:cs="宋体" w:eastAsia="宋体" w:hint="default"/>
                <w:sz w:val="18"/>
                <w:szCs w:val="18"/>
              </w:rPr>
            </w:pPr>
            <w:r>
              <w:rPr>
                <w:rFonts w:ascii="宋体" w:hAnsi="宋体" w:cs="宋体" w:eastAsia="宋体" w:hint="default"/>
                <w:sz w:val="18"/>
                <w:szCs w:val="18"/>
              </w:rPr>
              <w:t>张家港爱康 新能源产业 并购基金</w:t>
            </w:r>
          </w:p>
          <w:p>
            <w:pPr>
              <w:pStyle w:val="TableParagraph"/>
              <w:spacing w:line="316" w:lineRule="auto" w:before="19"/>
              <w:ind w:left="23" w:right="20"/>
              <w:jc w:val="center"/>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27"/>
                <w:sz w:val="18"/>
                <w:szCs w:val="18"/>
              </w:rPr>
              <w:t>伙）、张家港</w:t>
            </w:r>
            <w:r>
              <w:rPr>
                <w:rFonts w:ascii="宋体" w:hAnsi="宋体" w:cs="宋体" w:eastAsia="宋体" w:hint="default"/>
                <w:sz w:val="18"/>
                <w:szCs w:val="18"/>
              </w:rPr>
              <w:t> 爱康股权投 资管理中心</w:t>
            </w:r>
          </w:p>
          <w:p>
            <w:pPr>
              <w:pStyle w:val="TableParagraph"/>
              <w:spacing w:line="319" w:lineRule="auto" w:before="19"/>
              <w:ind w:left="124" w:right="121"/>
              <w:jc w:val="center"/>
              <w:rPr>
                <w:rFonts w:ascii="宋体" w:hAnsi="宋体" w:cs="宋体" w:eastAsia="宋体" w:hint="default"/>
                <w:sz w:val="18"/>
                <w:szCs w:val="18"/>
              </w:rPr>
            </w:pPr>
            <w:r>
              <w:rPr>
                <w:rFonts w:ascii="宋体" w:hAnsi="宋体" w:cs="宋体" w:eastAsia="宋体" w:hint="default"/>
                <w:sz w:val="18"/>
                <w:szCs w:val="18"/>
              </w:rPr>
              <w:t>（有限合 伙）</w:t>
            </w:r>
          </w:p>
        </w:tc>
        <w:tc>
          <w:tcPr>
            <w:tcW w:w="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41" w:right="41"/>
              <w:jc w:val="left"/>
              <w:rPr>
                <w:rFonts w:ascii="宋体" w:hAnsi="宋体" w:cs="宋体" w:eastAsia="宋体" w:hint="default"/>
                <w:sz w:val="18"/>
                <w:szCs w:val="18"/>
              </w:rPr>
            </w:pPr>
            <w:r>
              <w:rPr>
                <w:rFonts w:ascii="宋体" w:hAnsi="宋体" w:cs="宋体" w:eastAsia="宋体" w:hint="default"/>
                <w:sz w:val="18"/>
                <w:szCs w:val="18"/>
              </w:rPr>
              <w:t>长 期</w:t>
            </w:r>
          </w:p>
        </w:tc>
        <w:tc>
          <w:tcPr>
            <w:tcW w:w="532"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48" w:hanging="65"/>
              <w:jc w:val="center"/>
              <w:rPr>
                <w:rFonts w:ascii="宋体" w:hAnsi="宋体" w:cs="宋体" w:eastAsia="宋体" w:hint="default"/>
                <w:sz w:val="18"/>
                <w:szCs w:val="18"/>
              </w:rPr>
            </w:pPr>
            <w:r>
              <w:rPr>
                <w:rFonts w:ascii="宋体" w:hAnsi="宋体" w:cs="宋体" w:eastAsia="宋体" w:hint="default"/>
                <w:sz w:val="18"/>
                <w:szCs w:val="18"/>
              </w:rPr>
              <w:t>工程 总包、 工程 技术 服务</w:t>
            </w:r>
          </w:p>
        </w:tc>
        <w:tc>
          <w:tcPr>
            <w:tcW w:w="39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92" w:right="98"/>
              <w:jc w:val="both"/>
              <w:rPr>
                <w:rFonts w:ascii="宋体" w:hAnsi="宋体" w:cs="宋体" w:eastAsia="宋体" w:hint="default"/>
                <w:sz w:val="18"/>
                <w:szCs w:val="18"/>
              </w:rPr>
            </w:pPr>
            <w:r>
              <w:rPr>
                <w:rFonts w:ascii="宋体" w:hAnsi="宋体" w:cs="宋体" w:eastAsia="宋体" w:hint="default"/>
                <w:sz w:val="18"/>
                <w:szCs w:val="18"/>
              </w:rPr>
              <w:t>已 完 成</w:t>
            </w:r>
          </w:p>
        </w:tc>
        <w:tc>
          <w:tcPr>
            <w:tcW w:w="3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62,541,119.92</w:t>
            </w:r>
          </w:p>
        </w:tc>
        <w:tc>
          <w:tcPr>
            <w:tcW w:w="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both"/>
              <w:rPr>
                <w:rFonts w:ascii="宋体" w:hAnsi="宋体" w:cs="宋体" w:eastAsia="宋体" w:hint="default"/>
                <w:sz w:val="18"/>
                <w:szCs w:val="18"/>
              </w:rPr>
            </w:pPr>
            <w:r>
              <w:rPr>
                <w:rFonts w:ascii="宋体" w:hAnsi="宋体" w:cs="宋体" w:eastAsia="宋体" w:hint="default"/>
                <w:sz w:val="18"/>
                <w:szCs w:val="18"/>
              </w:rPr>
              <w:t>公 告 编 号</w:t>
            </w:r>
            <w:r>
              <w:rPr>
                <w:rFonts w:ascii="宋体" w:hAnsi="宋体" w:cs="宋体" w:eastAsia="宋体" w:hint="default"/>
                <w:spacing w:val="89"/>
                <w:sz w:val="18"/>
                <w:szCs w:val="18"/>
              </w:rPr>
              <w:t> </w:t>
            </w:r>
            <w:r>
              <w:rPr>
                <w:rFonts w:ascii="宋体" w:hAnsi="宋体" w:cs="宋体" w:eastAsia="宋体" w:hint="default"/>
                <w:sz w:val="18"/>
                <w:szCs w:val="18"/>
              </w:rPr>
              <w:t>：</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2018-131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&lt;</w:t>
            </w:r>
            <w:r>
              <w:rPr>
                <w:rFonts w:ascii="宋体" w:hAnsi="宋体" w:cs="宋体" w:eastAsia="宋体" w:hint="default"/>
                <w:spacing w:val="2"/>
                <w:sz w:val="18"/>
                <w:szCs w:val="18"/>
              </w:rPr>
              <w:t>关于</w:t>
            </w:r>
            <w:r>
              <w:rPr>
                <w:rFonts w:ascii="宋体" w:hAnsi="宋体" w:cs="宋体" w:eastAsia="宋体" w:hint="default"/>
                <w:sz w:val="18"/>
                <w:szCs w:val="18"/>
              </w:rPr>
            </w:r>
          </w:p>
          <w:p>
            <w:pPr>
              <w:pStyle w:val="TableParagraph"/>
              <w:spacing w:line="319" w:lineRule="auto" w:before="63"/>
              <w:ind w:left="22" w:right="6"/>
              <w:jc w:val="both"/>
              <w:rPr>
                <w:rFonts w:ascii="Times New Roman" w:hAnsi="Times New Roman" w:cs="Times New Roman" w:eastAsia="Times New Roman" w:hint="default"/>
                <w:sz w:val="18"/>
                <w:szCs w:val="18"/>
              </w:rPr>
            </w:pPr>
            <w:r>
              <w:rPr>
                <w:rFonts w:ascii="宋体" w:hAnsi="宋体" w:cs="宋体" w:eastAsia="宋体" w:hint="default"/>
                <w:spacing w:val="15"/>
                <w:sz w:val="18"/>
                <w:szCs w:val="18"/>
              </w:rPr>
              <w:t>收购苏州爱康能 源工程技术股份 有限公司部分股 权暨关联交易的 </w:t>
            </w:r>
            <w:r>
              <w:rPr>
                <w:rFonts w:ascii="宋体" w:hAnsi="宋体" w:cs="宋体" w:eastAsia="宋体" w:hint="default"/>
                <w:sz w:val="18"/>
                <w:szCs w:val="18"/>
              </w:rPr>
              <w:t>公告</w:t>
            </w:r>
            <w:r>
              <w:rPr>
                <w:rFonts w:ascii="Times New Roman" w:hAnsi="Times New Roman" w:cs="Times New Roman" w:eastAsia="Times New Roman" w:hint="default"/>
                <w:sz w:val="18"/>
                <w:szCs w:val="18"/>
              </w:rPr>
              <w:t>&gt;</w:t>
            </w:r>
          </w:p>
        </w:tc>
      </w:tr>
      <w:tr>
        <w:trPr>
          <w:trHeight w:val="2586" w:hRule="exact"/>
        </w:trPr>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8" w:right="29"/>
              <w:jc w:val="both"/>
              <w:rPr>
                <w:rFonts w:ascii="宋体" w:hAnsi="宋体" w:cs="宋体" w:eastAsia="宋体" w:hint="default"/>
                <w:sz w:val="18"/>
                <w:szCs w:val="18"/>
              </w:rPr>
            </w:pPr>
            <w:r>
              <w:rPr>
                <w:rFonts w:ascii="宋体" w:hAnsi="宋体" w:cs="宋体" w:eastAsia="宋体" w:hint="default"/>
                <w:sz w:val="18"/>
                <w:szCs w:val="18"/>
              </w:rPr>
              <w:t>江西 省金 控融 资租 赁股 份有 限公 司</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98" w:right="98"/>
              <w:jc w:val="center"/>
              <w:rPr>
                <w:rFonts w:ascii="宋体" w:hAnsi="宋体" w:cs="宋体" w:eastAsia="宋体" w:hint="default"/>
                <w:sz w:val="18"/>
                <w:szCs w:val="18"/>
              </w:rPr>
            </w:pPr>
            <w:r>
              <w:rPr>
                <w:rFonts w:ascii="宋体" w:hAnsi="宋体" w:cs="宋体" w:eastAsia="宋体" w:hint="default"/>
                <w:sz w:val="18"/>
                <w:szCs w:val="18"/>
              </w:rPr>
              <w:t>融资租 赁业务 等</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43" w:right="41"/>
              <w:jc w:val="left"/>
              <w:rPr>
                <w:rFonts w:ascii="宋体" w:hAnsi="宋体" w:cs="宋体" w:eastAsia="宋体" w:hint="default"/>
                <w:sz w:val="18"/>
                <w:szCs w:val="18"/>
              </w:rPr>
            </w:pPr>
            <w:r>
              <w:rPr>
                <w:rFonts w:ascii="宋体" w:hAnsi="宋体" w:cs="宋体" w:eastAsia="宋体" w:hint="default"/>
                <w:sz w:val="18"/>
                <w:szCs w:val="18"/>
              </w:rPr>
              <w:t>收 购</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167,889,527.76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30.00%</w:t>
            </w:r>
          </w:p>
        </w:tc>
        <w:tc>
          <w:tcPr>
            <w:tcW w:w="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41" w:right="41"/>
              <w:jc w:val="left"/>
              <w:rPr>
                <w:rFonts w:ascii="宋体" w:hAnsi="宋体" w:cs="宋体" w:eastAsia="宋体" w:hint="default"/>
                <w:sz w:val="18"/>
                <w:szCs w:val="18"/>
              </w:rPr>
            </w:pPr>
            <w:r>
              <w:rPr>
                <w:rFonts w:ascii="宋体" w:hAnsi="宋体" w:cs="宋体" w:eastAsia="宋体" w:hint="default"/>
                <w:sz w:val="18"/>
                <w:szCs w:val="18"/>
              </w:rPr>
              <w:t>自 筹</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34" w:right="31"/>
              <w:jc w:val="both"/>
              <w:rPr>
                <w:rFonts w:ascii="宋体" w:hAnsi="宋体" w:cs="宋体" w:eastAsia="宋体" w:hint="default"/>
                <w:sz w:val="18"/>
                <w:szCs w:val="18"/>
              </w:rPr>
            </w:pPr>
            <w:r>
              <w:rPr>
                <w:rFonts w:ascii="宋体" w:hAnsi="宋体" w:cs="宋体" w:eastAsia="宋体" w:hint="default"/>
                <w:sz w:val="18"/>
                <w:szCs w:val="18"/>
              </w:rPr>
              <w:t>江西省金融 控股集团有 限公司等</w:t>
            </w:r>
          </w:p>
        </w:tc>
        <w:tc>
          <w:tcPr>
            <w:tcW w:w="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41" w:right="41"/>
              <w:jc w:val="left"/>
              <w:rPr>
                <w:rFonts w:ascii="宋体" w:hAnsi="宋体" w:cs="宋体" w:eastAsia="宋体" w:hint="default"/>
                <w:sz w:val="18"/>
                <w:szCs w:val="18"/>
              </w:rPr>
            </w:pPr>
            <w:r>
              <w:rPr>
                <w:rFonts w:ascii="宋体" w:hAnsi="宋体" w:cs="宋体" w:eastAsia="宋体" w:hint="default"/>
                <w:sz w:val="18"/>
                <w:szCs w:val="18"/>
              </w:rPr>
              <w:t>长 期</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80" w:right="79"/>
              <w:jc w:val="left"/>
              <w:rPr>
                <w:rFonts w:ascii="宋体" w:hAnsi="宋体" w:cs="宋体" w:eastAsia="宋体" w:hint="default"/>
                <w:sz w:val="18"/>
                <w:szCs w:val="18"/>
              </w:rPr>
            </w:pPr>
            <w:r>
              <w:rPr>
                <w:rFonts w:ascii="宋体" w:hAnsi="宋体" w:cs="宋体" w:eastAsia="宋体" w:hint="default"/>
                <w:sz w:val="18"/>
                <w:szCs w:val="18"/>
              </w:rPr>
              <w:t>金融 服务</w:t>
            </w:r>
          </w:p>
        </w:tc>
        <w:tc>
          <w:tcPr>
            <w:tcW w:w="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99" w:right="98"/>
              <w:jc w:val="both"/>
              <w:rPr>
                <w:rFonts w:ascii="宋体" w:hAnsi="宋体" w:cs="宋体" w:eastAsia="宋体" w:hint="default"/>
                <w:sz w:val="18"/>
                <w:szCs w:val="18"/>
              </w:rPr>
            </w:pPr>
            <w:r>
              <w:rPr>
                <w:rFonts w:ascii="宋体" w:hAnsi="宋体" w:cs="宋体" w:eastAsia="宋体" w:hint="default"/>
                <w:sz w:val="18"/>
                <w:szCs w:val="18"/>
              </w:rPr>
              <w:t>已 完 成</w:t>
            </w:r>
          </w:p>
        </w:tc>
        <w:tc>
          <w:tcPr>
            <w:tcW w:w="3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公 告 编 号</w:t>
            </w:r>
            <w:r>
              <w:rPr>
                <w:rFonts w:ascii="宋体" w:hAnsi="宋体" w:cs="宋体" w:eastAsia="宋体" w:hint="default"/>
                <w:spacing w:val="89"/>
                <w:sz w:val="18"/>
                <w:szCs w:val="18"/>
              </w:rPr>
              <w:t> </w:t>
            </w:r>
            <w:r>
              <w:rPr>
                <w:rFonts w:ascii="宋体" w:hAnsi="宋体" w:cs="宋体" w:eastAsia="宋体" w:hint="default"/>
                <w:sz w:val="18"/>
                <w:szCs w:val="18"/>
              </w:rPr>
              <w:t>：</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2018-151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&lt;</w:t>
            </w:r>
            <w:r>
              <w:rPr>
                <w:rFonts w:ascii="宋体" w:hAnsi="宋体" w:cs="宋体" w:eastAsia="宋体" w:hint="default"/>
                <w:spacing w:val="2"/>
                <w:sz w:val="18"/>
                <w:szCs w:val="18"/>
              </w:rPr>
              <w:t>关于</w:t>
            </w:r>
            <w:r>
              <w:rPr>
                <w:rFonts w:ascii="宋体" w:hAnsi="宋体" w:cs="宋体" w:eastAsia="宋体" w:hint="default"/>
                <w:sz w:val="18"/>
                <w:szCs w:val="18"/>
              </w:rPr>
            </w:r>
          </w:p>
          <w:p>
            <w:pPr>
              <w:pStyle w:val="TableParagraph"/>
              <w:spacing w:line="319" w:lineRule="auto" w:before="63"/>
              <w:ind w:left="22" w:right="6"/>
              <w:jc w:val="both"/>
              <w:rPr>
                <w:rFonts w:ascii="Times New Roman" w:hAnsi="Times New Roman" w:cs="Times New Roman" w:eastAsia="Times New Roman" w:hint="default"/>
                <w:sz w:val="18"/>
                <w:szCs w:val="18"/>
              </w:rPr>
            </w:pPr>
            <w:r>
              <w:rPr>
                <w:rFonts w:ascii="宋体" w:hAnsi="宋体" w:cs="宋体" w:eastAsia="宋体" w:hint="default"/>
                <w:spacing w:val="15"/>
                <w:sz w:val="18"/>
                <w:szCs w:val="18"/>
              </w:rPr>
              <w:t>收购江西省金控 融资租赁股份有 限公司部分股权 暨关联交易的公 </w:t>
            </w:r>
            <w:r>
              <w:rPr>
                <w:rFonts w:ascii="宋体" w:hAnsi="宋体" w:cs="宋体" w:eastAsia="宋体" w:hint="default"/>
                <w:sz w:val="18"/>
                <w:szCs w:val="18"/>
              </w:rPr>
              <w:t>告</w:t>
            </w:r>
            <w:r>
              <w:rPr>
                <w:rFonts w:ascii="Times New Roman" w:hAnsi="Times New Roman" w:cs="Times New Roman" w:eastAsia="Times New Roman" w:hint="default"/>
                <w:sz w:val="18"/>
                <w:szCs w:val="18"/>
              </w:rPr>
              <w:t>&gt;</w:t>
            </w:r>
          </w:p>
        </w:tc>
      </w:tr>
      <w:tr>
        <w:trPr>
          <w:trHeight w:val="1923" w:hRule="exact"/>
        </w:trPr>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8" w:right="29"/>
              <w:jc w:val="both"/>
              <w:rPr>
                <w:rFonts w:ascii="宋体" w:hAnsi="宋体" w:cs="宋体" w:eastAsia="宋体" w:hint="default"/>
                <w:sz w:val="18"/>
                <w:szCs w:val="18"/>
              </w:rPr>
            </w:pPr>
            <w:r>
              <w:rPr>
                <w:rFonts w:ascii="宋体" w:hAnsi="宋体" w:cs="宋体" w:eastAsia="宋体" w:hint="default"/>
                <w:sz w:val="18"/>
                <w:szCs w:val="18"/>
              </w:rPr>
              <w:t>上海 爱康 富罗 纳融 资租 赁有</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98" w:right="98"/>
              <w:jc w:val="center"/>
              <w:rPr>
                <w:rFonts w:ascii="宋体" w:hAnsi="宋体" w:cs="宋体" w:eastAsia="宋体" w:hint="default"/>
                <w:sz w:val="18"/>
                <w:szCs w:val="18"/>
              </w:rPr>
            </w:pPr>
            <w:r>
              <w:rPr>
                <w:rFonts w:ascii="宋体" w:hAnsi="宋体" w:cs="宋体" w:eastAsia="宋体" w:hint="default"/>
                <w:sz w:val="18"/>
                <w:szCs w:val="18"/>
              </w:rPr>
              <w:t>融资租 赁业务 等</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43" w:right="41"/>
              <w:jc w:val="left"/>
              <w:rPr>
                <w:rFonts w:ascii="宋体" w:hAnsi="宋体" w:cs="宋体" w:eastAsia="宋体" w:hint="default"/>
                <w:sz w:val="18"/>
                <w:szCs w:val="18"/>
              </w:rPr>
            </w:pPr>
            <w:r>
              <w:rPr>
                <w:rFonts w:ascii="宋体" w:hAnsi="宋体" w:cs="宋体" w:eastAsia="宋体" w:hint="default"/>
                <w:sz w:val="18"/>
                <w:szCs w:val="18"/>
              </w:rPr>
              <w:t>收 购</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261,592,213.03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w:t>
            </w:r>
          </w:p>
        </w:tc>
        <w:tc>
          <w:tcPr>
            <w:tcW w:w="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41" w:right="41"/>
              <w:jc w:val="left"/>
              <w:rPr>
                <w:rFonts w:ascii="宋体" w:hAnsi="宋体" w:cs="宋体" w:eastAsia="宋体" w:hint="default"/>
                <w:sz w:val="18"/>
                <w:szCs w:val="18"/>
              </w:rPr>
            </w:pPr>
            <w:r>
              <w:rPr>
                <w:rFonts w:ascii="宋体" w:hAnsi="宋体" w:cs="宋体" w:eastAsia="宋体" w:hint="default"/>
                <w:sz w:val="18"/>
                <w:szCs w:val="18"/>
              </w:rPr>
              <w:t>自 筹</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34" w:right="31"/>
              <w:jc w:val="left"/>
              <w:rPr>
                <w:rFonts w:ascii="宋体" w:hAnsi="宋体" w:cs="宋体" w:eastAsia="宋体" w:hint="default"/>
                <w:sz w:val="18"/>
                <w:szCs w:val="18"/>
              </w:rPr>
            </w:pPr>
            <w:r>
              <w:rPr>
                <w:rFonts w:ascii="宋体" w:hAnsi="宋体" w:cs="宋体" w:eastAsia="宋体" w:hint="default"/>
                <w:sz w:val="18"/>
                <w:szCs w:val="18"/>
              </w:rPr>
              <w:t>爱康国际控 股有限公司</w:t>
            </w:r>
          </w:p>
        </w:tc>
        <w:tc>
          <w:tcPr>
            <w:tcW w:w="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41" w:right="41"/>
              <w:jc w:val="left"/>
              <w:rPr>
                <w:rFonts w:ascii="宋体" w:hAnsi="宋体" w:cs="宋体" w:eastAsia="宋体" w:hint="default"/>
                <w:sz w:val="18"/>
                <w:szCs w:val="18"/>
              </w:rPr>
            </w:pPr>
            <w:r>
              <w:rPr>
                <w:rFonts w:ascii="宋体" w:hAnsi="宋体" w:cs="宋体" w:eastAsia="宋体" w:hint="default"/>
                <w:sz w:val="18"/>
                <w:szCs w:val="18"/>
              </w:rPr>
              <w:t>长 期</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80" w:right="79"/>
              <w:jc w:val="left"/>
              <w:rPr>
                <w:rFonts w:ascii="宋体" w:hAnsi="宋体" w:cs="宋体" w:eastAsia="宋体" w:hint="default"/>
                <w:sz w:val="18"/>
                <w:szCs w:val="18"/>
              </w:rPr>
            </w:pPr>
            <w:r>
              <w:rPr>
                <w:rFonts w:ascii="宋体" w:hAnsi="宋体" w:cs="宋体" w:eastAsia="宋体" w:hint="default"/>
                <w:sz w:val="18"/>
                <w:szCs w:val="18"/>
              </w:rPr>
              <w:t>金融 服务</w:t>
            </w:r>
          </w:p>
        </w:tc>
        <w:tc>
          <w:tcPr>
            <w:tcW w:w="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99" w:right="98"/>
              <w:jc w:val="both"/>
              <w:rPr>
                <w:rFonts w:ascii="宋体" w:hAnsi="宋体" w:cs="宋体" w:eastAsia="宋体" w:hint="default"/>
                <w:sz w:val="18"/>
                <w:szCs w:val="18"/>
              </w:rPr>
            </w:pPr>
            <w:r>
              <w:rPr>
                <w:rFonts w:ascii="宋体" w:hAnsi="宋体" w:cs="宋体" w:eastAsia="宋体" w:hint="default"/>
                <w:sz w:val="18"/>
                <w:szCs w:val="18"/>
              </w:rPr>
              <w:t>未 完 成</w:t>
            </w:r>
          </w:p>
        </w:tc>
        <w:tc>
          <w:tcPr>
            <w:tcW w:w="3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公 告 编 号</w:t>
            </w:r>
            <w:r>
              <w:rPr>
                <w:rFonts w:ascii="宋体" w:hAnsi="宋体" w:cs="宋体" w:eastAsia="宋体" w:hint="default"/>
                <w:spacing w:val="89"/>
                <w:sz w:val="18"/>
                <w:szCs w:val="18"/>
              </w:rPr>
              <w:t> </w:t>
            </w:r>
            <w:r>
              <w:rPr>
                <w:rFonts w:ascii="宋体" w:hAnsi="宋体" w:cs="宋体" w:eastAsia="宋体" w:hint="default"/>
                <w:sz w:val="18"/>
                <w:szCs w:val="18"/>
              </w:rPr>
              <w:t>：</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2018-204</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&lt;</w:t>
            </w:r>
            <w:r>
              <w:rPr>
                <w:rFonts w:ascii="宋体" w:hAnsi="宋体" w:cs="宋体" w:eastAsia="宋体" w:hint="default"/>
                <w:spacing w:val="2"/>
                <w:sz w:val="18"/>
                <w:szCs w:val="18"/>
              </w:rPr>
              <w:t>关于</w:t>
            </w:r>
            <w:r>
              <w:rPr>
                <w:rFonts w:ascii="宋体" w:hAnsi="宋体" w:cs="宋体" w:eastAsia="宋体" w:hint="default"/>
                <w:sz w:val="18"/>
                <w:szCs w:val="18"/>
              </w:rPr>
            </w:r>
          </w:p>
          <w:p>
            <w:pPr>
              <w:pStyle w:val="TableParagraph"/>
              <w:spacing w:line="316" w:lineRule="auto" w:before="63"/>
              <w:ind w:left="22" w:right="6"/>
              <w:jc w:val="both"/>
              <w:rPr>
                <w:rFonts w:ascii="宋体" w:hAnsi="宋体" w:cs="宋体" w:eastAsia="宋体" w:hint="default"/>
                <w:sz w:val="18"/>
                <w:szCs w:val="18"/>
              </w:rPr>
            </w:pPr>
            <w:r>
              <w:rPr>
                <w:rFonts w:ascii="宋体" w:hAnsi="宋体" w:cs="宋体" w:eastAsia="宋体" w:hint="default"/>
                <w:spacing w:val="15"/>
                <w:sz w:val="18"/>
                <w:szCs w:val="18"/>
              </w:rPr>
              <w:t>收购上海爱康富 罗纳融资租赁有 限公司部分股权 暨关联交易的公</w:t>
            </w:r>
            <w:r>
              <w:rPr>
                <w:rFonts w:ascii="宋体" w:hAnsi="宋体" w:cs="宋体" w:eastAsia="宋体" w:hint="default"/>
                <w:sz w:val="18"/>
                <w:szCs w:val="18"/>
              </w:rPr>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428"/>
        <w:gridCol w:w="749"/>
        <w:gridCol w:w="276"/>
        <w:gridCol w:w="1320"/>
        <w:gridCol w:w="708"/>
        <w:gridCol w:w="275"/>
        <w:gridCol w:w="977"/>
        <w:gridCol w:w="275"/>
        <w:gridCol w:w="532"/>
        <w:gridCol w:w="390"/>
        <w:gridCol w:w="398"/>
        <w:gridCol w:w="1186"/>
        <w:gridCol w:w="275"/>
        <w:gridCol w:w="496"/>
        <w:gridCol w:w="1410"/>
      </w:tblGrid>
      <w:tr>
        <w:trPr>
          <w:trHeight w:val="674" w:hRule="exact"/>
        </w:trPr>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18" w:right="29" w:hanging="90"/>
              <w:jc w:val="left"/>
              <w:rPr>
                <w:rFonts w:ascii="宋体" w:hAnsi="宋体" w:cs="宋体" w:eastAsia="宋体" w:hint="default"/>
                <w:sz w:val="18"/>
                <w:szCs w:val="18"/>
              </w:rPr>
            </w:pPr>
            <w:r>
              <w:rPr>
                <w:rFonts w:ascii="宋体" w:hAnsi="宋体" w:cs="宋体" w:eastAsia="宋体" w:hint="default"/>
                <w:sz w:val="18"/>
                <w:szCs w:val="18"/>
              </w:rPr>
              <w:t>限公 司</w:t>
            </w:r>
          </w:p>
        </w:tc>
        <w:tc>
          <w:tcPr>
            <w:tcW w:w="749" w:type="dxa"/>
            <w:tcBorders>
              <w:top w:val="single" w:sz="4" w:space="0" w:color="000000"/>
              <w:left w:val="single" w:sz="4" w:space="0" w:color="000000"/>
              <w:bottom w:val="single" w:sz="4" w:space="0" w:color="000000"/>
              <w:right w:val="single" w:sz="4" w:space="0" w:color="000000"/>
            </w:tcBorders>
          </w:tcPr>
          <w:p>
            <w:pPr/>
          </w:p>
        </w:tc>
        <w:tc>
          <w:tcPr>
            <w:tcW w:w="276"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7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275"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275"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w:t>
            </w:r>
            <w:r>
              <w:rPr>
                <w:rFonts w:ascii="Times New Roman" w:hAnsi="Times New Roman" w:cs="Times New Roman" w:eastAsia="Times New Roman" w:hint="default"/>
                <w:sz w:val="18"/>
                <w:szCs w:val="18"/>
              </w:rPr>
              <w:t>&gt;</w:t>
            </w:r>
          </w:p>
        </w:tc>
      </w:tr>
      <w:tr>
        <w:trPr>
          <w:trHeight w:val="402" w:hRule="exact"/>
        </w:trPr>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3,194,505,435.17</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249,518,435.03</w:t>
            </w:r>
          </w:p>
        </w:tc>
        <w:tc>
          <w:tcPr>
            <w:tcW w:w="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w:t>
            </w:r>
          </w:p>
        </w:tc>
        <w:tc>
          <w:tcPr>
            <w:tcW w:w="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22"/>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1134"/>
        <w:gridCol w:w="1134"/>
        <w:gridCol w:w="1416"/>
        <w:gridCol w:w="852"/>
        <w:gridCol w:w="850"/>
        <w:gridCol w:w="1134"/>
        <w:gridCol w:w="1099"/>
        <w:gridCol w:w="955"/>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3" w:right="71"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59"/>
              <w:jc w:val="left"/>
              <w:rPr>
                <w:rFonts w:ascii="宋体" w:hAnsi="宋体" w:cs="宋体" w:eastAsia="宋体" w:hint="default"/>
                <w:sz w:val="18"/>
                <w:szCs w:val="18"/>
              </w:rPr>
            </w:pPr>
            <w:r>
              <w:rPr>
                <w:rFonts w:ascii="宋体" w:hAnsi="宋体" w:cs="宋体" w:eastAsia="宋体" w:hint="default"/>
                <w:sz w:val="18"/>
                <w:szCs w:val="18"/>
              </w:rPr>
              <w:t>报告期内 购入金额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9"/>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1" w:right="111"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pacing w:val="9"/>
                <w:sz w:val="18"/>
                <w:szCs w:val="18"/>
              </w:rPr>
              <w:t>金融衍生工 </w:t>
            </w:r>
            <w:r>
              <w:rPr>
                <w:rFonts w:ascii="宋体" w:hAnsi="宋体" w:cs="宋体" w:eastAsia="宋体" w:hint="default"/>
                <w:sz w:val="18"/>
                <w:szCs w:val="18"/>
              </w:rPr>
              <w:t>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3,180,447.00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-1,976,271.00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-7,594,389.80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1,204,176.00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3,180,447.00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-1,976,271.00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-7,594,389.80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1,204,176.00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1122"/>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68"/>
        <w:gridCol w:w="851"/>
        <w:gridCol w:w="991"/>
        <w:gridCol w:w="709"/>
        <w:gridCol w:w="993"/>
        <w:gridCol w:w="709"/>
        <w:gridCol w:w="850"/>
        <w:gridCol w:w="709"/>
        <w:gridCol w:w="710"/>
        <w:gridCol w:w="1843"/>
        <w:gridCol w:w="632"/>
      </w:tblGrid>
      <w:tr>
        <w:trPr>
          <w:trHeight w:val="1650" w:hRule="exact"/>
        </w:trPr>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8" w:right="99"/>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募集资金总 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0" w:right="77"/>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0" w:right="40"/>
              <w:jc w:val="center"/>
              <w:rPr>
                <w:rFonts w:ascii="宋体" w:hAnsi="宋体" w:cs="宋体" w:eastAsia="宋体" w:hint="default"/>
                <w:sz w:val="18"/>
                <w:szCs w:val="18"/>
              </w:rPr>
            </w:pPr>
            <w:r>
              <w:rPr>
                <w:rFonts w:ascii="宋体" w:hAnsi="宋体" w:cs="宋体" w:eastAsia="宋体" w:hint="default"/>
                <w:sz w:val="18"/>
                <w:szCs w:val="18"/>
              </w:rPr>
              <w:t>已累计使用 募集资金总 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9" w:right="5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8"/>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555" w:right="107" w:hanging="450"/>
              <w:jc w:val="left"/>
              <w:rPr>
                <w:rFonts w:ascii="宋体" w:hAnsi="宋体" w:cs="宋体" w:eastAsia="宋体" w:hint="default"/>
                <w:sz w:val="18"/>
                <w:szCs w:val="18"/>
              </w:rPr>
            </w:pPr>
            <w:r>
              <w:rPr>
                <w:rFonts w:ascii="宋体" w:hAnsi="宋体" w:cs="宋体" w:eastAsia="宋体" w:hint="default"/>
                <w:sz w:val="18"/>
                <w:szCs w:val="18"/>
              </w:rPr>
              <w:t>尚未使用募集资金用 途及去向</w:t>
            </w:r>
          </w:p>
        </w:tc>
        <w:tc>
          <w:tcPr>
            <w:tcW w:w="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0" w:right="41"/>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96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0" w:right="59" w:hanging="90"/>
              <w:jc w:val="left"/>
              <w:rPr>
                <w:rFonts w:ascii="宋体" w:hAnsi="宋体" w:cs="宋体" w:eastAsia="宋体" w:hint="default"/>
                <w:sz w:val="18"/>
                <w:szCs w:val="18"/>
              </w:rPr>
            </w:pPr>
            <w:r>
              <w:rPr>
                <w:rFonts w:ascii="宋体" w:hAnsi="宋体" w:cs="宋体" w:eastAsia="宋体" w:hint="default"/>
                <w:sz w:val="18"/>
                <w:szCs w:val="18"/>
              </w:rPr>
              <w:t>非公开发 行股份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377,679.16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38,873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378,625.18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2"/>
                <w:sz w:val="18"/>
                <w:szCs w:val="18"/>
              </w:rPr>
              <w:t>日，公司第二次非公开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8"/>
                <w:sz w:val="18"/>
                <w:szCs w:val="18"/>
              </w:rPr>
              <w:t>发行股票所募集的资</w:t>
            </w:r>
            <w:r>
              <w:rPr>
                <w:rFonts w:ascii="宋体" w:hAnsi="宋体" w:cs="宋体" w:eastAsia="宋体" w:hint="default"/>
                <w:sz w:val="18"/>
                <w:szCs w:val="18"/>
              </w:rPr>
              <w:t> </w:t>
            </w:r>
            <w:r>
              <w:rPr>
                <w:rFonts w:ascii="宋体" w:hAnsi="宋体" w:cs="宋体" w:eastAsia="宋体" w:hint="default"/>
                <w:spacing w:val="-2"/>
                <w:sz w:val="18"/>
                <w:szCs w:val="18"/>
              </w:rPr>
              <w:t>金已全部投入使用，相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8"/>
                <w:sz w:val="18"/>
                <w:szCs w:val="18"/>
              </w:rPr>
              <w:t>应募集资金专用账户</w:t>
            </w:r>
            <w:r>
              <w:rPr>
                <w:rFonts w:ascii="宋体" w:hAnsi="宋体" w:cs="宋体" w:eastAsia="宋体" w:hint="default"/>
                <w:sz w:val="18"/>
                <w:szCs w:val="18"/>
              </w:rPr>
              <w:t> 已全部销户。</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377,679.16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38,873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378,625.18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w:t>
            </w:r>
          </w:p>
        </w:tc>
        <w:tc>
          <w:tcPr>
            <w:tcW w:w="71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0</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674"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年首次公开发行股票并在中小板上市，本公司共有三次募集资金：</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年公司首次公开发行股票募集 资金实际到账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75,865.07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万元，专户已于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日全部销户；</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年公司第一次非公开发行股票募集资金实际到</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6"/>
          <w:szCs w:val="26"/>
        </w:rPr>
      </w:pPr>
      <w:r>
        <w:rPr/>
        <w:pict>
          <v:group style="position:absolute;margin-left:56.459999pt;margin-top:71.759964pt;width:478.75pt;height:684.4pt;mso-position-horizontal-relative:page;mso-position-vertical-relative:page;z-index:-1593256" coordorigin="1129,1435" coordsize="9575,13688">
            <v:group style="position:absolute;left:1139;top:1445;width:9556;height:2" coordorigin="1139,1445" coordsize="9556,2">
              <v:shape style="position:absolute;left:1139;top:1445;width:9556;height:2" coordorigin="1139,1445" coordsize="9556,0" path="m1139,1445l10694,1445e" filled="false" stroked="true" strokeweight=".48pt" strokecolor="#000000">
                <v:path arrowok="t"/>
              </v:shape>
            </v:group>
            <v:group style="position:absolute;left:1134;top:1440;width:2;height:13678" coordorigin="1134,1440" coordsize="2,13678">
              <v:shape style="position:absolute;left:1134;top:1440;width:2;height:13678" coordorigin="1134,1440" coordsize="0,13678" path="m1134,1440l1134,15118e" filled="false" stroked="true" strokeweight=".48pt" strokecolor="#000000">
                <v:path arrowok="t"/>
              </v:shape>
            </v:group>
            <v:group style="position:absolute;left:1139;top:15113;width:9556;height:2" coordorigin="1139,15113" coordsize="9556,2">
              <v:shape style="position:absolute;left:1139;top:15113;width:9556;height:2" coordorigin="1139,15113" coordsize="9556,0" path="m1139,15113l10694,15113e" filled="false" stroked="true" strokeweight=".48004pt" strokecolor="#000000">
                <v:path arrowok="t"/>
              </v:shape>
            </v:group>
            <v:group style="position:absolute;left:10699;top:1440;width:2;height:13678" coordorigin="10699,1440" coordsize="2,13678">
              <v:shape style="position:absolute;left:10699;top:1440;width:2;height:13678" coordorigin="10699,1440" coordsize="0,13678" path="m10699,1440l10699,15118e" filled="false" stroked="true" strokeweight=".48004pt" strokecolor="#000000">
                <v:path arrowok="t"/>
              </v:shape>
            </v:group>
            <w10:wrap type="none"/>
          </v:group>
        </w:pict>
      </w:r>
    </w:p>
    <w:p>
      <w:pPr>
        <w:pStyle w:val="BodyText"/>
        <w:spacing w:line="240" w:lineRule="auto" w:before="44"/>
        <w:ind w:left="181" w:right="1122"/>
        <w:jc w:val="left"/>
        <w:rPr>
          <w:rFonts w:ascii="Times New Roman" w:hAnsi="Times New Roman" w:cs="Times New Roman" w:eastAsia="Times New Roman" w:hint="default"/>
        </w:rPr>
      </w:pPr>
      <w:r>
        <w:rPr/>
        <w:t>账</w:t>
      </w:r>
      <w:r>
        <w:rPr>
          <w:spacing w:val="-48"/>
        </w:rPr>
        <w:t> </w:t>
      </w:r>
      <w:r>
        <w:rPr>
          <w:rFonts w:ascii="Times New Roman" w:hAnsi="Times New Roman" w:cs="Times New Roman" w:eastAsia="Times New Roman" w:hint="default"/>
        </w:rPr>
        <w:t>96,960.10</w:t>
      </w:r>
      <w:r>
        <w:rPr>
          <w:rFonts w:ascii="Times New Roman" w:hAnsi="Times New Roman" w:cs="Times New Roman" w:eastAsia="Times New Roman" w:hint="default"/>
          <w:spacing w:val="-3"/>
        </w:rPr>
        <w:t> </w:t>
      </w:r>
      <w:r>
        <w:rPr>
          <w:spacing w:val="-2"/>
        </w:rPr>
        <w:t>万</w:t>
      </w:r>
      <w:r>
        <w:rPr/>
        <w:t>元</w:t>
      </w:r>
      <w:r>
        <w:rPr>
          <w:spacing w:val="-90"/>
        </w:rPr>
        <w:t>，</w:t>
      </w:r>
      <w:r>
        <w:rPr/>
        <w:t>专户已于</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日全部销户</w:t>
      </w:r>
      <w:r>
        <w:rPr>
          <w:spacing w:val="-90"/>
        </w:rPr>
        <w:t>；</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年第二次公司非公开发行股票募集资金实际到账</w:t>
      </w:r>
      <w:r>
        <w:rPr>
          <w:spacing w:val="-48"/>
        </w:rPr>
        <w:t> </w:t>
      </w:r>
      <w:r>
        <w:rPr>
          <w:rFonts w:ascii="Times New Roman" w:hAnsi="Times New Roman" w:cs="Times New Roman" w:eastAsia="Times New Roman" w:hint="default"/>
        </w:rPr>
        <w:t>377,</w:t>
      </w:r>
      <w:r>
        <w:rPr>
          <w:rFonts w:ascii="Times New Roman" w:hAnsi="Times New Roman" w:cs="Times New Roman" w:eastAsia="Times New Roman" w:hint="default"/>
          <w:spacing w:val="-2"/>
        </w:rPr>
        <w:t>6</w:t>
      </w:r>
      <w:r>
        <w:rPr>
          <w:rFonts w:ascii="Times New Roman" w:hAnsi="Times New Roman" w:cs="Times New Roman" w:eastAsia="Times New Roman" w:hint="default"/>
        </w:rPr>
        <w:t>79.16</w:t>
      </w:r>
    </w:p>
    <w:p>
      <w:pPr>
        <w:pStyle w:val="BodyText"/>
        <w:spacing w:line="240" w:lineRule="auto" w:before="64"/>
        <w:ind w:left="181" w:right="1122"/>
        <w:jc w:val="left"/>
      </w:pPr>
      <w:r>
        <w:rPr/>
        <w:t>万元，截至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日，第二次非公开发行股票募集资金使用情况如下：</w:t>
      </w:r>
    </w:p>
    <w:p>
      <w:pPr>
        <w:pStyle w:val="BodyText"/>
        <w:spacing w:line="240" w:lineRule="auto" w:before="102"/>
        <w:ind w:left="541" w:right="1122"/>
        <w:jc w:val="left"/>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56"/>
        </w:rPr>
        <w:t> </w:t>
      </w:r>
      <w:r>
        <w:rPr>
          <w:rFonts w:ascii="Times New Roman" w:hAnsi="Times New Roman" w:cs="Times New Roman" w:eastAsia="Times New Roman" w:hint="default"/>
        </w:rPr>
        <w:t>17</w:t>
      </w:r>
      <w:r>
        <w:rPr>
          <w:rFonts w:ascii="Times New Roman" w:hAnsi="Times New Roman" w:cs="Times New Roman" w:eastAsia="Times New Roman" w:hint="default"/>
          <w:spacing w:val="-11"/>
        </w:rPr>
        <w:t> </w:t>
      </w:r>
      <w:r>
        <w:rPr/>
        <w:t>日，公司第二届董事会第四十四次临时会议审议通过了《关于使用募集资金置换前期投入自有资金</w:t>
      </w:r>
    </w:p>
    <w:p>
      <w:pPr>
        <w:pStyle w:val="BodyText"/>
        <w:spacing w:line="240" w:lineRule="auto" w:before="63"/>
        <w:ind w:left="181" w:right="1122"/>
        <w:jc w:val="left"/>
      </w:pPr>
      <w:r>
        <w:rPr/>
        <w:t>的议案</w:t>
      </w:r>
      <w:r>
        <w:rPr>
          <w:spacing w:val="-90"/>
        </w:rPr>
        <w:t>》</w:t>
      </w:r>
      <w:r>
        <w:rPr/>
        <w:t>，一致同意公司使用募集资金置换预先投入募投项目的自有资金</w:t>
      </w:r>
      <w:r>
        <w:rPr>
          <w:spacing w:val="-45"/>
        </w:rPr>
        <w:t> </w:t>
      </w:r>
      <w:r>
        <w:rPr>
          <w:rFonts w:ascii="Times New Roman" w:hAnsi="Times New Roman" w:cs="Times New Roman" w:eastAsia="Times New Roman" w:hint="default"/>
        </w:rPr>
        <w:t>820,166,558</w:t>
      </w:r>
      <w:r>
        <w:rPr>
          <w:rFonts w:ascii="Times New Roman" w:hAnsi="Times New Roman" w:cs="Times New Roman" w:eastAsia="Times New Roman" w:hint="default"/>
          <w:spacing w:val="-1"/>
        </w:rPr>
        <w:t>.</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元。根据各项目实际请况，截至</w:t>
      </w:r>
    </w:p>
    <w:p>
      <w:pPr>
        <w:pStyle w:val="BodyText"/>
        <w:spacing w:line="240" w:lineRule="auto" w:before="64"/>
        <w:ind w:left="181" w:right="1122"/>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日公司总共实际置换金额为</w:t>
      </w:r>
      <w:r>
        <w:rPr>
          <w:spacing w:val="-47"/>
        </w:rPr>
        <w:t> </w:t>
      </w:r>
      <w:r>
        <w:rPr>
          <w:rFonts w:ascii="Times New Roman" w:hAnsi="Times New Roman" w:cs="Times New Roman" w:eastAsia="Times New Roman" w:hint="default"/>
        </w:rPr>
        <w:t>820,166,558.25</w:t>
      </w:r>
      <w:r>
        <w:rPr>
          <w:rFonts w:ascii="Times New Roman" w:hAnsi="Times New Roman" w:cs="Times New Roman" w:eastAsia="Times New Roman" w:hint="default"/>
          <w:spacing w:val="-1"/>
        </w:rPr>
        <w:t> </w:t>
      </w:r>
      <w:r>
        <w:rPr/>
        <w:t>元。</w:t>
      </w:r>
    </w:p>
    <w:p>
      <w:pPr>
        <w:pStyle w:val="BodyText"/>
        <w:spacing w:line="300" w:lineRule="auto" w:before="101"/>
        <w:ind w:left="181" w:right="1221"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日召开的第三届董事会第三次临时会议审议通过了《关于部分募投项目结项并将节余募集资金用 于其他募投项目的议案》</w:t>
      </w:r>
      <w:r>
        <w:rPr>
          <w:rFonts w:ascii="Times New Roman" w:hAnsi="Times New Roman" w:cs="Times New Roman" w:eastAsia="Times New Roman" w:hint="default"/>
        </w:rPr>
        <w:t>,</w:t>
      </w:r>
      <w:r>
        <w:rPr/>
        <w:t>将已并网发电的云南凤庆县大兴</w:t>
      </w:r>
      <w:r>
        <w:rPr>
          <w:spacing w:val="-50"/>
        </w:rPr>
        <w:t> </w:t>
      </w:r>
      <w:r>
        <w:rPr>
          <w:rFonts w:ascii="Times New Roman" w:hAnsi="Times New Roman" w:cs="Times New Roman" w:eastAsia="Times New Roman" w:hint="default"/>
        </w:rPr>
        <w:t>50MW</w:t>
      </w:r>
      <w:r>
        <w:rPr>
          <w:rFonts w:ascii="Times New Roman" w:hAnsi="Times New Roman" w:cs="Times New Roman" w:eastAsia="Times New Roman" w:hint="default"/>
          <w:spacing w:val="-6"/>
        </w:rPr>
        <w:t> </w:t>
      </w:r>
      <w:r>
        <w:rPr/>
        <w:t>项目及山东嘉祥昱辉</w:t>
      </w:r>
      <w:r>
        <w:rPr>
          <w:spacing w:val="-50"/>
        </w:rPr>
        <w:t> </w:t>
      </w:r>
      <w:r>
        <w:rPr>
          <w:rFonts w:ascii="Times New Roman" w:hAnsi="Times New Roman" w:cs="Times New Roman" w:eastAsia="Times New Roman" w:hint="default"/>
        </w:rPr>
        <w:t>20MW</w:t>
      </w:r>
      <w:r>
        <w:rPr>
          <w:rFonts w:ascii="Times New Roman" w:hAnsi="Times New Roman" w:cs="Times New Roman" w:eastAsia="Times New Roman" w:hint="default"/>
          <w:spacing w:val="-5"/>
        </w:rPr>
        <w:t> </w:t>
      </w:r>
      <w:r>
        <w:rPr/>
        <w:t>光伏发电项目节余募集资金 合计</w:t>
      </w:r>
      <w:r>
        <w:rPr>
          <w:spacing w:val="-46"/>
        </w:rPr>
        <w:t> </w:t>
      </w:r>
      <w:r>
        <w:rPr>
          <w:rFonts w:ascii="Times New Roman" w:hAnsi="Times New Roman" w:cs="Times New Roman" w:eastAsia="Times New Roman" w:hint="default"/>
        </w:rPr>
        <w:t>17,400 </w:t>
      </w:r>
      <w:r>
        <w:rPr/>
        <w:t>万元投资于新增募投项目，其中安徽省明光爱康</w:t>
      </w:r>
      <w:r>
        <w:rPr>
          <w:spacing w:val="-46"/>
        </w:rPr>
        <w:t> </w:t>
      </w:r>
      <w:r>
        <w:rPr>
          <w:rFonts w:ascii="Times New Roman" w:hAnsi="Times New Roman" w:cs="Times New Roman" w:eastAsia="Times New Roman" w:hint="default"/>
        </w:rPr>
        <w:t>20MW</w:t>
      </w:r>
      <w:r>
        <w:rPr>
          <w:rFonts w:ascii="Times New Roman" w:hAnsi="Times New Roman" w:cs="Times New Roman" w:eastAsia="Times New Roman" w:hint="default"/>
          <w:spacing w:val="-2"/>
        </w:rPr>
        <w:t> </w:t>
      </w:r>
      <w:r>
        <w:rPr/>
        <w:t>光伏电站项目拟使用募集资金</w:t>
      </w:r>
      <w:r>
        <w:rPr>
          <w:spacing w:val="-46"/>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万元、河南省伊 川佳康</w:t>
      </w:r>
      <w:r>
        <w:rPr>
          <w:spacing w:val="-46"/>
        </w:rPr>
        <w:t> </w:t>
      </w:r>
      <w:r>
        <w:rPr>
          <w:rFonts w:ascii="Times New Roman" w:hAnsi="Times New Roman" w:cs="Times New Roman" w:eastAsia="Times New Roman" w:hint="default"/>
        </w:rPr>
        <w:t>50MW </w:t>
      </w:r>
      <w:r>
        <w:rPr/>
        <w:t>光伏电站项目拟使用募集资金</w:t>
      </w:r>
      <w:r>
        <w:rPr>
          <w:spacing w:val="-46"/>
        </w:rPr>
        <w:t> </w:t>
      </w:r>
      <w:r>
        <w:rPr>
          <w:rFonts w:ascii="Times New Roman" w:hAnsi="Times New Roman" w:cs="Times New Roman" w:eastAsia="Times New Roman" w:hint="default"/>
        </w:rPr>
        <w:t>13,400 </w:t>
      </w:r>
      <w:r>
        <w:rPr/>
        <w:t>万元。</w:t>
      </w:r>
    </w:p>
    <w:p>
      <w:pPr>
        <w:pStyle w:val="BodyText"/>
        <w:spacing w:line="300" w:lineRule="auto" w:before="51"/>
        <w:ind w:left="181" w:right="1223" w:firstLine="360"/>
        <w:jc w:val="left"/>
        <w:rPr>
          <w:rFonts w:ascii="Times New Roman" w:hAnsi="Times New Roman" w:cs="Times New Roman" w:eastAsia="Times New Roman" w:hint="default"/>
        </w:rPr>
      </w:pPr>
      <w:r>
        <w:rPr>
          <w:rFonts w:ascii="Times New Roman" w:hAnsi="Times New Roman" w:cs="Times New Roman" w:eastAsia="Times New Roman" w:hint="default"/>
          <w:spacing w:val="-3"/>
        </w:rPr>
        <w:t>3</w:t>
      </w:r>
      <w:r>
        <w:rPr>
          <w:spacing w:val="-3"/>
        </w:rPr>
        <w:t>、公司于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3"/>
        </w:rPr>
        <w:t>日召开的第三届董事会第八次会议审议通过了《关于部分募投项目结项的议案》，将</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 第二次非公开发行股票的部分已建成并网发电的项目（宿州恒康新能源有限公司埇桥夹沟一期</w:t>
      </w:r>
      <w:r>
        <w:rPr>
          <w:spacing w:val="-45"/>
        </w:rPr>
        <w:t> </w:t>
      </w:r>
      <w:r>
        <w:rPr>
          <w:rFonts w:ascii="Times New Roman" w:hAnsi="Times New Roman" w:cs="Times New Roman" w:eastAsia="Times New Roman" w:hint="default"/>
        </w:rPr>
        <w:t>20MW</w:t>
      </w:r>
      <w:r>
        <w:rPr>
          <w:rFonts w:ascii="Times New Roman" w:hAnsi="Times New Roman" w:cs="Times New Roman" w:eastAsia="Times New Roman" w:hint="default"/>
          <w:spacing w:val="-2"/>
        </w:rPr>
        <w:t> </w:t>
      </w:r>
      <w:r>
        <w:rPr/>
        <w:t>地面分布式光伏发 电项目、喀左坤都小房申</w:t>
      </w:r>
      <w:r>
        <w:rPr>
          <w:spacing w:val="-51"/>
        </w:rPr>
        <w:t> </w:t>
      </w:r>
      <w:r>
        <w:rPr>
          <w:rFonts w:ascii="Times New Roman" w:hAnsi="Times New Roman" w:cs="Times New Roman" w:eastAsia="Times New Roman" w:hint="default"/>
        </w:rPr>
        <w:t>10MW</w:t>
      </w:r>
      <w:r>
        <w:rPr>
          <w:rFonts w:ascii="Times New Roman" w:hAnsi="Times New Roman" w:cs="Times New Roman" w:eastAsia="Times New Roman" w:hint="default"/>
          <w:spacing w:val="-7"/>
        </w:rPr>
        <w:t> </w:t>
      </w:r>
      <w:r>
        <w:rPr/>
        <w:t>太阳能光伏发电项目、爱康精河三期</w:t>
      </w:r>
      <w:r>
        <w:rPr>
          <w:spacing w:val="-51"/>
        </w:rPr>
        <w:t> </w:t>
      </w:r>
      <w:r>
        <w:rPr>
          <w:rFonts w:ascii="Times New Roman" w:hAnsi="Times New Roman" w:cs="Times New Roman" w:eastAsia="Times New Roman" w:hint="default"/>
        </w:rPr>
        <w:t>30MW</w:t>
      </w:r>
      <w:r>
        <w:rPr>
          <w:rFonts w:ascii="Times New Roman" w:hAnsi="Times New Roman" w:cs="Times New Roman" w:eastAsia="Times New Roman" w:hint="default"/>
          <w:spacing w:val="-7"/>
        </w:rPr>
        <w:t> </w:t>
      </w:r>
      <w:r>
        <w:rPr/>
        <w:t>光伏并网发电项目、爱康精河四期</w:t>
      </w:r>
      <w:r>
        <w:rPr>
          <w:spacing w:val="-51"/>
        </w:rPr>
        <w:t> </w:t>
      </w:r>
      <w:r>
        <w:rPr>
          <w:rFonts w:ascii="Times New Roman" w:hAnsi="Times New Roman" w:cs="Times New Roman" w:eastAsia="Times New Roman" w:hint="default"/>
        </w:rPr>
        <w:t>20MW</w:t>
      </w:r>
      <w:r>
        <w:rPr>
          <w:rFonts w:ascii="Times New Roman" w:hAnsi="Times New Roman" w:cs="Times New Roman" w:eastAsia="Times New Roman" w:hint="default"/>
          <w:spacing w:val="-6"/>
        </w:rPr>
        <w:t> </w:t>
      </w:r>
      <w:r>
        <w:rPr/>
        <w:t>光 伏并网发电项目、奇台农场二期</w:t>
      </w:r>
      <w:r>
        <w:rPr>
          <w:spacing w:val="-46"/>
        </w:rPr>
        <w:t> </w:t>
      </w:r>
      <w:r>
        <w:rPr>
          <w:rFonts w:ascii="Times New Roman" w:hAnsi="Times New Roman" w:cs="Times New Roman" w:eastAsia="Times New Roman" w:hint="default"/>
        </w:rPr>
        <w:t>30MW</w:t>
      </w:r>
      <w:r>
        <w:rPr>
          <w:rFonts w:ascii="Times New Roman" w:hAnsi="Times New Roman" w:cs="Times New Roman" w:eastAsia="Times New Roman" w:hint="default"/>
          <w:spacing w:val="-2"/>
        </w:rPr>
        <w:t> </w:t>
      </w:r>
      <w:r>
        <w:rPr/>
        <w:t>光伏发电项目）结项，节余募集资金返回上一级募集资金账户。公司于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p>
    <w:p>
      <w:pPr>
        <w:pStyle w:val="BodyText"/>
        <w:spacing w:line="300" w:lineRule="auto" w:before="13"/>
        <w:ind w:left="181" w:right="1217"/>
        <w:jc w:val="left"/>
      </w:pPr>
      <w:r>
        <w:rPr/>
        <w:t>月</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16"/>
        </w:rPr>
        <w:t> </w:t>
      </w:r>
      <w:r>
        <w:rPr/>
        <w:t>日召开的第三届董事会第十三次会议审议通过了《关于部分募投项目结项并使用节余募集资金及利息永久补充流动资 </w:t>
      </w:r>
      <w:r>
        <w:rPr>
          <w:spacing w:val="-2"/>
        </w:rPr>
        <w:t>金的议案》和《关于节余募集资金及利息永久补充流动资金的议案》，将符合结项条件的募投项目（河南南召</w:t>
      </w:r>
      <w:r>
        <w:rPr>
          <w:spacing w:val="-41"/>
        </w:rPr>
        <w:t> </w:t>
      </w:r>
      <w:r>
        <w:rPr>
          <w:rFonts w:ascii="Times New Roman" w:hAnsi="Times New Roman" w:cs="Times New Roman" w:eastAsia="Times New Roman" w:hint="default"/>
          <w:spacing w:val="-1"/>
        </w:rPr>
        <w:t>90MW</w:t>
      </w:r>
      <w:r>
        <w:rPr>
          <w:rFonts w:ascii="Times New Roman" w:hAnsi="Times New Roman" w:cs="Times New Roman" w:eastAsia="Times New Roman" w:hint="default"/>
          <w:spacing w:val="2"/>
        </w:rPr>
        <w:t> </w:t>
      </w:r>
      <w:r>
        <w:rPr/>
        <w:t>地面 光伏电站项目和无棣农业设施</w:t>
      </w:r>
      <w:r>
        <w:rPr>
          <w:spacing w:val="-46"/>
        </w:rPr>
        <w:t> </w:t>
      </w:r>
      <w:r>
        <w:rPr>
          <w:rFonts w:ascii="Times New Roman" w:hAnsi="Times New Roman" w:cs="Times New Roman" w:eastAsia="Times New Roman" w:hint="default"/>
        </w:rPr>
        <w:t>20MW</w:t>
      </w:r>
      <w:r>
        <w:rPr>
          <w:rFonts w:ascii="Times New Roman" w:hAnsi="Times New Roman" w:cs="Times New Roman" w:eastAsia="Times New Roman" w:hint="default"/>
          <w:spacing w:val="-2"/>
        </w:rPr>
        <w:t> </w:t>
      </w:r>
      <w:r>
        <w:rPr/>
        <w:t>光伏发电项目）结项，同时同意将第三届董事会第八次会议和本次会议结项的募投 项目节余资金合计约</w:t>
      </w:r>
      <w:r>
        <w:rPr>
          <w:spacing w:val="-46"/>
        </w:rPr>
        <w:t> </w:t>
      </w:r>
      <w:r>
        <w:rPr>
          <w:rFonts w:ascii="Times New Roman" w:hAnsi="Times New Roman" w:cs="Times New Roman" w:eastAsia="Times New Roman" w:hint="default"/>
        </w:rPr>
        <w:t>13289 </w:t>
      </w:r>
      <w:r>
        <w:rPr/>
        <w:t>万元及募集资金专户后期利息收入永久补充流动资金。截至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日，公司已将上</w:t>
      </w:r>
    </w:p>
    <w:p>
      <w:pPr>
        <w:pStyle w:val="BodyText"/>
        <w:spacing w:line="240" w:lineRule="auto" w:before="14"/>
        <w:ind w:left="181" w:right="1122"/>
        <w:jc w:val="left"/>
      </w:pPr>
      <w:r>
        <w:rPr/>
        <w:t>述项目结余资金全部用于永久补充流动资金，金额总计</w:t>
      </w:r>
      <w:r>
        <w:rPr>
          <w:spacing w:val="-50"/>
        </w:rPr>
        <w:t> </w:t>
      </w:r>
      <w:r>
        <w:rPr>
          <w:rFonts w:ascii="Times New Roman" w:hAnsi="Times New Roman" w:cs="Times New Roman" w:eastAsia="Times New Roman" w:hint="default"/>
        </w:rPr>
        <w:t>133,182,611.02</w:t>
      </w:r>
      <w:r>
        <w:rPr>
          <w:rFonts w:ascii="Times New Roman" w:hAnsi="Times New Roman" w:cs="Times New Roman" w:eastAsia="Times New Roman" w:hint="default"/>
          <w:spacing w:val="-6"/>
        </w:rPr>
        <w:t> </w:t>
      </w:r>
      <w:r>
        <w:rPr/>
        <w:t>元。</w:t>
      </w:r>
    </w:p>
    <w:p>
      <w:pPr>
        <w:pStyle w:val="BodyText"/>
        <w:spacing w:line="240" w:lineRule="auto" w:before="102"/>
        <w:ind w:left="541" w:right="1122"/>
        <w:jc w:val="left"/>
      </w:pPr>
      <w:r>
        <w:rPr>
          <w:rFonts w:ascii="Times New Roman" w:hAnsi="Times New Roman" w:cs="Times New Roman" w:eastAsia="Times New Roman" w:hint="default"/>
          <w:spacing w:val="-4"/>
        </w:rPr>
        <w:t>4</w:t>
      </w:r>
      <w:r>
        <w:rPr>
          <w:spacing w:val="-4"/>
        </w:rPr>
        <w:t>、公司于</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日召开的第三届董事会第十三次会议审议通过了《关于继续使用部分闲置募集资金暂时补充</w:t>
      </w:r>
    </w:p>
    <w:p>
      <w:pPr>
        <w:pStyle w:val="BodyText"/>
        <w:spacing w:line="240" w:lineRule="auto" w:before="63"/>
        <w:ind w:left="181" w:right="0"/>
        <w:jc w:val="left"/>
      </w:pPr>
      <w:r>
        <w:rPr/>
        <w:t>流动资金的议案</w:t>
      </w:r>
      <w:r>
        <w:rPr>
          <w:spacing w:val="-90"/>
        </w:rPr>
        <w:t>》</w:t>
      </w:r>
      <w:r>
        <w:rPr>
          <w:spacing w:val="-85"/>
        </w:rPr>
        <w:t>，</w:t>
      </w:r>
      <w:r>
        <w:rPr/>
        <w:t>拟使用部分闲置募集资金</w:t>
      </w:r>
      <w:r>
        <w:rPr>
          <w:spacing w:val="-46"/>
        </w:rPr>
        <w:t> </w:t>
      </w:r>
      <w:r>
        <w:rPr>
          <w:rFonts w:ascii="Times New Roman" w:hAnsi="Times New Roman" w:cs="Times New Roman" w:eastAsia="Times New Roman" w:hint="default"/>
        </w:rPr>
        <w:t>43,600 </w:t>
      </w:r>
      <w:r>
        <w:rPr/>
        <w:t>万元暂时补充流动资金</w:t>
      </w:r>
      <w:r>
        <w:rPr>
          <w:spacing w:val="-85"/>
        </w:rPr>
        <w:t>，</w:t>
      </w:r>
      <w:r>
        <w:rPr/>
        <w:t>使用期限自董事会批准之日起不超过</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w:t>
      </w:r>
      <w:r>
        <w:rPr>
          <w:spacing w:val="1"/>
        </w:rPr>
        <w:t>月</w:t>
      </w:r>
      <w:r>
        <w:rPr/>
        <w:t>。</w:t>
      </w:r>
    </w:p>
    <w:p>
      <w:pPr>
        <w:pStyle w:val="BodyText"/>
        <w:spacing w:line="240" w:lineRule="auto" w:before="64"/>
        <w:ind w:left="181" w:right="1122"/>
        <w:jc w:val="left"/>
      </w:pPr>
      <w:r>
        <w:rPr/>
        <w:t>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日，闲置募集资金暂时补充流动资金已全部归还募集资金专项账户。</w:t>
      </w:r>
    </w:p>
    <w:p>
      <w:pPr>
        <w:pStyle w:val="BodyText"/>
        <w:spacing w:line="240" w:lineRule="auto" w:before="101"/>
        <w:ind w:left="541" w:right="1122"/>
        <w:jc w:val="left"/>
      </w:pPr>
      <w:r>
        <w:rPr>
          <w:rFonts w:ascii="Times New Roman" w:hAnsi="Times New Roman" w:cs="Times New Roman" w:eastAsia="Times New Roman" w:hint="default"/>
          <w:spacing w:val="-6"/>
        </w:rPr>
        <w:t>5</w:t>
      </w:r>
      <w:r>
        <w:rPr>
          <w:spacing w:val="-6"/>
        </w:rPr>
        <w:t>、公司于</w:t>
      </w:r>
      <w:r>
        <w:rPr>
          <w:spacing w:val="-45"/>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t>月</w:t>
      </w:r>
      <w:r>
        <w:rPr>
          <w:spacing w:val="-45"/>
        </w:rPr>
        <w:t> </w:t>
      </w:r>
      <w:r>
        <w:rPr>
          <w:rFonts w:ascii="Times New Roman" w:hAnsi="Times New Roman" w:cs="Times New Roman" w:eastAsia="Times New Roman" w:hint="default"/>
        </w:rPr>
        <w:t>17 </w:t>
      </w:r>
      <w:r>
        <w:rPr/>
        <w:t>日召开的第三届董事会第二十四次临时会议和第三届监事会第十二次临时会议审议通过了</w:t>
      </w:r>
    </w:p>
    <w:p>
      <w:pPr>
        <w:pStyle w:val="BodyText"/>
        <w:spacing w:line="240" w:lineRule="auto" w:before="63"/>
        <w:ind w:left="181" w:right="1122"/>
        <w:jc w:val="left"/>
      </w:pPr>
      <w:r>
        <w:rPr/>
        <w:t>《关于部分募投项目结项并使用节余募集资金及利息永久补充流动资金的议案</w:t>
      </w:r>
      <w:r>
        <w:rPr>
          <w:spacing w:val="-90"/>
        </w:rPr>
        <w:t>》</w:t>
      </w:r>
      <w:r>
        <w:rPr>
          <w:spacing w:val="-33"/>
        </w:rPr>
        <w:t>，</w:t>
      </w:r>
      <w:r>
        <w:rPr/>
        <w:t>同意将部分</w:t>
      </w:r>
      <w:r>
        <w:rPr>
          <w:spacing w:val="-45"/>
        </w:rPr>
        <w:t> </w:t>
      </w:r>
      <w:r>
        <w:rPr>
          <w:rFonts w:ascii="Times New Roman" w:hAnsi="Times New Roman" w:cs="Times New Roman" w:eastAsia="Times New Roman" w:hint="default"/>
        </w:rPr>
        <w:t>2016 </w:t>
      </w:r>
      <w:r>
        <w:rPr/>
        <w:t>年度非公开发行股票募</w:t>
      </w:r>
    </w:p>
    <w:p>
      <w:pPr>
        <w:pStyle w:val="BodyText"/>
        <w:spacing w:line="302" w:lineRule="auto" w:before="63"/>
        <w:ind w:left="181" w:right="1133"/>
        <w:jc w:val="left"/>
      </w:pPr>
      <w:r>
        <w:rPr/>
        <w:t>集资金投资项目结项，并将结项后的节余募集资金（含截止</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日利息收入）及后续变更前产生的利息永久 补充公司流动资金。募投项目泌阳县中康</w:t>
      </w:r>
      <w:r>
        <w:rPr>
          <w:spacing w:val="-46"/>
        </w:rPr>
        <w:t> </w:t>
      </w:r>
      <w:r>
        <w:rPr>
          <w:rFonts w:ascii="Times New Roman" w:hAnsi="Times New Roman" w:cs="Times New Roman" w:eastAsia="Times New Roman" w:hint="default"/>
        </w:rPr>
        <w:t>20MW</w:t>
      </w:r>
      <w:r>
        <w:rPr>
          <w:rFonts w:ascii="Times New Roman" w:hAnsi="Times New Roman" w:cs="Times New Roman" w:eastAsia="Times New Roman" w:hint="default"/>
          <w:spacing w:val="-2"/>
        </w:rPr>
        <w:t> </w:t>
      </w:r>
      <w:r>
        <w:rPr/>
        <w:t>分布式光伏发电项目于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月已并网验收合格并签署了购售电协议 等文件，开始发电，节余募集资金</w:t>
      </w:r>
      <w:r>
        <w:rPr>
          <w:spacing w:val="-47"/>
        </w:rPr>
        <w:t> </w:t>
      </w:r>
      <w:r>
        <w:rPr>
          <w:rFonts w:ascii="Times New Roman" w:hAnsi="Times New Roman" w:cs="Times New Roman" w:eastAsia="Times New Roman" w:hint="default"/>
        </w:rPr>
        <w:t>2,861.12</w:t>
      </w:r>
      <w:r>
        <w:rPr>
          <w:rFonts w:ascii="Times New Roman" w:hAnsi="Times New Roman" w:cs="Times New Roman" w:eastAsia="Times New Roman" w:hint="default"/>
          <w:spacing w:val="-2"/>
        </w:rPr>
        <w:t> </w:t>
      </w:r>
      <w:r>
        <w:rPr/>
        <w:t>万元，应付未付质保金约为</w:t>
      </w:r>
      <w:r>
        <w:rPr>
          <w:spacing w:val="-47"/>
        </w:rPr>
        <w:t> </w:t>
      </w:r>
      <w:r>
        <w:rPr>
          <w:rFonts w:ascii="Times New Roman" w:hAnsi="Times New Roman" w:cs="Times New Roman" w:eastAsia="Times New Roman" w:hint="default"/>
        </w:rPr>
        <w:t>700.70</w:t>
      </w:r>
      <w:r>
        <w:rPr>
          <w:rFonts w:ascii="Times New Roman" w:hAnsi="Times New Roman" w:cs="Times New Roman" w:eastAsia="Times New Roman" w:hint="default"/>
          <w:spacing w:val="-2"/>
        </w:rPr>
        <w:t> </w:t>
      </w:r>
      <w:r>
        <w:rPr/>
        <w:t>万元；募投项目安徽省明光爱康</w:t>
      </w:r>
      <w:r>
        <w:rPr>
          <w:spacing w:val="-47"/>
        </w:rPr>
        <w:t> </w:t>
      </w:r>
      <w:r>
        <w:rPr>
          <w:rFonts w:ascii="Times New Roman" w:hAnsi="Times New Roman" w:cs="Times New Roman" w:eastAsia="Times New Roman" w:hint="default"/>
        </w:rPr>
        <w:t>20MW</w:t>
      </w:r>
      <w:r>
        <w:rPr>
          <w:rFonts w:ascii="Times New Roman" w:hAnsi="Times New Roman" w:cs="Times New Roman" w:eastAsia="Times New Roman" w:hint="default"/>
          <w:spacing w:val="-3"/>
        </w:rPr>
        <w:t> </w:t>
      </w:r>
      <w:r>
        <w:rPr/>
        <w:t>光 伏电站项目于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月已并网验收合格并签署了购售电协议等文件，开始发电，募集资金账户余额</w:t>
      </w:r>
      <w:r>
        <w:rPr>
          <w:spacing w:val="-45"/>
        </w:rPr>
        <w:t> </w:t>
      </w:r>
      <w:r>
        <w:rPr>
          <w:rFonts w:ascii="Times New Roman" w:hAnsi="Times New Roman" w:cs="Times New Roman" w:eastAsia="Times New Roman" w:hint="default"/>
        </w:rPr>
        <w:t>0.34</w:t>
      </w:r>
      <w:r>
        <w:rPr>
          <w:rFonts w:ascii="Times New Roman" w:hAnsi="Times New Roman" w:cs="Times New Roman" w:eastAsia="Times New Roman" w:hint="default"/>
          <w:spacing w:val="-1"/>
        </w:rPr>
        <w:t> </w:t>
      </w:r>
      <w:r>
        <w:rPr/>
        <w:t>万元；募投项 目内蒙古四子王旗江岸苏木</w:t>
      </w:r>
      <w:r>
        <w:rPr>
          <w:spacing w:val="-43"/>
        </w:rPr>
        <w:t> </w:t>
      </w:r>
      <w:r>
        <w:rPr>
          <w:rFonts w:ascii="Times New Roman" w:hAnsi="Times New Roman" w:cs="Times New Roman" w:eastAsia="Times New Roman" w:hint="default"/>
        </w:rPr>
        <w:t>100MWp</w:t>
      </w:r>
      <w:r>
        <w:rPr>
          <w:rFonts w:ascii="Times New Roman" w:hAnsi="Times New Roman" w:cs="Times New Roman" w:eastAsia="Times New Roman" w:hint="default"/>
          <w:spacing w:val="2"/>
        </w:rPr>
        <w:t> </w:t>
      </w:r>
      <w:r>
        <w:rPr/>
        <w:t>光伏并网发电项目的</w:t>
      </w:r>
      <w:r>
        <w:rPr>
          <w:spacing w:val="-43"/>
        </w:rPr>
        <w:t> </w:t>
      </w:r>
      <w:r>
        <w:rPr>
          <w:rFonts w:ascii="Times New Roman" w:hAnsi="Times New Roman" w:cs="Times New Roman" w:eastAsia="Times New Roman" w:hint="default"/>
        </w:rPr>
        <w:t>20MW</w:t>
      </w:r>
      <w:r>
        <w:rPr>
          <w:rFonts w:ascii="Times New Roman" w:hAnsi="Times New Roman" w:cs="Times New Roman" w:eastAsia="Times New Roman" w:hint="default"/>
          <w:spacing w:val="1"/>
        </w:rPr>
        <w:t> </w:t>
      </w:r>
      <w:r>
        <w:rPr>
          <w:spacing w:val="-3"/>
        </w:rPr>
        <w:t>已并网验收合格并签署了购售电协议等文件，开始发电，</w:t>
      </w:r>
      <w:r>
        <w:rPr/>
        <w:t> 在内蒙古四子王旗江岸苏木项目投建后，由于升压站无法扩容，后续投建电站产生的电力将无法输出，公司经综合考虑， 为确保募集资金的收益，拟终止投建本项目的剩余</w:t>
      </w:r>
      <w:r>
        <w:rPr>
          <w:spacing w:val="-48"/>
        </w:rPr>
        <w:t> </w:t>
      </w:r>
      <w:r>
        <w:rPr>
          <w:rFonts w:ascii="Times New Roman" w:hAnsi="Times New Roman" w:cs="Times New Roman" w:eastAsia="Times New Roman" w:hint="default"/>
        </w:rPr>
        <w:t>80MW</w:t>
      </w:r>
      <w:r>
        <w:rPr/>
        <w:t>，待该项目闲置募集资金临时补流的</w:t>
      </w:r>
      <w:r>
        <w:rPr>
          <w:spacing w:val="-48"/>
        </w:rPr>
        <w:t> </w:t>
      </w:r>
      <w:r>
        <w:rPr>
          <w:rFonts w:ascii="Times New Roman" w:hAnsi="Times New Roman" w:cs="Times New Roman" w:eastAsia="Times New Roman" w:hint="default"/>
        </w:rPr>
        <w:t>9,000</w:t>
      </w:r>
      <w:r>
        <w:rPr>
          <w:rFonts w:ascii="Times New Roman" w:hAnsi="Times New Roman" w:cs="Times New Roman" w:eastAsia="Times New Roman" w:hint="default"/>
          <w:spacing w:val="-3"/>
        </w:rPr>
        <w:t> </w:t>
      </w:r>
      <w:r>
        <w:rPr/>
        <w:t>万元归还后，节余募 集资金合计约</w:t>
      </w:r>
      <w:r>
        <w:rPr>
          <w:spacing w:val="-54"/>
        </w:rPr>
        <w:t> </w:t>
      </w:r>
      <w:r>
        <w:rPr>
          <w:rFonts w:ascii="Times New Roman" w:hAnsi="Times New Roman" w:cs="Times New Roman" w:eastAsia="Times New Roman" w:hint="default"/>
        </w:rPr>
        <w:t>9,036.79</w:t>
      </w:r>
      <w:r>
        <w:rPr>
          <w:rFonts w:ascii="Times New Roman" w:hAnsi="Times New Roman" w:cs="Times New Roman" w:eastAsia="Times New Roman" w:hint="default"/>
          <w:spacing w:val="-9"/>
        </w:rPr>
        <w:t> </w:t>
      </w:r>
      <w:r>
        <w:rPr/>
        <w:t>万元。为提高募集资金使用效率，降低公司财务费用，本着股东利益最大化的原则，根据《深圳证 </w:t>
      </w:r>
      <w:r>
        <w:rPr>
          <w:spacing w:val="-5"/>
        </w:rPr>
        <w:t>券交易所股票上市规则》、《深圳证券交易所中小企业板上市公司规范运作指引（</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1"/>
        </w:rPr>
        <w:t> </w:t>
      </w:r>
      <w:r>
        <w:rPr>
          <w:spacing w:val="-17"/>
        </w:rPr>
        <w:t>年修订）》、《募集资金管理制度》等</w:t>
      </w:r>
      <w:r>
        <w:rPr/>
        <w:t> 相关规定，待闲置募集资金全部归还后，公司拟将上述</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年非公开募投项目结项后的节余募集资金合计</w:t>
      </w:r>
      <w:r>
        <w:rPr>
          <w:spacing w:val="-55"/>
        </w:rPr>
        <w:t> </w:t>
      </w:r>
      <w:r>
        <w:rPr>
          <w:rFonts w:ascii="Times New Roman" w:hAnsi="Times New Roman" w:cs="Times New Roman" w:eastAsia="Times New Roman" w:hint="default"/>
        </w:rPr>
        <w:t>11,898.25</w:t>
      </w:r>
      <w:r>
        <w:rPr>
          <w:rFonts w:ascii="Times New Roman" w:hAnsi="Times New Roman" w:cs="Times New Roman" w:eastAsia="Times New Roman" w:hint="default"/>
          <w:spacing w:val="-10"/>
        </w:rPr>
        <w:t> </w:t>
      </w:r>
      <w:r>
        <w:rPr/>
        <w:t>万元</w:t>
      </w:r>
    </w:p>
    <w:p>
      <w:pPr>
        <w:pStyle w:val="BodyText"/>
        <w:spacing w:line="307" w:lineRule="auto" w:before="11"/>
        <w:ind w:left="181" w:right="1233"/>
        <w:jc w:val="both"/>
      </w:pPr>
      <w:r>
        <w:rPr/>
        <w:t>（含截止</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日利息收入）及募集资金专户后期利息收入（具体金额以资金转出当日银行结算余额为准）永 </w:t>
      </w:r>
      <w:r>
        <w:rPr>
          <w:spacing w:val="-1"/>
        </w:rPr>
        <w:t>久补充流动资金，并注销存放募集资金投资项目的募集资金专项账户。项目公司剩余质保金等应付账款（如有）将以自有</w:t>
      </w:r>
      <w:r>
        <w:rPr>
          <w:spacing w:val="-73"/>
        </w:rPr>
        <w:t> </w:t>
      </w:r>
      <w:r>
        <w:rPr>
          <w:spacing w:val="-73"/>
        </w:rPr>
      </w:r>
      <w:r>
        <w:rPr>
          <w:spacing w:val="-7"/>
        </w:rPr>
        <w:t>资金继续支付（公告</w:t>
      </w:r>
      <w:r>
        <w:rPr>
          <w:spacing w:val="-43"/>
        </w:rPr>
        <w:t> </w:t>
      </w:r>
      <w:r>
        <w:rPr>
          <w:rFonts w:ascii="Times New Roman" w:hAnsi="Times New Roman" w:cs="Times New Roman" w:eastAsia="Times New Roman" w:hint="default"/>
          <w:spacing w:val="-13"/>
        </w:rPr>
        <w:t>2017-150</w:t>
      </w:r>
      <w:r>
        <w:rPr>
          <w:spacing w:val="-13"/>
        </w:rPr>
        <w:t>）。截至</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5"/>
        </w:rPr>
        <w:t>日，公司已将上述项目募集户全部销户，结余资金合计</w:t>
      </w:r>
      <w:r>
        <w:rPr>
          <w:spacing w:val="-41"/>
        </w:rPr>
        <w:t> </w:t>
      </w:r>
      <w:r>
        <w:rPr>
          <w:rFonts w:ascii="Times New Roman" w:hAnsi="Times New Roman" w:cs="Times New Roman" w:eastAsia="Times New Roman" w:hint="default"/>
          <w:spacing w:val="-1"/>
        </w:rPr>
        <w:t>118,552,209.69</w:t>
      </w:r>
      <w:r>
        <w:rPr>
          <w:rFonts w:ascii="Times New Roman" w:hAnsi="Times New Roman" w:cs="Times New Roman" w:eastAsia="Times New Roman" w:hint="default"/>
        </w:rPr>
        <w:t> </w:t>
      </w:r>
      <w:r>
        <w:rPr/>
        <w:t>元全部用于永久补充流动资金。</w:t>
      </w:r>
    </w:p>
    <w:p>
      <w:pPr>
        <w:pStyle w:val="BodyText"/>
        <w:spacing w:line="240" w:lineRule="auto" w:before="64"/>
        <w:ind w:left="541" w:right="1122"/>
        <w:jc w:val="left"/>
      </w:pPr>
      <w:r>
        <w:rPr>
          <w:rFonts w:ascii="Times New Roman" w:hAnsi="Times New Roman" w:cs="Times New Roman" w:eastAsia="Times New Roman" w:hint="default"/>
          <w:spacing w:val="-7"/>
        </w:rPr>
        <w:t>6</w:t>
      </w:r>
      <w:r>
        <w:rPr>
          <w:spacing w:val="-7"/>
        </w:rPr>
        <w:t>、公司于</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日召开的第三届董事会第二十六次临时会议和第三届监事会第十四次临时会议审议通过了</w:t>
      </w:r>
    </w:p>
    <w:p>
      <w:pPr>
        <w:pStyle w:val="BodyText"/>
        <w:spacing w:line="240" w:lineRule="auto" w:before="63"/>
        <w:ind w:left="181" w:right="1122"/>
        <w:jc w:val="left"/>
      </w:pPr>
      <w:r>
        <w:rPr/>
        <w:t>《关于剩余募投项目结项并使用节余募集资金及利息永久补充流动资金的议案</w:t>
      </w:r>
      <w:r>
        <w:rPr>
          <w:spacing w:val="-90"/>
        </w:rPr>
        <w:t>》</w:t>
      </w:r>
      <w:r>
        <w:rPr>
          <w:spacing w:val="-33"/>
        </w:rPr>
        <w:t>，</w:t>
      </w:r>
      <w:r>
        <w:rPr/>
        <w:t>同意将剩余</w:t>
      </w:r>
      <w:r>
        <w:rPr>
          <w:spacing w:val="-45"/>
        </w:rPr>
        <w:t> </w:t>
      </w:r>
      <w:r>
        <w:rPr>
          <w:rFonts w:ascii="Times New Roman" w:hAnsi="Times New Roman" w:cs="Times New Roman" w:eastAsia="Times New Roman" w:hint="default"/>
        </w:rPr>
        <w:t>2016 </w:t>
      </w:r>
      <w:r>
        <w:rPr/>
        <w:t>年度非公开发行股票募</w:t>
      </w:r>
    </w:p>
    <w:p>
      <w:pPr>
        <w:pStyle w:val="BodyText"/>
        <w:spacing w:line="307" w:lineRule="auto" w:before="63"/>
        <w:ind w:left="181" w:right="1185"/>
        <w:jc w:val="left"/>
      </w:pPr>
      <w:r>
        <w:rPr/>
        <w:t>集资金投资项目结项，并将结项后的节余募集资金（含截止</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日利息收入）及后续变更前产生的利息永久 </w:t>
      </w:r>
      <w:r>
        <w:rPr>
          <w:spacing w:val="-4"/>
        </w:rPr>
        <w:t>补充公司流动资金。募投项目禄劝县工业园区</w:t>
      </w:r>
      <w:r>
        <w:rPr>
          <w:spacing w:val="-44"/>
        </w:rPr>
        <w:t> </w:t>
      </w:r>
      <w:r>
        <w:rPr>
          <w:rFonts w:ascii="Times New Roman" w:hAnsi="Times New Roman" w:cs="Times New Roman" w:eastAsia="Times New Roman" w:hint="default"/>
        </w:rPr>
        <w:t>50MW</w:t>
      </w:r>
      <w:r>
        <w:rPr>
          <w:rFonts w:ascii="Times New Roman" w:hAnsi="Times New Roman" w:cs="Times New Roman" w:eastAsia="Times New Roman" w:hint="default"/>
          <w:spacing w:val="1"/>
        </w:rPr>
        <w:t> </w:t>
      </w:r>
      <w:r>
        <w:rPr/>
        <w:t>农光互补光伏电站建设项目中的</w:t>
      </w:r>
      <w:r>
        <w:rPr>
          <w:spacing w:val="-44"/>
        </w:rPr>
        <w:t> </w:t>
      </w:r>
      <w:r>
        <w:rPr>
          <w:rFonts w:ascii="Times New Roman" w:hAnsi="Times New Roman" w:cs="Times New Roman" w:eastAsia="Times New Roman" w:hint="default"/>
        </w:rPr>
        <w:t>20MW</w:t>
      </w:r>
      <w:r>
        <w:rPr>
          <w:rFonts w:ascii="Times New Roman" w:hAnsi="Times New Roman" w:cs="Times New Roman" w:eastAsia="Times New Roman" w:hint="default"/>
          <w:spacing w:val="1"/>
        </w:rPr>
        <w:t> </w:t>
      </w:r>
      <w:r>
        <w:rPr/>
        <w:t>于</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月已并网验收合</w:t>
      </w:r>
      <w:r>
        <w:rPr>
          <w:spacing w:val="-88"/>
        </w:rPr>
        <w:t> </w:t>
      </w:r>
      <w:r>
        <w:rPr>
          <w:spacing w:val="-88"/>
        </w:rPr>
      </w:r>
      <w:r>
        <w:rPr>
          <w:spacing w:val="-1"/>
        </w:rPr>
        <w:t>格并签署了购售电协议等文件，开始发电，公司在项目建设过程中，项目现场发生泥石流等异常情况，电站全部建成后运</w:t>
      </w:r>
      <w:r>
        <w:rPr>
          <w:spacing w:val="-73"/>
        </w:rPr>
        <w:t> </w:t>
      </w:r>
      <w:r>
        <w:rPr>
          <w:spacing w:val="-73"/>
        </w:rPr>
      </w:r>
      <w:r>
        <w:rPr/>
        <w:t>维可能存在安全隐患，公司经综合考虑，为确保募集资金的收益和安全，决定压缩建设规模，不再进行后续项目的建设，</w:t>
      </w:r>
    </w:p>
    <w:p>
      <w:pPr>
        <w:spacing w:after="0" w:line="307" w:lineRule="auto"/>
        <w:jc w:val="left"/>
        <w:sectPr>
          <w:pgSz w:w="11910" w:h="16840"/>
          <w:pgMar w:header="747" w:footer="979" w:top="1060" w:bottom="1160" w:left="980" w:right="0"/>
        </w:sectPr>
      </w:pPr>
    </w:p>
    <w:p>
      <w:pPr>
        <w:spacing w:line="240" w:lineRule="auto" w:before="11"/>
        <w:rPr>
          <w:rFonts w:ascii="宋体" w:hAnsi="宋体" w:cs="宋体" w:eastAsia="宋体" w:hint="default"/>
          <w:sz w:val="28"/>
          <w:szCs w:val="28"/>
        </w:rPr>
      </w:pPr>
    </w:p>
    <w:p>
      <w:pPr>
        <w:spacing w:line="4187" w:lineRule="exact"/>
        <w:ind w:left="154" w:right="0" w:firstLine="0"/>
        <w:rPr>
          <w:rFonts w:ascii="宋体" w:hAnsi="宋体" w:cs="宋体" w:eastAsia="宋体" w:hint="default"/>
          <w:sz w:val="20"/>
          <w:szCs w:val="20"/>
        </w:rPr>
      </w:pPr>
      <w:r>
        <w:rPr>
          <w:rFonts w:ascii="宋体" w:hAnsi="宋体" w:cs="宋体" w:eastAsia="宋体" w:hint="default"/>
          <w:position w:val="-83"/>
          <w:sz w:val="20"/>
          <w:szCs w:val="20"/>
        </w:rPr>
        <w:pict>
          <v:shape style="width:478.3pt;height:209.4pt;mso-position-horizontal-relative:char;mso-position-vertical-relative:line" type="#_x0000_t202" filled="false" stroked="true" strokeweight=".48004pt" strokecolor="#000000">
            <w10:anchorlock/>
            <v:textbox inset="0,0,0,0">
              <w:txbxContent>
                <w:p>
                  <w:pPr>
                    <w:pStyle w:val="BodyText"/>
                    <w:spacing w:line="309" w:lineRule="auto" w:before="10"/>
                    <w:ind w:left="22" w:right="20"/>
                    <w:jc w:val="left"/>
                    <w:rPr>
                      <w:rFonts w:ascii="Times New Roman" w:hAnsi="Times New Roman" w:cs="Times New Roman" w:eastAsia="Times New Roman" w:hint="default"/>
                    </w:rPr>
                  </w:pPr>
                  <w:r>
                    <w:rPr/>
                    <w:t>待该项目闲置募集资金临时补流的</w:t>
                  </w:r>
                  <w:r>
                    <w:rPr>
                      <w:spacing w:val="-46"/>
                    </w:rPr>
                    <w:t> </w:t>
                  </w:r>
                  <w:r>
                    <w:rPr>
                      <w:rFonts w:ascii="Times New Roman" w:hAnsi="Times New Roman" w:cs="Times New Roman" w:eastAsia="Times New Roman" w:hint="default"/>
                    </w:rPr>
                    <w:t>19,000</w:t>
                  </w:r>
                  <w:r>
                    <w:rPr>
                      <w:rFonts w:ascii="Times New Roman" w:hAnsi="Times New Roman" w:cs="Times New Roman" w:eastAsia="Times New Roman" w:hint="default"/>
                      <w:spacing w:val="-1"/>
                    </w:rPr>
                    <w:t> </w:t>
                  </w:r>
                  <w:r>
                    <w:rPr/>
                    <w:t>万元归还后，节余募集资金合计约</w:t>
                  </w:r>
                  <w:r>
                    <w:rPr>
                      <w:spacing w:val="-46"/>
                    </w:rPr>
                    <w:t> </w:t>
                  </w:r>
                  <w:r>
                    <w:rPr>
                      <w:rFonts w:ascii="Times New Roman" w:hAnsi="Times New Roman" w:cs="Times New Roman" w:eastAsia="Times New Roman" w:hint="default"/>
                    </w:rPr>
                    <w:t>19, 441.84</w:t>
                  </w:r>
                  <w:r>
                    <w:rPr>
                      <w:rFonts w:ascii="Times New Roman" w:hAnsi="Times New Roman" w:cs="Times New Roman" w:eastAsia="Times New Roman" w:hint="default"/>
                      <w:spacing w:val="-1"/>
                    </w:rPr>
                    <w:t> </w:t>
                  </w:r>
                  <w:r>
                    <w:rPr/>
                    <w:t>万元；昱辉榆林</w:t>
                  </w:r>
                  <w:r>
                    <w:rPr>
                      <w:spacing w:val="-46"/>
                    </w:rPr>
                    <w:t> </w:t>
                  </w:r>
                  <w:r>
                    <w:rPr>
                      <w:rFonts w:ascii="Times New Roman" w:hAnsi="Times New Roman" w:cs="Times New Roman" w:eastAsia="Times New Roman" w:hint="default"/>
                    </w:rPr>
                    <w:t>20MW</w:t>
                  </w:r>
                  <w:r>
                    <w:rPr>
                      <w:rFonts w:ascii="Times New Roman" w:hAnsi="Times New Roman" w:cs="Times New Roman" w:eastAsia="Times New Roman" w:hint="default"/>
                      <w:spacing w:val="-2"/>
                    </w:rPr>
                    <w:t> </w:t>
                  </w:r>
                  <w:r>
                    <w:rPr/>
                    <w:t>太阳能光 </w:t>
                  </w:r>
                  <w:r>
                    <w:rPr>
                      <w:spacing w:val="-1"/>
                    </w:rPr>
                    <w:t>伏发电项目，因涉及当地政府对用地规划的调整，相关手续办理缓慢，经审慎考虑，为提高募集资金使用效率，公司拟终</w:t>
                  </w:r>
                  <w:r>
                    <w:rPr>
                      <w:spacing w:val="-69"/>
                    </w:rPr>
                    <w:t> </w:t>
                  </w:r>
                  <w:r>
                    <w:rPr>
                      <w:spacing w:val="-69"/>
                    </w:rPr>
                  </w:r>
                  <w:r>
                    <w:rPr>
                      <w:spacing w:val="-5"/>
                    </w:rPr>
                    <w:t>止投资，待该项目闲置募集资金临时补流的</w:t>
                  </w:r>
                  <w:r>
                    <w:rPr>
                      <w:spacing w:val="-63"/>
                    </w:rPr>
                    <w:t> </w:t>
                  </w:r>
                  <w:r>
                    <w:rPr>
                      <w:rFonts w:ascii="Times New Roman" w:hAnsi="Times New Roman" w:cs="Times New Roman" w:eastAsia="Times New Roman" w:hint="default"/>
                    </w:rPr>
                    <w:t>15,600</w:t>
                  </w:r>
                  <w:r>
                    <w:rPr>
                      <w:rFonts w:ascii="Times New Roman" w:hAnsi="Times New Roman" w:cs="Times New Roman" w:eastAsia="Times New Roman" w:hint="default"/>
                      <w:spacing w:val="-17"/>
                    </w:rPr>
                    <w:t> </w:t>
                  </w:r>
                  <w:r>
                    <w:rPr>
                      <w:spacing w:val="-6"/>
                    </w:rPr>
                    <w:t>万元归还后，节余募集资金合计约</w:t>
                  </w:r>
                  <w:r>
                    <w:rPr>
                      <w:spacing w:val="-63"/>
                    </w:rPr>
                    <w:t> </w:t>
                  </w:r>
                  <w:r>
                    <w:rPr>
                      <w:rFonts w:ascii="Times New Roman" w:hAnsi="Times New Roman" w:cs="Times New Roman" w:eastAsia="Times New Roman" w:hint="default"/>
                    </w:rPr>
                    <w:t>15,603.79</w:t>
                  </w:r>
                  <w:r>
                    <w:rPr>
                      <w:rFonts w:ascii="Times New Roman" w:hAnsi="Times New Roman" w:cs="Times New Roman" w:eastAsia="Times New Roman" w:hint="default"/>
                      <w:spacing w:val="-17"/>
                    </w:rPr>
                    <w:t> </w:t>
                  </w:r>
                  <w:r>
                    <w:rPr>
                      <w:spacing w:val="-9"/>
                    </w:rPr>
                    <w:t>万元；河南省伊川佳康</w:t>
                  </w:r>
                  <w:r>
                    <w:rPr>
                      <w:spacing w:val="-63"/>
                    </w:rPr>
                    <w:t> </w:t>
                  </w:r>
                  <w:r>
                    <w:rPr>
                      <w:rFonts w:ascii="Times New Roman" w:hAnsi="Times New Roman" w:cs="Times New Roman" w:eastAsia="Times New Roman" w:hint="default"/>
                    </w:rPr>
                    <w:t>50MW</w:t>
                  </w:r>
                </w:p>
                <w:p>
                  <w:pPr>
                    <w:pStyle w:val="BodyText"/>
                    <w:spacing w:line="307" w:lineRule="auto" w:before="5"/>
                    <w:ind w:left="22" w:right="22"/>
                    <w:jc w:val="both"/>
                  </w:pPr>
                  <w:r>
                    <w:rPr/>
                    <w:t>光伏电站项目目前已实施完成，符合项目结项条件，该项目结余募集资金</w:t>
                  </w:r>
                  <w:r>
                    <w:rPr>
                      <w:spacing w:val="-55"/>
                    </w:rPr>
                    <w:t> </w:t>
                  </w:r>
                  <w:r>
                    <w:rPr>
                      <w:rFonts w:ascii="Times New Roman" w:hAnsi="Times New Roman" w:cs="Times New Roman" w:eastAsia="Times New Roman" w:hint="default"/>
                    </w:rPr>
                    <w:t>1.41</w:t>
                  </w:r>
                  <w:r>
                    <w:rPr>
                      <w:rFonts w:ascii="Times New Roman" w:hAnsi="Times New Roman" w:cs="Times New Roman" w:eastAsia="Times New Roman" w:hint="default"/>
                      <w:spacing w:val="-11"/>
                    </w:rPr>
                    <w:t> </w:t>
                  </w:r>
                  <w:r>
                    <w:rPr>
                      <w:spacing w:val="-3"/>
                    </w:rPr>
                    <w:t>万元。为提高募集资金使用效率，降低公司</w:t>
                  </w:r>
                  <w:r>
                    <w:rPr/>
                    <w:t> </w:t>
                  </w:r>
                  <w:r>
                    <w:rPr>
                      <w:spacing w:val="-4"/>
                    </w:rPr>
                    <w:t>财务费用，本着股东利益最大化的原则，根据《深圳证券交易所股票上市规则》、《深圳证券交易所中小企业板上市公司规</w:t>
                  </w:r>
                  <w:r>
                    <w:rPr/>
                    <w:t> 范运作指引（</w:t>
                  </w:r>
                  <w:r>
                    <w:rPr>
                      <w:rFonts w:ascii="Times New Roman" w:hAnsi="Times New Roman" w:cs="Times New Roman" w:eastAsia="Times New Roman" w:hint="default"/>
                    </w:rPr>
                    <w:t>2015 </w:t>
                  </w:r>
                  <w:r>
                    <w:rPr>
                      <w:spacing w:val="-7"/>
                    </w:rPr>
                    <w:t>年修订）》、《募集资金管理制度》等相关规定，待闲置募集资金全部归还后，公司拟将上述 </w:t>
                  </w:r>
                  <w:r>
                    <w:rPr>
                      <w:rFonts w:ascii="Times New Roman" w:hAnsi="Times New Roman" w:cs="Times New Roman" w:eastAsia="Times New Roman" w:hint="default"/>
                    </w:rPr>
                    <w:t>2016</w:t>
                  </w:r>
                  <w:r>
                    <w:rPr>
                      <w:rFonts w:ascii="Times New Roman" w:hAnsi="Times New Roman" w:cs="Times New Roman" w:eastAsia="Times New Roman" w:hint="default"/>
                      <w:spacing w:val="-28"/>
                    </w:rPr>
                    <w:t> </w:t>
                  </w:r>
                  <w:r>
                    <w:rPr/>
                    <w:t>年非</w:t>
                  </w:r>
                  <w:r>
                    <w:rPr>
                      <w:spacing w:val="-86"/>
                    </w:rPr>
                    <w:t> </w:t>
                  </w:r>
                  <w:r>
                    <w:rPr/>
                    <w:t>公开募投项目结项后的节余募集资金合计</w:t>
                  </w:r>
                  <w:r>
                    <w:rPr>
                      <w:spacing w:val="-47"/>
                    </w:rPr>
                    <w:t> </w:t>
                  </w:r>
                  <w:r>
                    <w:rPr>
                      <w:rFonts w:ascii="Times New Roman" w:hAnsi="Times New Roman" w:cs="Times New Roman" w:eastAsia="Times New Roman" w:hint="default"/>
                    </w:rPr>
                    <w:t>35,047.04</w:t>
                  </w:r>
                  <w:r>
                    <w:rPr>
                      <w:rFonts w:ascii="Times New Roman" w:hAnsi="Times New Roman" w:cs="Times New Roman" w:eastAsia="Times New Roman" w:hint="default"/>
                      <w:spacing w:val="-1"/>
                    </w:rPr>
                    <w:t> </w:t>
                  </w:r>
                  <w:r>
                    <w:rPr>
                      <w:spacing w:val="-3"/>
                    </w:rPr>
                    <w:t>万元（含截止</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日利息收入）及募集资金专户后期利息 </w:t>
                  </w:r>
                  <w:r>
                    <w:rPr>
                      <w:spacing w:val="-1"/>
                    </w:rPr>
                    <w:t>收入（具体金额以资金转出当日银行结算余额为准）永久补充流动资金，并注销存放募集资金投资项目的募集资金专项账</w:t>
                  </w:r>
                  <w:r>
                    <w:rPr>
                      <w:spacing w:val="-70"/>
                    </w:rPr>
                    <w:t> </w:t>
                  </w:r>
                  <w:r>
                    <w:rPr>
                      <w:spacing w:val="-70"/>
                    </w:rPr>
                  </w:r>
                  <w:r>
                    <w:rPr/>
                    <w:t>户。项目公司剩余质保金等应付账款（如有）将以自有资金继续支付（公告</w:t>
                  </w:r>
                  <w:r>
                    <w:rPr>
                      <w:spacing w:val="-44"/>
                    </w:rPr>
                    <w:t> </w:t>
                  </w:r>
                  <w:r>
                    <w:rPr>
                      <w:rFonts w:ascii="Times New Roman" w:hAnsi="Times New Roman" w:cs="Times New Roman" w:eastAsia="Times New Roman" w:hint="default"/>
                      <w:spacing w:val="-8"/>
                    </w:rPr>
                    <w:t>2017-167</w:t>
                  </w:r>
                  <w:r>
                    <w:rPr>
                      <w:spacing w:val="-8"/>
                    </w:rPr>
                    <w:t>）。截至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 </w:t>
                  </w:r>
                  <w:r>
                    <w:rPr/>
                    <w:t>月</w:t>
                  </w:r>
                  <w:r>
                    <w:rPr>
                      <w:spacing w:val="-45"/>
                    </w:rPr>
                    <w:t> </w:t>
                  </w:r>
                  <w:r>
                    <w:rPr>
                      <w:rFonts w:ascii="Times New Roman" w:hAnsi="Times New Roman" w:cs="Times New Roman" w:eastAsia="Times New Roman" w:hint="default"/>
                    </w:rPr>
                    <w:t>30 </w:t>
                  </w:r>
                  <w:r>
                    <w:rPr/>
                    <w:t>日，公司已</w:t>
                  </w:r>
                </w:p>
                <w:p>
                  <w:pPr>
                    <w:pStyle w:val="BodyText"/>
                    <w:spacing w:line="240" w:lineRule="auto" w:before="8"/>
                    <w:ind w:left="22" w:right="0"/>
                    <w:jc w:val="both"/>
                  </w:pPr>
                  <w:r>
                    <w:rPr/>
                    <w:t>将上述项目募集户全部销户，结余资金合计</w:t>
                  </w:r>
                  <w:r>
                    <w:rPr>
                      <w:spacing w:val="-47"/>
                    </w:rPr>
                    <w:t> </w:t>
                  </w:r>
                  <w:r>
                    <w:rPr>
                      <w:rFonts w:ascii="Times New Roman" w:hAnsi="Times New Roman" w:cs="Times New Roman" w:eastAsia="Times New Roman" w:hint="default"/>
                    </w:rPr>
                    <w:t>350,529,479.45</w:t>
                  </w:r>
                  <w:r>
                    <w:rPr>
                      <w:rFonts w:ascii="Times New Roman" w:hAnsi="Times New Roman" w:cs="Times New Roman" w:eastAsia="Times New Roman" w:hint="default"/>
                      <w:spacing w:val="-1"/>
                    </w:rPr>
                    <w:t> </w:t>
                  </w:r>
                  <w:r>
                    <w:rPr/>
                    <w:t>元全部用于永久补充流动资金。</w:t>
                  </w:r>
                </w:p>
                <w:p>
                  <w:pPr>
                    <w:pStyle w:val="BodyText"/>
                    <w:spacing w:line="302" w:lineRule="auto" w:before="102"/>
                    <w:ind w:left="22" w:right="80" w:firstLine="360"/>
                    <w:jc w:val="left"/>
                  </w:pPr>
                  <w:r>
                    <w:rPr>
                      <w:rFonts w:ascii="Times New Roman" w:hAnsi="Times New Roman" w:cs="Times New Roman" w:eastAsia="Times New Roman" w:hint="default"/>
                    </w:rPr>
                    <w:t>7</w:t>
                  </w:r>
                  <w:r>
                    <w:rPr/>
                    <w:t>、截至</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日，公司尚未使用募集资金余额为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元，募集资金银行账户实际余额为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元，募集资 金专项账户已全部销户。</w:t>
                  </w:r>
                </w:p>
                <w:p>
                  <w:pPr>
                    <w:pStyle w:val="BodyText"/>
                    <w:spacing w:line="240" w:lineRule="auto" w:before="69"/>
                    <w:ind w:left="382" w:right="0"/>
                    <w:jc w:val="left"/>
                  </w:pPr>
                  <w:r>
                    <w:rPr>
                      <w:rFonts w:ascii="Times New Roman" w:hAnsi="Times New Roman" w:cs="Times New Roman" w:eastAsia="Times New Roman" w:hint="default"/>
                    </w:rPr>
                    <w:t>8</w:t>
                  </w:r>
                  <w:r>
                    <w:rPr/>
                    <w:t>、上述募集资金未包括公司于</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4 </w:t>
                  </w:r>
                  <w:r>
                    <w:rPr>
                      <w:rFonts w:ascii="Times New Roman" w:hAnsi="Times New Roman" w:cs="Times New Roman" w:eastAsia="Times New Roman" w:hint="default"/>
                      <w:spacing w:val="1"/>
                    </w:rPr>
                    <w:t> </w:t>
                  </w:r>
                  <w:r>
                    <w:rPr/>
                    <w:t>月发行的</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亿元公司债，其使用情况另作单独说明。</w:t>
                  </w:r>
                </w:p>
              </w:txbxContent>
            </v:textbox>
          </v:shape>
        </w:pict>
      </w:r>
      <w:r>
        <w:rPr>
          <w:rFonts w:ascii="宋体" w:hAnsi="宋体" w:cs="宋体" w:eastAsia="宋体" w:hint="default"/>
          <w:position w:val="-83"/>
          <w:sz w:val="20"/>
          <w:szCs w:val="20"/>
        </w:rPr>
      </w:r>
    </w:p>
    <w:p>
      <w:pPr>
        <w:spacing w:line="240" w:lineRule="auto" w:before="7"/>
        <w:rPr>
          <w:rFonts w:ascii="宋体" w:hAnsi="宋体" w:cs="宋体" w:eastAsia="宋体" w:hint="default"/>
          <w:sz w:val="19"/>
          <w:szCs w:val="19"/>
        </w:rPr>
      </w:pPr>
    </w:p>
    <w:p>
      <w:pPr>
        <w:pStyle w:val="Heading3"/>
        <w:spacing w:line="240" w:lineRule="auto" w:before="35"/>
        <w:ind w:right="1122"/>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566"/>
        <w:gridCol w:w="850"/>
        <w:gridCol w:w="992"/>
        <w:gridCol w:w="710"/>
        <w:gridCol w:w="992"/>
        <w:gridCol w:w="992"/>
        <w:gridCol w:w="1276"/>
        <w:gridCol w:w="851"/>
        <w:gridCol w:w="709"/>
        <w:gridCol w:w="636"/>
      </w:tblGrid>
      <w:tr>
        <w:trPr>
          <w:trHeight w:val="196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40" w:right="41"/>
              <w:jc w:val="center"/>
              <w:rPr>
                <w:rFonts w:ascii="宋体" w:hAnsi="宋体" w:cs="宋体" w:eastAsia="宋体" w:hint="default"/>
                <w:sz w:val="18"/>
                <w:szCs w:val="18"/>
              </w:rPr>
            </w:pPr>
            <w:r>
              <w:rPr>
                <w:rFonts w:ascii="宋体" w:hAnsi="宋体" w:cs="宋体" w:eastAsia="宋体" w:hint="default"/>
                <w:sz w:val="18"/>
                <w:szCs w:val="18"/>
              </w:rPr>
              <w:t>承诺投资项 目和超募资 金投向</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68" w:right="66"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60" w:right="5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06" w:right="38" w:hanging="16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79" w:right="78"/>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38" w:lineRule="auto"/>
              <w:ind w:left="40" w:right="4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28" w:lineRule="auto"/>
              <w:ind w:left="26" w:right="24" w:hanging="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项目达到预定 可使用状态日 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59" w:right="5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79" w:right="78"/>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43" w:right="41"/>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7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凤庆爱康</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50MW</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32,338.57</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32,380.09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18MW  </w:t>
            </w:r>
            <w:r>
              <w:rPr>
                <w:rFonts w:ascii="宋体" w:hAnsi="宋体" w:cs="宋体" w:eastAsia="宋体" w:hint="default"/>
                <w:sz w:val="18"/>
                <w:szCs w:val="18"/>
              </w:rPr>
              <w:t>于</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月并网</w:t>
            </w:r>
          </w:p>
          <w:p>
            <w:pPr>
              <w:pStyle w:val="TableParagraph"/>
              <w:spacing w:line="240" w:lineRule="auto" w:before="10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22MW  </w:t>
            </w:r>
            <w:r>
              <w:rPr>
                <w:rFonts w:ascii="宋体" w:hAnsi="宋体" w:cs="宋体" w:eastAsia="宋体" w:hint="default"/>
                <w:sz w:val="18"/>
                <w:szCs w:val="18"/>
              </w:rPr>
              <w:t>于</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月并网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1,558.11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禄劝爱康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50MW</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22,054.37</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22,300.59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20MW  </w:t>
            </w:r>
            <w:r>
              <w:rPr>
                <w:rFonts w:ascii="宋体" w:hAnsi="宋体" w:cs="宋体" w:eastAsia="宋体" w:hint="default"/>
                <w:sz w:val="18"/>
                <w:szCs w:val="18"/>
              </w:rPr>
              <w:t>于</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月并网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477.38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嘉祥昱辉</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电站</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8,282.64</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8,386.13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10MW  </w:t>
            </w:r>
            <w:r>
              <w:rPr>
                <w:rFonts w:ascii="宋体" w:hAnsi="宋体" w:cs="宋体" w:eastAsia="宋体" w:hint="default"/>
                <w:sz w:val="18"/>
                <w:szCs w:val="18"/>
              </w:rPr>
              <w:t>于</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月并网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97.83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37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无棣爱康</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电站</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16,597.52</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16,658.8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10MW  </w:t>
            </w:r>
            <w:r>
              <w:rPr>
                <w:rFonts w:ascii="宋体" w:hAnsi="宋体" w:cs="宋体" w:eastAsia="宋体" w:hint="default"/>
                <w:sz w:val="18"/>
                <w:szCs w:val="18"/>
              </w:rPr>
              <w:t>于</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月并网</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10MW  </w:t>
            </w:r>
            <w:r>
              <w:rPr>
                <w:rFonts w:ascii="宋体" w:hAnsi="宋体" w:cs="宋体" w:eastAsia="宋体" w:hint="default"/>
                <w:sz w:val="18"/>
                <w:szCs w:val="18"/>
              </w:rPr>
              <w:t>于</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月并网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1,079.45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泌阳中康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电站</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13,182.67</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13,247.48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20MW  </w:t>
            </w:r>
            <w:r>
              <w:rPr>
                <w:rFonts w:ascii="宋体" w:hAnsi="宋体" w:cs="宋体" w:eastAsia="宋体" w:hint="default"/>
                <w:sz w:val="18"/>
                <w:szCs w:val="18"/>
              </w:rPr>
              <w:t>于</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月并网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629.02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南召中机</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电站</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62,665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50,537.77</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50,806.21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20MW  </w:t>
            </w:r>
            <w:r>
              <w:rPr>
                <w:rFonts w:ascii="宋体" w:hAnsi="宋体" w:cs="宋体" w:eastAsia="宋体" w:hint="default"/>
                <w:sz w:val="18"/>
                <w:szCs w:val="18"/>
              </w:rPr>
              <w:t>于</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月并网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3,313.56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88"/>
        <w:gridCol w:w="572"/>
        <w:gridCol w:w="850"/>
        <w:gridCol w:w="992"/>
        <w:gridCol w:w="710"/>
        <w:gridCol w:w="992"/>
        <w:gridCol w:w="992"/>
        <w:gridCol w:w="1276"/>
        <w:gridCol w:w="851"/>
        <w:gridCol w:w="709"/>
        <w:gridCol w:w="636"/>
      </w:tblGrid>
      <w:tr>
        <w:trPr>
          <w:trHeight w:val="674" w:hRule="exact"/>
        </w:trPr>
        <w:tc>
          <w:tcPr>
            <w:tcW w:w="988"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54MW  </w:t>
            </w:r>
            <w:r>
              <w:rPr>
                <w:rFonts w:ascii="宋体" w:hAnsi="宋体" w:cs="宋体" w:eastAsia="宋体" w:hint="default"/>
                <w:sz w:val="18"/>
                <w:szCs w:val="18"/>
              </w:rPr>
              <w:t>于</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月并网</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9"/>
              <w:jc w:val="both"/>
              <w:rPr>
                <w:rFonts w:ascii="宋体" w:hAnsi="宋体" w:cs="宋体" w:eastAsia="宋体" w:hint="default"/>
                <w:sz w:val="18"/>
                <w:szCs w:val="18"/>
              </w:rPr>
            </w:pPr>
            <w:r>
              <w:rPr>
                <w:rFonts w:ascii="宋体" w:hAnsi="宋体" w:cs="宋体" w:eastAsia="宋体" w:hint="default"/>
                <w:sz w:val="18"/>
                <w:szCs w:val="18"/>
              </w:rPr>
              <w:t>南召中机太 山庙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10MW </w:t>
            </w:r>
            <w:r>
              <w:rPr>
                <w:rFonts w:ascii="宋体" w:hAnsi="宋体" w:cs="宋体" w:eastAsia="宋体" w:hint="default"/>
                <w:sz w:val="18"/>
                <w:szCs w:val="18"/>
              </w:rPr>
              <w:t>电站</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7,790.24</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7,813.5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10MW  </w:t>
            </w:r>
            <w:r>
              <w:rPr>
                <w:rFonts w:ascii="宋体" w:hAnsi="宋体" w:cs="宋体" w:eastAsia="宋体" w:hint="default"/>
                <w:sz w:val="18"/>
                <w:szCs w:val="18"/>
              </w:rPr>
              <w:t>于</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月并网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榆林榆神</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电站</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994.08</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1,022.33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已终止</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宿州恒康</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电站</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16,006.81</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16,013.62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20MW  </w:t>
            </w:r>
            <w:r>
              <w:rPr>
                <w:rFonts w:ascii="宋体" w:hAnsi="宋体" w:cs="宋体" w:eastAsia="宋体" w:hint="default"/>
                <w:sz w:val="18"/>
                <w:szCs w:val="18"/>
              </w:rPr>
              <w:t>于</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月并网</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朝阳爱康</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电站</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8,299.95</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8,302.97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10MW  </w:t>
            </w:r>
            <w:r>
              <w:rPr>
                <w:rFonts w:ascii="宋体" w:hAnsi="宋体" w:cs="宋体" w:eastAsia="宋体" w:hint="default"/>
                <w:sz w:val="18"/>
                <w:szCs w:val="18"/>
              </w:rPr>
              <w:t>于</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月并网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622.01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四子王旗</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电</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站</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15,862.45</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15,882.69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20MW  </w:t>
            </w:r>
            <w:r>
              <w:rPr>
                <w:rFonts w:ascii="宋体" w:hAnsi="宋体" w:cs="宋体" w:eastAsia="宋体" w:hint="default"/>
                <w:sz w:val="18"/>
                <w:szCs w:val="18"/>
              </w:rPr>
              <w:t>于</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月并网</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9"/>
              <w:jc w:val="left"/>
              <w:rPr>
                <w:rFonts w:ascii="Times New Roman" w:hAnsi="Times New Roman" w:cs="Times New Roman" w:eastAsia="Times New Roman" w:hint="default"/>
                <w:sz w:val="18"/>
                <w:szCs w:val="18"/>
              </w:rPr>
            </w:pPr>
            <w:r>
              <w:rPr>
                <w:rFonts w:ascii="宋体" w:hAnsi="宋体" w:cs="宋体" w:eastAsia="宋体" w:hint="default"/>
                <w:sz w:val="18"/>
                <w:szCs w:val="18"/>
              </w:rPr>
              <w:t>精河三期、 四期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50MW</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41,493.45</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41,539.42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100.11%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50MW  </w:t>
            </w:r>
            <w:r>
              <w:rPr>
                <w:rFonts w:ascii="宋体" w:hAnsi="宋体" w:cs="宋体" w:eastAsia="宋体" w:hint="default"/>
                <w:sz w:val="18"/>
                <w:szCs w:val="18"/>
              </w:rPr>
              <w:t>于</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月并网</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奇台二期</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30MW</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22,653.41</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22,680.2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30MW  </w:t>
            </w:r>
            <w:r>
              <w:rPr>
                <w:rFonts w:ascii="宋体" w:hAnsi="宋体" w:cs="宋体" w:eastAsia="宋体" w:hint="default"/>
                <w:sz w:val="18"/>
                <w:szCs w:val="18"/>
              </w:rPr>
              <w:t>于</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月并网</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明光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电站</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3,999.66</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20MW  </w:t>
            </w:r>
            <w:r>
              <w:rPr>
                <w:rFonts w:ascii="宋体" w:hAnsi="宋体" w:cs="宋体" w:eastAsia="宋体" w:hint="default"/>
                <w:sz w:val="18"/>
                <w:szCs w:val="18"/>
              </w:rPr>
              <w:t>于</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月并网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714.98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伊川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50MW</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电站</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13,398.61</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13,401.9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tabs>
                <w:tab w:pos="1061"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20.22MW</w:t>
              <w:tab/>
            </w:r>
            <w:r>
              <w:rPr>
                <w:rFonts w:ascii="宋体" w:hAnsi="宋体" w:cs="宋体" w:eastAsia="宋体" w:hint="default"/>
                <w:sz w:val="18"/>
                <w:szCs w:val="18"/>
              </w:rPr>
              <w:t>于</w:t>
            </w:r>
          </w:p>
          <w:p>
            <w:pPr>
              <w:pStyle w:val="TableParagraph"/>
              <w:spacing w:line="302" w:lineRule="auto" w:before="6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月并 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697.77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补充流动资 金</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48,280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22,000.54</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补充流动资 金</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20,959.16</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20,960.36</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项目结余资 金永久补充 流动资金</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61,227.83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61,227.83</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9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承诺投资项 目小计</w:t>
            </w:r>
          </w:p>
        </w:tc>
        <w:tc>
          <w:tcPr>
            <w:tcW w:w="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383,000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377,679.16</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38,873</w:t>
            </w:r>
          </w:p>
        </w:tc>
        <w:tc>
          <w:tcPr>
            <w:tcW w:w="992"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378,625.18</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9" w:space="0" w:color="D2D2D2"/>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9,604.32</w:t>
            </w: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988" w:type="dxa"/>
            <w:vMerge/>
            <w:tcBorders>
              <w:left w:val="single" w:sz="4" w:space="0" w:color="000000"/>
              <w:right w:val="single" w:sz="4" w:space="0" w:color="000000"/>
            </w:tcBorders>
            <w:shd w:val="clear" w:color="auto" w:fill="D2D2D2"/>
          </w:tcPr>
          <w:p>
            <w:pPr/>
          </w:p>
        </w:tc>
        <w:tc>
          <w:tcPr>
            <w:tcW w:w="5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24" w:right="0"/>
              <w:jc w:val="left"/>
              <w:rPr>
                <w:rFonts w:ascii="Times New Roman" w:hAnsi="Times New Roman" w:cs="Times New Roman" w:eastAsia="Times New Roman" w:hint="default"/>
                <w:sz w:val="18"/>
                <w:szCs w:val="18"/>
              </w:rPr>
            </w:pPr>
            <w:r>
              <w:rPr>
                <w:rFonts w:ascii="Times New Roman"/>
                <w:sz w:val="18"/>
              </w:rPr>
              <w:t>--</w:t>
            </w:r>
          </w:p>
        </w:tc>
        <w:tc>
          <w:tcPr>
            <w:tcW w:w="850"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992" w:type="dxa"/>
            <w:vMerge/>
            <w:tcBorders>
              <w:left w:val="single" w:sz="4" w:space="0" w:color="000000"/>
              <w:right w:val="single" w:sz="9" w:space="0" w:color="D2D2D2"/>
            </w:tcBorders>
          </w:tcPr>
          <w:p>
            <w:pP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573"/>
              <w:jc w:val="right"/>
              <w:rPr>
                <w:rFonts w:ascii="Times New Roman" w:hAnsi="Times New Roman" w:cs="Times New Roman" w:eastAsia="Times New Roman" w:hint="default"/>
                <w:sz w:val="18"/>
                <w:szCs w:val="18"/>
              </w:rPr>
            </w:pPr>
            <w:r>
              <w:rPr>
                <w:rFonts w:ascii="Times New Roman"/>
                <w:sz w:val="18"/>
              </w:rPr>
              <w:t>--</w:t>
            </w:r>
          </w:p>
        </w:tc>
        <w:tc>
          <w:tcPr>
            <w:tcW w:w="851" w:type="dxa"/>
            <w:vMerge/>
            <w:tcBorders>
              <w:left w:val="single" w:sz="9" w:space="0" w:color="D2D2D2"/>
              <w:right w:val="single" w:sz="9" w:space="0" w:color="D2D2D2"/>
            </w:tcBorders>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988"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9" w:space="0" w:color="D2D2D2"/>
            </w:tcBorders>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9" w:space="0" w:color="D2D2D2"/>
              <w:bottom w:val="single" w:sz="4" w:space="0" w:color="000000"/>
              <w:right w:val="single" w:sz="9" w:space="0" w:color="D2D2D2"/>
            </w:tcBorders>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7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4"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377,679.16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378,625.18</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73"/>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9,604.32</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419" w:hRule="exact"/>
        </w:trPr>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1"/>
              <w:ind w:left="22" w:right="53"/>
              <w:jc w:val="both"/>
              <w:rPr>
                <w:rFonts w:ascii="宋体" w:hAnsi="宋体" w:cs="宋体" w:eastAsia="宋体" w:hint="default"/>
                <w:sz w:val="18"/>
                <w:szCs w:val="18"/>
              </w:rPr>
            </w:pPr>
            <w:r>
              <w:rPr>
                <w:rFonts w:ascii="宋体" w:hAnsi="宋体" w:cs="宋体" w:eastAsia="宋体" w:hint="default"/>
                <w:sz w:val="18"/>
                <w:szCs w:val="18"/>
              </w:rPr>
              <w:t>未达到计划 进度或预计 收益的情况 和原因（分</w:t>
            </w:r>
          </w:p>
        </w:tc>
        <w:tc>
          <w:tcPr>
            <w:tcW w:w="8581"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部分项目未达到计划进度或预计收益的主要原因如下：</w:t>
            </w:r>
          </w:p>
          <w:p>
            <w:pPr>
              <w:pStyle w:val="TableParagraph"/>
              <w:spacing w:line="302" w:lineRule="auto" w:before="116"/>
              <w:ind w:left="16"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 凤庆和禄劝项目，主要受云南全省发电企业需要参与购售电市场竞价、发电量撮合交易影响导致并网发 电量减少所致；</w:t>
            </w:r>
          </w:p>
          <w:p>
            <w:pPr>
              <w:pStyle w:val="TableParagraph"/>
              <w:spacing w:line="240" w:lineRule="auto" w:before="6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 嘉祥项目，主要系该项目建在山地上，建造成本超过预期，及山地遮挡导致发电量损失较大所致；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2pt;height:689.2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3"/>
                    <w:gridCol w:w="8575"/>
                  </w:tblGrid>
                  <w:tr>
                    <w:trPr>
                      <w:trHeight w:val="204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6"/>
                          <w:jc w:val="center"/>
                          <w:rPr>
                            <w:rFonts w:ascii="宋体" w:hAnsi="宋体" w:cs="宋体" w:eastAsia="宋体" w:hint="default"/>
                            <w:sz w:val="18"/>
                            <w:szCs w:val="18"/>
                          </w:rPr>
                        </w:pPr>
                        <w:r>
                          <w:rPr>
                            <w:rFonts w:ascii="宋体" w:hAnsi="宋体" w:cs="宋体" w:eastAsia="宋体" w:hint="default"/>
                            <w:sz w:val="18"/>
                            <w:szCs w:val="18"/>
                          </w:rPr>
                          <w:t>具体项目）</w:t>
                        </w: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 泌阳项目，主要系并网电价下降所致，该电站在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年才完成并网，上网电价按照国家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年度的标 杆电价执行；</w:t>
                        </w:r>
                      </w:p>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无棣、南召项目，主要系电站发电量未达预期，以及政策原因并网电价下降所致</w:t>
                        </w:r>
                        <w:r>
                          <w:rPr>
                            <w:rFonts w:ascii="Times New Roman" w:hAnsi="Times New Roman" w:cs="Times New Roman" w:eastAsia="Times New Roman" w:hint="default"/>
                            <w:sz w:val="18"/>
                            <w:szCs w:val="18"/>
                          </w:rPr>
                          <w:t>,</w:t>
                        </w:r>
                        <w:r>
                          <w:rPr>
                            <w:rFonts w:ascii="宋体" w:hAnsi="宋体" w:cs="宋体" w:eastAsia="宋体" w:hint="default"/>
                            <w:sz w:val="18"/>
                            <w:szCs w:val="18"/>
                          </w:rPr>
                          <w:t>扶贫成本增加所致；</w:t>
                        </w:r>
                      </w:p>
                      <w:p>
                        <w:pPr>
                          <w:pStyle w:val="TableParagraph"/>
                          <w:spacing w:line="240" w:lineRule="auto" w:before="10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 宿州、四子王旗、精河、奇台项目，主要系电站于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年出售给浙能，财务数据无法获取；</w:t>
                        </w:r>
                      </w:p>
                      <w:p>
                        <w:pPr>
                          <w:pStyle w:val="TableParagraph"/>
                          <w:spacing w:line="302" w:lineRule="auto" w:before="101"/>
                          <w:ind w:left="23"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 朝阳项目，主要系运维成本略有增加导致；</w:t>
                        </w:r>
                        <w:r>
                          <w:rPr>
                            <w:rFonts w:ascii="Times New Roman" w:hAnsi="Times New Roman" w:cs="Times New Roman" w:eastAsia="Times New Roman" w:hint="default"/>
                            <w:sz w:val="18"/>
                            <w:szCs w:val="18"/>
                          </w:rPr>
                          <w:t>7</w:t>
                        </w:r>
                        <w:r>
                          <w:rPr>
                            <w:rFonts w:ascii="宋体" w:hAnsi="宋体" w:cs="宋体" w:eastAsia="宋体" w:hint="default"/>
                            <w:sz w:val="18"/>
                            <w:szCs w:val="18"/>
                          </w:rPr>
                          <w:t>、 明光、伊川项目主要系由于政策调整导致并网电价下降 所致。</w:t>
                        </w:r>
                      </w:p>
                    </w:tc>
                  </w:tr>
                  <w:tr>
                    <w:trPr>
                      <w:trHeight w:val="1338"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项目可行性 发生重大变 化的情况说 明</w:t>
                        </w: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3" w:right="110"/>
                          <w:jc w:val="left"/>
                          <w:rPr>
                            <w:rFonts w:ascii="宋体" w:hAnsi="宋体" w:cs="宋体" w:eastAsia="宋体" w:hint="default"/>
                            <w:sz w:val="18"/>
                            <w:szCs w:val="18"/>
                          </w:rPr>
                        </w:pPr>
                        <w:r>
                          <w:rPr>
                            <w:rFonts w:ascii="宋体" w:hAnsi="宋体" w:cs="宋体" w:eastAsia="宋体" w:hint="default"/>
                            <w:sz w:val="18"/>
                            <w:szCs w:val="18"/>
                          </w:rPr>
                          <w:t>昱辉榆林</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太阳能光伏发电项目，因涉及当地政府对用地规划的调整，相关手续办理缓慢，经审慎考虑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为提高募集资金使用效率，公司终止投资。</w:t>
                        </w:r>
                      </w:p>
                    </w:tc>
                  </w:tr>
                  <w:tr>
                    <w:trPr>
                      <w:trHeight w:val="402"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超募资金的 金额、用途 及使用进展 情况</w:t>
                        </w: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36"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85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募集资金投 资项目实施 地点变更情 况</w:t>
                        </w: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993" w:type="dxa"/>
                        <w:vMerge/>
                        <w:tcBorders>
                          <w:left w:val="single" w:sz="4" w:space="0" w:color="000000"/>
                          <w:right w:val="single" w:sz="4" w:space="0" w:color="000000"/>
                        </w:tcBorders>
                        <w:shd w:val="clear" w:color="auto" w:fill="D2D2D2"/>
                      </w:tcPr>
                      <w:p>
                        <w:pPr/>
                      </w:p>
                    </w:tc>
                    <w:tc>
                      <w:tcPr>
                        <w:tcW w:w="8575" w:type="dxa"/>
                        <w:tcBorders>
                          <w:top w:val="single" w:sz="4" w:space="0" w:color="000000"/>
                          <w:left w:val="single" w:sz="4" w:space="0" w:color="000000"/>
                          <w:bottom w:val="single" w:sz="4" w:space="0" w:color="000000"/>
                          <w:right w:val="single" w:sz="4" w:space="0" w:color="000000"/>
                        </w:tcBorders>
                      </w:tcPr>
                      <w:p>
                        <w:pPr/>
                      </w:p>
                    </w:tc>
                  </w:tr>
                  <w:tr>
                    <w:trPr>
                      <w:trHeight w:val="534"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85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募集资金投 资项目实施 方式调整情 况</w:t>
                        </w: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993" w:type="dxa"/>
                        <w:vMerge/>
                        <w:tcBorders>
                          <w:left w:val="single" w:sz="4" w:space="0" w:color="000000"/>
                          <w:right w:val="single" w:sz="4" w:space="0" w:color="000000"/>
                        </w:tcBorders>
                        <w:shd w:val="clear" w:color="auto" w:fill="D2D2D2"/>
                      </w:tcPr>
                      <w:p>
                        <w:pPr/>
                      </w:p>
                    </w:tc>
                    <w:tc>
                      <w:tcPr>
                        <w:tcW w:w="8575" w:type="dxa"/>
                        <w:tcBorders>
                          <w:top w:val="single" w:sz="4" w:space="0" w:color="000000"/>
                          <w:left w:val="single" w:sz="4" w:space="0" w:color="000000"/>
                          <w:bottom w:val="single" w:sz="4" w:space="0" w:color="000000"/>
                          <w:right w:val="single" w:sz="4" w:space="0" w:color="000000"/>
                        </w:tcBorders>
                      </w:tcPr>
                      <w:p>
                        <w:pPr/>
                      </w:p>
                    </w:tc>
                  </w:tr>
                  <w:tr>
                    <w:trPr>
                      <w:trHeight w:val="534" w:hRule="exact"/>
                    </w:trPr>
                    <w:tc>
                      <w:tcPr>
                        <w:tcW w:w="993" w:type="dxa"/>
                        <w:vMerge/>
                        <w:tcBorders>
                          <w:left w:val="single" w:sz="4" w:space="0" w:color="000000"/>
                          <w:bottom w:val="single" w:sz="4" w:space="0" w:color="FFFFFF"/>
                          <w:right w:val="single" w:sz="4" w:space="0" w:color="000000"/>
                        </w:tcBorders>
                        <w:shd w:val="clear" w:color="auto" w:fill="D2D2D2"/>
                      </w:tcPr>
                      <w:p>
                        <w:pPr/>
                      </w:p>
                    </w:tc>
                    <w:tc>
                      <w:tcPr>
                        <w:tcW w:w="8575"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993"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60"/>
                          <w:jc w:val="both"/>
                          <w:rPr>
                            <w:rFonts w:ascii="宋体" w:hAnsi="宋体" w:cs="宋体" w:eastAsia="宋体" w:hint="default"/>
                            <w:sz w:val="18"/>
                            <w:szCs w:val="18"/>
                          </w:rPr>
                        </w:pPr>
                        <w:r>
                          <w:rPr>
                            <w:rFonts w:ascii="宋体" w:hAnsi="宋体" w:cs="宋体" w:eastAsia="宋体" w:hint="default"/>
                            <w:sz w:val="18"/>
                            <w:szCs w:val="18"/>
                          </w:rPr>
                          <w:t>募集资金投 资项目先期 投入及置换 情况</w:t>
                        </w:r>
                      </w:p>
                    </w:tc>
                    <w:tc>
                      <w:tcPr>
                        <w:tcW w:w="857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日，公司第二届董事会第四十四次临时会议和第二届监事会第十七次临时会议审议通过了《关 </w:t>
                        </w:r>
                        <w:r>
                          <w:rPr>
                            <w:rFonts w:ascii="宋体" w:hAnsi="宋体" w:cs="宋体" w:eastAsia="宋体" w:hint="default"/>
                            <w:spacing w:val="-3"/>
                            <w:sz w:val="18"/>
                            <w:szCs w:val="18"/>
                          </w:rPr>
                          <w:t>于使用募集资金置换前期投入自有资金的议案》，一致同意公司使用募集资金置换预先投入募投项目的自有资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820,166,558.25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年度已经实际置换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820,166,558.25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用闲置募集 资金暂时补 充流动资金 情况</w:t>
                        </w: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146"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日召开的第二届董事会第五十次会议审议通过了《关于使用部分闲置募集资金暂时</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补充流动资金的议案</w:t>
                        </w:r>
                        <w:r>
                          <w:rPr>
                            <w:rFonts w:ascii="宋体" w:hAnsi="宋体" w:cs="宋体" w:eastAsia="宋体" w:hint="default"/>
                            <w:spacing w:val="-90"/>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拟使用部分闲置募集资金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w:t>
                        </w:r>
                        <w:r>
                          <w:rPr>
                            <w:rFonts w:ascii="宋体" w:hAnsi="宋体" w:cs="宋体" w:eastAsia="宋体" w:hint="default"/>
                            <w:spacing w:val="-13"/>
                            <w:sz w:val="18"/>
                            <w:szCs w:val="18"/>
                          </w:rPr>
                          <w:t>金</w:t>
                        </w:r>
                        <w:r>
                          <w:rPr>
                            <w:rFonts w:ascii="宋体" w:hAnsi="宋体" w:cs="宋体" w:eastAsia="宋体" w:hint="default"/>
                            <w:sz w:val="18"/>
                            <w:szCs w:val="18"/>
                          </w:rPr>
                          <w:t>（公告</w:t>
                        </w:r>
                        <w:r>
                          <w:rPr>
                            <w:rFonts w:ascii="宋体" w:hAnsi="宋体" w:cs="宋体" w:eastAsia="宋体" w:hint="default"/>
                            <w:spacing w:val="-12"/>
                            <w:sz w:val="18"/>
                            <w:szCs w:val="18"/>
                          </w:rPr>
                          <w:t>：</w:t>
                        </w:r>
                        <w:r>
                          <w:rPr>
                            <w:rFonts w:ascii="Times New Roman" w:hAnsi="Times New Roman" w:cs="Times New Roman" w:eastAsia="Times New Roman" w:hint="default"/>
                            <w:sz w:val="18"/>
                            <w:szCs w:val="18"/>
                          </w:rPr>
                          <w:t>2016-69</w:t>
                        </w:r>
                        <w:r>
                          <w:rPr>
                            <w:rFonts w:ascii="宋体" w:hAnsi="宋体" w:cs="宋体" w:eastAsia="宋体" w:hint="default"/>
                            <w:spacing w:val="-90"/>
                            <w:sz w:val="18"/>
                            <w:szCs w:val="18"/>
                          </w:rPr>
                          <w:t>）</w:t>
                        </w:r>
                        <w:r>
                          <w:rPr>
                            <w:rFonts w:ascii="宋体" w:hAnsi="宋体" w:cs="宋体" w:eastAsia="宋体" w:hint="default"/>
                            <w:spacing w:val="-11"/>
                            <w:sz w:val="18"/>
                            <w:szCs w:val="18"/>
                          </w:rPr>
                          <w:t>。</w:t>
                        </w:r>
                        <w:r>
                          <w:rPr>
                            <w:rFonts w:ascii="宋体" w:hAnsi="宋体" w:cs="宋体" w:eastAsia="宋体" w:hint="default"/>
                            <w:sz w:val="18"/>
                            <w:szCs w:val="18"/>
                          </w:rPr>
                          <w:t>根据公司</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募投项目进度及资金需求，公司分别于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w:t>
                        </w:r>
                        <w:r>
                          <w:rPr>
                            <w:rFonts w:ascii="Times New Roman" w:hAnsi="Times New Roman" w:cs="Times New Roman" w:eastAsia="Times New Roman" w:hint="default"/>
                            <w:spacing w:val="-7"/>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pacing w:val="-7"/>
                            <w:sz w:val="18"/>
                            <w:szCs w:val="18"/>
                          </w:rPr>
                          <w:t>日、</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日将暂时补充流动资金的部分募集资金的</w:t>
                        </w:r>
                      </w:p>
                      <w:p>
                        <w:pPr>
                          <w:pStyle w:val="TableParagraph"/>
                          <w:spacing w:line="300" w:lineRule="auto" w:before="63"/>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2,600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8,300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2,400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16,300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万元和</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万元分别归还至募集资金 监管账户，公司累计已将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万元资金全部归还至募集资金专户，至此此次公司使用部分闲置募集资金暂</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时补充流动资金已提前归还完毕。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日召开的第三届董事会第十三次会议审议通过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9"/>
                            <w:sz w:val="18"/>
                            <w:szCs w:val="18"/>
                          </w:rPr>
                          <w:t>了</w:t>
                        </w:r>
                        <w:r>
                          <w:rPr>
                            <w:rFonts w:ascii="宋体" w:hAnsi="宋体" w:cs="宋体" w:eastAsia="宋体" w:hint="default"/>
                            <w:sz w:val="18"/>
                            <w:szCs w:val="18"/>
                          </w:rPr>
                          <w:t>《关于继续使用部分闲置募集资金暂时补充流动资金的议案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拟使用部分闲置募集资金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充流动资金，使用期限自董事会批准之日起不超过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、公司根据募投项目进度及资金需求，于</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日将上述暂时补充流动资金的剩余募集资金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万元归还至募集资金监管账户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使用期限未超过</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302" w:lineRule="auto" w:before="63"/>
                          <w:ind w:left="23" w:right="2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日，公司已全部归还</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43,600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万元资金至募集资金专户，公司使用部分闲置募集资金暂 时补充流动资金已提前归还完毕。</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6"/>
                          <w:jc w:val="center"/>
                          <w:rPr>
                            <w:rFonts w:ascii="宋体" w:hAnsi="宋体" w:cs="宋体" w:eastAsia="宋体" w:hint="default"/>
                            <w:sz w:val="18"/>
                            <w:szCs w:val="18"/>
                          </w:rPr>
                        </w:pPr>
                        <w:r>
                          <w:rPr>
                            <w:rFonts w:ascii="宋体" w:hAnsi="宋体" w:cs="宋体" w:eastAsia="宋体" w:hint="default"/>
                            <w:sz w:val="18"/>
                            <w:szCs w:val="18"/>
                          </w:rPr>
                          <w:t>项目实施出</w:t>
                        </w: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pStyle w:val="BodyText"/>
        <w:spacing w:line="240" w:lineRule="auto" w:before="45"/>
        <w:ind w:left="0" w:right="1139"/>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5.5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3"/>
                    <w:gridCol w:w="8575"/>
                  </w:tblGrid>
                  <w:tr>
                    <w:trPr>
                      <w:trHeight w:val="13900"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60"/>
                          <w:jc w:val="both"/>
                          <w:rPr>
                            <w:rFonts w:ascii="宋体" w:hAnsi="宋体" w:cs="宋体" w:eastAsia="宋体" w:hint="default"/>
                            <w:sz w:val="18"/>
                            <w:szCs w:val="18"/>
                          </w:rPr>
                        </w:pPr>
                        <w:r>
                          <w:rPr>
                            <w:rFonts w:ascii="宋体" w:hAnsi="宋体" w:cs="宋体" w:eastAsia="宋体" w:hint="default"/>
                            <w:sz w:val="18"/>
                            <w:szCs w:val="18"/>
                          </w:rPr>
                          <w:t>现募集资金 结余的金额 及原因</w:t>
                        </w: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日召开的第三届董事会第三次临时会议审议通过了《关于部分募投项目结项并将 </w:t>
                        </w:r>
                        <w:r>
                          <w:rPr>
                            <w:rFonts w:ascii="宋体" w:hAnsi="宋体" w:cs="宋体" w:eastAsia="宋体" w:hint="default"/>
                            <w:spacing w:val="-3"/>
                            <w:sz w:val="18"/>
                            <w:szCs w:val="18"/>
                          </w:rPr>
                          <w:t>节余募集资金用于其他募投项目的议案》</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同意将公司在云南凤庆县大兴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50MW</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项目及山东嘉祥昱辉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光 伏发电项目节余募集资金投资安徽省明光爱康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光伏电站项目、河南省伊川佳康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光伏电站项目。 云南凤庆县大兴 </w:t>
                        </w:r>
                        <w:r>
                          <w:rPr>
                            <w:rFonts w:ascii="Times New Roman" w:hAnsi="Times New Roman" w:cs="Times New Roman" w:eastAsia="Times New Roman" w:hint="default"/>
                            <w:sz w:val="18"/>
                            <w:szCs w:val="18"/>
                          </w:rPr>
                          <w:t>50MW </w:t>
                        </w:r>
                        <w:r>
                          <w:rPr>
                            <w:rFonts w:ascii="宋体" w:hAnsi="宋体" w:cs="宋体" w:eastAsia="宋体" w:hint="default"/>
                            <w:sz w:val="18"/>
                            <w:szCs w:val="18"/>
                          </w:rPr>
                          <w:t>项目及山东嘉祥昱辉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光伏发电项目已建成并网发电。上述项目在施工过程 中，项目的部分土地地质情况不适合用于安装光伏组件等电站设备，因此减少项目的投资规模，节余募集资 金共计 </w:t>
                        </w:r>
                        <w:r>
                          <w:rPr>
                            <w:rFonts w:ascii="Times New Roman" w:hAnsi="Times New Roman" w:cs="Times New Roman" w:eastAsia="Times New Roman" w:hint="default"/>
                            <w:sz w:val="18"/>
                            <w:szCs w:val="18"/>
                          </w:rPr>
                          <w:t>17,400 </w:t>
                        </w:r>
                        <w:r>
                          <w:rPr>
                            <w:rFonts w:ascii="宋体" w:hAnsi="宋体" w:cs="宋体" w:eastAsia="宋体" w:hint="default"/>
                            <w:sz w:val="18"/>
                            <w:szCs w:val="18"/>
                          </w:rPr>
                          <w:t>万元。为提高募集资金投资回报率，公司将节余资金投资安徽省明光爱康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光伏电站项 </w:t>
                        </w:r>
                        <w:r>
                          <w:rPr>
                            <w:rFonts w:ascii="宋体" w:hAnsi="宋体" w:cs="宋体" w:eastAsia="宋体" w:hint="default"/>
                            <w:spacing w:val="-3"/>
                            <w:sz w:val="18"/>
                            <w:szCs w:val="18"/>
                          </w:rPr>
                          <w:t>目，项目投资总额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万元；河南省伊川佳康</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50MW</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光伏电站项目，项目总投 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13,400 </w:t>
                        </w:r>
                        <w:r>
                          <w:rPr>
                            <w:rFonts w:ascii="宋体" w:hAnsi="宋体" w:cs="宋体" w:eastAsia="宋体" w:hint="default"/>
                            <w:sz w:val="18"/>
                            <w:szCs w:val="18"/>
                          </w:rPr>
                          <w:t>万元。</w:t>
                        </w:r>
                      </w:p>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11"/>
                            <w:sz w:val="18"/>
                            <w:szCs w:val="18"/>
                          </w:rPr>
                          <w:t>、</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召</w:t>
                        </w:r>
                        <w:r>
                          <w:rPr>
                            <w:rFonts w:ascii="宋体" w:hAnsi="宋体" w:cs="宋体" w:eastAsia="宋体" w:hint="default"/>
                            <w:sz w:val="18"/>
                            <w:szCs w:val="18"/>
                          </w:rPr>
                          <w:t>开的第三届董事会第八次会议审议通过</w:t>
                        </w:r>
                        <w:r>
                          <w:rPr>
                            <w:rFonts w:ascii="宋体" w:hAnsi="宋体" w:cs="宋体" w:eastAsia="宋体" w:hint="default"/>
                            <w:spacing w:val="-11"/>
                            <w:sz w:val="18"/>
                            <w:szCs w:val="18"/>
                          </w:rPr>
                          <w:t>了</w:t>
                        </w:r>
                        <w:r>
                          <w:rPr>
                            <w:rFonts w:ascii="宋体" w:hAnsi="宋体" w:cs="宋体" w:eastAsia="宋体" w:hint="default"/>
                            <w:sz w:val="18"/>
                            <w:szCs w:val="18"/>
                          </w:rPr>
                          <w:t>《关于部分募投项目结项的议案</w:t>
                        </w:r>
                        <w:r>
                          <w:rPr>
                            <w:rFonts w:ascii="宋体" w:hAnsi="宋体" w:cs="宋体" w:eastAsia="宋体" w:hint="default"/>
                            <w:spacing w:val="-90"/>
                            <w:sz w:val="18"/>
                            <w:szCs w:val="18"/>
                          </w:rPr>
                          <w:t>》</w:t>
                        </w:r>
                        <w:r>
                          <w:rPr>
                            <w:rFonts w:ascii="宋体" w:hAnsi="宋体" w:cs="宋体" w:eastAsia="宋体" w:hint="default"/>
                            <w:spacing w:val="-11"/>
                            <w:sz w:val="18"/>
                            <w:szCs w:val="18"/>
                          </w:rPr>
                          <w:t>，</w:t>
                        </w:r>
                        <w:r>
                          <w:rPr>
                            <w:rFonts w:ascii="宋体" w:hAnsi="宋体" w:cs="宋体" w:eastAsia="宋体" w:hint="default"/>
                            <w:sz w:val="18"/>
                            <w:szCs w:val="18"/>
                          </w:rPr>
                          <w:t>将</w:t>
                        </w:r>
                      </w:p>
                      <w:p>
                        <w:pPr>
                          <w:pStyle w:val="TableParagraph"/>
                          <w:spacing w:line="302"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年第一次非公开发行股票的部分已建成并网发电的募投项目（如下）：宿州恒康新能源有限公司埇桥夹沟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一期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地面分布式光伏发电项目、喀左坤都小房申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太阳能光伏发电项目、爱康精河三期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30MW </w:t>
                        </w:r>
                        <w:r>
                          <w:rPr>
                            <w:rFonts w:ascii="宋体" w:hAnsi="宋体" w:cs="宋体" w:eastAsia="宋体" w:hint="default"/>
                            <w:sz w:val="18"/>
                            <w:szCs w:val="18"/>
                          </w:rPr>
                          <w:t>光伏并网发电项目、爱康精河四期</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光伏并网发电项目、奇台农场二期</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光伏发电项目结项，以上 募投项目结项后，节余募集资金将返回上一级募集资金账户。公司于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日召开的第三届董事会第 </w:t>
                        </w:r>
                        <w:r>
                          <w:rPr>
                            <w:rFonts w:ascii="宋体" w:hAnsi="宋体" w:cs="宋体" w:eastAsia="宋体" w:hint="default"/>
                            <w:spacing w:val="-3"/>
                            <w:sz w:val="18"/>
                            <w:szCs w:val="18"/>
                          </w:rPr>
                          <w:t>十三次会议审议通过了《关于部分募投项目结项并使用节余募集资金及利息永久补充流动资金的议案》和《关</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于节余募集资金及利息永久补充流动资金的议案》，拟将符合结项条件的本次结项募投项目（河南南召</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90MW</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地面光伏电站项目和无棣农业设施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 </w:t>
                        </w:r>
                        <w:r>
                          <w:rPr>
                            <w:rFonts w:ascii="宋体" w:hAnsi="宋体" w:cs="宋体" w:eastAsia="宋体" w:hint="default"/>
                            <w:sz w:val="18"/>
                            <w:szCs w:val="18"/>
                          </w:rPr>
                          <w:t>光伏发电项目）和之前已结项募投项目的节余募集资金合计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13289 </w:t>
                        </w:r>
                        <w:r>
                          <w:rPr>
                            <w:rFonts w:ascii="宋体" w:hAnsi="宋体" w:cs="宋体" w:eastAsia="宋体" w:hint="default"/>
                            <w:sz w:val="18"/>
                            <w:szCs w:val="18"/>
                          </w:rPr>
                          <w:t>万元及募集资金专户后期利息收入永久补充流动资金。截至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日，公司已将上述项目结余资金</w:t>
                        </w:r>
                      </w:p>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全部用于永久补充流动资金，金额总计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133,182,611.02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日召开的第三届董事会第二十四次临时会议和第三届监事会第十二次临时会议审</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议通过了《关于部分募投项目结项并使用节余募集资金及利息永久补充流动资金的议案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，同意将部分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p>
                      <w:p>
                        <w:pPr>
                          <w:pStyle w:val="TableParagraph"/>
                          <w:spacing w:line="300"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年度非公开发行股票募集资金投资项目结项，并将结项后的节余募集资金（含截止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日利息收 </w:t>
                        </w:r>
                        <w:r>
                          <w:rPr>
                            <w:rFonts w:ascii="宋体" w:hAnsi="宋体" w:cs="宋体" w:eastAsia="宋体" w:hint="default"/>
                            <w:spacing w:val="-6"/>
                            <w:sz w:val="18"/>
                            <w:szCs w:val="18"/>
                          </w:rPr>
                          <w:t>入）及后续变更前产生的利息永久补充公司流动资金。募投项目泌阳县中康</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分布式光伏发电项目于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月已并网验收合格并签署了购售电协议等文件，开始发电，节余募集资金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2,861.12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万元，应付未付质保</w:t>
                        </w:r>
                      </w:p>
                      <w:p>
                        <w:pPr>
                          <w:pStyle w:val="TableParagraph"/>
                          <w:spacing w:line="302" w:lineRule="auto" w:before="13"/>
                          <w:ind w:left="23" w:right="21"/>
                          <w:jc w:val="left"/>
                          <w:rPr>
                            <w:rFonts w:ascii="宋体" w:hAnsi="宋体" w:cs="宋体" w:eastAsia="宋体" w:hint="default"/>
                            <w:sz w:val="18"/>
                            <w:szCs w:val="18"/>
                          </w:rPr>
                        </w:pPr>
                        <w:r>
                          <w:rPr>
                            <w:rFonts w:ascii="宋体" w:hAnsi="宋体" w:cs="宋体" w:eastAsia="宋体" w:hint="default"/>
                            <w:sz w:val="18"/>
                            <w:szCs w:val="18"/>
                          </w:rPr>
                          <w:t>金约为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万元；募投项目安徽省明光爱康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光伏电站项目于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月已并网验收合格并签署了 购售电协议等文件，开始发电，募集资金账户余额</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万元；募投项目内蒙古四子王旗江岸苏木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100MWp</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光 伏并网发电项目的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已并网验收合格并签署了购售电协议等文件，开始发电，在内蒙古四子王旗江岸苏 木项目投建后，由于升压站无法扩容，后续投建电站产生的电力将无法输出，公司经综合考虑，为确保募集 资金的收益，拟终止投建本项目的剩余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80MW</w:t>
                        </w:r>
                        <w:r>
                          <w:rPr>
                            <w:rFonts w:ascii="宋体" w:hAnsi="宋体" w:cs="宋体" w:eastAsia="宋体" w:hint="default"/>
                            <w:sz w:val="18"/>
                            <w:szCs w:val="18"/>
                          </w:rPr>
                          <w:t>，待该项目闲置募集资金临时补流的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万元归还后，节余 募集资金合计约</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9,036.79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万元。为提高募集资金使用效率，降低公司财务费用，本着股东利益最大化的原则 </w:t>
                        </w:r>
                        <w:r>
                          <w:rPr>
                            <w:rFonts w:ascii="宋体" w:hAnsi="宋体" w:cs="宋体" w:eastAsia="宋体" w:hint="default"/>
                            <w:spacing w:val="-7"/>
                            <w:sz w:val="18"/>
                            <w:szCs w:val="18"/>
                          </w:rPr>
                          <w:t>根据《深圳证券交易所股票上市规则》、《深圳证券交易所中小企业板上市公司规范运作指引（</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9"/>
                            <w:sz w:val="18"/>
                            <w:szCs w:val="18"/>
                          </w:rPr>
                          <w:t> </w:t>
                        </w:r>
                        <w:r>
                          <w:rPr>
                            <w:rFonts w:ascii="宋体" w:hAnsi="宋体" w:cs="宋体" w:eastAsia="宋体" w:hint="default"/>
                            <w:spacing w:val="-36"/>
                            <w:sz w:val="18"/>
                            <w:szCs w:val="18"/>
                          </w:rPr>
                          <w:t>年修订）》</w:t>
                        </w:r>
                        <w:r>
                          <w:rPr>
                            <w:rFonts w:ascii="宋体" w:hAnsi="宋体" w:cs="宋体" w:eastAsia="宋体" w:hint="default"/>
                            <w:sz w:val="18"/>
                            <w:szCs w:val="18"/>
                          </w:rPr>
                        </w:r>
                      </w:p>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《募集资金管理制度》等相关规定，待闲置募集资金全部归还后，公司拟将上述</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年非公开募投项目结项</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后的节余募集资金合计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11,898.25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万元（含截止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日利息收入）及募集资金专户后期利息收入</w:t>
                        </w:r>
                      </w:p>
                      <w:p>
                        <w:pPr>
                          <w:pStyle w:val="TableParagraph"/>
                          <w:spacing w:line="316" w:lineRule="auto" w:before="63"/>
                          <w:ind w:left="23"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（具体金额以资金转出当日银行结算余额为准）永久补充流动资金，并注销存放募集资金投资项目的募集资 金专项账户。项目公司剩余质保金等应付账款（如有）将以自有资金继续支付（公告</w:t>
                        </w:r>
                        <w:r>
                          <w:rPr>
                            <w:rFonts w:ascii="宋体" w:hAnsi="宋体" w:cs="宋体" w:eastAsia="宋体" w:hint="default"/>
                            <w:spacing w:val="-42"/>
                            <w:sz w:val="18"/>
                            <w:szCs w:val="18"/>
                          </w:rPr>
                          <w:t> </w:t>
                        </w:r>
                        <w:r>
                          <w:rPr>
                            <w:rFonts w:ascii="Times New Roman" w:hAnsi="Times New Roman" w:cs="Times New Roman" w:eastAsia="Times New Roman" w:hint="default"/>
                            <w:spacing w:val="-8"/>
                            <w:sz w:val="18"/>
                            <w:szCs w:val="18"/>
                          </w:rPr>
                          <w:t>2017-150</w:t>
                        </w:r>
                        <w:r>
                          <w:rPr>
                            <w:rFonts w:ascii="宋体" w:hAnsi="宋体" w:cs="宋体" w:eastAsia="宋体" w:hint="default"/>
                            <w:spacing w:val="-8"/>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日，公司已将上述项目结余资金全部用于永久补充流动资金，金额总计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118,552,209.69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0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日召开的第三届董事会第二十六次临时会议和第三届监事会第十四次临时会议审</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议通过了《关于剩余募投项目结项并使用节余募集资金及利息永久补充流动资金的议案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，同意将剩余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p>
                      <w:p>
                        <w:pPr>
                          <w:pStyle w:val="TableParagraph"/>
                          <w:spacing w:line="307"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年度非公开发行股票募集资金投资项目结项，并将结项后的节余募集资金（含截止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日利息收 入）及后续变更前产生的利息永久补充公司流动资金。募投项目禄劝县工业园区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农光互补光伏电站建 设项目中的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月已并网验收合格并签署了购售电协议等文件，开始发电，公司在项目建设 过程中，项目现场发生泥石流等异常情况，电站全部建成后运维可能存在安全隐患，公司经综合考虑，为确 保募集资金的收益和安全，决定压缩建设规模，不再进行后续项目的建设，待该项目闲置募集资金临时补流 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万元归还后，节余募集资金合计约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441.84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万元；昱辉榆林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太阳能光伏发电项目，因涉及 当地政府对用地规划的调整，相关手续办理缓慢，经审慎考虑，为提高募集资金使用效率，公司拟终止投资</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before="44"/>
        <w:ind w:left="0" w:right="1141"/>
        <w:jc w:val="right"/>
      </w:pPr>
      <w:r>
        <w:rPr/>
        <w:t>，</w:t>
      </w:r>
    </w:p>
    <w:p>
      <w:pPr>
        <w:pStyle w:val="BodyText"/>
        <w:spacing w:line="240" w:lineRule="auto" w:before="76"/>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before="44"/>
        <w:ind w:left="0" w:right="1138"/>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3"/>
        <w:gridCol w:w="8575"/>
      </w:tblGrid>
      <w:tr>
        <w:trPr>
          <w:trHeight w:val="2859"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待该项目闲置募集资金临时补流的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15,600 </w:t>
            </w:r>
            <w:r>
              <w:rPr>
                <w:rFonts w:ascii="宋体" w:hAnsi="宋体" w:cs="宋体" w:eastAsia="宋体" w:hint="default"/>
                <w:spacing w:val="-3"/>
                <w:sz w:val="18"/>
                <w:szCs w:val="18"/>
              </w:rPr>
              <w:t>万元归还后，节余募集资金合计约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15,603.79 </w:t>
            </w:r>
            <w:r>
              <w:rPr>
                <w:rFonts w:ascii="宋体" w:hAnsi="宋体" w:cs="宋体" w:eastAsia="宋体" w:hint="default"/>
                <w:spacing w:val="-4"/>
                <w:sz w:val="18"/>
                <w:szCs w:val="18"/>
              </w:rPr>
              <w:t>万元；河南省伊川佳康</w:t>
            </w:r>
            <w:r>
              <w:rPr>
                <w:rFonts w:ascii="宋体" w:hAnsi="宋体" w:cs="宋体" w:eastAsia="宋体" w:hint="default"/>
                <w:sz w:val="18"/>
                <w:szCs w:val="18"/>
              </w:rPr>
              <w:t> </w:t>
            </w:r>
            <w:r>
              <w:rPr>
                <w:rFonts w:ascii="Times New Roman" w:hAnsi="Times New Roman" w:cs="Times New Roman" w:eastAsia="Times New Roman" w:hint="default"/>
                <w:sz w:val="18"/>
                <w:szCs w:val="18"/>
              </w:rPr>
              <w:t>50MW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光伏电站项目目前已实施完成，符合项目结项条件，该项目结余募集资金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万元。为提高募集资金 </w:t>
            </w:r>
            <w:r>
              <w:rPr>
                <w:rFonts w:ascii="宋体" w:hAnsi="宋体" w:cs="宋体" w:eastAsia="宋体" w:hint="default"/>
                <w:spacing w:val="-4"/>
                <w:sz w:val="18"/>
                <w:szCs w:val="18"/>
              </w:rPr>
              <w:t>使用效率，降低公司财务费用，本着股东利益最大化的原则，根据《深圳证券交易所股票上市规则》、《深圳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证券交易所中小企业板上市公司规范运作指引（</w:t>
            </w:r>
            <w:r>
              <w:rPr>
                <w:rFonts w:ascii="Times New Roman" w:hAnsi="Times New Roman" w:cs="Times New Roman" w:eastAsia="Times New Roman" w:hint="default"/>
                <w:sz w:val="18"/>
                <w:szCs w:val="18"/>
              </w:rPr>
              <w:t>2015 </w:t>
            </w:r>
            <w:r>
              <w:rPr>
                <w:rFonts w:ascii="宋体" w:hAnsi="宋体" w:cs="宋体" w:eastAsia="宋体" w:hint="default"/>
                <w:spacing w:val="-11"/>
                <w:sz w:val="18"/>
                <w:szCs w:val="18"/>
              </w:rPr>
              <w:t>年修订）》、《募集资金管理制度》等相关规定，待闲置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募集资金全部归还后，公司拟将上述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年非公开募投项目结项后的节余募集资金合计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35,047.04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p>
          <w:p>
            <w:pPr>
              <w:pStyle w:val="TableParagraph"/>
              <w:spacing w:line="309" w:lineRule="auto" w:before="9"/>
              <w:ind w:left="23" w:right="21"/>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日利息收入）及募集资金专户后期利息收入（具体金额以资金转出当日银行结算余额为 准）永久补充流动资金，并注销存放募集资金投资项目的募集资金专项账户。项目公司剩余质保金等应付账 款（如有）将以自有资金继续支付（公告</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2017-167</w:t>
            </w:r>
            <w:r>
              <w:rPr>
                <w:rFonts w:ascii="宋体" w:hAnsi="宋体" w:cs="宋体" w:eastAsia="宋体" w:hint="default"/>
                <w:spacing w:val="-8"/>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日，公司已将上述项目结余资金</w:t>
            </w:r>
          </w:p>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全部用于永久补充流动资金，金额总计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350,529,479.45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尚未使用的 募集资金用 途及去向</w:t>
            </w: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8"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募集资金使 用及披露中 存在的问题 或其他情况</w:t>
            </w:r>
          </w:p>
        </w:tc>
        <w:tc>
          <w:tcPr>
            <w:tcW w:w="8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未有异常</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44"/>
        <w:ind w:left="0" w:right="1150"/>
        <w:jc w:val="right"/>
      </w:pPr>
      <w:r>
        <w:rPr/>
        <w:pict>
          <v:shape style="position:absolute;margin-left:56.459999pt;margin-top:-252.808273pt;width:479.3pt;height:355.1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886"/>
                    <w:gridCol w:w="1134"/>
                    <w:gridCol w:w="851"/>
                    <w:gridCol w:w="850"/>
                    <w:gridCol w:w="992"/>
                    <w:gridCol w:w="1419"/>
                    <w:gridCol w:w="850"/>
                    <w:gridCol w:w="676"/>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7" w:right="77"/>
                          <w:jc w:val="left"/>
                          <w:rPr>
                            <w:rFonts w:ascii="宋体" w:hAnsi="宋体" w:cs="宋体" w:eastAsia="宋体" w:hint="default"/>
                            <w:sz w:val="18"/>
                            <w:szCs w:val="18"/>
                          </w:rPr>
                        </w:pPr>
                        <w:r>
                          <w:rPr>
                            <w:rFonts w:ascii="宋体" w:hAnsi="宋体" w:cs="宋体" w:eastAsia="宋体" w:hint="default"/>
                            <w:sz w:val="18"/>
                            <w:szCs w:val="18"/>
                          </w:rPr>
                          <w:t>对应的原 承诺项目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5" w:right="96"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w:t>
                        </w:r>
                        <w:r>
                          <w:rPr>
                            <w:rFonts w:ascii="Times New Roman" w:hAnsi="Times New Roman" w:cs="Times New Roman" w:eastAsia="Times New Roman" w:hint="default"/>
                            <w:sz w:val="18"/>
                            <w:szCs w:val="18"/>
                          </w:rPr>
                          <w:t>(1)</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0" w:right="59"/>
                          <w:jc w:val="center"/>
                          <w:rPr>
                            <w:rFonts w:ascii="宋体" w:hAnsi="宋体" w:cs="宋体" w:eastAsia="宋体" w:hint="default"/>
                            <w:sz w:val="18"/>
                            <w:szCs w:val="18"/>
                          </w:rPr>
                        </w:pPr>
                        <w:r>
                          <w:rPr>
                            <w:rFonts w:ascii="宋体" w:hAnsi="宋体" w:cs="宋体" w:eastAsia="宋体" w:hint="default"/>
                            <w:sz w:val="18"/>
                            <w:szCs w:val="18"/>
                          </w:rPr>
                          <w:t>本报告期 实际投入 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center"/>
                          <w:rPr>
                            <w:rFonts w:ascii="宋体" w:hAnsi="宋体" w:cs="宋体" w:eastAsia="宋体" w:hint="default"/>
                            <w:sz w:val="18"/>
                            <w:szCs w:val="18"/>
                          </w:rPr>
                        </w:pPr>
                        <w:r>
                          <w:rPr>
                            <w:rFonts w:ascii="宋体" w:hAnsi="宋体" w:cs="宋体" w:eastAsia="宋体" w:hint="default"/>
                            <w:sz w:val="18"/>
                            <w:szCs w:val="18"/>
                          </w:rPr>
                          <w:t>截至期末 实际累计 投入金额</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42" w:right="38"/>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3" w:right="75" w:hanging="90"/>
                          <w:jc w:val="left"/>
                          <w:rPr>
                            <w:rFonts w:ascii="宋体" w:hAnsi="宋体" w:cs="宋体" w:eastAsia="宋体" w:hint="default"/>
                            <w:sz w:val="18"/>
                            <w:szCs w:val="18"/>
                          </w:rPr>
                        </w:pPr>
                        <w:r>
                          <w:rPr>
                            <w:rFonts w:ascii="宋体" w:hAnsi="宋体" w:cs="宋体" w:eastAsia="宋体" w:hint="default"/>
                            <w:sz w:val="18"/>
                            <w:szCs w:val="18"/>
                          </w:rPr>
                          <w:t>项目达到预定可 使用状态日期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0" w:right="5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61"/>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明光</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20MW</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电站</w:t>
                        </w:r>
                      </w:p>
                    </w:tc>
                    <w:tc>
                      <w:tcPr>
                        <w:tcW w:w="886" w:type="dxa"/>
                        <w:vMerge w:val="restart"/>
                        <w:tcBorders>
                          <w:top w:val="single" w:sz="4" w:space="0" w:color="000000"/>
                          <w:left w:val="single" w:sz="4" w:space="0" w:color="000000"/>
                          <w:right w:val="single" w:sz="9" w:space="0" w:color="FFFFFF"/>
                        </w:tcBorders>
                      </w:tcPr>
                      <w:p>
                        <w:pPr>
                          <w:pStyle w:val="TableParagraph"/>
                          <w:spacing w:line="240" w:lineRule="auto" w:before="76"/>
                          <w:ind w:left="22" w:right="-23"/>
                          <w:jc w:val="left"/>
                          <w:rPr>
                            <w:rFonts w:ascii="宋体" w:hAnsi="宋体" w:cs="宋体" w:eastAsia="宋体" w:hint="default"/>
                            <w:sz w:val="18"/>
                            <w:szCs w:val="18"/>
                          </w:rPr>
                        </w:pPr>
                        <w:r>
                          <w:rPr>
                            <w:rFonts w:ascii="宋体" w:hAnsi="宋体" w:cs="宋体" w:eastAsia="宋体" w:hint="default"/>
                            <w:spacing w:val="27"/>
                            <w:sz w:val="18"/>
                            <w:szCs w:val="18"/>
                          </w:rPr>
                          <w:t>凤庆爱康</w:t>
                        </w:r>
                        <w:r>
                          <w:rPr>
                            <w:rFonts w:ascii="宋体" w:hAnsi="宋体" w:cs="宋体" w:eastAsia="宋体" w:hint="default"/>
                            <w:spacing w:val="-53"/>
                            <w:sz w:val="18"/>
                            <w:szCs w:val="18"/>
                          </w:rPr>
                          <w:t> </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50MW</w:t>
                        </w:r>
                        <w:r>
                          <w:rPr>
                            <w:rFonts w:ascii="宋体" w:hAnsi="宋体" w:cs="宋体" w:eastAsia="宋体" w:hint="default"/>
                            <w:sz w:val="18"/>
                            <w:szCs w:val="18"/>
                          </w:rPr>
                          <w:t>、</w:t>
                        </w:r>
                      </w:p>
                      <w:p>
                        <w:pPr>
                          <w:pStyle w:val="TableParagraph"/>
                          <w:spacing w:line="240" w:lineRule="auto" w:before="102"/>
                          <w:ind w:left="22" w:right="-23"/>
                          <w:jc w:val="left"/>
                          <w:rPr>
                            <w:rFonts w:ascii="宋体" w:hAnsi="宋体" w:cs="宋体" w:eastAsia="宋体" w:hint="default"/>
                            <w:sz w:val="18"/>
                            <w:szCs w:val="18"/>
                          </w:rPr>
                        </w:pPr>
                        <w:r>
                          <w:rPr>
                            <w:rFonts w:ascii="宋体" w:hAnsi="宋体" w:cs="宋体" w:eastAsia="宋体" w:hint="default"/>
                            <w:spacing w:val="27"/>
                            <w:sz w:val="18"/>
                            <w:szCs w:val="18"/>
                          </w:rPr>
                          <w:t>嘉祥昱辉</w:t>
                        </w:r>
                        <w:r>
                          <w:rPr>
                            <w:rFonts w:ascii="宋体" w:hAnsi="宋体" w:cs="宋体" w:eastAsia="宋体" w:hint="default"/>
                            <w:spacing w:val="-53"/>
                            <w:sz w:val="18"/>
                            <w:szCs w:val="18"/>
                          </w:rPr>
                          <w:t> </w:t>
                        </w:r>
                        <w:r>
                          <w:rPr>
                            <w:rFonts w:ascii="宋体" w:hAnsi="宋体" w:cs="宋体" w:eastAsia="宋体" w:hint="default"/>
                            <w:sz w:val="18"/>
                            <w:szCs w:val="18"/>
                          </w:rPr>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20MW</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center"/>
                          <w:rPr>
                            <w:rFonts w:ascii="Times New Roman" w:hAnsi="Times New Roman" w:cs="Times New Roman" w:eastAsia="Times New Roman" w:hint="default"/>
                            <w:sz w:val="18"/>
                            <w:szCs w:val="18"/>
                          </w:rPr>
                        </w:pPr>
                        <w:r>
                          <w:rPr>
                            <w:rFonts w:ascii="Times New Roman"/>
                            <w:sz w:val="18"/>
                          </w:rPr>
                          <w:t>4,000.53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月并网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714.98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伊川</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50MW</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电站</w:t>
                        </w:r>
                      </w:p>
                    </w:tc>
                    <w:tc>
                      <w:tcPr>
                        <w:tcW w:w="886" w:type="dxa"/>
                        <w:vMerge/>
                        <w:tcBorders>
                          <w:left w:val="single" w:sz="4" w:space="0" w:color="000000"/>
                          <w:bottom w:val="single" w:sz="4" w:space="0" w:color="000000"/>
                          <w:right w:val="single" w:sz="9" w:space="0" w:color="FFFFFF"/>
                        </w:tcBorders>
                      </w:tcPr>
                      <w:p>
                        <w:pP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center"/>
                          <w:rPr>
                            <w:rFonts w:ascii="Times New Roman" w:hAnsi="Times New Roman" w:cs="Times New Roman" w:eastAsia="Times New Roman" w:hint="default"/>
                            <w:sz w:val="18"/>
                            <w:szCs w:val="18"/>
                          </w:rPr>
                        </w:pPr>
                        <w:r>
                          <w:rPr>
                            <w:rFonts w:ascii="Times New Roman"/>
                            <w:sz w:val="18"/>
                          </w:rPr>
                          <w:t>13,401.9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20.22MW </w:t>
                        </w:r>
                        <w:r>
                          <w:rPr>
                            <w:rFonts w:ascii="宋体" w:hAnsi="宋体" w:cs="宋体" w:eastAsia="宋体" w:hint="default"/>
                            <w:sz w:val="18"/>
                            <w:szCs w:val="18"/>
                          </w:rPr>
                          <w:t>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月并网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697.77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17,402.43</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1,412.76</w:t>
                        </w:r>
                      </w:p>
                    </w:tc>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3210" w:hRule="exact"/>
                    </w:trPr>
                    <w:tc>
                      <w:tcPr>
                        <w:tcW w:w="29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63"/>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变更原因、决策程序及信息披露情况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594" w:type="dxa"/>
                        <w:gridSpan w:val="7"/>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日召开的第三届董事会第三次临时会议审议通过了《关于部分募投 项目结项并将节余募集资金用于其他募投项目的议案》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同意将公司在云南凤庆县大 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50MW</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项目及山东嘉祥昱辉</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光伏发电项目节余募集资金投资安徽省明光爱 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光伏电站项目、河南省伊川佳康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光伏电站项目。云南凤庆县大兴 </w:t>
                        </w:r>
                        <w:r>
                          <w:rPr>
                            <w:rFonts w:ascii="Times New Roman" w:hAnsi="Times New Roman" w:cs="Times New Roman" w:eastAsia="Times New Roman" w:hint="default"/>
                            <w:sz w:val="18"/>
                            <w:szCs w:val="18"/>
                          </w:rPr>
                          <w:t>50MW </w:t>
                        </w:r>
                        <w:r>
                          <w:rPr>
                            <w:rFonts w:ascii="宋体" w:hAnsi="宋体" w:cs="宋体" w:eastAsia="宋体" w:hint="default"/>
                            <w:sz w:val="18"/>
                            <w:szCs w:val="18"/>
                          </w:rPr>
                          <w:t>项目及山东嘉祥昱辉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光伏发电项目已建成并网发电。上述项目在施 工过程中，项目的部分土地地质情况不适合用于安装光伏组件等电站设备，因此减 少项目的投资规模，节余募集资金共计 </w:t>
                        </w:r>
                        <w:r>
                          <w:rPr>
                            <w:rFonts w:ascii="Times New Roman" w:hAnsi="Times New Roman" w:cs="Times New Roman" w:eastAsia="Times New Roman" w:hint="default"/>
                            <w:sz w:val="18"/>
                            <w:szCs w:val="18"/>
                          </w:rPr>
                          <w:t>17,400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万元。为提高募集资金投资回报率 公司将节余资金投资安徽省明光爱康 </w:t>
                        </w:r>
                        <w:r>
                          <w:rPr>
                            <w:rFonts w:ascii="Times New Roman" w:hAnsi="Times New Roman" w:cs="Times New Roman" w:eastAsia="Times New Roman" w:hint="default"/>
                            <w:sz w:val="18"/>
                            <w:szCs w:val="18"/>
                          </w:rPr>
                          <w:t>20MW </w:t>
                        </w:r>
                        <w:r>
                          <w:rPr>
                            <w:rFonts w:ascii="宋体" w:hAnsi="宋体" w:cs="宋体" w:eastAsia="宋体" w:hint="default"/>
                            <w:sz w:val="18"/>
                            <w:szCs w:val="18"/>
                          </w:rPr>
                          <w:t>光伏电站项目，项目投资总额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17,000 </w:t>
                        </w:r>
                        <w:r>
                          <w:rPr>
                            <w:rFonts w:ascii="宋体" w:hAnsi="宋体" w:cs="宋体" w:eastAsia="宋体" w:hint="default"/>
                            <w:sz w:val="18"/>
                            <w:szCs w:val="18"/>
                          </w:rPr>
                          <w:t>万元，使用募集资金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万元；河南省伊川佳康</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50MW</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光伏电站项目，项目总投 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42,500 </w:t>
                        </w:r>
                        <w:r>
                          <w:rPr>
                            <w:rFonts w:ascii="宋体" w:hAnsi="宋体" w:cs="宋体" w:eastAsia="宋体" w:hint="default"/>
                            <w:sz w:val="18"/>
                            <w:szCs w:val="18"/>
                          </w:rPr>
                          <w:t>万元，使用募集资金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29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3"/>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未达到计划进度或预计收益的情况和 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59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明光、伊川项目主要系由于政策调整导致并网电价下降所致。</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12"/>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978"/>
        <w:gridCol w:w="6594"/>
      </w:tblGrid>
      <w:tr>
        <w:trPr>
          <w:trHeight w:val="332" w:hRule="exact"/>
        </w:trPr>
        <w:tc>
          <w:tcPr>
            <w:tcW w:w="2978" w:type="dxa"/>
            <w:tcBorders>
              <w:top w:val="single" w:sz="6" w:space="0" w:color="000000"/>
              <w:left w:val="nil" w:sz="6" w:space="0" w:color="auto"/>
              <w:bottom w:val="single" w:sz="4" w:space="0" w:color="000000"/>
              <w:right w:val="nil" w:sz="6" w:space="0" w:color="auto"/>
            </w:tcBorders>
          </w:tcPr>
          <w:p>
            <w:pPr/>
          </w:p>
        </w:tc>
        <w:tc>
          <w:tcPr>
            <w:tcW w:w="6594" w:type="dxa"/>
            <w:tcBorders>
              <w:top w:val="single" w:sz="6" w:space="0" w:color="000000"/>
              <w:left w:val="nil" w:sz="6" w:space="0" w:color="auto"/>
              <w:bottom w:val="single" w:sz="4" w:space="0" w:color="000000"/>
              <w:right w:val="nil" w:sz="6" w:space="0" w:color="auto"/>
            </w:tcBorders>
          </w:tcPr>
          <w:p>
            <w:pP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 情况说明</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变更后的项目可行性无重大变化</w:t>
            </w:r>
          </w:p>
        </w:tc>
      </w:tr>
    </w:tbl>
    <w:p>
      <w:pPr>
        <w:spacing w:line="240" w:lineRule="auto" w:before="2"/>
        <w:rPr>
          <w:rFonts w:ascii="宋体" w:hAnsi="宋体" w:cs="宋体" w:eastAsia="宋体" w:hint="default"/>
          <w:sz w:val="18"/>
          <w:szCs w:val="18"/>
        </w:rPr>
      </w:pPr>
    </w:p>
    <w:p>
      <w:pPr>
        <w:pStyle w:val="Heading2"/>
        <w:spacing w:line="240" w:lineRule="auto" w:before="26"/>
        <w:ind w:left="134"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34"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34"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2"/>
        <w:rPr>
          <w:rFonts w:ascii="宋体" w:hAnsi="宋体" w:cs="宋体" w:eastAsia="宋体" w:hint="default"/>
          <w:sz w:val="20"/>
          <w:szCs w:val="20"/>
        </w:rPr>
      </w:pPr>
    </w:p>
    <w:p>
      <w:pPr>
        <w:pStyle w:val="Heading3"/>
        <w:spacing w:line="240" w:lineRule="auto"/>
        <w:ind w:left="134" w:right="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83"/>
        <w:gridCol w:w="458"/>
        <w:gridCol w:w="499"/>
        <w:gridCol w:w="833"/>
        <w:gridCol w:w="1069"/>
        <w:gridCol w:w="1337"/>
        <w:gridCol w:w="892"/>
        <w:gridCol w:w="330"/>
        <w:gridCol w:w="316"/>
        <w:gridCol w:w="358"/>
        <w:gridCol w:w="396"/>
        <w:gridCol w:w="831"/>
        <w:gridCol w:w="499"/>
        <w:gridCol w:w="1495"/>
      </w:tblGrid>
      <w:tr>
        <w:trPr>
          <w:trHeight w:val="4146" w:hRule="exact"/>
        </w:trPr>
        <w:tc>
          <w:tcPr>
            <w:tcW w:w="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96" w:right="95"/>
              <w:jc w:val="both"/>
              <w:rPr>
                <w:rFonts w:ascii="宋体" w:hAnsi="宋体" w:cs="宋体" w:eastAsia="宋体" w:hint="default"/>
                <w:sz w:val="18"/>
                <w:szCs w:val="18"/>
              </w:rPr>
            </w:pPr>
            <w:r>
              <w:rPr>
                <w:rFonts w:ascii="宋体" w:hAnsi="宋体" w:cs="宋体" w:eastAsia="宋体" w:hint="default"/>
                <w:sz w:val="18"/>
                <w:szCs w:val="18"/>
              </w:rPr>
              <w:t>交 易 对 方</w:t>
            </w:r>
          </w:p>
        </w:tc>
        <w:tc>
          <w:tcPr>
            <w:tcW w:w="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被出 售股 权</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54" w:right="62"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51"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5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44" w:hanging="68"/>
              <w:jc w:val="center"/>
              <w:rPr>
                <w:rFonts w:ascii="宋体" w:hAnsi="宋体" w:cs="宋体" w:eastAsia="宋体" w:hint="default"/>
                <w:sz w:val="18"/>
                <w:szCs w:val="18"/>
              </w:rPr>
            </w:pPr>
            <w:r>
              <w:rPr>
                <w:rFonts w:ascii="宋体" w:hAnsi="宋体" w:cs="宋体" w:eastAsia="宋体" w:hint="default"/>
                <w:sz w:val="18"/>
                <w:szCs w:val="18"/>
              </w:rPr>
              <w:t>本期初起至 出售日该股 权为上市公 司贡献的净 利润（万元）</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573" w:right="33" w:hanging="541"/>
              <w:jc w:val="left"/>
              <w:rPr>
                <w:rFonts w:ascii="宋体" w:hAnsi="宋体" w:cs="宋体" w:eastAsia="宋体" w:hint="default"/>
                <w:sz w:val="18"/>
                <w:szCs w:val="18"/>
              </w:rPr>
            </w:pPr>
            <w:r>
              <w:rPr>
                <w:rFonts w:ascii="宋体" w:hAnsi="宋体" w:cs="宋体" w:eastAsia="宋体" w:hint="default"/>
                <w:sz w:val="18"/>
                <w:szCs w:val="18"/>
              </w:rPr>
              <w:t>出售对公司的影 响</w:t>
            </w:r>
          </w:p>
        </w:tc>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80" w:right="79"/>
              <w:jc w:val="both"/>
              <w:rPr>
                <w:rFonts w:ascii="宋体" w:hAnsi="宋体" w:cs="宋体" w:eastAsia="宋体" w:hint="default"/>
                <w:sz w:val="18"/>
                <w:szCs w:val="18"/>
              </w:rPr>
            </w:pPr>
            <w:r>
              <w:rPr>
                <w:rFonts w:ascii="宋体" w:hAnsi="宋体" w:cs="宋体" w:eastAsia="宋体" w:hint="default"/>
                <w:sz w:val="18"/>
                <w:szCs w:val="18"/>
              </w:rPr>
              <w:t>股权出售 为上市公 司贡献的 净利润占 净利润总 额的比例</w:t>
            </w:r>
          </w:p>
        </w:tc>
        <w:tc>
          <w:tcPr>
            <w:tcW w:w="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8"/>
              <w:jc w:val="both"/>
              <w:rPr>
                <w:rFonts w:ascii="宋体" w:hAnsi="宋体" w:cs="宋体" w:eastAsia="宋体" w:hint="default"/>
                <w:sz w:val="18"/>
                <w:szCs w:val="18"/>
              </w:rPr>
            </w:pPr>
            <w:r>
              <w:rPr>
                <w:rFonts w:ascii="宋体" w:hAnsi="宋体" w:cs="宋体" w:eastAsia="宋体" w:hint="default"/>
                <w:sz w:val="18"/>
                <w:szCs w:val="18"/>
              </w:rPr>
              <w:t>股 权 出 售 定 价 原 则</w:t>
            </w:r>
          </w:p>
        </w:tc>
        <w:tc>
          <w:tcPr>
            <w:tcW w:w="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2" w:right="61"/>
              <w:jc w:val="both"/>
              <w:rPr>
                <w:rFonts w:ascii="宋体" w:hAnsi="宋体" w:cs="宋体" w:eastAsia="宋体" w:hint="default"/>
                <w:sz w:val="18"/>
                <w:szCs w:val="18"/>
              </w:rPr>
            </w:pPr>
            <w:r>
              <w:rPr>
                <w:rFonts w:ascii="宋体" w:hAnsi="宋体" w:cs="宋体" w:eastAsia="宋体" w:hint="default"/>
                <w:sz w:val="18"/>
                <w:szCs w:val="18"/>
              </w:rPr>
              <w:t>是 否 为 关 联 交 易</w:t>
            </w:r>
          </w:p>
        </w:tc>
        <w:tc>
          <w:tcPr>
            <w:tcW w:w="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84" w:right="83"/>
              <w:jc w:val="both"/>
              <w:rPr>
                <w:rFonts w:ascii="宋体" w:hAnsi="宋体" w:cs="宋体" w:eastAsia="宋体" w:hint="default"/>
                <w:sz w:val="18"/>
                <w:szCs w:val="18"/>
              </w:rPr>
            </w:pPr>
            <w:r>
              <w:rPr>
                <w:rFonts w:ascii="宋体" w:hAnsi="宋体" w:cs="宋体" w:eastAsia="宋体" w:hint="default"/>
                <w:sz w:val="18"/>
                <w:szCs w:val="18"/>
              </w:rPr>
              <w:t>与 交 易 对 方 的 关 联 关 系</w:t>
            </w:r>
          </w:p>
        </w:tc>
        <w:tc>
          <w:tcPr>
            <w:tcW w:w="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02"/>
              <w:jc w:val="both"/>
              <w:rPr>
                <w:rFonts w:ascii="宋体" w:hAnsi="宋体" w:cs="宋体" w:eastAsia="宋体" w:hint="default"/>
                <w:sz w:val="18"/>
                <w:szCs w:val="18"/>
              </w:rPr>
            </w:pPr>
            <w:r>
              <w:rPr>
                <w:rFonts w:ascii="宋体" w:hAnsi="宋体" w:cs="宋体" w:eastAsia="宋体" w:hint="default"/>
                <w:sz w:val="18"/>
                <w:szCs w:val="18"/>
              </w:rPr>
              <w:t>所 涉 及 的 股 权 是 否 已 全 部 过 户</w:t>
            </w:r>
          </w:p>
        </w:tc>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9" w:right="51"/>
              <w:jc w:val="center"/>
              <w:rPr>
                <w:rFonts w:ascii="宋体" w:hAnsi="宋体" w:cs="宋体" w:eastAsia="宋体" w:hint="default"/>
                <w:sz w:val="18"/>
                <w:szCs w:val="18"/>
              </w:rPr>
            </w:pPr>
            <w:r>
              <w:rPr>
                <w:rFonts w:ascii="宋体" w:hAnsi="宋体" w:cs="宋体" w:eastAsia="宋体" w:hint="default"/>
                <w:sz w:val="18"/>
                <w:szCs w:val="18"/>
              </w:rPr>
              <w:t>是否按计 划如期实 施，如未 按计划实 施，应当 说明原因 及公司已 采取的措 施</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64" w:right="62"/>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0" w:hRule="exact"/>
        </w:trPr>
        <w:tc>
          <w:tcPr>
            <w:tcW w:w="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96" w:right="95"/>
              <w:jc w:val="both"/>
              <w:rPr>
                <w:rFonts w:ascii="宋体" w:hAnsi="宋体" w:cs="宋体" w:eastAsia="宋体" w:hint="default"/>
                <w:sz w:val="18"/>
                <w:szCs w:val="18"/>
              </w:rPr>
            </w:pPr>
            <w:r>
              <w:rPr>
                <w:rFonts w:ascii="宋体" w:hAnsi="宋体" w:cs="宋体" w:eastAsia="宋体" w:hint="default"/>
                <w:sz w:val="18"/>
                <w:szCs w:val="18"/>
              </w:rPr>
              <w:t>爱 康 能 源 株 式 会 社</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日本 爱康 株式 会社</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6,475.92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-186.52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both"/>
              <w:rPr>
                <w:rFonts w:ascii="宋体" w:hAnsi="宋体" w:cs="宋体" w:eastAsia="宋体" w:hint="default"/>
                <w:sz w:val="18"/>
                <w:szCs w:val="18"/>
              </w:rPr>
            </w:pPr>
            <w:r>
              <w:rPr>
                <w:rFonts w:ascii="宋体" w:hAnsi="宋体" w:cs="宋体" w:eastAsia="宋体" w:hint="default"/>
                <w:spacing w:val="2"/>
                <w:sz w:val="18"/>
                <w:szCs w:val="18"/>
              </w:rPr>
              <w:t>有利于增加公司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自有运营资金，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优化公司资产结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构，</w:t>
            </w:r>
            <w:r>
              <w:rPr>
                <w:rFonts w:ascii="宋体" w:hAnsi="宋体" w:cs="宋体" w:eastAsia="宋体" w:hint="default"/>
                <w:spacing w:val="-70"/>
                <w:sz w:val="18"/>
                <w:szCs w:val="18"/>
              </w:rPr>
              <w:t> </w:t>
            </w:r>
            <w:r>
              <w:rPr>
                <w:rFonts w:ascii="宋体" w:hAnsi="宋体" w:cs="宋体" w:eastAsia="宋体" w:hint="default"/>
                <w:sz w:val="18"/>
                <w:szCs w:val="18"/>
              </w:rPr>
              <w:t>集中资源优</w:t>
            </w:r>
            <w:r>
              <w:rPr>
                <w:rFonts w:ascii="宋体" w:hAnsi="宋体" w:cs="宋体" w:eastAsia="宋体" w:hint="default"/>
                <w:sz w:val="18"/>
                <w:szCs w:val="18"/>
              </w:rPr>
              <w:t> </w:t>
            </w:r>
            <w:r>
              <w:rPr>
                <w:rFonts w:ascii="宋体" w:hAnsi="宋体" w:cs="宋体" w:eastAsia="宋体" w:hint="default"/>
                <w:spacing w:val="2"/>
                <w:sz w:val="18"/>
                <w:szCs w:val="18"/>
              </w:rPr>
              <w:t>势聚焦主业，更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好推进主营业务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的发展，促进公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司整体发展战略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的实 </w:t>
            </w:r>
            <w:r>
              <w:rPr>
                <w:rFonts w:ascii="宋体" w:hAnsi="宋体" w:cs="宋体" w:eastAsia="宋体" w:hint="default"/>
                <w:spacing w:val="-14"/>
                <w:sz w:val="18"/>
                <w:szCs w:val="18"/>
              </w:rPr>
              <w:t>现，实现公</w:t>
            </w:r>
            <w:r>
              <w:rPr>
                <w:rFonts w:ascii="宋体" w:hAnsi="宋体" w:cs="宋体" w:eastAsia="宋体" w:hint="default"/>
                <w:sz w:val="18"/>
                <w:szCs w:val="18"/>
              </w:rPr>
              <w:t> 司利益最大化。</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10.84%</w:t>
            </w:r>
          </w:p>
        </w:tc>
        <w:tc>
          <w:tcPr>
            <w:tcW w:w="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9" w:right="68"/>
              <w:jc w:val="both"/>
              <w:rPr>
                <w:rFonts w:ascii="宋体" w:hAnsi="宋体" w:cs="宋体" w:eastAsia="宋体" w:hint="default"/>
                <w:sz w:val="18"/>
                <w:szCs w:val="18"/>
              </w:rPr>
            </w:pPr>
            <w:r>
              <w:rPr>
                <w:rFonts w:ascii="宋体" w:hAnsi="宋体" w:cs="宋体" w:eastAsia="宋体" w:hint="default"/>
                <w:sz w:val="18"/>
                <w:szCs w:val="18"/>
              </w:rPr>
              <w:t>收 益 法 评 估</w:t>
            </w:r>
          </w:p>
        </w:tc>
        <w:tc>
          <w:tcPr>
            <w:tcW w:w="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84" w:right="83"/>
              <w:jc w:val="both"/>
              <w:rPr>
                <w:rFonts w:ascii="宋体" w:hAnsi="宋体" w:cs="宋体" w:eastAsia="宋体" w:hint="default"/>
                <w:sz w:val="18"/>
                <w:szCs w:val="18"/>
              </w:rPr>
            </w:pPr>
            <w:r>
              <w:rPr>
                <w:rFonts w:ascii="宋体" w:hAnsi="宋体" w:cs="宋体" w:eastAsia="宋体" w:hint="default"/>
                <w:sz w:val="18"/>
                <w:szCs w:val="18"/>
              </w:rPr>
              <w:t>同 受 控 股 股 东 控 制</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22"/>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巨潮资讯网：《关</w:t>
            </w:r>
            <w:r>
              <w:rPr>
                <w:rFonts w:ascii="宋体" w:hAnsi="宋体" w:cs="宋体" w:eastAsia="宋体" w:hint="default"/>
                <w:sz w:val="18"/>
                <w:szCs w:val="18"/>
              </w:rPr>
              <w:t> 于</w:t>
            </w:r>
            <w:r>
              <w:rPr>
                <w:rFonts w:ascii="宋体" w:hAnsi="宋体" w:cs="宋体" w:eastAsia="宋体" w:hint="default"/>
                <w:spacing w:val="-61"/>
                <w:sz w:val="18"/>
                <w:szCs w:val="18"/>
              </w:rPr>
              <w:t> </w:t>
            </w:r>
            <w:r>
              <w:rPr>
                <w:rFonts w:ascii="宋体" w:hAnsi="宋体" w:cs="宋体" w:eastAsia="宋体" w:hint="default"/>
                <w:sz w:val="18"/>
                <w:szCs w:val="18"/>
              </w:rPr>
              <w:t>转</w:t>
            </w:r>
            <w:r>
              <w:rPr>
                <w:rFonts w:ascii="宋体" w:hAnsi="宋体" w:cs="宋体" w:eastAsia="宋体" w:hint="default"/>
                <w:spacing w:val="-61"/>
                <w:sz w:val="18"/>
                <w:szCs w:val="18"/>
              </w:rPr>
              <w:t> </w:t>
            </w:r>
            <w:r>
              <w:rPr>
                <w:rFonts w:ascii="宋体" w:hAnsi="宋体" w:cs="宋体" w:eastAsia="宋体" w:hint="default"/>
                <w:sz w:val="18"/>
                <w:szCs w:val="18"/>
              </w:rPr>
              <w:t>让</w:t>
            </w:r>
            <w:r>
              <w:rPr>
                <w:rFonts w:ascii="宋体" w:hAnsi="宋体" w:cs="宋体" w:eastAsia="宋体" w:hint="default"/>
                <w:spacing w:val="-61"/>
                <w:sz w:val="18"/>
                <w:szCs w:val="18"/>
              </w:rPr>
              <w:t> </w:t>
            </w:r>
            <w:r>
              <w:rPr>
                <w:rFonts w:ascii="宋体" w:hAnsi="宋体" w:cs="宋体" w:eastAsia="宋体" w:hint="default"/>
                <w:sz w:val="18"/>
                <w:szCs w:val="18"/>
              </w:rPr>
              <w:t>日</w:t>
            </w:r>
            <w:r>
              <w:rPr>
                <w:rFonts w:ascii="宋体" w:hAnsi="宋体" w:cs="宋体" w:eastAsia="宋体" w:hint="default"/>
                <w:spacing w:val="-61"/>
                <w:sz w:val="18"/>
                <w:szCs w:val="18"/>
              </w:rPr>
              <w:t> </w:t>
            </w:r>
            <w:r>
              <w:rPr>
                <w:rFonts w:ascii="宋体" w:hAnsi="宋体" w:cs="宋体" w:eastAsia="宋体" w:hint="default"/>
                <w:sz w:val="18"/>
                <w:szCs w:val="18"/>
              </w:rPr>
              <w:t>本</w:t>
            </w:r>
            <w:r>
              <w:rPr>
                <w:rFonts w:ascii="宋体" w:hAnsi="宋体" w:cs="宋体" w:eastAsia="宋体" w:hint="default"/>
                <w:spacing w:val="-62"/>
                <w:sz w:val="18"/>
                <w:szCs w:val="18"/>
              </w:rPr>
              <w:t> </w:t>
            </w:r>
            <w:r>
              <w:rPr>
                <w:rFonts w:ascii="宋体" w:hAnsi="宋体" w:cs="宋体" w:eastAsia="宋体" w:hint="default"/>
                <w:sz w:val="18"/>
                <w:szCs w:val="18"/>
              </w:rPr>
              <w:t>全</w:t>
            </w:r>
            <w:r>
              <w:rPr>
                <w:rFonts w:ascii="宋体" w:hAnsi="宋体" w:cs="宋体" w:eastAsia="宋体" w:hint="default"/>
                <w:spacing w:val="-61"/>
                <w:sz w:val="18"/>
                <w:szCs w:val="18"/>
              </w:rPr>
              <w:t> </w:t>
            </w:r>
            <w:r>
              <w:rPr>
                <w:rFonts w:ascii="宋体" w:hAnsi="宋体" w:cs="宋体" w:eastAsia="宋体" w:hint="default"/>
                <w:sz w:val="18"/>
                <w:szCs w:val="18"/>
              </w:rPr>
              <w:t>资</w:t>
            </w:r>
            <w:r>
              <w:rPr>
                <w:rFonts w:ascii="宋体" w:hAnsi="宋体" w:cs="宋体" w:eastAsia="宋体" w:hint="default"/>
                <w:sz w:val="18"/>
                <w:szCs w:val="18"/>
              </w:rPr>
              <w:t> 孙</w:t>
            </w:r>
            <w:r>
              <w:rPr>
                <w:rFonts w:ascii="宋体" w:hAnsi="宋体" w:cs="宋体" w:eastAsia="宋体" w:hint="default"/>
                <w:spacing w:val="-61"/>
                <w:sz w:val="18"/>
                <w:szCs w:val="18"/>
              </w:rPr>
              <w:t> </w:t>
            </w:r>
            <w:r>
              <w:rPr>
                <w:rFonts w:ascii="宋体" w:hAnsi="宋体" w:cs="宋体" w:eastAsia="宋体" w:hint="default"/>
                <w:sz w:val="18"/>
                <w:szCs w:val="18"/>
              </w:rPr>
              <w:t>公</w:t>
            </w:r>
            <w:r>
              <w:rPr>
                <w:rFonts w:ascii="宋体" w:hAnsi="宋体" w:cs="宋体" w:eastAsia="宋体" w:hint="default"/>
                <w:spacing w:val="-61"/>
                <w:sz w:val="18"/>
                <w:szCs w:val="18"/>
              </w:rPr>
              <w:t> </w:t>
            </w:r>
            <w:r>
              <w:rPr>
                <w:rFonts w:ascii="宋体" w:hAnsi="宋体" w:cs="宋体" w:eastAsia="宋体" w:hint="default"/>
                <w:sz w:val="18"/>
                <w:szCs w:val="18"/>
              </w:rPr>
              <w:t>司</w:t>
            </w:r>
            <w:r>
              <w:rPr>
                <w:rFonts w:ascii="宋体" w:hAnsi="宋体" w:cs="宋体" w:eastAsia="宋体" w:hint="default"/>
                <w:spacing w:val="-61"/>
                <w:sz w:val="18"/>
                <w:szCs w:val="18"/>
              </w:rPr>
              <w:t> </w:t>
            </w:r>
            <w:r>
              <w:rPr>
                <w:rFonts w:ascii="宋体" w:hAnsi="宋体" w:cs="宋体" w:eastAsia="宋体" w:hint="default"/>
                <w:sz w:val="18"/>
                <w:szCs w:val="18"/>
              </w:rPr>
              <w:t>的</w:t>
            </w:r>
            <w:r>
              <w:rPr>
                <w:rFonts w:ascii="宋体" w:hAnsi="宋体" w:cs="宋体" w:eastAsia="宋体" w:hint="default"/>
                <w:spacing w:val="-61"/>
                <w:sz w:val="18"/>
                <w:szCs w:val="18"/>
              </w:rPr>
              <w:t> </w:t>
            </w:r>
            <w:r>
              <w:rPr>
                <w:rFonts w:ascii="宋体" w:hAnsi="宋体" w:cs="宋体" w:eastAsia="宋体" w:hint="default"/>
                <w:sz w:val="18"/>
                <w:szCs w:val="18"/>
              </w:rPr>
              <w:t>交</w:t>
            </w:r>
            <w:r>
              <w:rPr>
                <w:rFonts w:ascii="宋体" w:hAnsi="宋体" w:cs="宋体" w:eastAsia="宋体" w:hint="default"/>
                <w:spacing w:val="-62"/>
                <w:sz w:val="18"/>
                <w:szCs w:val="18"/>
              </w:rPr>
              <w:t> </w:t>
            </w:r>
            <w:r>
              <w:rPr>
                <w:rFonts w:ascii="宋体" w:hAnsi="宋体" w:cs="宋体" w:eastAsia="宋体" w:hint="default"/>
                <w:sz w:val="18"/>
                <w:szCs w:val="18"/>
              </w:rPr>
              <w:t>易</w:t>
            </w:r>
            <w:r>
              <w:rPr>
                <w:rFonts w:ascii="宋体" w:hAnsi="宋体" w:cs="宋体" w:eastAsia="宋体" w:hint="default"/>
                <w:spacing w:val="-61"/>
                <w:sz w:val="18"/>
                <w:szCs w:val="18"/>
              </w:rPr>
              <w:t> </w:t>
            </w:r>
            <w:r>
              <w:rPr>
                <w:rFonts w:ascii="宋体" w:hAnsi="宋体" w:cs="宋体" w:eastAsia="宋体" w:hint="default"/>
                <w:sz w:val="18"/>
                <w:szCs w:val="18"/>
              </w:rPr>
              <w:t>完</w:t>
            </w:r>
            <w:r>
              <w:rPr>
                <w:rFonts w:ascii="宋体" w:hAnsi="宋体" w:cs="宋体" w:eastAsia="宋体" w:hint="default"/>
                <w:sz w:val="18"/>
                <w:szCs w:val="18"/>
              </w:rPr>
              <w:t> 成公告</w:t>
            </w:r>
            <w:r>
              <w:rPr>
                <w:rFonts w:ascii="宋体" w:hAnsi="宋体" w:cs="宋体" w:eastAsia="宋体" w:hint="default"/>
                <w:spacing w:val="2"/>
                <w:sz w:val="18"/>
                <w:szCs w:val="18"/>
              </w:rPr>
              <w:t> </w:t>
            </w:r>
            <w:r>
              <w:rPr>
                <w:rFonts w:ascii="宋体" w:hAnsi="宋体" w:cs="宋体" w:eastAsia="宋体" w:hint="default"/>
                <w:spacing w:val="-19"/>
                <w:sz w:val="18"/>
                <w:szCs w:val="18"/>
              </w:rPr>
              <w:t>》，公告编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2018-52</w:t>
            </w:r>
          </w:p>
        </w:tc>
      </w:tr>
      <w:tr>
        <w:trPr>
          <w:trHeight w:val="2235" w:hRule="exact"/>
        </w:trPr>
        <w:tc>
          <w:tcPr>
            <w:tcW w:w="3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96" w:right="95"/>
              <w:jc w:val="both"/>
              <w:rPr>
                <w:rFonts w:ascii="宋体" w:hAnsi="宋体" w:cs="宋体" w:eastAsia="宋体" w:hint="default"/>
                <w:sz w:val="18"/>
                <w:szCs w:val="18"/>
              </w:rPr>
            </w:pPr>
            <w:r>
              <w:rPr>
                <w:rFonts w:ascii="宋体" w:hAnsi="宋体" w:cs="宋体" w:eastAsia="宋体" w:hint="default"/>
                <w:sz w:val="18"/>
                <w:szCs w:val="18"/>
              </w:rPr>
              <w:t>浙 江 清 能 能 源 发</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firstLine="20"/>
              <w:jc w:val="both"/>
              <w:rPr>
                <w:rFonts w:ascii="宋体" w:hAnsi="宋体" w:cs="宋体" w:eastAsia="宋体" w:hint="default"/>
                <w:sz w:val="18"/>
                <w:szCs w:val="18"/>
              </w:rPr>
            </w:pPr>
            <w:r>
              <w:rPr>
                <w:rFonts w:ascii="宋体" w:hAnsi="宋体" w:cs="宋体" w:eastAsia="宋体" w:hint="default"/>
                <w:sz w:val="18"/>
                <w:szCs w:val="18"/>
              </w:rPr>
              <w:t>苏州 中康 电力 开发 有限 公司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家</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96,663.55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13,853.43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pacing w:val="2"/>
                <w:sz w:val="18"/>
                <w:szCs w:val="18"/>
              </w:rPr>
              <w:t>有利于优化公司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资产结构，减少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负债，降低资产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负债率，增加现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金流，提高资产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流动性。</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38.59%</w:t>
            </w:r>
          </w:p>
        </w:tc>
        <w:tc>
          <w:tcPr>
            <w:tcW w:w="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收 益 法 评 估</w:t>
            </w:r>
          </w:p>
        </w:tc>
        <w:tc>
          <w:tcPr>
            <w:tcW w:w="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2"/>
              <w:jc w:val="both"/>
              <w:rPr>
                <w:rFonts w:ascii="宋体" w:hAnsi="宋体" w:cs="宋体" w:eastAsia="宋体" w:hint="default"/>
                <w:sz w:val="18"/>
                <w:szCs w:val="18"/>
              </w:rPr>
            </w:pPr>
            <w:r>
              <w:rPr>
                <w:rFonts w:ascii="宋体" w:hAnsi="宋体" w:cs="宋体" w:eastAsia="宋体" w:hint="default"/>
                <w:spacing w:val="-1"/>
                <w:sz w:val="18"/>
                <w:szCs w:val="18"/>
              </w:rPr>
              <w:t>巨潮资讯网：《关</w:t>
            </w:r>
            <w:r>
              <w:rPr>
                <w:rFonts w:ascii="宋体" w:hAnsi="宋体" w:cs="宋体" w:eastAsia="宋体" w:hint="default"/>
                <w:sz w:val="18"/>
                <w:szCs w:val="18"/>
              </w:rPr>
              <w:t> 于</w:t>
            </w:r>
            <w:r>
              <w:rPr>
                <w:rFonts w:ascii="宋体" w:hAnsi="宋体" w:cs="宋体" w:eastAsia="宋体" w:hint="default"/>
                <w:spacing w:val="-61"/>
                <w:sz w:val="18"/>
                <w:szCs w:val="18"/>
              </w:rPr>
              <w:t> </w:t>
            </w:r>
            <w:r>
              <w:rPr>
                <w:rFonts w:ascii="宋体" w:hAnsi="宋体" w:cs="宋体" w:eastAsia="宋体" w:hint="default"/>
                <w:sz w:val="18"/>
                <w:szCs w:val="18"/>
              </w:rPr>
              <w:t>与</w:t>
            </w:r>
            <w:r>
              <w:rPr>
                <w:rFonts w:ascii="宋体" w:hAnsi="宋体" w:cs="宋体" w:eastAsia="宋体" w:hint="default"/>
                <w:spacing w:val="-61"/>
                <w:sz w:val="18"/>
                <w:szCs w:val="18"/>
              </w:rPr>
              <w:t> </w:t>
            </w:r>
            <w:r>
              <w:rPr>
                <w:rFonts w:ascii="宋体" w:hAnsi="宋体" w:cs="宋体" w:eastAsia="宋体" w:hint="default"/>
                <w:sz w:val="18"/>
                <w:szCs w:val="18"/>
              </w:rPr>
              <w:t>浙</w:t>
            </w:r>
            <w:r>
              <w:rPr>
                <w:rFonts w:ascii="宋体" w:hAnsi="宋体" w:cs="宋体" w:eastAsia="宋体" w:hint="default"/>
                <w:spacing w:val="-61"/>
                <w:sz w:val="18"/>
                <w:szCs w:val="18"/>
              </w:rPr>
              <w:t> </w:t>
            </w:r>
            <w:r>
              <w:rPr>
                <w:rFonts w:ascii="宋体" w:hAnsi="宋体" w:cs="宋体" w:eastAsia="宋体" w:hint="default"/>
                <w:sz w:val="18"/>
                <w:szCs w:val="18"/>
              </w:rPr>
              <w:t>能</w:t>
            </w:r>
            <w:r>
              <w:rPr>
                <w:rFonts w:ascii="宋体" w:hAnsi="宋体" w:cs="宋体" w:eastAsia="宋体" w:hint="default"/>
                <w:spacing w:val="-61"/>
                <w:sz w:val="18"/>
                <w:szCs w:val="18"/>
              </w:rPr>
              <w:t> </w:t>
            </w:r>
            <w:r>
              <w:rPr>
                <w:rFonts w:ascii="宋体" w:hAnsi="宋体" w:cs="宋体" w:eastAsia="宋体" w:hint="default"/>
                <w:sz w:val="18"/>
                <w:szCs w:val="18"/>
              </w:rPr>
              <w:t>集</w:t>
            </w:r>
            <w:r>
              <w:rPr>
                <w:rFonts w:ascii="宋体" w:hAnsi="宋体" w:cs="宋体" w:eastAsia="宋体" w:hint="default"/>
                <w:spacing w:val="-62"/>
                <w:sz w:val="18"/>
                <w:szCs w:val="18"/>
              </w:rPr>
              <w:t> </w:t>
            </w:r>
            <w:r>
              <w:rPr>
                <w:rFonts w:ascii="宋体" w:hAnsi="宋体" w:cs="宋体" w:eastAsia="宋体" w:hint="default"/>
                <w:sz w:val="18"/>
                <w:szCs w:val="18"/>
              </w:rPr>
              <w:t>团</w:t>
            </w:r>
            <w:r>
              <w:rPr>
                <w:rFonts w:ascii="宋体" w:hAnsi="宋体" w:cs="宋体" w:eastAsia="宋体" w:hint="default"/>
                <w:spacing w:val="-61"/>
                <w:sz w:val="18"/>
                <w:szCs w:val="18"/>
              </w:rPr>
              <w:t> </w:t>
            </w:r>
            <w:r>
              <w:rPr>
                <w:rFonts w:ascii="宋体" w:hAnsi="宋体" w:cs="宋体" w:eastAsia="宋体" w:hint="default"/>
                <w:sz w:val="18"/>
                <w:szCs w:val="18"/>
              </w:rPr>
              <w:t>签</w:t>
            </w:r>
            <w:r>
              <w:rPr>
                <w:rFonts w:ascii="宋体" w:hAnsi="宋体" w:cs="宋体" w:eastAsia="宋体" w:hint="default"/>
                <w:sz w:val="18"/>
                <w:szCs w:val="18"/>
              </w:rPr>
              <w:t> 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&lt;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宋体" w:hAnsi="宋体" w:cs="宋体" w:eastAsia="宋体" w:hint="default"/>
                <w:sz w:val="18"/>
                <w:szCs w:val="18"/>
              </w:rPr>
              <w:t>权</w:t>
            </w:r>
            <w:r>
              <w:rPr>
                <w:rFonts w:ascii="宋体" w:hAnsi="宋体" w:cs="宋体" w:eastAsia="宋体" w:hint="default"/>
                <w:spacing w:val="-49"/>
                <w:sz w:val="18"/>
                <w:szCs w:val="18"/>
              </w:rPr>
              <w:t> </w:t>
            </w:r>
            <w:r>
              <w:rPr>
                <w:rFonts w:ascii="宋体" w:hAnsi="宋体" w:cs="宋体" w:eastAsia="宋体" w:hint="default"/>
                <w:sz w:val="18"/>
                <w:szCs w:val="18"/>
              </w:rPr>
              <w:t>合</w:t>
            </w:r>
            <w:r>
              <w:rPr>
                <w:rFonts w:ascii="宋体" w:hAnsi="宋体" w:cs="宋体" w:eastAsia="宋体" w:hint="default"/>
                <w:spacing w:val="-49"/>
                <w:sz w:val="18"/>
                <w:szCs w:val="18"/>
              </w:rPr>
              <w:t> </w:t>
            </w:r>
            <w:r>
              <w:rPr>
                <w:rFonts w:ascii="宋体" w:hAnsi="宋体" w:cs="宋体" w:eastAsia="宋体" w:hint="default"/>
                <w:sz w:val="18"/>
                <w:szCs w:val="18"/>
              </w:rPr>
              <w:t>作</w:t>
            </w:r>
            <w:r>
              <w:rPr>
                <w:rFonts w:ascii="宋体" w:hAnsi="宋体" w:cs="宋体" w:eastAsia="宋体" w:hint="default"/>
                <w:spacing w:val="-47"/>
                <w:sz w:val="18"/>
                <w:szCs w:val="18"/>
              </w:rPr>
              <w:t> </w:t>
            </w:r>
            <w:r>
              <w:rPr>
                <w:rFonts w:ascii="宋体" w:hAnsi="宋体" w:cs="宋体" w:eastAsia="宋体" w:hint="default"/>
                <w:sz w:val="18"/>
                <w:szCs w:val="18"/>
              </w:rPr>
              <w:t>协</w:t>
            </w:r>
            <w:r>
              <w:rPr>
                <w:rFonts w:ascii="宋体" w:hAnsi="宋体" w:cs="宋体" w:eastAsia="宋体" w:hint="default"/>
                <w:sz w:val="18"/>
                <w:szCs w:val="18"/>
              </w:rPr>
              <w:t> </w:t>
            </w:r>
            <w:r>
              <w:rPr>
                <w:rFonts w:ascii="宋体" w:hAnsi="宋体" w:cs="宋体" w:eastAsia="宋体" w:hint="default"/>
                <w:spacing w:val="9"/>
                <w:sz w:val="18"/>
                <w:szCs w:val="18"/>
              </w:rPr>
              <w:t>议</w:t>
            </w:r>
            <w:r>
              <w:rPr>
                <w:rFonts w:ascii="Times New Roman" w:hAnsi="Times New Roman" w:cs="Times New Roman" w:eastAsia="Times New Roman" w:hint="default"/>
                <w:spacing w:val="9"/>
                <w:sz w:val="18"/>
                <w:szCs w:val="18"/>
              </w:rPr>
              <w:t>&gt;</w:t>
            </w:r>
            <w:r>
              <w:rPr>
                <w:rFonts w:ascii="宋体" w:hAnsi="宋体" w:cs="宋体" w:eastAsia="宋体" w:hint="default"/>
                <w:spacing w:val="9"/>
                <w:sz w:val="18"/>
                <w:szCs w:val="18"/>
              </w:rPr>
              <w:t>暨出售光伏电</w:t>
            </w:r>
            <w:r>
              <w:rPr>
                <w:rFonts w:ascii="宋体" w:hAnsi="宋体" w:cs="宋体" w:eastAsia="宋体" w:hint="default"/>
                <w:sz w:val="18"/>
                <w:szCs w:val="18"/>
              </w:rPr>
              <w:t> 站</w:t>
            </w:r>
            <w:r>
              <w:rPr>
                <w:rFonts w:ascii="宋体" w:hAnsi="宋体" w:cs="宋体" w:eastAsia="宋体" w:hint="default"/>
                <w:spacing w:val="-61"/>
                <w:sz w:val="18"/>
                <w:szCs w:val="18"/>
              </w:rPr>
              <w:t> </w:t>
            </w:r>
            <w:r>
              <w:rPr>
                <w:rFonts w:ascii="宋体" w:hAnsi="宋体" w:cs="宋体" w:eastAsia="宋体" w:hint="default"/>
                <w:sz w:val="18"/>
                <w:szCs w:val="18"/>
              </w:rPr>
              <w:t>资</w:t>
            </w:r>
            <w:r>
              <w:rPr>
                <w:rFonts w:ascii="宋体" w:hAnsi="宋体" w:cs="宋体" w:eastAsia="宋体" w:hint="default"/>
                <w:spacing w:val="-61"/>
                <w:sz w:val="18"/>
                <w:szCs w:val="18"/>
              </w:rPr>
              <w:t> </w:t>
            </w:r>
            <w:r>
              <w:rPr>
                <w:rFonts w:ascii="宋体" w:hAnsi="宋体" w:cs="宋体" w:eastAsia="宋体" w:hint="default"/>
                <w:sz w:val="18"/>
                <w:szCs w:val="18"/>
              </w:rPr>
              <w:t>产</w:t>
            </w:r>
            <w:r>
              <w:rPr>
                <w:rFonts w:ascii="宋体" w:hAnsi="宋体" w:cs="宋体" w:eastAsia="宋体" w:hint="default"/>
                <w:spacing w:val="-61"/>
                <w:sz w:val="18"/>
                <w:szCs w:val="18"/>
              </w:rPr>
              <w:t> </w:t>
            </w:r>
            <w:r>
              <w:rPr>
                <w:rFonts w:ascii="宋体" w:hAnsi="宋体" w:cs="宋体" w:eastAsia="宋体" w:hint="default"/>
                <w:sz w:val="18"/>
                <w:szCs w:val="18"/>
              </w:rPr>
              <w:t>包</w:t>
            </w:r>
            <w:r>
              <w:rPr>
                <w:rFonts w:ascii="宋体" w:hAnsi="宋体" w:cs="宋体" w:eastAsia="宋体" w:hint="default"/>
                <w:spacing w:val="-61"/>
                <w:sz w:val="18"/>
                <w:szCs w:val="18"/>
              </w:rPr>
              <w:t> </w:t>
            </w:r>
            <w:r>
              <w:rPr>
                <w:rFonts w:ascii="宋体" w:hAnsi="宋体" w:cs="宋体" w:eastAsia="宋体" w:hint="default"/>
                <w:sz w:val="18"/>
                <w:szCs w:val="18"/>
              </w:rPr>
              <w:t>推</w:t>
            </w:r>
            <w:r>
              <w:rPr>
                <w:rFonts w:ascii="宋体" w:hAnsi="宋体" w:cs="宋体" w:eastAsia="宋体" w:hint="default"/>
                <w:spacing w:val="-62"/>
                <w:sz w:val="18"/>
                <w:szCs w:val="18"/>
              </w:rPr>
              <w:t> </w:t>
            </w:r>
            <w:r>
              <w:rPr>
                <w:rFonts w:ascii="宋体" w:hAnsi="宋体" w:cs="宋体" w:eastAsia="宋体" w:hint="default"/>
                <w:sz w:val="18"/>
                <w:szCs w:val="18"/>
              </w:rPr>
              <w:t>进</w:t>
            </w:r>
            <w:r>
              <w:rPr>
                <w:rFonts w:ascii="宋体" w:hAnsi="宋体" w:cs="宋体" w:eastAsia="宋体" w:hint="default"/>
                <w:spacing w:val="-61"/>
                <w:sz w:val="18"/>
                <w:szCs w:val="18"/>
              </w:rPr>
              <w:t> </w:t>
            </w:r>
            <w:r>
              <w:rPr>
                <w:rFonts w:ascii="宋体" w:hAnsi="宋体" w:cs="宋体" w:eastAsia="宋体" w:hint="default"/>
                <w:sz w:val="18"/>
                <w:szCs w:val="18"/>
              </w:rPr>
              <w:t>双</w:t>
            </w:r>
            <w:r>
              <w:rPr>
                <w:rFonts w:ascii="宋体" w:hAnsi="宋体" w:cs="宋体" w:eastAsia="宋体" w:hint="default"/>
                <w:sz w:val="18"/>
                <w:szCs w:val="18"/>
              </w:rPr>
              <w:t> 方</w:t>
            </w:r>
            <w:r>
              <w:rPr>
                <w:rFonts w:ascii="宋体" w:hAnsi="宋体" w:cs="宋体" w:eastAsia="宋体" w:hint="default"/>
                <w:spacing w:val="-61"/>
                <w:sz w:val="18"/>
                <w:szCs w:val="18"/>
              </w:rPr>
              <w:t> </w:t>
            </w:r>
            <w:r>
              <w:rPr>
                <w:rFonts w:ascii="宋体" w:hAnsi="宋体" w:cs="宋体" w:eastAsia="宋体" w:hint="default"/>
                <w:sz w:val="18"/>
                <w:szCs w:val="18"/>
              </w:rPr>
              <w:t>战</w:t>
            </w:r>
            <w:r>
              <w:rPr>
                <w:rFonts w:ascii="宋体" w:hAnsi="宋体" w:cs="宋体" w:eastAsia="宋体" w:hint="default"/>
                <w:spacing w:val="-61"/>
                <w:sz w:val="18"/>
                <w:szCs w:val="18"/>
              </w:rPr>
              <w:t> </w:t>
            </w:r>
            <w:r>
              <w:rPr>
                <w:rFonts w:ascii="宋体" w:hAnsi="宋体" w:cs="宋体" w:eastAsia="宋体" w:hint="default"/>
                <w:sz w:val="18"/>
                <w:szCs w:val="18"/>
              </w:rPr>
              <w:t>略</w:t>
            </w:r>
            <w:r>
              <w:rPr>
                <w:rFonts w:ascii="宋体" w:hAnsi="宋体" w:cs="宋体" w:eastAsia="宋体" w:hint="default"/>
                <w:spacing w:val="-61"/>
                <w:sz w:val="18"/>
                <w:szCs w:val="18"/>
              </w:rPr>
              <w:t> </w:t>
            </w:r>
            <w:r>
              <w:rPr>
                <w:rFonts w:ascii="宋体" w:hAnsi="宋体" w:cs="宋体" w:eastAsia="宋体" w:hint="default"/>
                <w:sz w:val="18"/>
                <w:szCs w:val="18"/>
              </w:rPr>
              <w:t>合</w:t>
            </w:r>
            <w:r>
              <w:rPr>
                <w:rFonts w:ascii="宋体" w:hAnsi="宋体" w:cs="宋体" w:eastAsia="宋体" w:hint="default"/>
                <w:spacing w:val="-61"/>
                <w:sz w:val="18"/>
                <w:szCs w:val="18"/>
              </w:rPr>
              <w:t> </w:t>
            </w:r>
            <w:r>
              <w:rPr>
                <w:rFonts w:ascii="宋体" w:hAnsi="宋体" w:cs="宋体" w:eastAsia="宋体" w:hint="default"/>
                <w:sz w:val="18"/>
                <w:szCs w:val="18"/>
              </w:rPr>
              <w:t>作</w:t>
            </w:r>
            <w:r>
              <w:rPr>
                <w:rFonts w:ascii="宋体" w:hAnsi="宋体" w:cs="宋体" w:eastAsia="宋体" w:hint="default"/>
                <w:spacing w:val="-62"/>
                <w:sz w:val="18"/>
                <w:szCs w:val="18"/>
              </w:rPr>
              <w:t> </w:t>
            </w:r>
            <w:r>
              <w:rPr>
                <w:rFonts w:ascii="宋体" w:hAnsi="宋体" w:cs="宋体" w:eastAsia="宋体" w:hint="default"/>
                <w:sz w:val="18"/>
                <w:szCs w:val="18"/>
              </w:rPr>
              <w:t>事</w:t>
            </w:r>
            <w:r>
              <w:rPr>
                <w:rFonts w:ascii="宋体" w:hAnsi="宋体" w:cs="宋体" w:eastAsia="宋体" w:hint="default"/>
                <w:spacing w:val="-61"/>
                <w:sz w:val="18"/>
                <w:szCs w:val="18"/>
              </w:rPr>
              <w:t> </w:t>
            </w:r>
            <w:r>
              <w:rPr>
                <w:rFonts w:ascii="宋体" w:hAnsi="宋体" w:cs="宋体" w:eastAsia="宋体" w:hint="default"/>
                <w:sz w:val="18"/>
                <w:szCs w:val="18"/>
              </w:rPr>
              <w:t>宜</w:t>
            </w:r>
            <w:r>
              <w:rPr>
                <w:rFonts w:ascii="宋体" w:hAnsi="宋体" w:cs="宋体" w:eastAsia="宋体" w:hint="default"/>
                <w:sz w:val="18"/>
                <w:szCs w:val="18"/>
              </w:rPr>
              <w:t> </w:t>
            </w:r>
            <w:r>
              <w:rPr>
                <w:rFonts w:ascii="宋体" w:hAnsi="宋体" w:cs="宋体" w:eastAsia="宋体" w:hint="default"/>
                <w:spacing w:val="-1"/>
                <w:sz w:val="18"/>
                <w:szCs w:val="18"/>
              </w:rPr>
              <w:t>的提示性公告》，</w:t>
            </w:r>
          </w:p>
        </w:tc>
      </w:tr>
    </w:tbl>
    <w:p>
      <w:pPr>
        <w:spacing w:after="0" w:line="312" w:lineRule="auto"/>
        <w:jc w:val="both"/>
        <w:rPr>
          <w:rFonts w:ascii="宋体" w:hAnsi="宋体" w:cs="宋体" w:eastAsia="宋体" w:hint="default"/>
          <w:sz w:val="18"/>
          <w:szCs w:val="18"/>
        </w:rPr>
        <w:sectPr>
          <w:pgSz w:w="11910" w:h="16840"/>
          <w:pgMar w:header="747" w:footer="979" w:top="1060" w:bottom="1160" w:left="100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83"/>
        <w:gridCol w:w="458"/>
        <w:gridCol w:w="499"/>
        <w:gridCol w:w="833"/>
        <w:gridCol w:w="1069"/>
        <w:gridCol w:w="1337"/>
        <w:gridCol w:w="892"/>
        <w:gridCol w:w="330"/>
        <w:gridCol w:w="316"/>
        <w:gridCol w:w="358"/>
        <w:gridCol w:w="396"/>
        <w:gridCol w:w="831"/>
        <w:gridCol w:w="499"/>
        <w:gridCol w:w="1495"/>
      </w:tblGrid>
      <w:tr>
        <w:trPr>
          <w:trHeight w:val="1611" w:hRule="exact"/>
        </w:trPr>
        <w:tc>
          <w:tcPr>
            <w:tcW w:w="3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96" w:right="95"/>
              <w:jc w:val="both"/>
              <w:rPr>
                <w:rFonts w:ascii="宋体" w:hAnsi="宋体" w:cs="宋体" w:eastAsia="宋体" w:hint="default"/>
                <w:sz w:val="18"/>
                <w:szCs w:val="18"/>
              </w:rPr>
            </w:pPr>
            <w:r>
              <w:rPr>
                <w:rFonts w:ascii="宋体" w:hAnsi="宋体" w:cs="宋体" w:eastAsia="宋体" w:hint="default"/>
                <w:sz w:val="18"/>
                <w:szCs w:val="18"/>
              </w:rPr>
              <w:t>展 有 限 公 司</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33" w:right="42" w:hanging="91"/>
              <w:jc w:val="left"/>
              <w:rPr>
                <w:rFonts w:ascii="宋体" w:hAnsi="宋体" w:cs="宋体" w:eastAsia="宋体" w:hint="default"/>
                <w:sz w:val="18"/>
                <w:szCs w:val="18"/>
              </w:rPr>
            </w:pPr>
            <w:r>
              <w:rPr>
                <w:rFonts w:ascii="宋体" w:hAnsi="宋体" w:cs="宋体" w:eastAsia="宋体" w:hint="default"/>
                <w:sz w:val="18"/>
                <w:szCs w:val="18"/>
              </w:rPr>
              <w:t>子公 司</w:t>
            </w:r>
          </w:p>
        </w:tc>
        <w:tc>
          <w:tcPr>
            <w:tcW w:w="499"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330"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 告 编  号</w:t>
            </w:r>
            <w:r>
              <w:rPr>
                <w:rFonts w:ascii="宋体" w:hAnsi="宋体" w:cs="宋体" w:eastAsia="宋体" w:hint="default"/>
                <w:spacing w:val="86"/>
                <w:sz w:val="18"/>
                <w:szCs w:val="18"/>
              </w:rPr>
              <w:t> </w:t>
            </w:r>
            <w:r>
              <w:rPr>
                <w:rFonts w:ascii="宋体" w:hAnsi="宋体" w:cs="宋体" w:eastAsia="宋体" w:hint="default"/>
                <w:sz w:val="18"/>
                <w:szCs w:val="18"/>
              </w:rPr>
              <w:t>：</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2018-138</w:t>
            </w:r>
          </w:p>
        </w:tc>
      </w:tr>
    </w:tbl>
    <w:p>
      <w:pPr>
        <w:spacing w:line="240" w:lineRule="auto" w:before="2"/>
        <w:rPr>
          <w:rFonts w:ascii="宋体" w:hAnsi="宋体" w:cs="宋体" w:eastAsia="宋体" w:hint="default"/>
          <w:sz w:val="18"/>
          <w:szCs w:val="18"/>
        </w:rPr>
      </w:pPr>
    </w:p>
    <w:p>
      <w:pPr>
        <w:pStyle w:val="Heading2"/>
        <w:spacing w:line="240" w:lineRule="auto" w:before="26"/>
        <w:ind w:right="1122"/>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982"/>
        <w:gridCol w:w="386"/>
        <w:gridCol w:w="700"/>
        <w:gridCol w:w="1316"/>
        <w:gridCol w:w="1316"/>
        <w:gridCol w:w="1316"/>
        <w:gridCol w:w="1317"/>
        <w:gridCol w:w="1181"/>
        <w:gridCol w:w="1181"/>
      </w:tblGrid>
      <w:tr>
        <w:trPr>
          <w:trHeight w:val="1338"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7" w:right="97"/>
              <w:jc w:val="both"/>
              <w:rPr>
                <w:rFonts w:ascii="宋体" w:hAnsi="宋体" w:cs="宋体" w:eastAsia="宋体" w:hint="default"/>
                <w:sz w:val="18"/>
                <w:szCs w:val="18"/>
              </w:rPr>
            </w:pPr>
            <w:r>
              <w:rPr>
                <w:rFonts w:ascii="宋体" w:hAnsi="宋体" w:cs="宋体" w:eastAsia="宋体" w:hint="default"/>
                <w:sz w:val="18"/>
                <w:szCs w:val="18"/>
              </w:rPr>
              <w:t>公 司 类 型</w:t>
            </w:r>
          </w:p>
        </w:tc>
        <w:tc>
          <w:tcPr>
            <w:tcW w:w="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4" w:right="73"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4"/>
                <w:sz w:val="18"/>
                <w:szCs w:val="18"/>
              </w:rPr>
              <w:t>苏州爱康光</w:t>
            </w:r>
            <w:r>
              <w:rPr>
                <w:rFonts w:ascii="宋体" w:hAnsi="宋体" w:cs="宋体" w:eastAsia="宋体" w:hint="default"/>
                <w:sz w:val="18"/>
                <w:szCs w:val="18"/>
              </w:rPr>
              <w:t> </w:t>
            </w:r>
            <w:r>
              <w:rPr>
                <w:rFonts w:ascii="宋体" w:hAnsi="宋体" w:cs="宋体" w:eastAsia="宋体" w:hint="default"/>
                <w:spacing w:val="4"/>
                <w:sz w:val="18"/>
                <w:szCs w:val="18"/>
              </w:rPr>
              <w:t>电科技有限</w:t>
            </w:r>
            <w:r>
              <w:rPr>
                <w:rFonts w:ascii="宋体" w:hAnsi="宋体" w:cs="宋体" w:eastAsia="宋体" w:hint="default"/>
                <w:sz w:val="18"/>
                <w:szCs w:val="18"/>
              </w:rPr>
              <w:t> 公司</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7" w:right="97"/>
              <w:jc w:val="both"/>
              <w:rPr>
                <w:rFonts w:ascii="宋体" w:hAnsi="宋体" w:cs="宋体" w:eastAsia="宋体" w:hint="default"/>
                <w:sz w:val="18"/>
                <w:szCs w:val="18"/>
              </w:rPr>
            </w:pPr>
            <w:r>
              <w:rPr>
                <w:rFonts w:ascii="宋体" w:hAnsi="宋体" w:cs="宋体" w:eastAsia="宋体" w:hint="default"/>
                <w:sz w:val="18"/>
                <w:szCs w:val="18"/>
              </w:rPr>
              <w:t>子 公 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4" w:right="73" w:hanging="180"/>
              <w:jc w:val="left"/>
              <w:rPr>
                <w:rFonts w:ascii="宋体" w:hAnsi="宋体" w:cs="宋体" w:eastAsia="宋体" w:hint="default"/>
                <w:sz w:val="18"/>
                <w:szCs w:val="18"/>
              </w:rPr>
            </w:pPr>
            <w:r>
              <w:rPr>
                <w:rFonts w:ascii="宋体" w:hAnsi="宋体" w:cs="宋体" w:eastAsia="宋体" w:hint="default"/>
                <w:sz w:val="18"/>
                <w:szCs w:val="18"/>
              </w:rPr>
              <w:t>光伏组 件</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478,480,000.00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1,793,612,746.08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557,754,856.23</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1,234,688,006.83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55,524,928.82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38,281,573.82</w:t>
            </w:r>
          </w:p>
        </w:tc>
      </w:tr>
      <w:tr>
        <w:trPr>
          <w:trHeight w:val="1026"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4"/>
                <w:sz w:val="18"/>
                <w:szCs w:val="18"/>
              </w:rPr>
              <w:t>香港爱康电</w:t>
            </w:r>
            <w:r>
              <w:rPr>
                <w:rFonts w:ascii="宋体" w:hAnsi="宋体" w:cs="宋体" w:eastAsia="宋体" w:hint="default"/>
                <w:sz w:val="18"/>
                <w:szCs w:val="18"/>
              </w:rPr>
              <w:t> </w:t>
            </w:r>
            <w:r>
              <w:rPr>
                <w:rFonts w:ascii="宋体" w:hAnsi="宋体" w:cs="宋体" w:eastAsia="宋体" w:hint="default"/>
                <w:spacing w:val="4"/>
                <w:sz w:val="18"/>
                <w:szCs w:val="18"/>
              </w:rPr>
              <w:t>力国际控股</w:t>
            </w:r>
            <w:r>
              <w:rPr>
                <w:rFonts w:ascii="宋体" w:hAnsi="宋体" w:cs="宋体" w:eastAsia="宋体" w:hint="default"/>
                <w:sz w:val="18"/>
                <w:szCs w:val="18"/>
              </w:rPr>
              <w:t> 有限公司</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7" w:right="97"/>
              <w:jc w:val="both"/>
              <w:rPr>
                <w:rFonts w:ascii="宋体" w:hAnsi="宋体" w:cs="宋体" w:eastAsia="宋体" w:hint="default"/>
                <w:sz w:val="18"/>
                <w:szCs w:val="18"/>
              </w:rPr>
            </w:pPr>
            <w:r>
              <w:rPr>
                <w:rFonts w:ascii="宋体" w:hAnsi="宋体" w:cs="宋体" w:eastAsia="宋体" w:hint="default"/>
                <w:sz w:val="18"/>
                <w:szCs w:val="18"/>
              </w:rPr>
              <w:t>子 公 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592,329,214.45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687,801,631.13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674,968,820.16</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36,975,411.36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83,276,125.40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83,276,125.40</w:t>
            </w:r>
          </w:p>
        </w:tc>
      </w:tr>
      <w:tr>
        <w:trPr>
          <w:trHeight w:val="1026"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4"/>
                <w:sz w:val="18"/>
                <w:szCs w:val="18"/>
              </w:rPr>
              <w:t>苏州爱康电</w:t>
            </w:r>
            <w:r>
              <w:rPr>
                <w:rFonts w:ascii="宋体" w:hAnsi="宋体" w:cs="宋体" w:eastAsia="宋体" w:hint="default"/>
                <w:sz w:val="18"/>
                <w:szCs w:val="18"/>
              </w:rPr>
              <w:t> </w:t>
            </w:r>
            <w:r>
              <w:rPr>
                <w:rFonts w:ascii="宋体" w:hAnsi="宋体" w:cs="宋体" w:eastAsia="宋体" w:hint="default"/>
                <w:spacing w:val="4"/>
                <w:sz w:val="18"/>
                <w:szCs w:val="18"/>
              </w:rPr>
              <w:t>力开发有限</w:t>
            </w:r>
            <w:r>
              <w:rPr>
                <w:rFonts w:ascii="宋体" w:hAnsi="宋体" w:cs="宋体" w:eastAsia="宋体" w:hint="default"/>
                <w:sz w:val="18"/>
                <w:szCs w:val="18"/>
              </w:rPr>
              <w:t> 公司</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7" w:right="97"/>
              <w:jc w:val="both"/>
              <w:rPr>
                <w:rFonts w:ascii="宋体" w:hAnsi="宋体" w:cs="宋体" w:eastAsia="宋体" w:hint="default"/>
                <w:sz w:val="18"/>
                <w:szCs w:val="18"/>
              </w:rPr>
            </w:pPr>
            <w:r>
              <w:rPr>
                <w:rFonts w:ascii="宋体" w:hAnsi="宋体" w:cs="宋体" w:eastAsia="宋体" w:hint="default"/>
                <w:sz w:val="18"/>
                <w:szCs w:val="18"/>
              </w:rPr>
              <w:t>子 公 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4" w:right="73" w:hanging="90"/>
              <w:jc w:val="left"/>
              <w:rPr>
                <w:rFonts w:ascii="宋体" w:hAnsi="宋体" w:cs="宋体" w:eastAsia="宋体" w:hint="default"/>
                <w:sz w:val="18"/>
                <w:szCs w:val="18"/>
              </w:rPr>
            </w:pPr>
            <w:r>
              <w:rPr>
                <w:rFonts w:ascii="宋体" w:hAnsi="宋体" w:cs="宋体" w:eastAsia="宋体" w:hint="default"/>
                <w:sz w:val="18"/>
                <w:szCs w:val="18"/>
              </w:rPr>
              <w:t>投资和 贸易</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551,813,212.19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551,805,212.19</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16,193,418.79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15,102,058.61</w:t>
            </w:r>
          </w:p>
        </w:tc>
      </w:tr>
      <w:tr>
        <w:trPr>
          <w:trHeight w:val="1026"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4"/>
                <w:sz w:val="18"/>
                <w:szCs w:val="18"/>
              </w:rPr>
              <w:t>苏州中康电</w:t>
            </w:r>
            <w:r>
              <w:rPr>
                <w:rFonts w:ascii="宋体" w:hAnsi="宋体" w:cs="宋体" w:eastAsia="宋体" w:hint="default"/>
                <w:sz w:val="18"/>
                <w:szCs w:val="18"/>
              </w:rPr>
              <w:t> </w:t>
            </w:r>
            <w:r>
              <w:rPr>
                <w:rFonts w:ascii="宋体" w:hAnsi="宋体" w:cs="宋体" w:eastAsia="宋体" w:hint="default"/>
                <w:spacing w:val="4"/>
                <w:sz w:val="18"/>
                <w:szCs w:val="18"/>
              </w:rPr>
              <w:t>力开发有限</w:t>
            </w:r>
            <w:r>
              <w:rPr>
                <w:rFonts w:ascii="宋体" w:hAnsi="宋体" w:cs="宋体" w:eastAsia="宋体" w:hint="default"/>
                <w:sz w:val="18"/>
                <w:szCs w:val="18"/>
              </w:rPr>
              <w:t> 公司</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7" w:right="97"/>
              <w:jc w:val="both"/>
              <w:rPr>
                <w:rFonts w:ascii="宋体" w:hAnsi="宋体" w:cs="宋体" w:eastAsia="宋体" w:hint="default"/>
                <w:sz w:val="18"/>
                <w:szCs w:val="18"/>
              </w:rPr>
            </w:pPr>
            <w:r>
              <w:rPr>
                <w:rFonts w:ascii="宋体" w:hAnsi="宋体" w:cs="宋体" w:eastAsia="宋体" w:hint="default"/>
                <w:sz w:val="18"/>
                <w:szCs w:val="18"/>
              </w:rPr>
              <w:t>子 公 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4" w:right="73" w:hanging="90"/>
              <w:jc w:val="left"/>
              <w:rPr>
                <w:rFonts w:ascii="宋体" w:hAnsi="宋体" w:cs="宋体" w:eastAsia="宋体" w:hint="default"/>
                <w:sz w:val="18"/>
                <w:szCs w:val="18"/>
              </w:rPr>
            </w:pPr>
            <w:r>
              <w:rPr>
                <w:rFonts w:ascii="宋体" w:hAnsi="宋体" w:cs="宋体" w:eastAsia="宋体" w:hint="default"/>
                <w:sz w:val="18"/>
                <w:szCs w:val="18"/>
              </w:rPr>
              <w:t>投资和 贸易</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4,360,000,000.00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5,388,485,271.61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4,335,465,998.49</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9,092,414.62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119,935,827.44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118,618,334.21</w:t>
            </w:r>
          </w:p>
        </w:tc>
      </w:tr>
      <w:tr>
        <w:trPr>
          <w:trHeight w:val="1026"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4"/>
                <w:sz w:val="18"/>
                <w:szCs w:val="18"/>
              </w:rPr>
              <w:t>无棣爱康电</w:t>
            </w:r>
            <w:r>
              <w:rPr>
                <w:rFonts w:ascii="宋体" w:hAnsi="宋体" w:cs="宋体" w:eastAsia="宋体" w:hint="default"/>
                <w:sz w:val="18"/>
                <w:szCs w:val="18"/>
              </w:rPr>
              <w:t> </w:t>
            </w:r>
            <w:r>
              <w:rPr>
                <w:rFonts w:ascii="宋体" w:hAnsi="宋体" w:cs="宋体" w:eastAsia="宋体" w:hint="default"/>
                <w:spacing w:val="4"/>
                <w:sz w:val="18"/>
                <w:szCs w:val="18"/>
              </w:rPr>
              <w:t>力开发有限</w:t>
            </w:r>
            <w:r>
              <w:rPr>
                <w:rFonts w:ascii="宋体" w:hAnsi="宋体" w:cs="宋体" w:eastAsia="宋体" w:hint="default"/>
                <w:sz w:val="18"/>
                <w:szCs w:val="18"/>
              </w:rPr>
              <w:t> 公司</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7" w:right="97"/>
              <w:jc w:val="both"/>
              <w:rPr>
                <w:rFonts w:ascii="宋体" w:hAnsi="宋体" w:cs="宋体" w:eastAsia="宋体" w:hint="default"/>
                <w:sz w:val="18"/>
                <w:szCs w:val="18"/>
              </w:rPr>
            </w:pPr>
            <w:r>
              <w:rPr>
                <w:rFonts w:ascii="宋体" w:hAnsi="宋体" w:cs="宋体" w:eastAsia="宋体" w:hint="default"/>
                <w:sz w:val="18"/>
                <w:szCs w:val="18"/>
              </w:rPr>
              <w:t>子 公 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4" w:right="73" w:hanging="180"/>
              <w:jc w:val="left"/>
              <w:rPr>
                <w:rFonts w:ascii="宋体" w:hAnsi="宋体" w:cs="宋体" w:eastAsia="宋体" w:hint="default"/>
                <w:sz w:val="18"/>
                <w:szCs w:val="18"/>
              </w:rPr>
            </w:pPr>
            <w:r>
              <w:rPr>
                <w:rFonts w:ascii="宋体" w:hAnsi="宋体" w:cs="宋体" w:eastAsia="宋体" w:hint="default"/>
                <w:sz w:val="18"/>
                <w:szCs w:val="18"/>
              </w:rPr>
              <w:t>光伏发 电</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141,120,000.00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773,510,529.47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165,999,547.45</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80,430,359.95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31,984,950.60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31,984,950.60</w:t>
            </w:r>
          </w:p>
        </w:tc>
      </w:tr>
      <w:tr>
        <w:trPr>
          <w:trHeight w:val="1026"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4"/>
                <w:sz w:val="18"/>
                <w:szCs w:val="18"/>
              </w:rPr>
              <w:t>嘉祥昱辉新</w:t>
            </w:r>
            <w:r>
              <w:rPr>
                <w:rFonts w:ascii="宋体" w:hAnsi="宋体" w:cs="宋体" w:eastAsia="宋体" w:hint="default"/>
                <w:sz w:val="18"/>
                <w:szCs w:val="18"/>
              </w:rPr>
              <w:t> </w:t>
            </w:r>
            <w:r>
              <w:rPr>
                <w:rFonts w:ascii="宋体" w:hAnsi="宋体" w:cs="宋体" w:eastAsia="宋体" w:hint="default"/>
                <w:spacing w:val="4"/>
                <w:sz w:val="18"/>
                <w:szCs w:val="18"/>
              </w:rPr>
              <w:t>能源有限公</w:t>
            </w:r>
            <w:r>
              <w:rPr>
                <w:rFonts w:ascii="宋体" w:hAnsi="宋体" w:cs="宋体" w:eastAsia="宋体" w:hint="default"/>
                <w:sz w:val="18"/>
                <w:szCs w:val="18"/>
              </w:rPr>
              <w:t> 司</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7" w:right="97"/>
              <w:jc w:val="both"/>
              <w:rPr>
                <w:rFonts w:ascii="宋体" w:hAnsi="宋体" w:cs="宋体" w:eastAsia="宋体" w:hint="default"/>
                <w:sz w:val="18"/>
                <w:szCs w:val="18"/>
              </w:rPr>
            </w:pPr>
            <w:r>
              <w:rPr>
                <w:rFonts w:ascii="宋体" w:hAnsi="宋体" w:cs="宋体" w:eastAsia="宋体" w:hint="default"/>
                <w:sz w:val="18"/>
                <w:szCs w:val="18"/>
              </w:rPr>
              <w:t>子 公 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4" w:right="73" w:hanging="180"/>
              <w:jc w:val="left"/>
              <w:rPr>
                <w:rFonts w:ascii="宋体" w:hAnsi="宋体" w:cs="宋体" w:eastAsia="宋体" w:hint="default"/>
                <w:sz w:val="18"/>
                <w:szCs w:val="18"/>
              </w:rPr>
            </w:pPr>
            <w:r>
              <w:rPr>
                <w:rFonts w:ascii="宋体" w:hAnsi="宋体" w:cs="宋体" w:eastAsia="宋体" w:hint="default"/>
                <w:sz w:val="18"/>
                <w:szCs w:val="18"/>
              </w:rPr>
              <w:t>光伏发 电</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84,345,144.78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-31,229,540.26</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3,594,498.44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-30,779,476.89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-25,313,137.29</w:t>
            </w:r>
          </w:p>
        </w:tc>
      </w:tr>
      <w:tr>
        <w:trPr>
          <w:trHeight w:val="1026"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4"/>
                <w:sz w:val="18"/>
                <w:szCs w:val="18"/>
              </w:rPr>
              <w:t>明光爱康电</w:t>
            </w:r>
            <w:r>
              <w:rPr>
                <w:rFonts w:ascii="宋体" w:hAnsi="宋体" w:cs="宋体" w:eastAsia="宋体" w:hint="default"/>
                <w:sz w:val="18"/>
                <w:szCs w:val="18"/>
              </w:rPr>
              <w:t> </w:t>
            </w:r>
            <w:r>
              <w:rPr>
                <w:rFonts w:ascii="宋体" w:hAnsi="宋体" w:cs="宋体" w:eastAsia="宋体" w:hint="default"/>
                <w:spacing w:val="4"/>
                <w:sz w:val="18"/>
                <w:szCs w:val="18"/>
              </w:rPr>
              <w:t>力开发有限</w:t>
            </w:r>
            <w:r>
              <w:rPr>
                <w:rFonts w:ascii="宋体" w:hAnsi="宋体" w:cs="宋体" w:eastAsia="宋体" w:hint="default"/>
                <w:sz w:val="18"/>
                <w:szCs w:val="18"/>
              </w:rPr>
              <w:t> 公司</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7" w:right="97"/>
              <w:jc w:val="both"/>
              <w:rPr>
                <w:rFonts w:ascii="宋体" w:hAnsi="宋体" w:cs="宋体" w:eastAsia="宋体" w:hint="default"/>
                <w:sz w:val="18"/>
                <w:szCs w:val="18"/>
              </w:rPr>
            </w:pPr>
            <w:r>
              <w:rPr>
                <w:rFonts w:ascii="宋体" w:hAnsi="宋体" w:cs="宋体" w:eastAsia="宋体" w:hint="default"/>
                <w:sz w:val="18"/>
                <w:szCs w:val="18"/>
              </w:rPr>
              <w:t>子 公 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4" w:right="73" w:hanging="180"/>
              <w:jc w:val="left"/>
              <w:rPr>
                <w:rFonts w:ascii="宋体" w:hAnsi="宋体" w:cs="宋体" w:eastAsia="宋体" w:hint="default"/>
                <w:sz w:val="18"/>
                <w:szCs w:val="18"/>
              </w:rPr>
            </w:pPr>
            <w:r>
              <w:rPr>
                <w:rFonts w:ascii="宋体" w:hAnsi="宋体" w:cs="宋体" w:eastAsia="宋体" w:hint="default"/>
                <w:sz w:val="18"/>
                <w:szCs w:val="18"/>
              </w:rPr>
              <w:t>光伏发 电</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136,277,217.16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-10,474,651.62</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6,549,911.28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-18,160,505.85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-15,442,478.83</w:t>
            </w:r>
          </w:p>
        </w:tc>
      </w:tr>
      <w:tr>
        <w:trPr>
          <w:trHeight w:val="1026"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4"/>
                <w:sz w:val="18"/>
                <w:szCs w:val="18"/>
              </w:rPr>
              <w:t>苏州中康电</w:t>
            </w:r>
            <w:r>
              <w:rPr>
                <w:rFonts w:ascii="宋体" w:hAnsi="宋体" w:cs="宋体" w:eastAsia="宋体" w:hint="default"/>
                <w:sz w:val="18"/>
                <w:szCs w:val="18"/>
              </w:rPr>
              <w:t> </w:t>
            </w:r>
            <w:r>
              <w:rPr>
                <w:rFonts w:ascii="宋体" w:hAnsi="宋体" w:cs="宋体" w:eastAsia="宋体" w:hint="default"/>
                <w:spacing w:val="4"/>
                <w:sz w:val="18"/>
                <w:szCs w:val="18"/>
              </w:rPr>
              <w:t>力运营有限</w:t>
            </w:r>
            <w:r>
              <w:rPr>
                <w:rFonts w:ascii="宋体" w:hAnsi="宋体" w:cs="宋体" w:eastAsia="宋体" w:hint="default"/>
                <w:sz w:val="18"/>
                <w:szCs w:val="18"/>
              </w:rPr>
              <w:t> 公司</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7" w:right="97"/>
              <w:jc w:val="both"/>
              <w:rPr>
                <w:rFonts w:ascii="宋体" w:hAnsi="宋体" w:cs="宋体" w:eastAsia="宋体" w:hint="default"/>
                <w:sz w:val="18"/>
                <w:szCs w:val="18"/>
              </w:rPr>
            </w:pPr>
            <w:r>
              <w:rPr>
                <w:rFonts w:ascii="宋体" w:hAnsi="宋体" w:cs="宋体" w:eastAsia="宋体" w:hint="default"/>
                <w:sz w:val="18"/>
                <w:szCs w:val="18"/>
              </w:rPr>
              <w:t>子 公 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4" w:right="73" w:hanging="180"/>
              <w:jc w:val="left"/>
              <w:rPr>
                <w:rFonts w:ascii="宋体" w:hAnsi="宋体" w:cs="宋体" w:eastAsia="宋体" w:hint="default"/>
                <w:sz w:val="18"/>
                <w:szCs w:val="18"/>
              </w:rPr>
            </w:pPr>
            <w:r>
              <w:rPr>
                <w:rFonts w:ascii="宋体" w:hAnsi="宋体" w:cs="宋体" w:eastAsia="宋体" w:hint="default"/>
                <w:sz w:val="18"/>
                <w:szCs w:val="18"/>
              </w:rPr>
              <w:t>光伏发 电</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27,385,198.59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-6,030,883.61</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19,394,802.93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-17,522,085.67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-17,521,575.67</w:t>
            </w:r>
          </w:p>
        </w:tc>
      </w:tr>
      <w:tr>
        <w:trPr>
          <w:trHeight w:val="71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3"/>
              <w:jc w:val="left"/>
              <w:rPr>
                <w:rFonts w:ascii="宋体" w:hAnsi="宋体" w:cs="宋体" w:eastAsia="宋体" w:hint="default"/>
                <w:sz w:val="18"/>
                <w:szCs w:val="18"/>
              </w:rPr>
            </w:pPr>
            <w:r>
              <w:rPr>
                <w:rFonts w:ascii="宋体" w:hAnsi="宋体" w:cs="宋体" w:eastAsia="宋体" w:hint="default"/>
                <w:spacing w:val="4"/>
                <w:sz w:val="18"/>
                <w:szCs w:val="18"/>
              </w:rPr>
              <w:t>伊川县佳康</w:t>
            </w:r>
            <w:r>
              <w:rPr>
                <w:rFonts w:ascii="宋体" w:hAnsi="宋体" w:cs="宋体" w:eastAsia="宋体" w:hint="default"/>
                <w:sz w:val="18"/>
                <w:szCs w:val="18"/>
              </w:rPr>
              <w:t> </w:t>
            </w:r>
            <w:r>
              <w:rPr>
                <w:rFonts w:ascii="宋体" w:hAnsi="宋体" w:cs="宋体" w:eastAsia="宋体" w:hint="default"/>
                <w:spacing w:val="4"/>
                <w:sz w:val="18"/>
                <w:szCs w:val="18"/>
              </w:rPr>
              <w:t>电力有限公</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97" w:right="97"/>
              <w:jc w:val="left"/>
              <w:rPr>
                <w:rFonts w:ascii="宋体" w:hAnsi="宋体" w:cs="宋体" w:eastAsia="宋体" w:hint="default"/>
                <w:sz w:val="18"/>
                <w:szCs w:val="18"/>
              </w:rPr>
            </w:pPr>
            <w:r>
              <w:rPr>
                <w:rFonts w:ascii="宋体" w:hAnsi="宋体" w:cs="宋体" w:eastAsia="宋体" w:hint="default"/>
                <w:sz w:val="18"/>
                <w:szCs w:val="18"/>
              </w:rPr>
              <w:t>子 公</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54" w:right="73" w:hanging="180"/>
              <w:jc w:val="left"/>
              <w:rPr>
                <w:rFonts w:ascii="宋体" w:hAnsi="宋体" w:cs="宋体" w:eastAsia="宋体" w:hint="default"/>
                <w:sz w:val="18"/>
                <w:szCs w:val="18"/>
              </w:rPr>
            </w:pPr>
            <w:r>
              <w:rPr>
                <w:rFonts w:ascii="宋体" w:hAnsi="宋体" w:cs="宋体" w:eastAsia="宋体" w:hint="default"/>
                <w:sz w:val="18"/>
                <w:szCs w:val="18"/>
              </w:rPr>
              <w:t>光伏发 电</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250,633,827.22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-32,766,543.89</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11,205,884.48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-42,261,874.57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-33,562,914.57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982"/>
        <w:gridCol w:w="386"/>
        <w:gridCol w:w="700"/>
        <w:gridCol w:w="1316"/>
        <w:gridCol w:w="1316"/>
        <w:gridCol w:w="1316"/>
        <w:gridCol w:w="1317"/>
        <w:gridCol w:w="1181"/>
        <w:gridCol w:w="1181"/>
      </w:tblGrid>
      <w:tr>
        <w:trPr>
          <w:trHeight w:val="362"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0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4"/>
                <w:sz w:val="18"/>
                <w:szCs w:val="18"/>
              </w:rPr>
              <w:t>浙江爱康光</w:t>
            </w:r>
            <w:r>
              <w:rPr>
                <w:rFonts w:ascii="宋体" w:hAnsi="宋体" w:cs="宋体" w:eastAsia="宋体" w:hint="default"/>
                <w:sz w:val="18"/>
                <w:szCs w:val="18"/>
              </w:rPr>
              <w:t> </w:t>
            </w:r>
            <w:r>
              <w:rPr>
                <w:rFonts w:ascii="宋体" w:hAnsi="宋体" w:cs="宋体" w:eastAsia="宋体" w:hint="default"/>
                <w:spacing w:val="4"/>
                <w:sz w:val="18"/>
                <w:szCs w:val="18"/>
              </w:rPr>
              <w:t>电科技有限</w:t>
            </w:r>
            <w:r>
              <w:rPr>
                <w:rFonts w:ascii="宋体" w:hAnsi="宋体" w:cs="宋体" w:eastAsia="宋体" w:hint="default"/>
                <w:sz w:val="18"/>
                <w:szCs w:val="18"/>
              </w:rPr>
              <w:t> 公司</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7" w:right="97"/>
              <w:jc w:val="both"/>
              <w:rPr>
                <w:rFonts w:ascii="宋体" w:hAnsi="宋体" w:cs="宋体" w:eastAsia="宋体" w:hint="default"/>
                <w:sz w:val="18"/>
                <w:szCs w:val="18"/>
              </w:rPr>
            </w:pPr>
            <w:r>
              <w:rPr>
                <w:rFonts w:ascii="宋体" w:hAnsi="宋体" w:cs="宋体" w:eastAsia="宋体" w:hint="default"/>
                <w:sz w:val="18"/>
                <w:szCs w:val="18"/>
              </w:rPr>
              <w:t>子 公 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262,976,846.91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231,155,384.97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78,693,846.63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59,020,384.97</w:t>
            </w:r>
          </w:p>
        </w:tc>
      </w:tr>
      <w:tr>
        <w:trPr>
          <w:trHeight w:val="1338"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pacing w:val="4"/>
                <w:sz w:val="18"/>
                <w:szCs w:val="18"/>
              </w:rPr>
              <w:t>赣州发展融</w:t>
            </w:r>
            <w:r>
              <w:rPr>
                <w:rFonts w:ascii="宋体" w:hAnsi="宋体" w:cs="宋体" w:eastAsia="宋体" w:hint="default"/>
                <w:sz w:val="18"/>
                <w:szCs w:val="18"/>
              </w:rPr>
              <w:t> </w:t>
            </w:r>
            <w:r>
              <w:rPr>
                <w:rFonts w:ascii="宋体" w:hAnsi="宋体" w:cs="宋体" w:eastAsia="宋体" w:hint="default"/>
                <w:spacing w:val="4"/>
                <w:sz w:val="18"/>
                <w:szCs w:val="18"/>
              </w:rPr>
              <w:t>资租赁有限</w:t>
            </w:r>
            <w:r>
              <w:rPr>
                <w:rFonts w:ascii="宋体" w:hAnsi="宋体" w:cs="宋体" w:eastAsia="宋体" w:hint="default"/>
                <w:sz w:val="18"/>
                <w:szCs w:val="18"/>
              </w:rPr>
              <w:t> 责任公司</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7" w:right="97"/>
              <w:jc w:val="both"/>
              <w:rPr>
                <w:rFonts w:ascii="宋体" w:hAnsi="宋体" w:cs="宋体" w:eastAsia="宋体" w:hint="default"/>
                <w:sz w:val="18"/>
                <w:szCs w:val="18"/>
              </w:rPr>
            </w:pPr>
            <w:r>
              <w:rPr>
                <w:rFonts w:ascii="宋体" w:hAnsi="宋体" w:cs="宋体" w:eastAsia="宋体" w:hint="default"/>
                <w:sz w:val="18"/>
                <w:szCs w:val="18"/>
              </w:rPr>
              <w:t>参 股 公 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4" w:right="73" w:hanging="180"/>
              <w:jc w:val="left"/>
              <w:rPr>
                <w:rFonts w:ascii="宋体" w:hAnsi="宋体" w:cs="宋体" w:eastAsia="宋体" w:hint="default"/>
                <w:sz w:val="18"/>
                <w:szCs w:val="18"/>
              </w:rPr>
            </w:pPr>
            <w:r>
              <w:rPr>
                <w:rFonts w:ascii="宋体" w:hAnsi="宋体" w:cs="宋体" w:eastAsia="宋体" w:hint="default"/>
                <w:sz w:val="18"/>
                <w:szCs w:val="18"/>
              </w:rPr>
              <w:t>融资租 赁</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745,000,000.00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4,013,860,371.91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1,144,975,565.12</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230,790,773.72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101,483,929.30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86,152,629.74</w:t>
            </w:r>
          </w:p>
        </w:tc>
      </w:tr>
      <w:tr>
        <w:trPr>
          <w:trHeight w:val="1338"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4"/>
                <w:sz w:val="18"/>
                <w:szCs w:val="18"/>
              </w:rPr>
              <w:t>苏州爱康能</w:t>
            </w:r>
            <w:r>
              <w:rPr>
                <w:rFonts w:ascii="宋体" w:hAnsi="宋体" w:cs="宋体" w:eastAsia="宋体" w:hint="default"/>
                <w:sz w:val="18"/>
                <w:szCs w:val="18"/>
              </w:rPr>
              <w:t> </w:t>
            </w:r>
            <w:r>
              <w:rPr>
                <w:rFonts w:ascii="宋体" w:hAnsi="宋体" w:cs="宋体" w:eastAsia="宋体" w:hint="default"/>
                <w:spacing w:val="4"/>
                <w:sz w:val="18"/>
                <w:szCs w:val="18"/>
              </w:rPr>
              <w:t>源工程技术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股份有限公</w:t>
            </w:r>
            <w:r>
              <w:rPr>
                <w:rFonts w:ascii="宋体" w:hAnsi="宋体" w:cs="宋体" w:eastAsia="宋体" w:hint="default"/>
                <w:sz w:val="18"/>
                <w:szCs w:val="18"/>
              </w:rPr>
              <w:t> 司</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7" w:right="97"/>
              <w:jc w:val="both"/>
              <w:rPr>
                <w:rFonts w:ascii="宋体" w:hAnsi="宋体" w:cs="宋体" w:eastAsia="宋体" w:hint="default"/>
                <w:sz w:val="18"/>
                <w:szCs w:val="18"/>
              </w:rPr>
            </w:pPr>
            <w:r>
              <w:rPr>
                <w:rFonts w:ascii="宋体" w:hAnsi="宋体" w:cs="宋体" w:eastAsia="宋体" w:hint="default"/>
                <w:sz w:val="18"/>
                <w:szCs w:val="18"/>
              </w:rPr>
              <w:t>参 股 公 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74" w:right="73"/>
              <w:jc w:val="center"/>
              <w:rPr>
                <w:rFonts w:ascii="Times New Roman" w:hAnsi="Times New Roman" w:cs="Times New Roman" w:eastAsia="Times New Roman" w:hint="default"/>
                <w:sz w:val="18"/>
                <w:szCs w:val="18"/>
              </w:rPr>
            </w:pPr>
            <w:r>
              <w:rPr>
                <w:rFonts w:ascii="宋体" w:hAnsi="宋体" w:cs="宋体" w:eastAsia="宋体" w:hint="default"/>
                <w:sz w:val="18"/>
                <w:szCs w:val="18"/>
              </w:rPr>
              <w:t>光伏电 站建设 </w:t>
            </w:r>
            <w:r>
              <w:rPr>
                <w:rFonts w:ascii="Times New Roman" w:hAnsi="Times New Roman" w:cs="Times New Roman" w:eastAsia="Times New Roman" w:hint="default"/>
                <w:sz w:val="18"/>
                <w:szCs w:val="18"/>
              </w:rPr>
              <w:t>EPC</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136,458,333.00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4,471,651,620.71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958,779,062.67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1,375,219,608.81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184,312,611.00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139,900,862.04</w:t>
            </w:r>
          </w:p>
        </w:tc>
      </w:tr>
    </w:tbl>
    <w:p>
      <w:pPr>
        <w:pStyle w:val="BodyText"/>
        <w:spacing w:line="240" w:lineRule="auto" w:before="51"/>
        <w:ind w:right="1122"/>
        <w:jc w:val="left"/>
      </w:pPr>
      <w:r>
        <w:rPr/>
        <w:t>报告期内取得和处置子公司的情况</w:t>
      </w:r>
    </w:p>
    <w:p>
      <w:pPr>
        <w:pStyle w:val="BodyText"/>
        <w:spacing w:line="240" w:lineRule="auto" w:before="117"/>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687"/>
        <w:gridCol w:w="1418"/>
        <w:gridCol w:w="4466"/>
      </w:tblGrid>
      <w:tr>
        <w:trPr>
          <w:trHeight w:val="714"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2"/>
              <w:jc w:val="left"/>
              <w:rPr>
                <w:rFonts w:ascii="宋体" w:hAnsi="宋体" w:cs="宋体" w:eastAsia="宋体" w:hint="default"/>
                <w:sz w:val="18"/>
                <w:szCs w:val="18"/>
              </w:rPr>
            </w:pPr>
            <w:r>
              <w:rPr>
                <w:rFonts w:ascii="宋体" w:hAnsi="宋体" w:cs="宋体" w:eastAsia="宋体" w:hint="default"/>
                <w:sz w:val="18"/>
                <w:szCs w:val="18"/>
              </w:rPr>
              <w:t>报告期内取得和 处置子公司方式</w:t>
            </w:r>
          </w:p>
        </w:tc>
        <w:tc>
          <w:tcPr>
            <w:tcW w:w="4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7"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青岛中德爱康能源科技有限公司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浙江爱康光电科技有限公司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推动公司光伏制造业主业发展</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徐州慧康国创股权投资合伙企业（有限合伙）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徐州慧兴康新能源科技有限公司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新能源私募投资基金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云南新康能源电力有限责任公司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绥滨昱辉太阳能发电有限公司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抚州爱康电力开发有限公司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宽甸满族自治县爱康太阳能发电有限公司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阳谷宏大电力开发有限公司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贵溪爱康电力开发有限公司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无棣隆康电力开发有限公司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湖北中康新能电力有限公司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江西碳诺科技有限公司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平泉市仁辉光伏发电有限公司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徐州慧康国创股权投资合伙企业（有限合伙）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徐州慧兴康新能源科技有限公司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浙江瑞旭投资有限公司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优化公司资产结构，减少负债，降低资产负债率；减少财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务费用，增厚利润；增加现金流，提高资产流动性。</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新疆爱康电力开发有限公司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优化公司资产结构，减少负债，降低资产负债率；减少财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务费用，增厚利润；增加现金流，提高资产流动性。</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687"/>
        <w:gridCol w:w="1418"/>
        <w:gridCol w:w="4466"/>
      </w:tblGrid>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青海昱辉新能源有限公司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优化公司资产结构，减少负债，降低资产负债率；减少财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务费用，增厚利润；增加现金流，提高资产流动性。</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柯坪嘉盛阳光电力有限公司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优化公司资产结构，减少负债，降低资产负债率；减少财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务费用，增厚利润；增加现金流，提高资产流动性。</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苏州慧康电力开发有限公司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优化公司资产结构，减少负债，降低资产负债率；减少财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务费用，增厚利润；增加现金流，提高资产流动性。</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湖南中康电力开发有限公司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优化公司资产结构，减少负债，降低资产负债率；减少财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务费用，增厚利润；增加现金流，提高资产流动性。</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新疆聚阳能源科技有限公司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优化公司资产结构，减少负债，降低资产负债率；减少财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务费用，增厚利润；增加现金流，提高资产流动性。</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九州方园博州新能源有限公司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优化公司资产结构，减少负债，降低资产负债率；减少财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务费用，增厚利润；增加现金流，提高资产流动性。</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九州方园博乐市新能源有限公司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优化公司资产结构，减少负债，降低资产负债率；减少财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务费用，增厚利润；增加现金流，提高资产流动性。</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宿州恒康新能源有限公司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优化公司资产结构，减少负债，降低资产负债率；减少财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务费用，增厚利润；增加现金流，提高资产流动性。</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特克斯昱辉太阳能开发有限公司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优化公司资产结构，减少负债，降低资产负债率；减少财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务费用，增厚利润；增加现金流，提高资产流动性。</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内蒙古四子王旗神光能源发展有限公司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优化公司资产结构，减少负债，降低资产负债率；减少财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务费用，增厚利润；增加现金流，提高资产流动性。</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新疆伊阳能源科技有限公司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优化公司资产结构，减少负债，降低资产负债率；减少财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务费用，增厚利润；增加现金流，提高资产流动性。</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赣州市南康区爱康新能源科技有限公司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优化公司资产结构，减少负债，降低资产负债率；减少财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务费用，增厚利润；增加现金流，提高资产流动性。</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徐州统联新能源有限公司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优化公司资产结构，减少负债，降低资产负债率；减少财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务费用，增厚利润；增加现金流，提高资产流动性。</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济南统联新能源有限公司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优化公司资产结构，减少负债，降低资产负债率；减少财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务费用，增厚利润；增加现金流，提高资产流动性。</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泰州中康新能源有限公司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优化公司资产结构，减少负债，降低资产负债率；减少财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务费用，增厚利润；增加现金流，提高资产流动性。</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丹阳中康电力开发有限公司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优化公司资产结构，减少负债，降低资产负债率；减少财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务费用，增厚利润；增加现金流，提高资产流动性。</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无锡中康电力开发有限公司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优化公司资产结构，减少负债，降低资产负债率；减少财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务费用，增厚利润；增加现金流，提高资产流动性。</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日本爱康株式会社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有利于增加公司自有运营资金，优化公司资产结构， 集 中资源优势聚焦主业，实现公司利益最大化。</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AJE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第一合同会社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有利于增加公司自有运营资金，优化公司资产结构， 集 中资源优势聚焦主业，实现公司利益最大化。</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687"/>
        <w:gridCol w:w="1418"/>
        <w:gridCol w:w="4466"/>
      </w:tblGrid>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AJE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第二合同会社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有利于增加公司自有运营资金，优化公司资产结构， 集 中资源优势聚焦主业，实现公司利益最大化。</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电现第二阳光产业园株式会社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有利于增加公司自有运营资金，优化公司资产结构， 集 中资源优势聚焦主业，实现公司利益最大化。</w:t>
            </w:r>
          </w:p>
        </w:tc>
      </w:tr>
    </w:tbl>
    <w:p>
      <w:pPr>
        <w:pStyle w:val="BodyText"/>
        <w:spacing w:line="240" w:lineRule="auto" w:before="51"/>
        <w:ind w:right="1122"/>
        <w:jc w:val="left"/>
      </w:pPr>
      <w:r>
        <w:rPr/>
        <w:t>主要控股参股公司情况说明</w:t>
      </w:r>
    </w:p>
    <w:p>
      <w:pPr>
        <w:pStyle w:val="BodyText"/>
        <w:spacing w:line="300" w:lineRule="auto" w:before="116"/>
        <w:ind w:right="1122"/>
        <w:jc w:val="left"/>
      </w:pPr>
      <w:r>
        <w:rPr>
          <w:rFonts w:ascii="Times New Roman" w:hAnsi="Times New Roman" w:cs="Times New Roman" w:eastAsia="Times New Roman" w:hint="default"/>
          <w:spacing w:val="-1"/>
        </w:rPr>
        <w:t>1.</w:t>
      </w:r>
      <w:r>
        <w:rPr>
          <w:spacing w:val="-1"/>
        </w:rPr>
        <w:t>赣州发展融资租赁有限责任公司，营业范围包括融资租赁、企业项目投资管理与咨询等，公司直接持有</w:t>
      </w:r>
      <w:r>
        <w:rPr>
          <w:rFonts w:ascii="Times New Roman" w:hAnsi="Times New Roman" w:cs="Times New Roman" w:eastAsia="Times New Roman" w:hint="default"/>
          <w:spacing w:val="-1"/>
        </w:rPr>
        <w:t>40%</w:t>
      </w:r>
      <w:r>
        <w:rPr>
          <w:spacing w:val="-1"/>
        </w:rPr>
        <w:t>股权。</w:t>
      </w:r>
      <w:r>
        <w:rPr>
          <w:rFonts w:ascii="Times New Roman" w:hAnsi="Times New Roman" w:cs="Times New Roman" w:eastAsia="Times New Roman" w:hint="default"/>
          <w:spacing w:val="-1"/>
        </w:rPr>
        <w:t>2018</w:t>
      </w:r>
      <w:r>
        <w:rPr>
          <w:spacing w:val="-1"/>
        </w:rPr>
        <w:t>年</w:t>
      </w:r>
      <w:r>
        <w:rPr>
          <w:spacing w:val="-41"/>
        </w:rPr>
        <w:t> </w:t>
      </w:r>
      <w:r>
        <w:rPr/>
        <w:t>营业收入</w:t>
      </w:r>
      <w:r>
        <w:rPr>
          <w:rFonts w:ascii="Times New Roman" w:hAnsi="Times New Roman" w:cs="Times New Roman" w:eastAsia="Times New Roman" w:hint="default"/>
        </w:rPr>
        <w:t>2.31</w:t>
      </w:r>
      <w:r>
        <w:rPr/>
        <w:t>亿元，净利润</w:t>
      </w:r>
      <w:r>
        <w:rPr>
          <w:rFonts w:ascii="Times New Roman" w:hAnsi="Times New Roman" w:cs="Times New Roman" w:eastAsia="Times New Roman" w:hint="default"/>
        </w:rPr>
        <w:t>0.86</w:t>
      </w:r>
      <w:r>
        <w:rPr/>
        <w:t>亿元。 </w:t>
      </w:r>
      <w:r>
        <w:rPr>
          <w:rFonts w:ascii="Times New Roman" w:hAnsi="Times New Roman" w:cs="Times New Roman" w:eastAsia="Times New Roman" w:hint="default"/>
          <w:spacing w:val="-1"/>
        </w:rPr>
        <w:t>2.</w:t>
      </w:r>
      <w:r>
        <w:rPr>
          <w:spacing w:val="-1"/>
        </w:rPr>
        <w:t>苏州爱康能源工程技术股份有限公司，营业范围包括能源工程技术服务；新能源发电工程设计；</w:t>
      </w:r>
      <w:r>
        <w:rPr>
          <w:rFonts w:ascii="Times New Roman" w:hAnsi="Times New Roman" w:cs="Times New Roman" w:eastAsia="Times New Roman" w:hint="default"/>
          <w:spacing w:val="-1"/>
        </w:rPr>
        <w:t>EPC</w:t>
      </w:r>
      <w:r>
        <w:rPr>
          <w:spacing w:val="-1"/>
        </w:rPr>
        <w:t>工程管理服务等。本</w:t>
      </w:r>
      <w:r>
        <w:rPr>
          <w:spacing w:val="-45"/>
        </w:rPr>
        <w:t> </w:t>
      </w:r>
      <w:r>
        <w:rPr>
          <w:spacing w:val="-45"/>
        </w:rPr>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日召开的第三届董事会第十九次临时会议和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日召开的</w:t>
      </w:r>
      <w:r>
        <w:rPr>
          <w:rFonts w:ascii="Times New Roman" w:hAnsi="Times New Roman" w:cs="Times New Roman" w:eastAsia="Times New Roman" w:hint="default"/>
        </w:rPr>
        <w:t>2017</w:t>
      </w:r>
      <w:r>
        <w:rPr/>
        <w:t>年第七次临时股东大会审议通过</w:t>
      </w:r>
      <w:r>
        <w:rPr>
          <w:spacing w:val="-4"/>
        </w:rPr>
        <w:t> </w:t>
      </w:r>
      <w:r>
        <w:rPr>
          <w:spacing w:val="-4"/>
        </w:rPr>
      </w:r>
      <w:r>
        <w:rPr/>
        <w:t>了《关于收购能源工程部分股权暨关联交易的议案》，收购其</w:t>
      </w:r>
      <w:r>
        <w:rPr>
          <w:rFonts w:ascii="Times New Roman" w:hAnsi="Times New Roman" w:cs="Times New Roman" w:eastAsia="Times New Roman" w:hint="default"/>
        </w:rPr>
        <w:t>38.4%</w:t>
      </w:r>
      <w:r>
        <w:rPr/>
        <w:t>的股权；本公司于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日召开的第三届董事会</w:t>
      </w:r>
      <w:r>
        <w:rPr>
          <w:spacing w:val="-18"/>
        </w:rPr>
        <w:t> </w:t>
      </w:r>
      <w:r>
        <w:rPr>
          <w:spacing w:val="-18"/>
        </w:rPr>
      </w:r>
      <w:r>
        <w:rPr/>
        <w:t>第四十次临时会议审议通过了《关于收购苏州爱康能源工程技术股份有限公司部分股权暨关联交易的公告》收购其</w:t>
      </w:r>
      <w:r>
        <w:rPr>
          <w:rFonts w:ascii="Times New Roman" w:hAnsi="Times New Roman" w:cs="Times New Roman" w:eastAsia="Times New Roman" w:hint="default"/>
        </w:rPr>
        <w:t>9%</w:t>
      </w:r>
      <w:r>
        <w:rPr/>
        <w:t>的股</w:t>
      </w:r>
      <w:r>
        <w:rPr>
          <w:spacing w:val="-52"/>
        </w:rPr>
        <w:t> </w:t>
      </w:r>
      <w:r>
        <w:rPr/>
        <w:t>权。截止</w:t>
      </w:r>
      <w:r>
        <w:rPr>
          <w:rFonts w:ascii="Times New Roman" w:hAnsi="Times New Roman" w:cs="Times New Roman" w:eastAsia="Times New Roman" w:hint="default"/>
        </w:rPr>
        <w:t>2018</w:t>
      </w:r>
      <w:r>
        <w:rPr/>
        <w:t>年末，公司累计完成</w:t>
      </w:r>
      <w:r>
        <w:rPr>
          <w:rFonts w:ascii="Times New Roman" w:hAnsi="Times New Roman" w:cs="Times New Roman" w:eastAsia="Times New Roman" w:hint="default"/>
        </w:rPr>
        <w:t>47.40%</w:t>
      </w:r>
      <w:r>
        <w:rPr/>
        <w:t>的股权收购。</w:t>
      </w:r>
      <w:r>
        <w:rPr>
          <w:rFonts w:ascii="Times New Roman" w:hAnsi="Times New Roman" w:cs="Times New Roman" w:eastAsia="Times New Roman" w:hint="default"/>
        </w:rPr>
        <w:t>2018</w:t>
      </w:r>
      <w:r>
        <w:rPr/>
        <w:t>年营业收入</w:t>
      </w:r>
      <w:r>
        <w:rPr>
          <w:rFonts w:ascii="Times New Roman" w:hAnsi="Times New Roman" w:cs="Times New Roman" w:eastAsia="Times New Roman" w:hint="default"/>
        </w:rPr>
        <w:t>13.75</w:t>
      </w:r>
      <w:r>
        <w:rPr/>
        <w:t>亿元，净利润</w:t>
      </w:r>
      <w:r>
        <w:rPr>
          <w:rFonts w:ascii="Times New Roman" w:hAnsi="Times New Roman" w:cs="Times New Roman" w:eastAsia="Times New Roman" w:hint="default"/>
        </w:rPr>
        <w:t>1.40</w:t>
      </w:r>
      <w:r>
        <w:rPr/>
        <w:t>亿元。</w:t>
      </w:r>
    </w:p>
    <w:p>
      <w:pPr>
        <w:spacing w:line="240" w:lineRule="auto" w:before="4"/>
        <w:rPr>
          <w:rFonts w:ascii="宋体" w:hAnsi="宋体" w:cs="宋体" w:eastAsia="宋体" w:hint="default"/>
          <w:sz w:val="20"/>
          <w:szCs w:val="20"/>
        </w:rPr>
      </w:pPr>
    </w:p>
    <w:p>
      <w:pPr>
        <w:pStyle w:val="Heading2"/>
        <w:spacing w:line="240" w:lineRule="auto"/>
        <w:ind w:right="1122"/>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2"/>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9"/>
        <w:rPr>
          <w:rFonts w:ascii="宋体" w:hAnsi="宋体" w:cs="宋体" w:eastAsia="宋体" w:hint="default"/>
          <w:b/>
          <w:bCs/>
          <w:sz w:val="26"/>
          <w:szCs w:val="26"/>
        </w:rPr>
      </w:pPr>
    </w:p>
    <w:p>
      <w:pPr>
        <w:spacing w:line="357" w:lineRule="auto" w:before="0"/>
        <w:ind w:left="514" w:right="1122" w:firstLine="60"/>
        <w:jc w:val="left"/>
        <w:rPr>
          <w:rFonts w:ascii="宋体" w:hAnsi="宋体" w:cs="宋体" w:eastAsia="宋体" w:hint="default"/>
          <w:sz w:val="18"/>
          <w:szCs w:val="18"/>
        </w:rPr>
      </w:pPr>
      <w:r>
        <w:rPr>
          <w:rFonts w:ascii="宋体" w:hAnsi="宋体" w:cs="宋体" w:eastAsia="宋体" w:hint="default"/>
          <w:b/>
          <w:bCs/>
          <w:sz w:val="18"/>
          <w:szCs w:val="18"/>
        </w:rPr>
        <w:t>（一）行业的竞争格局及发展趋势</w:t>
      </w:r>
      <w:r>
        <w:rPr>
          <w:rFonts w:ascii="宋体" w:hAnsi="宋体" w:cs="宋体" w:eastAsia="宋体" w:hint="default"/>
          <w:b/>
          <w:bCs/>
          <w:w w:val="99"/>
          <w:sz w:val="18"/>
          <w:szCs w:val="18"/>
        </w:rPr>
        <w:t> </w:t>
      </w:r>
      <w:r>
        <w:rPr>
          <w:rFonts w:ascii="宋体" w:hAnsi="宋体" w:cs="宋体" w:eastAsia="宋体" w:hint="default"/>
          <w:spacing w:val="-2"/>
          <w:sz w:val="18"/>
          <w:szCs w:val="18"/>
        </w:rPr>
        <w:t>国家发展改革委、国家能源局于</w:t>
      </w:r>
      <w:r>
        <w:rPr>
          <w:rFonts w:ascii="宋体" w:hAnsi="宋体" w:cs="宋体" w:eastAsia="宋体" w:hint="default"/>
          <w:spacing w:val="-2"/>
          <w:sz w:val="18"/>
          <w:szCs w:val="18"/>
        </w:rPr>
        <w:t>2016</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26</w:t>
      </w:r>
      <w:r>
        <w:rPr>
          <w:rFonts w:ascii="宋体" w:hAnsi="宋体" w:cs="宋体" w:eastAsia="宋体" w:hint="default"/>
          <w:spacing w:val="-2"/>
          <w:sz w:val="18"/>
          <w:szCs w:val="18"/>
        </w:rPr>
        <w:t>日发布并实施《“十三五”能源规划》，是我国能源发展的指导思想、基</w:t>
      </w:r>
    </w:p>
    <w:p>
      <w:pPr>
        <w:pStyle w:val="BodyText"/>
        <w:spacing w:line="224" w:lineRule="exact"/>
        <w:ind w:right="0"/>
        <w:jc w:val="left"/>
      </w:pPr>
      <w:r>
        <w:rPr/>
        <w:t>本原则、发展目标、重点任务和政策措施。规划强调坚持以推进能源供给侧结构性改革为主线，以满足经济社会发展和民生</w:t>
      </w:r>
    </w:p>
    <w:p>
      <w:pPr>
        <w:pStyle w:val="BodyText"/>
        <w:spacing w:line="319" w:lineRule="auto" w:before="76"/>
        <w:ind w:right="1122"/>
        <w:jc w:val="left"/>
      </w:pPr>
      <w:r>
        <w:rPr>
          <w:spacing w:val="-2"/>
        </w:rPr>
        <w:t>需求为立足点，以提高能源发展质量和效益为中心，着力优化能源系统，着力补上发展短板，着力培育新技术新产业新业态</w:t>
      </w:r>
      <w:r>
        <w:rPr>
          <w:spacing w:val="-66"/>
        </w:rPr>
        <w:t> </w:t>
      </w:r>
      <w:r>
        <w:rPr>
          <w:spacing w:val="-66"/>
        </w:rPr>
      </w:r>
      <w:r>
        <w:rPr/>
        <w:t>新模式，着力提升能源普遍服务水平，全面推进能源生产和消费革命，努力构建清洁低碳、安全高效的现代能源体系。</w:t>
      </w:r>
    </w:p>
    <w:p>
      <w:pPr>
        <w:pStyle w:val="BodyText"/>
        <w:spacing w:line="319" w:lineRule="auto" w:before="56"/>
        <w:ind w:right="1129" w:firstLine="360"/>
        <w:jc w:val="both"/>
      </w:pP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31</w:t>
      </w:r>
      <w:r>
        <w:rPr/>
        <w:t>日国家能源局等部门印发《关于</w:t>
      </w:r>
      <w:r>
        <w:rPr>
          <w:rFonts w:ascii="宋体" w:hAnsi="宋体" w:cs="宋体" w:eastAsia="宋体" w:hint="default"/>
        </w:rPr>
        <w:t>2018</w:t>
      </w:r>
      <w:r>
        <w:rPr/>
        <w:t>年光伏发电有关事项的通知》，即</w:t>
      </w:r>
      <w:r>
        <w:rPr>
          <w:spacing w:val="7"/>
        </w:rPr>
        <w:t> </w:t>
      </w:r>
      <w:r>
        <w:rPr/>
        <w:t>“</w:t>
      </w:r>
      <w:r>
        <w:rPr>
          <w:rFonts w:ascii="宋体" w:hAnsi="宋体" w:cs="宋体" w:eastAsia="宋体" w:hint="default"/>
        </w:rPr>
        <w:t>531</w:t>
      </w:r>
      <w:r>
        <w:rPr/>
        <w:t>”新政，提出暂不安排</w:t>
      </w:r>
      <w:r>
        <w:rPr>
          <w:rFonts w:ascii="宋体" w:hAnsi="宋体" w:cs="宋体" w:eastAsia="宋体" w:hint="default"/>
        </w:rPr>
        <w:t>2018 </w:t>
      </w:r>
      <w:r>
        <w:rPr>
          <w:spacing w:val="-2"/>
        </w:rPr>
        <w:t>年普通光伏电站建设规模，仅安排</w:t>
      </w:r>
      <w:r>
        <w:rPr>
          <w:rFonts w:ascii="宋体" w:hAnsi="宋体" w:cs="宋体" w:eastAsia="宋体" w:hint="default"/>
          <w:spacing w:val="-2"/>
        </w:rPr>
        <w:t>1000</w:t>
      </w:r>
      <w:r>
        <w:rPr>
          <w:spacing w:val="-2"/>
        </w:rPr>
        <w:t>万千瓦左右的分布式光伏建设规模，进一步降低光伏发电的补贴强度。重压之下，中</w:t>
      </w:r>
      <w:r>
        <w:rPr>
          <w:spacing w:val="-62"/>
        </w:rPr>
        <w:t> </w:t>
      </w:r>
      <w:r>
        <w:rPr>
          <w:spacing w:val="-62"/>
        </w:rPr>
      </w:r>
      <w:r>
        <w:rPr/>
        <w:t>国光伏迎来了时代的拐点。</w:t>
      </w:r>
    </w:p>
    <w:p>
      <w:pPr>
        <w:pStyle w:val="BodyText"/>
        <w:spacing w:line="319" w:lineRule="auto" w:before="55"/>
        <w:ind w:right="1131" w:firstLine="360"/>
        <w:jc w:val="both"/>
      </w:pPr>
      <w:r>
        <w:rPr>
          <w:spacing w:val="-2"/>
        </w:rPr>
        <w:t>正在“</w:t>
      </w:r>
      <w:r>
        <w:rPr>
          <w:rFonts w:ascii="宋体" w:hAnsi="宋体" w:cs="宋体" w:eastAsia="宋体" w:hint="default"/>
          <w:spacing w:val="-2"/>
        </w:rPr>
        <w:t>531</w:t>
      </w:r>
      <w:r>
        <w:rPr>
          <w:spacing w:val="-2"/>
        </w:rPr>
        <w:t>新政”倒逼下前进的光伏行业迎来了习近平主席于</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w:t>
      </w:r>
      <w:r>
        <w:rPr>
          <w:spacing w:val="-2"/>
        </w:rPr>
        <w:t>日上午在京主持召开的民营企业座谈会，主席</w:t>
      </w:r>
      <w:r>
        <w:rPr/>
        <w:t> </w:t>
      </w:r>
      <w:r>
        <w:rPr>
          <w:spacing w:val="-2"/>
        </w:rPr>
        <w:t>明确指出要不断为民营经济营造更好发展环境，帮助民营经济解决发展中的困难，支持民营企业改革发展，有些政策制定过</w:t>
      </w:r>
      <w:r>
        <w:rPr>
          <w:spacing w:val="-66"/>
        </w:rPr>
        <w:t> </w:t>
      </w:r>
      <w:r>
        <w:rPr>
          <w:spacing w:val="-66"/>
        </w:rPr>
      </w:r>
      <w:r>
        <w:rPr>
          <w:spacing w:val="-2"/>
        </w:rPr>
        <w:t>程中前期调研不够，没有充分听取企业意见，对政策实际影响考虑不周，没有给企业留出必要的适应调整期。有些政策相互</w:t>
      </w:r>
      <w:r>
        <w:rPr>
          <w:spacing w:val="-66"/>
        </w:rPr>
        <w:t> </w:t>
      </w:r>
      <w:r>
        <w:rPr>
          <w:spacing w:val="-66"/>
        </w:rPr>
      </w:r>
      <w:r>
        <w:rPr/>
        <w:t>不协调，政策效应同向叠加，或者是工作方式简单，导致一些初衷是好的政策产生了相反的作用。</w:t>
      </w:r>
    </w:p>
    <w:p>
      <w:pPr>
        <w:pStyle w:val="BodyText"/>
        <w:spacing w:line="319" w:lineRule="auto" w:before="55"/>
        <w:ind w:right="1129" w:firstLine="360"/>
        <w:jc w:val="both"/>
      </w:pPr>
      <w:r>
        <w:rPr/>
        <w:t>随即</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w:t>
      </w:r>
      <w:r>
        <w:rPr/>
        <w:t>日上午，国家能源局召开关于太阳能发展“十三五”规划中期评估成果座谈会，商讨“十三五”光伏 </w:t>
      </w:r>
      <w:r>
        <w:rPr>
          <w:spacing w:val="-2"/>
        </w:rPr>
        <w:t>发电及光热发电等领域的发展规划目标的调整，会议明确</w:t>
      </w:r>
      <w:r>
        <w:rPr>
          <w:rFonts w:ascii="宋体" w:hAnsi="宋体" w:cs="宋体" w:eastAsia="宋体" w:hint="default"/>
          <w:spacing w:val="-2"/>
        </w:rPr>
        <w:t>2022</w:t>
      </w:r>
      <w:r>
        <w:rPr>
          <w:spacing w:val="-2"/>
        </w:rPr>
        <w:t>年前光伏会继续有补贴支持，同时保证规模，不会一刀切。以</w:t>
      </w:r>
      <w:r>
        <w:rPr>
          <w:spacing w:val="-62"/>
        </w:rPr>
        <w:t> </w:t>
      </w:r>
      <w:r>
        <w:rPr>
          <w:spacing w:val="-62"/>
        </w:rPr>
      </w:r>
      <w:r>
        <w:rPr>
          <w:spacing w:val="-2"/>
        </w:rPr>
        <w:t>上政策的变化，印证了政策扶持光伏行业发展的导向。随着中美贸易战的缓和，海外新兴市场的高速发展，特别是光伏系统</w:t>
      </w:r>
      <w:r>
        <w:rPr>
          <w:spacing w:val="-66"/>
        </w:rPr>
        <w:t> </w:t>
      </w:r>
      <w:r>
        <w:rPr>
          <w:spacing w:val="-66"/>
        </w:rPr>
      </w:r>
      <w:r>
        <w:rPr/>
        <w:t>成本的大幅下降、中国光伏愈发接近平价上网等利好因素，可以预见行业发展将逐渐回暖。</w:t>
      </w:r>
    </w:p>
    <w:p>
      <w:pPr>
        <w:pStyle w:val="BodyText"/>
        <w:spacing w:line="319" w:lineRule="auto" w:before="56"/>
        <w:ind w:right="0" w:firstLine="360"/>
        <w:jc w:val="left"/>
      </w:pPr>
      <w:r>
        <w:rPr>
          <w:rFonts w:ascii="宋体" w:hAnsi="宋体" w:cs="宋体" w:eastAsia="宋体" w:hint="default"/>
          <w:spacing w:val="-2"/>
        </w:rPr>
        <w:t>1</w:t>
      </w:r>
      <w:r>
        <w:rPr>
          <w:spacing w:val="-2"/>
        </w:rPr>
        <w:t>、国内光伏市场前景相对乐观。截至</w:t>
      </w:r>
      <w:r>
        <w:rPr>
          <w:rFonts w:ascii="宋体" w:hAnsi="宋体" w:cs="宋体" w:eastAsia="宋体" w:hint="default"/>
          <w:spacing w:val="-2"/>
        </w:rPr>
        <w:t>2018</w:t>
      </w:r>
      <w:r>
        <w:rPr>
          <w:spacing w:val="-2"/>
        </w:rPr>
        <w:t>年底，全球光伏新增装机量为</w:t>
      </w:r>
      <w:r>
        <w:rPr>
          <w:rFonts w:ascii="宋体" w:hAnsi="宋体" w:cs="宋体" w:eastAsia="宋体" w:hint="default"/>
          <w:spacing w:val="-2"/>
        </w:rPr>
        <w:t>109GW</w:t>
      </w:r>
      <w:r>
        <w:rPr>
          <w:spacing w:val="-2"/>
        </w:rPr>
        <w:t>，同比增长</w:t>
      </w:r>
      <w:r>
        <w:rPr>
          <w:rFonts w:ascii="宋体" w:hAnsi="宋体" w:cs="宋体" w:eastAsia="宋体" w:hint="default"/>
          <w:spacing w:val="-2"/>
        </w:rPr>
        <w:t>6.8%</w:t>
      </w:r>
      <w:r>
        <w:rPr>
          <w:spacing w:val="-2"/>
        </w:rPr>
        <w:t>。相较于</w:t>
      </w:r>
      <w:r>
        <w:rPr>
          <w:rFonts w:ascii="宋体" w:hAnsi="宋体" w:cs="宋体" w:eastAsia="宋体" w:hint="default"/>
          <w:spacing w:val="-2"/>
        </w:rPr>
        <w:t>2017</w:t>
      </w:r>
      <w:r>
        <w:rPr>
          <w:spacing w:val="-2"/>
        </w:rPr>
        <w:t>年光伏发电</w:t>
      </w:r>
      <w:r>
        <w:rPr/>
        <w:t> </w:t>
      </w:r>
      <w:r>
        <w:rPr>
          <w:spacing w:val="-2"/>
        </w:rPr>
        <w:t>市场井喷式的发展，</w:t>
      </w:r>
      <w:r>
        <w:rPr>
          <w:rFonts w:ascii="宋体" w:hAnsi="宋体" w:cs="宋体" w:eastAsia="宋体" w:hint="default"/>
          <w:spacing w:val="-2"/>
        </w:rPr>
        <w:t>2018</w:t>
      </w:r>
      <w:r>
        <w:rPr>
          <w:spacing w:val="-2"/>
        </w:rPr>
        <w:t>年我国光伏新增装机量集中式约</w:t>
      </w:r>
      <w:r>
        <w:rPr>
          <w:rFonts w:ascii="宋体" w:hAnsi="宋体" w:cs="宋体" w:eastAsia="宋体" w:hint="default"/>
          <w:spacing w:val="-2"/>
        </w:rPr>
        <w:t>23GW</w:t>
      </w:r>
      <w:r>
        <w:rPr>
          <w:spacing w:val="-2"/>
        </w:rPr>
        <w:t>，同比下降</w:t>
      </w:r>
      <w:r>
        <w:rPr>
          <w:rFonts w:ascii="宋体" w:hAnsi="宋体" w:cs="宋体" w:eastAsia="宋体" w:hint="default"/>
          <w:spacing w:val="-2"/>
        </w:rPr>
        <w:t>31%</w:t>
      </w:r>
      <w:r>
        <w:rPr>
          <w:spacing w:val="-2"/>
        </w:rPr>
        <w:t>，分布式约</w:t>
      </w:r>
      <w:r>
        <w:rPr>
          <w:rFonts w:ascii="宋体" w:hAnsi="宋体" w:cs="宋体" w:eastAsia="宋体" w:hint="default"/>
          <w:spacing w:val="-2"/>
        </w:rPr>
        <w:t>20GW</w:t>
      </w:r>
      <w:r>
        <w:rPr>
          <w:spacing w:val="-2"/>
        </w:rPr>
        <w:t>，同比增长</w:t>
      </w:r>
      <w:r>
        <w:rPr>
          <w:rFonts w:ascii="宋体" w:hAnsi="宋体" w:cs="宋体" w:eastAsia="宋体" w:hint="default"/>
          <w:spacing w:val="-2"/>
        </w:rPr>
        <w:t>5%</w:t>
      </w:r>
      <w:r>
        <w:rPr>
          <w:spacing w:val="-2"/>
        </w:rPr>
        <w:t>，共计超过</w:t>
      </w:r>
      <w:r>
        <w:rPr>
          <w:rFonts w:ascii="宋体" w:hAnsi="宋体" w:cs="宋体" w:eastAsia="宋体" w:hint="default"/>
          <w:spacing w:val="-2"/>
        </w:rPr>
        <w:t>43GW</w:t>
      </w:r>
      <w:r>
        <w:rPr>
          <w:spacing w:val="-2"/>
        </w:rPr>
        <w:t>，</w:t>
      </w:r>
      <w:r>
        <w:rPr>
          <w:spacing w:val="-48"/>
        </w:rPr>
        <w:t> </w:t>
      </w:r>
      <w:r>
        <w:rPr>
          <w:spacing w:val="-2"/>
        </w:rPr>
        <w:t>同比下降</w:t>
      </w:r>
      <w:r>
        <w:rPr>
          <w:rFonts w:ascii="宋体" w:hAnsi="宋体" w:cs="宋体" w:eastAsia="宋体" w:hint="default"/>
          <w:spacing w:val="-2"/>
        </w:rPr>
        <w:t>18%</w:t>
      </w:r>
      <w:r>
        <w:rPr>
          <w:spacing w:val="-2"/>
        </w:rPr>
        <w:t>。其中累计装机量超过</w:t>
      </w:r>
      <w:r>
        <w:rPr>
          <w:rFonts w:ascii="宋体" w:hAnsi="宋体" w:cs="宋体" w:eastAsia="宋体" w:hint="default"/>
          <w:spacing w:val="-2"/>
        </w:rPr>
        <w:t>170GW</w:t>
      </w:r>
      <w:r>
        <w:rPr>
          <w:spacing w:val="-2"/>
        </w:rPr>
        <w:t>，</w:t>
      </w:r>
      <w:r>
        <w:rPr>
          <w:rFonts w:ascii="宋体" w:hAnsi="宋体" w:cs="宋体" w:eastAsia="宋体" w:hint="default"/>
          <w:spacing w:val="-2"/>
        </w:rPr>
        <w:t>2018</w:t>
      </w:r>
      <w:r>
        <w:rPr>
          <w:spacing w:val="-2"/>
        </w:rPr>
        <w:t>年成为仅次于</w:t>
      </w:r>
      <w:r>
        <w:rPr>
          <w:rFonts w:ascii="宋体" w:hAnsi="宋体" w:cs="宋体" w:eastAsia="宋体" w:hint="default"/>
          <w:spacing w:val="-2"/>
        </w:rPr>
        <w:t>2017</w:t>
      </w:r>
      <w:r>
        <w:rPr>
          <w:spacing w:val="-2"/>
        </w:rPr>
        <w:t>年新增装机年度，为历史第二高。</w:t>
      </w:r>
      <w:r>
        <w:rPr>
          <w:rFonts w:ascii="宋体" w:hAnsi="宋体" w:cs="宋体" w:eastAsia="宋体" w:hint="default"/>
          <w:spacing w:val="-2"/>
        </w:rPr>
        <w:t>2019</w:t>
      </w:r>
      <w:r>
        <w:rPr>
          <w:spacing w:val="-2"/>
        </w:rPr>
        <w:t>年预计新增装机规</w:t>
      </w:r>
      <w:r>
        <w:rPr>
          <w:spacing w:val="-47"/>
        </w:rPr>
        <w:t> </w:t>
      </w:r>
      <w:r>
        <w:rPr/>
        <w:t>模在</w:t>
      </w:r>
      <w:r>
        <w:rPr>
          <w:rFonts w:ascii="宋体" w:hAnsi="宋体" w:cs="宋体" w:eastAsia="宋体" w:hint="default"/>
        </w:rPr>
        <w:t>35GW</w:t>
      </w:r>
      <w:r>
        <w:rPr/>
        <w:t>到</w:t>
      </w:r>
      <w:r>
        <w:rPr>
          <w:rFonts w:ascii="宋体" w:hAnsi="宋体" w:cs="宋体" w:eastAsia="宋体" w:hint="default"/>
        </w:rPr>
        <w:t>45GW</w:t>
      </w:r>
      <w:r>
        <w:rPr/>
        <w:t>。</w:t>
      </w:r>
    </w:p>
    <w:p>
      <w:pPr>
        <w:pStyle w:val="BodyText"/>
        <w:spacing w:line="316" w:lineRule="auto" w:before="56"/>
        <w:ind w:right="1130" w:firstLine="360"/>
        <w:jc w:val="both"/>
        <w:rPr>
          <w:rFonts w:ascii="宋体" w:hAnsi="宋体" w:cs="宋体" w:eastAsia="宋体" w:hint="default"/>
        </w:rPr>
      </w:pPr>
      <w:r>
        <w:rPr>
          <w:rFonts w:ascii="宋体" w:hAnsi="宋体" w:cs="宋体" w:eastAsia="宋体" w:hint="default"/>
        </w:rPr>
        <w:t>2</w:t>
      </w:r>
      <w:r>
        <w:rPr/>
        <w:t>、海外装机市场遍地开花。</w:t>
      </w:r>
      <w:r>
        <w:rPr>
          <w:rFonts w:ascii="宋体" w:hAnsi="宋体" w:cs="宋体" w:eastAsia="宋体" w:hint="default"/>
        </w:rPr>
        <w:t>2018</w:t>
      </w:r>
      <w:r>
        <w:rPr/>
        <w:t>年，国内光伏组件和系统的成本和价格仍处于快速下降区间，组件主要出口国家和地 </w:t>
      </w:r>
      <w:r>
        <w:rPr>
          <w:spacing w:val="-2"/>
        </w:rPr>
        <w:t>区的市场集中度继续下降，形成了传统市场和新兴市场（南美、中东北非）结合的多元化市场。同时，从国内光伏企业海外</w:t>
      </w:r>
      <w:r>
        <w:rPr>
          <w:spacing w:val="-68"/>
        </w:rPr>
        <w:t> </w:t>
      </w:r>
      <w:r>
        <w:rPr>
          <w:spacing w:val="-68"/>
        </w:rPr>
      </w:r>
      <w:r>
        <w:rPr>
          <w:spacing w:val="-2"/>
        </w:rPr>
        <w:t>投资建成情况看，海外布局正在配套化，电站建设也开始走出去。根据</w:t>
      </w:r>
      <w:r>
        <w:rPr>
          <w:rFonts w:ascii="宋体" w:hAnsi="宋体" w:cs="宋体" w:eastAsia="宋体" w:hint="default"/>
          <w:spacing w:val="-2"/>
        </w:rPr>
        <w:t>2018</w:t>
      </w:r>
      <w:r>
        <w:rPr>
          <w:spacing w:val="-2"/>
        </w:rPr>
        <w:t>年国际市场需求表现推测</w:t>
      </w:r>
      <w:r>
        <w:rPr>
          <w:rFonts w:ascii="宋体" w:hAnsi="宋体" w:cs="宋体" w:eastAsia="宋体" w:hint="default"/>
          <w:spacing w:val="-2"/>
        </w:rPr>
        <w:t>2019</w:t>
      </w:r>
      <w:r>
        <w:rPr>
          <w:spacing w:val="-2"/>
        </w:rPr>
        <w:t>年国际市场将涌现</w:t>
      </w:r>
      <w:r>
        <w:rPr>
          <w:spacing w:val="-58"/>
        </w:rPr>
        <w:t> </w:t>
      </w:r>
      <w:r>
        <w:rPr>
          <w:spacing w:val="-2"/>
        </w:rPr>
        <w:t>装机规模超过</w:t>
      </w:r>
      <w:r>
        <w:rPr>
          <w:rFonts w:ascii="宋体" w:hAnsi="宋体" w:cs="宋体" w:eastAsia="宋体" w:hint="default"/>
          <w:spacing w:val="-2"/>
        </w:rPr>
        <w:t>1GW</w:t>
      </w:r>
      <w:r>
        <w:rPr>
          <w:spacing w:val="-2"/>
        </w:rPr>
        <w:t>的区域市场超过</w:t>
      </w:r>
      <w:r>
        <w:rPr>
          <w:rFonts w:ascii="宋体" w:hAnsi="宋体" w:cs="宋体" w:eastAsia="宋体" w:hint="default"/>
          <w:spacing w:val="-2"/>
        </w:rPr>
        <w:t>14</w:t>
      </w:r>
      <w:r>
        <w:rPr>
          <w:spacing w:val="-2"/>
        </w:rPr>
        <w:t>个。随着欧盟对我国长达</w:t>
      </w:r>
      <w:r>
        <w:rPr>
          <w:rFonts w:ascii="宋体" w:hAnsi="宋体" w:cs="宋体" w:eastAsia="宋体" w:hint="default"/>
          <w:spacing w:val="-2"/>
        </w:rPr>
        <w:t>5</w:t>
      </w:r>
      <w:r>
        <w:rPr>
          <w:spacing w:val="-2"/>
        </w:rPr>
        <w:t>年的“双反”告一段落，欧洲市场需求将大幅度的提振，</w:t>
      </w:r>
      <w:r>
        <w:rPr>
          <w:rFonts w:ascii="宋体" w:hAnsi="宋体" w:cs="宋体" w:eastAsia="宋体" w:hint="default"/>
          <w:spacing w:val="-2"/>
        </w:rPr>
        <w:t>2019</w:t>
      </w:r>
    </w:p>
    <w:p>
      <w:pPr>
        <w:spacing w:after="0" w:line="316" w:lineRule="auto"/>
        <w:jc w:val="both"/>
        <w:rPr>
          <w:rFonts w:ascii="宋体" w:hAnsi="宋体" w:cs="宋体" w:eastAsia="宋体" w:hint="default"/>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0"/>
        <w:jc w:val="both"/>
      </w:pPr>
      <w:r>
        <w:rPr>
          <w:spacing w:val="-2"/>
        </w:rPr>
        <w:t>年预计将出现超过</w:t>
      </w:r>
      <w:r>
        <w:rPr>
          <w:rFonts w:ascii="宋体" w:hAnsi="宋体" w:cs="宋体" w:eastAsia="宋体" w:hint="default"/>
          <w:spacing w:val="-2"/>
        </w:rPr>
        <w:t>11GW</w:t>
      </w:r>
      <w:r>
        <w:rPr>
          <w:spacing w:val="-2"/>
        </w:rPr>
        <w:t>装机规模。在中国、日本、美国和印度需求稳定增长同时，包括土耳其、墨西哥、澳大利亚在内的新</w:t>
      </w:r>
      <w:r>
        <w:rPr>
          <w:spacing w:val="-64"/>
        </w:rPr>
        <w:t> </w:t>
      </w:r>
      <w:r>
        <w:rPr>
          <w:spacing w:val="-64"/>
        </w:rPr>
      </w:r>
      <w:r>
        <w:rPr/>
        <w:t>兴市场同时将快速崛起。</w:t>
      </w:r>
    </w:p>
    <w:p>
      <w:pPr>
        <w:pStyle w:val="BodyText"/>
        <w:spacing w:line="319" w:lineRule="auto" w:before="55"/>
        <w:ind w:right="1129" w:firstLine="360"/>
        <w:jc w:val="both"/>
      </w:pPr>
      <w:r>
        <w:rPr>
          <w:rFonts w:ascii="宋体" w:hAnsi="宋体" w:cs="宋体" w:eastAsia="宋体" w:hint="default"/>
        </w:rPr>
        <w:t>3</w:t>
      </w:r>
      <w:r>
        <w:rPr/>
        <w:t>、光伏发电地域发展逐步均衡。因光照和土地因素影响，过去国内光伏装机主要集中在甘肃、新疆、青海、内蒙古等 </w:t>
      </w:r>
      <w:r>
        <w:rPr>
          <w:spacing w:val="-2"/>
        </w:rPr>
        <w:t>西北部地区，过度建设导致光伏发电产能出现区域性过剩，上述地区出现了较为严重的弃光限电问题，严重影响了光伏发电</w:t>
      </w:r>
      <w:r>
        <w:rPr>
          <w:spacing w:val="-65"/>
        </w:rPr>
        <w:t> </w:t>
      </w:r>
      <w:r>
        <w:rPr>
          <w:spacing w:val="-65"/>
        </w:rPr>
      </w:r>
      <w:r>
        <w:rPr>
          <w:spacing w:val="-2"/>
        </w:rPr>
        <w:t>行业整体的收益水平和投资的积极性。</w:t>
      </w:r>
      <w:r>
        <w:rPr>
          <w:rFonts w:ascii="宋体" w:hAnsi="宋体" w:cs="宋体" w:eastAsia="宋体" w:hint="default"/>
          <w:spacing w:val="-2"/>
        </w:rPr>
        <w:t>2018</w:t>
      </w:r>
      <w:r>
        <w:rPr>
          <w:spacing w:val="-2"/>
        </w:rPr>
        <w:t>年光伏开发布局由西北向中东部地区转移的趋势有所放缓。</w:t>
      </w:r>
      <w:r>
        <w:rPr>
          <w:rFonts w:ascii="宋体" w:hAnsi="宋体" w:cs="宋体" w:eastAsia="宋体" w:hint="default"/>
          <w:spacing w:val="-2"/>
        </w:rPr>
        <w:t>2018</w:t>
      </w:r>
      <w:r>
        <w:rPr>
          <w:spacing w:val="-2"/>
        </w:rPr>
        <w:t>年我国中东部和</w:t>
      </w:r>
      <w:r>
        <w:rPr>
          <w:spacing w:val="-55"/>
        </w:rPr>
        <w:t> </w:t>
      </w:r>
      <w:r>
        <w:rPr/>
        <w:t>南方地区新增装机占比</w:t>
      </w:r>
      <w:r>
        <w:rPr>
          <w:rFonts w:ascii="宋体" w:hAnsi="宋体" w:cs="宋体" w:eastAsia="宋体" w:hint="default"/>
        </w:rPr>
        <w:t>58.4%</w:t>
      </w:r>
      <w:r>
        <w:rPr/>
        <w:t>，同比下降</w:t>
      </w:r>
      <w:r>
        <w:rPr>
          <w:rFonts w:ascii="宋体" w:hAnsi="宋体" w:cs="宋体" w:eastAsia="宋体" w:hint="default"/>
        </w:rPr>
        <w:t>11.1</w:t>
      </w:r>
      <w:r>
        <w:rPr/>
        <w:t>个百分点；累计装机占比</w:t>
      </w:r>
      <w:r>
        <w:rPr>
          <w:rFonts w:ascii="宋体" w:hAnsi="宋体" w:cs="宋体" w:eastAsia="宋体" w:hint="default"/>
        </w:rPr>
        <w:t>51.8%</w:t>
      </w:r>
      <w:r>
        <w:rPr/>
        <w:t>，同比小幅上升</w:t>
      </w:r>
      <w:r>
        <w:rPr>
          <w:rFonts w:ascii="宋体" w:hAnsi="宋体" w:cs="宋体" w:eastAsia="宋体" w:hint="default"/>
        </w:rPr>
        <w:t>1.4</w:t>
      </w:r>
      <w:r>
        <w:rPr/>
        <w:t>个百分点。未来新能源发展</w:t>
      </w:r>
      <w:r>
        <w:rPr>
          <w:spacing w:val="-83"/>
        </w:rPr>
        <w:t> </w:t>
      </w:r>
      <w:r>
        <w:rPr>
          <w:spacing w:val="-83"/>
        </w:rPr>
      </w:r>
      <w:r>
        <w:rPr/>
        <w:t>或将保持三北地区与中东部地区并重的开发布局。</w:t>
      </w:r>
    </w:p>
    <w:p>
      <w:pPr>
        <w:pStyle w:val="BodyText"/>
        <w:spacing w:line="319" w:lineRule="auto" w:before="56"/>
        <w:ind w:right="1131" w:firstLine="360"/>
        <w:jc w:val="both"/>
      </w:pPr>
      <w:r>
        <w:rPr>
          <w:rFonts w:ascii="宋体" w:hAnsi="宋体" w:cs="宋体" w:eastAsia="宋体" w:hint="default"/>
        </w:rPr>
        <w:t>4</w:t>
      </w:r>
      <w:r>
        <w:rPr/>
        <w:t>、平价上网逐步推进。</w:t>
      </w:r>
      <w:r>
        <w:rPr>
          <w:rFonts w:ascii="宋体" w:hAnsi="宋体" w:cs="宋体" w:eastAsia="宋体" w:hint="default"/>
        </w:rPr>
        <w:t>2019</w:t>
      </w:r>
      <w:r>
        <w:rPr/>
        <w:t>年伊始，国家发改委、国家能源局就下发了《关于积极推进风电、光伏发电无补贴平价上 </w:t>
      </w:r>
      <w:r>
        <w:rPr>
          <w:spacing w:val="-2"/>
        </w:rPr>
        <w:t>网有关工作的通知》，首次对平价项目核发绿证，支持力度超过以往政策，预期成效良好。接网工程、就近交易、执行电价</w:t>
      </w:r>
      <w:r>
        <w:rPr>
          <w:spacing w:val="-72"/>
        </w:rPr>
        <w:t> </w:t>
      </w:r>
      <w:r>
        <w:rPr>
          <w:spacing w:val="-72"/>
        </w:rPr>
      </w:r>
      <w:r>
        <w:rPr>
          <w:spacing w:val="-2"/>
        </w:rPr>
        <w:t>政策有望取得比历史实践更好的效果，消纳政策首次提出对限电电量通过给予优先发电计划获得补偿，是后续实施的关注重</w:t>
      </w:r>
      <w:r>
        <w:rPr>
          <w:spacing w:val="-64"/>
        </w:rPr>
        <w:t> </w:t>
      </w:r>
      <w:r>
        <w:rPr>
          <w:spacing w:val="-64"/>
        </w:rPr>
      </w:r>
      <w:r>
        <w:rPr/>
        <w:t>点。预计，</w:t>
      </w:r>
      <w:r>
        <w:rPr>
          <w:rFonts w:ascii="宋体" w:hAnsi="宋体" w:cs="宋体" w:eastAsia="宋体" w:hint="default"/>
        </w:rPr>
        <w:t>2020</w:t>
      </w:r>
      <w:r>
        <w:rPr/>
        <w:t>年全国大部分地区光伏电站可实现无补贴平价上网。</w:t>
      </w:r>
    </w:p>
    <w:p>
      <w:pPr>
        <w:pStyle w:val="BodyText"/>
        <w:spacing w:line="319" w:lineRule="auto" w:before="55"/>
        <w:ind w:right="1032" w:firstLine="360"/>
        <w:jc w:val="left"/>
      </w:pPr>
      <w:r>
        <w:rPr>
          <w:rFonts w:ascii="宋体" w:hAnsi="宋体" w:cs="宋体" w:eastAsia="宋体" w:hint="default"/>
          <w:spacing w:val="-2"/>
        </w:rPr>
        <w:t>5</w:t>
      </w:r>
      <w:r>
        <w:rPr>
          <w:spacing w:val="-2"/>
        </w:rPr>
        <w:t>、持续推进分布式光伏和“光伏</w:t>
      </w:r>
      <w:r>
        <w:rPr>
          <w:rFonts w:ascii="宋体" w:hAnsi="宋体" w:cs="宋体" w:eastAsia="宋体" w:hint="default"/>
          <w:spacing w:val="-2"/>
        </w:rPr>
        <w:t>+</w:t>
      </w:r>
      <w:r>
        <w:rPr>
          <w:spacing w:val="-2"/>
        </w:rPr>
        <w:t>”应用。《太阳能利用十三五发展规划》明确，继续开展分布式光伏发电应用示范区</w:t>
      </w:r>
      <w:r>
        <w:rPr/>
        <w:t> 建设，到</w:t>
      </w:r>
      <w:r>
        <w:rPr>
          <w:rFonts w:ascii="宋体" w:hAnsi="宋体" w:cs="宋体" w:eastAsia="宋体" w:hint="default"/>
        </w:rPr>
        <w:t>2020</w:t>
      </w:r>
      <w:r>
        <w:rPr/>
        <w:t>年建成</w:t>
      </w:r>
      <w:r>
        <w:rPr>
          <w:rFonts w:ascii="宋体" w:hAnsi="宋体" w:cs="宋体" w:eastAsia="宋体" w:hint="default"/>
        </w:rPr>
        <w:t>100</w:t>
      </w:r>
      <w:r>
        <w:rPr/>
        <w:t>个分布式光伏应用示范区，园区内</w:t>
      </w:r>
      <w:r>
        <w:rPr>
          <w:rFonts w:ascii="宋体" w:hAnsi="宋体" w:cs="宋体" w:eastAsia="宋体" w:hint="default"/>
        </w:rPr>
        <w:t>80%</w:t>
      </w:r>
      <w:r>
        <w:rPr/>
        <w:t>的新建建筑屋顶、</w:t>
      </w:r>
      <w:r>
        <w:rPr>
          <w:rFonts w:ascii="宋体" w:hAnsi="宋体" w:cs="宋体" w:eastAsia="宋体" w:hint="default"/>
        </w:rPr>
        <w:t>50%</w:t>
      </w:r>
      <w:r>
        <w:rPr/>
        <w:t>的已有建筑屋顶安装光伏发电。在具备</w:t>
      </w:r>
      <w:r>
        <w:rPr>
          <w:spacing w:val="-83"/>
        </w:rPr>
        <w:t> </w:t>
      </w:r>
      <w:r>
        <w:rPr>
          <w:spacing w:val="-83"/>
        </w:rPr>
      </w:r>
      <w:r>
        <w:rPr/>
        <w:t>开发条件的工业园区、经济开发区、大型工矿企业以及商场学校医院等公共建筑，采取“政府引导、企业自愿、金融支持、 </w:t>
      </w:r>
      <w:r>
        <w:rPr>
          <w:spacing w:val="-2"/>
        </w:rPr>
        <w:t>社会参与”的方式，统一规划并组织实施屋顶光伏工程。鼓励结合荒山荒地和沿海滩涂综合利用、采煤沉陷区等废弃土地治</w:t>
      </w:r>
      <w:r>
        <w:rPr>
          <w:spacing w:val="-66"/>
        </w:rPr>
        <w:t> </w:t>
      </w:r>
      <w:r>
        <w:rPr>
          <w:spacing w:val="-66"/>
        </w:rPr>
      </w:r>
      <w:r>
        <w:rPr/>
        <w:t>理、设施农业、渔业养殖等方式，因地制宜开展各类“光伏</w:t>
      </w:r>
      <w:r>
        <w:rPr>
          <w:rFonts w:ascii="宋体" w:hAnsi="宋体" w:cs="宋体" w:eastAsia="宋体" w:hint="default"/>
        </w:rPr>
        <w:t>+</w:t>
      </w:r>
      <w:r>
        <w:rPr/>
        <w:t>”应用工程，促进光伏发电与其他产业有机融合，通过光伏发</w:t>
      </w:r>
      <w:r>
        <w:rPr>
          <w:spacing w:val="-82"/>
        </w:rPr>
        <w:t> </w:t>
      </w:r>
      <w:r>
        <w:rPr>
          <w:spacing w:val="-82"/>
        </w:rPr>
      </w:r>
      <w:r>
        <w:rPr/>
        <w:t>电为土地增值利用开拓新途径。</w:t>
      </w:r>
    </w:p>
    <w:p>
      <w:pPr>
        <w:pStyle w:val="BodyText"/>
        <w:spacing w:line="357" w:lineRule="auto" w:before="56"/>
        <w:ind w:left="514" w:right="1122"/>
        <w:jc w:val="left"/>
      </w:pPr>
      <w:r>
        <w:rPr>
          <w:rFonts w:ascii="宋体" w:hAnsi="宋体" w:cs="宋体" w:eastAsia="宋体" w:hint="default"/>
        </w:rPr>
        <w:t>6</w:t>
      </w:r>
      <w:r>
        <w:rPr/>
        <w:t>、政策引导产业走向高质量发展道路 </w:t>
      </w:r>
      <w:r>
        <w:rPr>
          <w:spacing w:val="-2"/>
        </w:rPr>
        <w:t>光伏行业技术迭代加快，由于产业链多数环节为资金密集型，而且技术迭代极快，因此过去十几年里光伏产业链后发优</w:t>
      </w:r>
    </w:p>
    <w:p>
      <w:pPr>
        <w:pStyle w:val="BodyText"/>
        <w:spacing w:line="224" w:lineRule="exact"/>
        <w:ind w:right="0"/>
        <w:jc w:val="both"/>
      </w:pPr>
      <w:r>
        <w:rPr/>
        <w:t>势较为明显，而且各企业资金需求较大，光伏行业在平价上网政策倒逼下，行业进入洗牌期，行业整合加速。光伏企业正扎</w:t>
      </w:r>
    </w:p>
    <w:p>
      <w:pPr>
        <w:pStyle w:val="BodyText"/>
        <w:spacing w:line="240" w:lineRule="auto" w:before="77"/>
        <w:ind w:right="0"/>
        <w:jc w:val="both"/>
      </w:pPr>
      <w:r>
        <w:rPr/>
        <w:t>堆</w:t>
      </w:r>
      <w:r>
        <w:rPr>
          <w:rFonts w:ascii="宋体" w:hAnsi="宋体" w:cs="宋体" w:eastAsia="宋体" w:hint="default"/>
        </w:rPr>
        <w:t>IPO</w:t>
      </w:r>
      <w:r>
        <w:rPr/>
        <w:t>或借壳上市，一旦成功，募集资金将推动产能的持续扩张和行业整合。</w:t>
      </w:r>
    </w:p>
    <w:p>
      <w:pPr>
        <w:pStyle w:val="Heading5"/>
        <w:spacing w:line="240" w:lineRule="auto" w:before="116"/>
        <w:ind w:left="574" w:right="1122"/>
        <w:jc w:val="left"/>
        <w:rPr>
          <w:b w:val="0"/>
          <w:bCs w:val="0"/>
        </w:rPr>
      </w:pPr>
      <w:r>
        <w:rPr/>
        <w:t>（二）公司的经营发展规划</w:t>
      </w:r>
      <w:r>
        <w:rPr>
          <w:b w:val="0"/>
          <w:bCs w:val="0"/>
        </w:rPr>
      </w:r>
    </w:p>
    <w:p>
      <w:pPr>
        <w:pStyle w:val="BodyText"/>
        <w:spacing w:line="319" w:lineRule="auto" w:before="115"/>
        <w:ind w:right="1132" w:firstLine="360"/>
        <w:jc w:val="both"/>
      </w:pPr>
      <w:r>
        <w:rPr>
          <w:spacing w:val="-2"/>
        </w:rPr>
        <w:t>（下述经营计划、经营目标并不代表公司对</w:t>
      </w:r>
      <w:r>
        <w:rPr>
          <w:rFonts w:ascii="宋体" w:hAnsi="宋体" w:cs="宋体" w:eastAsia="宋体" w:hint="default"/>
          <w:spacing w:val="-2"/>
        </w:rPr>
        <w:t>2019</w:t>
      </w:r>
      <w:r>
        <w:rPr>
          <w:spacing w:val="-2"/>
        </w:rPr>
        <w:t>年度的盈利预测，能否实现取决于市场状况变化等多种因素，存在很大</w:t>
      </w:r>
      <w:r>
        <w:rPr/>
        <w:t> 的不确定性，敬请投资者注意风险）</w:t>
      </w:r>
    </w:p>
    <w:p>
      <w:pPr>
        <w:pStyle w:val="BodyText"/>
        <w:spacing w:line="319" w:lineRule="auto" w:before="56"/>
        <w:ind w:right="1131" w:firstLine="360"/>
        <w:jc w:val="both"/>
      </w:pPr>
      <w:r>
        <w:rPr>
          <w:rFonts w:ascii="宋体" w:hAnsi="宋体" w:cs="宋体" w:eastAsia="宋体" w:hint="default"/>
          <w:spacing w:val="-2"/>
        </w:rPr>
        <w:t>2018</w:t>
      </w:r>
      <w:r>
        <w:rPr>
          <w:spacing w:val="-2"/>
        </w:rPr>
        <w:t>年是中国光伏市场的变革之年。</w:t>
      </w:r>
      <w:r>
        <w:rPr>
          <w:rFonts w:ascii="宋体" w:hAnsi="宋体" w:cs="宋体" w:eastAsia="宋体" w:hint="default"/>
          <w:spacing w:val="-2"/>
        </w:rPr>
        <w:t>2019</w:t>
      </w:r>
      <w:r>
        <w:rPr>
          <w:spacing w:val="-2"/>
        </w:rPr>
        <w:t>年，政策利好和市场参与者竞争力加强，光伏行业进入新的发展阶段。技术进</w:t>
      </w:r>
      <w:r>
        <w:rPr/>
        <w:t> </w:t>
      </w:r>
      <w:r>
        <w:rPr>
          <w:spacing w:val="-2"/>
        </w:rPr>
        <w:t>步、行业整合集中度提升将是光伏发展的核心主题，伴随各环节技术支持将百花齐放，行业整合规模效应凸显，平价上网进</w:t>
      </w:r>
      <w:r>
        <w:rPr>
          <w:spacing w:val="-66"/>
        </w:rPr>
        <w:t> </w:t>
      </w:r>
      <w:r>
        <w:rPr>
          <w:spacing w:val="-66"/>
        </w:rPr>
      </w:r>
      <w:r>
        <w:rPr/>
        <w:t>程也将在今年进一步加速。</w:t>
      </w:r>
    </w:p>
    <w:p>
      <w:pPr>
        <w:pStyle w:val="BodyText"/>
        <w:spacing w:line="319" w:lineRule="auto" w:before="55"/>
        <w:ind w:right="1131" w:firstLine="360"/>
        <w:jc w:val="both"/>
      </w:pPr>
      <w:r>
        <w:rPr>
          <w:spacing w:val="-2"/>
        </w:rPr>
        <w:t>面对新形势、新局面、新问题，高质量发展，公司将陆续转让电站资产，轻装上阵。由传统优势配件制造、高效光伏电</w:t>
      </w:r>
      <w:r>
        <w:rPr/>
        <w:t> </w:t>
      </w:r>
      <w:r>
        <w:rPr>
          <w:spacing w:val="-2"/>
        </w:rPr>
        <w:t>池组件业务、新能源发电和综合能源服务落脚，从制造规模水平和综合服务双管齐下，朝着持续降低度电成本，实现平价上</w:t>
      </w:r>
      <w:r>
        <w:rPr>
          <w:spacing w:val="-66"/>
        </w:rPr>
        <w:t> </w:t>
      </w:r>
      <w:r>
        <w:rPr>
          <w:spacing w:val="-66"/>
        </w:rPr>
      </w:r>
      <w:r>
        <w:rPr/>
        <w:t>网的目标迈进。</w:t>
      </w:r>
    </w:p>
    <w:p>
      <w:pPr>
        <w:spacing w:line="357" w:lineRule="auto" w:before="56"/>
        <w:ind w:left="514" w:right="1122" w:firstLine="6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1"/>
          <w:sz w:val="18"/>
          <w:szCs w:val="18"/>
        </w:rPr>
        <w:t> </w:t>
      </w:r>
      <w:r>
        <w:rPr>
          <w:rFonts w:ascii="宋体" w:hAnsi="宋体" w:cs="宋体" w:eastAsia="宋体" w:hint="default"/>
          <w:b/>
          <w:bCs/>
          <w:sz w:val="18"/>
          <w:szCs w:val="18"/>
        </w:rPr>
        <w:t>配件制造产业聚焦拳头产品，强化核心竞争力</w:t>
      </w:r>
      <w:r>
        <w:rPr>
          <w:rFonts w:ascii="宋体" w:hAnsi="宋体" w:cs="宋体" w:eastAsia="宋体" w:hint="default"/>
          <w:b/>
          <w:bCs/>
          <w:w w:val="99"/>
          <w:sz w:val="18"/>
          <w:szCs w:val="18"/>
        </w:rPr>
        <w:t> </w:t>
      </w:r>
      <w:r>
        <w:rPr>
          <w:rFonts w:ascii="宋体" w:hAnsi="宋体" w:cs="宋体" w:eastAsia="宋体" w:hint="default"/>
          <w:spacing w:val="-2"/>
          <w:sz w:val="18"/>
          <w:szCs w:val="18"/>
        </w:rPr>
        <w:t>2019</w:t>
      </w:r>
      <w:r>
        <w:rPr>
          <w:rFonts w:ascii="宋体" w:hAnsi="宋体" w:cs="宋体" w:eastAsia="宋体" w:hint="default"/>
          <w:spacing w:val="-2"/>
          <w:sz w:val="18"/>
          <w:szCs w:val="18"/>
        </w:rPr>
        <w:t>年，公司在保持原有竞争优势的基础上，配件制造继续以稳定产能、降低成本、提高效率，努力保持市场占有率和</w:t>
      </w:r>
    </w:p>
    <w:p>
      <w:pPr>
        <w:pStyle w:val="BodyText"/>
        <w:spacing w:line="224" w:lineRule="exact"/>
        <w:ind w:right="0"/>
        <w:jc w:val="both"/>
      </w:pPr>
      <w:r>
        <w:rPr/>
        <w:t>盈利水平为经营策略，通过技术改造、流程优化努力降低成本，选择毛利较高的优质客户，实现利润最大化。边框等产品配</w:t>
      </w:r>
    </w:p>
    <w:p>
      <w:pPr>
        <w:pStyle w:val="BodyText"/>
        <w:spacing w:line="319" w:lineRule="auto" w:before="76"/>
        <w:ind w:right="1131"/>
        <w:jc w:val="both"/>
      </w:pPr>
      <w:r>
        <w:rPr>
          <w:spacing w:val="-2"/>
        </w:rPr>
        <w:t>件以金属制品为主，在技术改造、设备更新、技术研发资源配备等方面继续发力，着力打造成具有全球行业品牌影响力的制</w:t>
      </w:r>
      <w:r>
        <w:rPr>
          <w:spacing w:val="-66"/>
        </w:rPr>
        <w:t> </w:t>
      </w:r>
      <w:r>
        <w:rPr>
          <w:spacing w:val="-66"/>
        </w:rPr>
      </w:r>
      <w:r>
        <w:rPr>
          <w:spacing w:val="-2"/>
        </w:rPr>
        <w:t>造服务型工厂；支架业务以追踪系统支架和镀镁铝锌材料应用为突破口，持续面向海内外优质客户，形成包含并符合市场与</w:t>
      </w:r>
      <w:r>
        <w:rPr>
          <w:spacing w:val="-66"/>
        </w:rPr>
        <w:t> </w:t>
      </w:r>
      <w:r>
        <w:rPr>
          <w:spacing w:val="-66"/>
        </w:rPr>
      </w:r>
      <w:r>
        <w:rPr/>
        <w:t>客户需求的地面支架、屋顶支架、智能跟踪系统、农业大棚、螺旋桩等全系列、智能化支架系统解决方案。</w:t>
      </w:r>
    </w:p>
    <w:p>
      <w:pPr>
        <w:spacing w:line="357" w:lineRule="auto" w:before="56"/>
        <w:ind w:left="514" w:right="0" w:firstLine="6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）高效光伏电池组件业务拓展，战略迭代</w:t>
      </w:r>
      <w:r>
        <w:rPr>
          <w:rFonts w:ascii="宋体" w:hAnsi="宋体" w:cs="宋体" w:eastAsia="宋体" w:hint="default"/>
          <w:b/>
          <w:bCs/>
          <w:w w:val="99"/>
          <w:sz w:val="18"/>
          <w:szCs w:val="18"/>
        </w:rPr>
        <w:t> </w:t>
      </w:r>
      <w:r>
        <w:rPr>
          <w:rFonts w:ascii="宋体" w:hAnsi="宋体" w:cs="宋体" w:eastAsia="宋体" w:hint="default"/>
          <w:spacing w:val="-5"/>
          <w:sz w:val="18"/>
          <w:szCs w:val="18"/>
        </w:rPr>
        <w:t>公司现有江苏张家港、江西赣州及浙江长兴三个电池组件生产基地，截止</w:t>
      </w:r>
      <w:r>
        <w:rPr>
          <w:rFonts w:ascii="宋体" w:hAnsi="宋体" w:cs="宋体" w:eastAsia="宋体" w:hint="default"/>
          <w:spacing w:val="-5"/>
          <w:sz w:val="18"/>
          <w:szCs w:val="18"/>
        </w:rPr>
        <w:t>2018</w:t>
      </w:r>
      <w:r>
        <w:rPr>
          <w:rFonts w:ascii="宋体" w:hAnsi="宋体" w:cs="宋体" w:eastAsia="宋体" w:hint="default"/>
          <w:spacing w:val="-5"/>
          <w:sz w:val="18"/>
          <w:szCs w:val="18"/>
        </w:rPr>
        <w:t>年底，拥有组件产能</w:t>
      </w:r>
      <w:r>
        <w:rPr>
          <w:rFonts w:ascii="宋体" w:hAnsi="宋体" w:cs="宋体" w:eastAsia="宋体" w:hint="default"/>
          <w:spacing w:val="-5"/>
          <w:sz w:val="18"/>
          <w:szCs w:val="18"/>
        </w:rPr>
        <w:t>1.4GW,</w:t>
      </w:r>
      <w:r>
        <w:rPr>
          <w:rFonts w:ascii="宋体" w:hAnsi="宋体" w:cs="宋体" w:eastAsia="宋体" w:hint="default"/>
          <w:spacing w:val="-5"/>
          <w:sz w:val="18"/>
          <w:szCs w:val="18"/>
        </w:rPr>
        <w:t>电池产能</w:t>
      </w:r>
      <w:r>
        <w:rPr>
          <w:rFonts w:ascii="宋体" w:hAnsi="宋体" w:cs="宋体" w:eastAsia="宋体" w:hint="default"/>
          <w:spacing w:val="-5"/>
          <w:sz w:val="18"/>
          <w:szCs w:val="18"/>
        </w:rPr>
        <w:t>600MW</w:t>
      </w:r>
      <w:r>
        <w:rPr>
          <w:rFonts w:ascii="宋体" w:hAnsi="宋体" w:cs="宋体" w:eastAsia="宋体" w:hint="default"/>
          <w:spacing w:val="-5"/>
          <w:sz w:val="18"/>
          <w:szCs w:val="18"/>
        </w:rPr>
        <w:t>。</w:t>
      </w:r>
    </w:p>
    <w:p>
      <w:pPr>
        <w:pStyle w:val="BodyText"/>
        <w:spacing w:line="224" w:lineRule="exact"/>
        <w:ind w:right="0"/>
        <w:jc w:val="both"/>
      </w:pPr>
      <w:r>
        <w:rPr>
          <w:rFonts w:ascii="宋体" w:hAnsi="宋体" w:cs="宋体" w:eastAsia="宋体" w:hint="default"/>
        </w:rPr>
        <w:t>2019</w:t>
      </w:r>
      <w:r>
        <w:rPr/>
        <w:t>年度，公司将继续加码高效组件电池制造，聚焦</w:t>
      </w:r>
      <w:r>
        <w:rPr>
          <w:rFonts w:ascii="宋体" w:hAnsi="宋体" w:cs="宋体" w:eastAsia="宋体" w:hint="default"/>
        </w:rPr>
        <w:t>PERC</w:t>
      </w:r>
      <w:r>
        <w:rPr/>
        <w:t>、异质结技术等，进一步升级电池产线，以服务、质量和差异化产</w:t>
      </w:r>
    </w:p>
    <w:p>
      <w:pPr>
        <w:pStyle w:val="BodyText"/>
        <w:spacing w:line="357" w:lineRule="auto" w:before="77"/>
        <w:ind w:left="514" w:right="1122" w:hanging="360"/>
        <w:jc w:val="left"/>
      </w:pPr>
      <w:r>
        <w:rPr/>
        <w:t>品赢得市场，公司将对高效迭代技术加强攻关力度，把握后发优势，通过自建或整合，继推进对新技术新产能的投资。 </w:t>
      </w:r>
      <w:r>
        <w:rPr>
          <w:rFonts w:ascii="宋体" w:hAnsi="宋体" w:cs="宋体" w:eastAsia="宋体" w:hint="default"/>
          <w:spacing w:val="-2"/>
        </w:rPr>
        <w:t>2019</w:t>
      </w:r>
      <w:r>
        <w:rPr>
          <w:spacing w:val="-2"/>
        </w:rPr>
        <w:t>年公司拟通过支付现金及发行股份购买募集配套资金的方式完成对海外资产越南电池及越南光伏的并购，该企业预</w:t>
      </w:r>
    </w:p>
    <w:p>
      <w:pPr>
        <w:pStyle w:val="BodyText"/>
        <w:spacing w:line="224" w:lineRule="exact"/>
        <w:ind w:right="0"/>
        <w:jc w:val="both"/>
      </w:pPr>
      <w:r>
        <w:rPr>
          <w:spacing w:val="-1"/>
        </w:rPr>
        <w:t>计将在当年实现组件产能</w:t>
      </w:r>
      <w:r>
        <w:rPr>
          <w:rFonts w:ascii="宋体" w:hAnsi="宋体" w:cs="宋体" w:eastAsia="宋体" w:hint="default"/>
          <w:spacing w:val="-1"/>
        </w:rPr>
        <w:t>4.5GW</w:t>
      </w:r>
      <w:r>
        <w:rPr>
          <w:spacing w:val="-1"/>
        </w:rPr>
        <w:t>，高效电池产能</w:t>
      </w:r>
      <w:r>
        <w:rPr>
          <w:rFonts w:ascii="宋体" w:hAnsi="宋体" w:cs="宋体" w:eastAsia="宋体" w:hint="default"/>
          <w:spacing w:val="-1"/>
        </w:rPr>
        <w:t>1.5GW</w:t>
      </w:r>
      <w:r>
        <w:rPr>
          <w:spacing w:val="-1"/>
        </w:rPr>
        <w:t>的产能。越南电池已逐步开展技改，电池生产线将全面改造为</w:t>
      </w:r>
      <w:r>
        <w:rPr>
          <w:rFonts w:ascii="宋体" w:hAnsi="宋体" w:cs="宋体" w:eastAsia="宋体" w:hint="default"/>
          <w:spacing w:val="-1"/>
        </w:rPr>
        <w:t>PERC</w:t>
      </w:r>
      <w:r>
        <w:rPr>
          <w:rFonts w:ascii="宋体" w:hAnsi="宋体" w:cs="宋体" w:eastAsia="宋体" w:hint="default"/>
          <w:spacing w:val="-25"/>
        </w:rPr>
        <w:t> </w:t>
      </w:r>
      <w:r>
        <w:rPr>
          <w:rFonts w:ascii="宋体" w:hAnsi="宋体" w:cs="宋体" w:eastAsia="宋体" w:hint="default"/>
        </w:rPr>
        <w:t>SE</w:t>
      </w:r>
      <w:r>
        <w:rPr/>
        <w:t>。</w:t>
      </w:r>
    </w:p>
    <w:p>
      <w:pPr>
        <w:pStyle w:val="BodyText"/>
        <w:spacing w:line="240" w:lineRule="auto" w:before="76"/>
        <w:ind w:right="0"/>
        <w:jc w:val="both"/>
      </w:pPr>
      <w:r>
        <w:rPr/>
        <w:t>越南光伏长期以来为国内外大型企业代工光伏组件产品，积累着稳定长期的代工订单。本次并购完成后，将快速扩充公司现</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22"/>
        <w:jc w:val="left"/>
      </w:pPr>
      <w:r>
        <w:rPr>
          <w:spacing w:val="-2"/>
        </w:rPr>
        <w:t>有的产能规模，并打通海外部分受限销售渠道，占领海外目标市场份额。公司将在越南光伏现有代工量的基础上充分利用其</w:t>
      </w:r>
      <w:r>
        <w:rPr>
          <w:spacing w:val="-66"/>
        </w:rPr>
        <w:t> </w:t>
      </w:r>
      <w:r>
        <w:rPr>
          <w:spacing w:val="-66"/>
        </w:rPr>
      </w:r>
      <w:r>
        <w:rPr/>
        <w:t>产能，稳定现有客户订单量，挖掘潜在客户，打造成为行业内重要的代工服务商。</w:t>
      </w:r>
    </w:p>
    <w:p>
      <w:pPr>
        <w:spacing w:line="357" w:lineRule="auto" w:before="56"/>
        <w:ind w:left="514" w:right="1122" w:firstLine="6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）新能源发电及综合能源业务，深耕细作</w:t>
      </w:r>
      <w:r>
        <w:rPr>
          <w:rFonts w:ascii="宋体" w:hAnsi="宋体" w:cs="宋体" w:eastAsia="宋体" w:hint="default"/>
          <w:b/>
          <w:bCs/>
          <w:w w:val="99"/>
          <w:sz w:val="18"/>
          <w:szCs w:val="18"/>
        </w:rPr>
        <w:t> </w:t>
      </w:r>
      <w:r>
        <w:rPr>
          <w:rFonts w:ascii="宋体" w:hAnsi="宋体" w:cs="宋体" w:eastAsia="宋体" w:hint="default"/>
          <w:sz w:val="18"/>
          <w:szCs w:val="18"/>
        </w:rPr>
        <w:t>公司在</w:t>
      </w:r>
      <w:r>
        <w:rPr>
          <w:rFonts w:ascii="宋体" w:hAnsi="宋体" w:cs="宋体" w:eastAsia="宋体" w:hint="default"/>
          <w:sz w:val="18"/>
          <w:szCs w:val="18"/>
        </w:rPr>
        <w:t>2018</w:t>
      </w:r>
      <w:r>
        <w:rPr>
          <w:rFonts w:ascii="宋体" w:hAnsi="宋体" w:cs="宋体" w:eastAsia="宋体" w:hint="default"/>
          <w:sz w:val="18"/>
          <w:szCs w:val="18"/>
        </w:rPr>
        <w:t>年通过与浙能集团的战略合作，转让并网电站</w:t>
      </w:r>
      <w:r>
        <w:rPr>
          <w:rFonts w:ascii="宋体" w:hAnsi="宋体" w:cs="宋体" w:eastAsia="宋体" w:hint="default"/>
          <w:sz w:val="18"/>
          <w:szCs w:val="18"/>
        </w:rPr>
        <w:t>503MW</w:t>
      </w:r>
      <w:r>
        <w:rPr>
          <w:rFonts w:ascii="宋体" w:hAnsi="宋体" w:cs="宋体" w:eastAsia="宋体" w:hint="default"/>
          <w:sz w:val="18"/>
          <w:szCs w:val="18"/>
        </w:rPr>
        <w:t>，根据战略规划，公司将持续推进剩余电站的转让，并</w:t>
      </w:r>
    </w:p>
    <w:p>
      <w:pPr>
        <w:pStyle w:val="BodyText"/>
        <w:spacing w:line="224" w:lineRule="exact"/>
        <w:ind w:right="0"/>
        <w:jc w:val="both"/>
      </w:pPr>
      <w:r>
        <w:rPr/>
        <w:t>作为新能源电站运营商和用电服务提供商继续为已转让电站提供运维服务。公司拥有成熟稳定的运维团队和管理经验，具有</w:t>
      </w:r>
    </w:p>
    <w:p>
      <w:pPr>
        <w:pStyle w:val="BodyText"/>
        <w:spacing w:line="319" w:lineRule="auto" w:before="76"/>
        <w:ind w:right="1129"/>
        <w:jc w:val="both"/>
      </w:pPr>
      <w:r>
        <w:rPr>
          <w:spacing w:val="-2"/>
        </w:rPr>
        <w:t>行业领先的专业化、精细化、标准化、集约化、信息化和智能化管控能力，着力于培育新能源电站全寿命期服务能力，持续</w:t>
      </w:r>
      <w:r>
        <w:rPr>
          <w:spacing w:val="-68"/>
        </w:rPr>
        <w:t> </w:t>
      </w:r>
      <w:r>
        <w:rPr>
          <w:spacing w:val="-68"/>
        </w:rPr>
      </w:r>
      <w:r>
        <w:rPr>
          <w:spacing w:val="-2"/>
        </w:rPr>
        <w:t>优化运营管理水平，不断提效增发，提升市场化竞争能力，在持续推进平价上网的征途中，打造为行业内知名的新能源运营</w:t>
      </w:r>
      <w:r>
        <w:rPr>
          <w:spacing w:val="-66"/>
        </w:rPr>
        <w:t> </w:t>
      </w:r>
      <w:r>
        <w:rPr>
          <w:spacing w:val="-66"/>
        </w:rPr>
      </w:r>
      <w:r>
        <w:rPr>
          <w:spacing w:val="-2"/>
        </w:rPr>
        <w:t>商和用电服务提供商。同时，公司以分布式新能源和配售电服务为切入点，培育综合能源服务核心竞争力，不断增强客户粘</w:t>
      </w:r>
      <w:r>
        <w:rPr>
          <w:spacing w:val="-66"/>
        </w:rPr>
        <w:t> </w:t>
      </w:r>
      <w:r>
        <w:rPr>
          <w:spacing w:val="-66"/>
        </w:rPr>
      </w:r>
      <w:r>
        <w:rPr>
          <w:spacing w:val="-2"/>
        </w:rPr>
        <w:t>性、深度挖掘价值，努力建设发、配、售一体化的综合能源服务机构。公司将原有的售电、能源大数据及碳排放相关业务整</w:t>
      </w:r>
      <w:r>
        <w:rPr>
          <w:spacing w:val="-68"/>
        </w:rPr>
        <w:t> </w:t>
      </w:r>
      <w:r>
        <w:rPr>
          <w:spacing w:val="-68"/>
        </w:rPr>
      </w:r>
      <w:r>
        <w:rPr>
          <w:spacing w:val="-2"/>
        </w:rPr>
        <w:t>合成综合能源服务业务，打造综合能源服务管理平台，将集合购售电、需求侧管理、能效管理、碳排放管理等模块组合。售</w:t>
      </w:r>
      <w:r>
        <w:rPr>
          <w:spacing w:val="-67"/>
        </w:rPr>
        <w:t> </w:t>
      </w:r>
      <w:r>
        <w:rPr>
          <w:spacing w:val="-67"/>
        </w:rPr>
      </w:r>
      <w:r>
        <w:rPr>
          <w:spacing w:val="-2"/>
        </w:rPr>
        <w:t>电业务将聚焦价值，聚焦重点业务，聚焦江苏、广东、新疆等优势区域。用信息化的手段为工业用户提供数据采集、能效提</w:t>
      </w:r>
      <w:r>
        <w:rPr>
          <w:spacing w:val="-67"/>
        </w:rPr>
        <w:t> </w:t>
      </w:r>
      <w:r>
        <w:rPr>
          <w:spacing w:val="-67"/>
        </w:rPr>
      </w:r>
      <w:r>
        <w:rPr>
          <w:spacing w:val="-2"/>
        </w:rPr>
        <w:t>升、碳排放监测及碳排放权交易策略管理的灵活一站式服务。同时依托公司在电力领域强大的技术背景资源及优势，了解工</w:t>
      </w:r>
      <w:r>
        <w:rPr>
          <w:spacing w:val="-66"/>
        </w:rPr>
        <w:t> </w:t>
      </w:r>
      <w:r>
        <w:rPr>
          <w:spacing w:val="-66"/>
        </w:rPr>
      </w:r>
      <w:r>
        <w:rPr>
          <w:spacing w:val="-2"/>
        </w:rPr>
        <w:t>业用户真实需要，提供电力设备及系统的运维、改造、高低压带电作业等提质增效服务。碳排放管理聚焦电解铝行业，提升</w:t>
      </w:r>
      <w:r>
        <w:rPr>
          <w:spacing w:val="-66"/>
        </w:rPr>
        <w:t> </w:t>
      </w:r>
      <w:r>
        <w:rPr>
          <w:spacing w:val="-66"/>
        </w:rPr>
      </w:r>
      <w:r>
        <w:rPr/>
        <w:t>碳排放监测，优化碳排放权交易策略，盘活企业的碳资产。</w:t>
      </w:r>
    </w:p>
    <w:p>
      <w:pPr>
        <w:pStyle w:val="BodyText"/>
        <w:spacing w:line="319" w:lineRule="auto" w:before="55"/>
        <w:ind w:right="1131" w:firstLine="360"/>
        <w:jc w:val="both"/>
      </w:pPr>
      <w:r>
        <w:rPr>
          <w:spacing w:val="-2"/>
        </w:rPr>
        <w:t>公司一方面革新制造技术、提升制造产能规模，走向高质量发展道路，另一方面发掘和扩充能源交易、能效管理、智慧</w:t>
      </w:r>
      <w:r>
        <w:rPr/>
        <w:t> </w:t>
      </w:r>
      <w:r>
        <w:rPr>
          <w:spacing w:val="-2"/>
        </w:rPr>
        <w:t>电站等生态内容和价值空间，引领光伏行业平价上网进入新时代。将在国家政策的大力推动下，依托丰富的项目投资、建设</w:t>
      </w:r>
      <w:r>
        <w:rPr>
          <w:spacing w:val="-66"/>
        </w:rPr>
        <w:t> </w:t>
      </w:r>
      <w:r>
        <w:rPr>
          <w:spacing w:val="-66"/>
        </w:rPr>
      </w:r>
      <w:r>
        <w:rPr/>
        <w:t>及运维等各个环节的项目经验，深耕清洁能源领域，助力我国实现能源转型，让更多人都能享受到清洁能源带来的福利。</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652"/>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22"/>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t>报告期内普通股利润分配政策，特别是现金分红政策的制定、执行或调整情况</w:t>
      </w:r>
    </w:p>
    <w:p>
      <w:pPr>
        <w:pStyle w:val="BodyText"/>
        <w:spacing w:line="240" w:lineRule="auto" w:before="117"/>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22"/>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48"/>
        <w:ind w:left="654" w:right="0"/>
        <w:jc w:val="left"/>
      </w:pPr>
      <w:r>
        <w:rPr>
          <w:rFonts w:ascii="Times New Roman" w:hAnsi="Times New Roman" w:cs="Times New Roman" w:eastAsia="Times New Roman" w:hint="default"/>
        </w:rPr>
        <w:t>2015</w:t>
      </w:r>
      <w:r>
        <w:rPr/>
        <w:t>年度利润分配方案：以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日公司总股本</w:t>
      </w:r>
      <w:r>
        <w:rPr>
          <w:rFonts w:ascii="Times New Roman" w:hAnsi="Times New Roman" w:cs="Times New Roman" w:eastAsia="Times New Roman" w:hint="default"/>
        </w:rPr>
        <w:t>1,122,715,400</w:t>
      </w:r>
      <w:r>
        <w:rPr/>
        <w:t>股为基数，每十股分配现金</w:t>
      </w:r>
      <w:r>
        <w:rPr>
          <w:rFonts w:ascii="Times New Roman" w:hAnsi="Times New Roman" w:cs="Times New Roman" w:eastAsia="Times New Roman" w:hint="default"/>
        </w:rPr>
        <w:t>1</w:t>
      </w:r>
      <w:r>
        <w:rPr/>
        <w:t>元（含税），共分配</w:t>
      </w:r>
    </w:p>
    <w:p>
      <w:pPr>
        <w:pStyle w:val="BodyText"/>
        <w:spacing w:line="240" w:lineRule="auto" w:before="63"/>
        <w:ind w:left="294" w:right="1122"/>
        <w:jc w:val="left"/>
      </w:pPr>
      <w:r>
        <w:rPr>
          <w:rFonts w:ascii="Times New Roman" w:hAnsi="Times New Roman" w:cs="Times New Roman" w:eastAsia="Times New Roman" w:hint="default"/>
        </w:rPr>
        <w:t>112,271,540</w:t>
      </w:r>
      <w:r>
        <w:rPr/>
        <w:t>元，剩余结转至下年。</w:t>
      </w:r>
    </w:p>
    <w:p>
      <w:pPr>
        <w:pStyle w:val="BodyText"/>
        <w:spacing w:line="240" w:lineRule="auto" w:before="149"/>
        <w:ind w:left="654" w:right="1122"/>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t>年半年度利润分配方案：以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日的公司总股本</w:t>
      </w:r>
      <w:r>
        <w:rPr>
          <w:rFonts w:ascii="Times New Roman" w:hAnsi="Times New Roman" w:cs="Times New Roman" w:eastAsia="Times New Roman" w:hint="default"/>
        </w:rPr>
        <w:t>1,122,715,400</w:t>
      </w:r>
      <w:r>
        <w:rPr/>
        <w:t>股为基数，以资本公积金向全体股东每</w:t>
      </w:r>
      <w:r>
        <w:rPr>
          <w:rFonts w:ascii="Times New Roman" w:hAnsi="Times New Roman" w:cs="Times New Roman" w:eastAsia="Times New Roman" w:hint="default"/>
        </w:rPr>
        <w:t>10</w:t>
      </w:r>
    </w:p>
    <w:p>
      <w:pPr>
        <w:pStyle w:val="BodyText"/>
        <w:spacing w:line="340" w:lineRule="auto" w:before="61"/>
        <w:ind w:right="1252" w:firstLine="140"/>
        <w:jc w:val="left"/>
      </w:pPr>
      <w:r>
        <w:rPr/>
        <w:t>股转增</w:t>
      </w:r>
      <w:r>
        <w:rPr>
          <w:rFonts w:ascii="Times New Roman" w:hAnsi="Times New Roman" w:cs="Times New Roman" w:eastAsia="Times New Roman" w:hint="default"/>
        </w:rPr>
        <w:t>30</w:t>
      </w:r>
      <w:r>
        <w:rPr/>
        <w:t>股。分红前本公司总股本为</w:t>
      </w:r>
      <w:r>
        <w:rPr>
          <w:rFonts w:ascii="Times New Roman" w:hAnsi="Times New Roman" w:cs="Times New Roman" w:eastAsia="Times New Roman" w:hint="default"/>
        </w:rPr>
        <w:t>1,122,715,400</w:t>
      </w:r>
      <w:r>
        <w:rPr/>
        <w:t>股，分红后总股本增至</w:t>
      </w:r>
      <w:r>
        <w:rPr>
          <w:rFonts w:ascii="Times New Roman" w:hAnsi="Times New Roman" w:cs="Times New Roman" w:eastAsia="Times New Roman" w:hint="default"/>
        </w:rPr>
        <w:t>4,490,861,600</w:t>
      </w:r>
      <w:r>
        <w:rPr/>
        <w:t>股，于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日实施完毕。 公司近三年（包括本报告期）普通股现金分红情况表</w:t>
      </w:r>
    </w:p>
    <w:p>
      <w:pPr>
        <w:pStyle w:val="BodyText"/>
        <w:spacing w:line="240" w:lineRule="auto" w:before="41"/>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7"/>
        <w:gridCol w:w="930"/>
        <w:gridCol w:w="1460"/>
        <w:gridCol w:w="1197"/>
        <w:gridCol w:w="1196"/>
        <w:gridCol w:w="1185"/>
        <w:gridCol w:w="1207"/>
        <w:gridCol w:w="1184"/>
      </w:tblGrid>
      <w:tr>
        <w:trPr>
          <w:trHeight w:val="162" w:hRule="exact"/>
        </w:trPr>
        <w:tc>
          <w:tcPr>
            <w:tcW w:w="1187" w:type="dxa"/>
            <w:vMerge w:val="restart"/>
            <w:tcBorders>
              <w:top w:val="single" w:sz="4" w:space="0" w:color="000000"/>
              <w:left w:val="single" w:sz="4" w:space="0" w:color="000000"/>
              <w:right w:val="single" w:sz="4" w:space="0" w:color="000000"/>
            </w:tcBorders>
            <w:shd w:val="clear" w:color="auto" w:fill="D2D2D2"/>
          </w:tcPr>
          <w:p>
            <w:pPr/>
          </w:p>
        </w:tc>
        <w:tc>
          <w:tcPr>
            <w:tcW w:w="930" w:type="dxa"/>
            <w:vMerge w:val="restart"/>
            <w:tcBorders>
              <w:top w:val="single" w:sz="4" w:space="0" w:color="000000"/>
              <w:left w:val="single" w:sz="4" w:space="0" w:color="000000"/>
              <w:right w:val="single" w:sz="4" w:space="0" w:color="000000"/>
            </w:tcBorders>
            <w:shd w:val="clear" w:color="auto" w:fill="D2D2D2"/>
          </w:tcPr>
          <w:p>
            <w:pPr/>
          </w:p>
        </w:tc>
        <w:tc>
          <w:tcPr>
            <w:tcW w:w="1460"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312" w:hRule="exact"/>
        </w:trPr>
        <w:tc>
          <w:tcPr>
            <w:tcW w:w="1187" w:type="dxa"/>
            <w:vMerge/>
            <w:tcBorders>
              <w:left w:val="single" w:sz="4" w:space="0" w:color="000000"/>
              <w:right w:val="single" w:sz="4" w:space="0" w:color="000000"/>
            </w:tcBorders>
            <w:shd w:val="clear" w:color="auto" w:fill="D2D2D2"/>
          </w:tcPr>
          <w:p>
            <w:pPr/>
          </w:p>
        </w:tc>
        <w:tc>
          <w:tcPr>
            <w:tcW w:w="930" w:type="dxa"/>
            <w:vMerge/>
            <w:tcBorders>
              <w:left w:val="single" w:sz="4" w:space="0" w:color="000000"/>
              <w:right w:val="single" w:sz="4" w:space="0" w:color="000000"/>
            </w:tcBorders>
            <w:shd w:val="clear" w:color="auto" w:fill="D2D2D2"/>
          </w:tcPr>
          <w:p>
            <w:pPr/>
          </w:p>
        </w:tc>
        <w:tc>
          <w:tcPr>
            <w:tcW w:w="1460"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14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4" w:right="95"/>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52"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12" w:hRule="exact"/>
        </w:trPr>
        <w:tc>
          <w:tcPr>
            <w:tcW w:w="1187" w:type="dxa"/>
            <w:vMerge/>
            <w:tcBorders>
              <w:left w:val="single" w:sz="4" w:space="0" w:color="000000"/>
              <w:bottom w:val="nil" w:sz="6" w:space="0" w:color="auto"/>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9" w:right="98"/>
              <w:jc w:val="center"/>
              <w:rPr>
                <w:rFonts w:ascii="宋体" w:hAnsi="宋体" w:cs="宋体" w:eastAsia="宋体" w:hint="default"/>
                <w:sz w:val="18"/>
                <w:szCs w:val="18"/>
              </w:rPr>
            </w:pPr>
            <w:r>
              <w:rPr>
                <w:rFonts w:ascii="宋体" w:hAnsi="宋体" w:cs="宋体" w:eastAsia="宋体" w:hint="default"/>
                <w:sz w:val="18"/>
                <w:szCs w:val="18"/>
              </w:rPr>
              <w:t>现金分红 金额（含 税）</w:t>
            </w:r>
          </w:p>
        </w:tc>
        <w:tc>
          <w:tcPr>
            <w:tcW w:w="1460"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930" w:type="dxa"/>
            <w:vMerge/>
            <w:tcBorders>
              <w:left w:val="single" w:sz="4" w:space="0" w:color="000000"/>
              <w:right w:val="single" w:sz="4" w:space="0" w:color="000000"/>
            </w:tcBorders>
            <w:shd w:val="clear" w:color="auto" w:fill="D2D2D2"/>
          </w:tcPr>
          <w:p>
            <w:pPr/>
          </w:p>
        </w:tc>
        <w:tc>
          <w:tcPr>
            <w:tcW w:w="1460"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12" w:hRule="exact"/>
        </w:trPr>
        <w:tc>
          <w:tcPr>
            <w:tcW w:w="1187" w:type="dxa"/>
            <w:vMerge w:val="restart"/>
            <w:tcBorders>
              <w:top w:val="nil" w:sz="6" w:space="0" w:color="auto"/>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1460"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1460"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12" w:hRule="exact"/>
        </w:trPr>
        <w:tc>
          <w:tcPr>
            <w:tcW w:w="1187" w:type="dxa"/>
            <w:vMerge/>
            <w:tcBorders>
              <w:left w:val="single" w:sz="4" w:space="0" w:color="000000"/>
              <w:right w:val="single" w:sz="4" w:space="0" w:color="000000"/>
            </w:tcBorders>
            <w:shd w:val="clear" w:color="auto" w:fill="D2D2D2"/>
          </w:tcPr>
          <w:p>
            <w:pPr/>
          </w:p>
        </w:tc>
        <w:tc>
          <w:tcPr>
            <w:tcW w:w="930" w:type="dxa"/>
            <w:vMerge/>
            <w:tcBorders>
              <w:left w:val="single" w:sz="4" w:space="0" w:color="000000"/>
              <w:right w:val="single" w:sz="4" w:space="0" w:color="000000"/>
            </w:tcBorders>
            <w:shd w:val="clear" w:color="auto" w:fill="D2D2D2"/>
          </w:tcPr>
          <w:p>
            <w:pPr/>
          </w:p>
        </w:tc>
        <w:tc>
          <w:tcPr>
            <w:tcW w:w="1460"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7"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125,342,472.05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113,455,312.64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141,227,739.68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22"/>
        <w:jc w:val="left"/>
      </w:pPr>
      <w:r>
        <w:rPr/>
        <w:t>公司报告期内盈利且母公司可供普通股股东分配利润为正但未提出普通股现金红利分配预案</w:t>
      </w:r>
    </w:p>
    <w:p>
      <w:pPr>
        <w:pStyle w:val="BodyText"/>
        <w:spacing w:line="240" w:lineRule="auto" w:before="116"/>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7"/>
        <w:gridCol w:w="4772"/>
      </w:tblGrid>
      <w:tr>
        <w:trPr>
          <w:trHeight w:val="714"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7" w:right="58"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5"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2586" w:hRule="exact"/>
        </w:trPr>
        <w:tc>
          <w:tcPr>
            <w:tcW w:w="479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公司拟进行股份回购，金额不低于 </w:t>
            </w:r>
            <w:r>
              <w:rPr>
                <w:rFonts w:ascii="Times New Roman" w:hAnsi="Times New Roman" w:cs="Times New Roman" w:eastAsia="Times New Roman" w:hint="default"/>
                <w:sz w:val="18"/>
                <w:szCs w:val="18"/>
              </w:rPr>
              <w:t>1.5 </w:t>
            </w:r>
            <w:r>
              <w:rPr>
                <w:rFonts w:ascii="宋体" w:hAnsi="宋体" w:cs="宋体" w:eastAsia="宋体" w:hint="default"/>
                <w:sz w:val="18"/>
                <w:szCs w:val="18"/>
              </w:rPr>
              <w:t>亿元（于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p>
          <w:p>
            <w:pPr>
              <w:pStyle w:val="TableParagraph"/>
              <w:spacing w:line="309" w:lineRule="auto" w:before="61"/>
              <w:ind w:left="22"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日披露）；且公司拟在浙江长兴、江西赣州两地进行高效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组件电池的扩产，预计将有大量资金需求；并且公司规划了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年拟筹划发行股份及支付现金购买资产，如果现金支付 部分未能足额募集，公司将需要以自筹资金支付。为实现公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司持续、稳定、健康发展，更好地维护全体股东的长远利益</w:t>
            </w:r>
            <w:r>
              <w:rPr>
                <w:rFonts w:ascii="宋体" w:hAnsi="宋体" w:cs="宋体" w:eastAsia="宋体" w:hint="default"/>
                <w:sz w:val="18"/>
                <w:szCs w:val="18"/>
              </w:rPr>
              <w:t> 从公司实际出发，</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年度公司不进行利润分配，也不进行 资本公积金转增股本。</w:t>
            </w:r>
          </w:p>
        </w:tc>
        <w:tc>
          <w:tcPr>
            <w:tcW w:w="477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公司拟进行股份回购，金额不低于 </w:t>
            </w:r>
            <w:r>
              <w:rPr>
                <w:rFonts w:ascii="Times New Roman" w:hAnsi="Times New Roman" w:cs="Times New Roman" w:eastAsia="Times New Roman" w:hint="default"/>
                <w:sz w:val="18"/>
                <w:szCs w:val="18"/>
              </w:rPr>
              <w:t>1.5 </w:t>
            </w:r>
            <w:r>
              <w:rPr>
                <w:rFonts w:ascii="宋体" w:hAnsi="宋体" w:cs="宋体" w:eastAsia="宋体" w:hint="default"/>
                <w:sz w:val="18"/>
                <w:szCs w:val="18"/>
              </w:rPr>
              <w:t>亿元（于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p>
          <w:p>
            <w:pPr>
              <w:pStyle w:val="TableParagraph"/>
              <w:spacing w:line="312" w:lineRule="exact" w:before="22"/>
              <w:ind w:right="21"/>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日披露）；且公司拟在浙江长兴、江西赣州两地进行高效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组件电池的扩产，预计将有大量资金需求；并且公司规划了</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年拟筹划发行股份及支付现金购买资产，如果现金支付 部分未能足额募集，公司将需要以自筹资金支付。公司未分</w:t>
            </w:r>
          </w:p>
          <w:p>
            <w:pPr>
              <w:pStyle w:val="TableParagraph"/>
              <w:spacing w:line="79" w:lineRule="exact"/>
              <w:ind w:left="-14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both"/>
              <w:rPr>
                <w:rFonts w:ascii="宋体" w:hAnsi="宋体" w:cs="宋体" w:eastAsia="宋体" w:hint="default"/>
                <w:sz w:val="18"/>
                <w:szCs w:val="18"/>
              </w:rPr>
            </w:pPr>
            <w:r>
              <w:rPr>
                <w:rFonts w:ascii="宋体" w:hAnsi="宋体" w:cs="宋体" w:eastAsia="宋体" w:hint="default"/>
                <w:sz w:val="18"/>
                <w:szCs w:val="18"/>
              </w:rPr>
              <w:t>配的利润将继续留存公司用于支持业务的经营发展及投资需</w:t>
            </w:r>
          </w:p>
          <w:p>
            <w:pPr>
              <w:pStyle w:val="TableParagraph"/>
              <w:spacing w:line="240" w:lineRule="auto" w:before="77"/>
              <w:ind w:right="0"/>
              <w:jc w:val="both"/>
              <w:rPr>
                <w:rFonts w:ascii="宋体" w:hAnsi="宋体" w:cs="宋体" w:eastAsia="宋体" w:hint="default"/>
                <w:sz w:val="18"/>
                <w:szCs w:val="18"/>
              </w:rPr>
            </w:pPr>
            <w:r>
              <w:rPr>
                <w:rFonts w:ascii="宋体" w:hAnsi="宋体" w:cs="宋体" w:eastAsia="宋体" w:hint="default"/>
                <w:sz w:val="18"/>
                <w:szCs w:val="18"/>
              </w:rPr>
              <w:t>要。</w:t>
            </w:r>
          </w:p>
        </w:tc>
      </w:tr>
    </w:tbl>
    <w:p>
      <w:pPr>
        <w:spacing w:line="240" w:lineRule="auto" w:before="2"/>
        <w:rPr>
          <w:rFonts w:ascii="宋体" w:hAnsi="宋体" w:cs="宋体" w:eastAsia="宋体" w:hint="default"/>
          <w:sz w:val="18"/>
          <w:szCs w:val="18"/>
        </w:rPr>
      </w:pPr>
    </w:p>
    <w:p>
      <w:pPr>
        <w:pStyle w:val="Heading2"/>
        <w:spacing w:line="240" w:lineRule="auto" w:before="26"/>
        <w:ind w:right="1122"/>
        <w:jc w:val="left"/>
        <w:rPr>
          <w:b w:val="0"/>
          <w:bCs w:val="0"/>
        </w:rPr>
      </w:pPr>
      <w:r>
        <w:rPr/>
        <w:pict>
          <v:group style="position:absolute;margin-left:297.339996pt;margin-top:-69.004379pt;width:236.45pt;height:31.2pt;mso-position-horizontal-relative:page;mso-position-vertical-relative:paragraph;z-index:-1593112" coordorigin="5947,-1380" coordsize="4729,624">
            <v:group style="position:absolute;left:5947;top:-1380;width:4729;height:312" coordorigin="5947,-1380" coordsize="4729,312">
              <v:shape style="position:absolute;left:5947;top:-1380;width:4729;height:312" coordorigin="5947,-1380" coordsize="4729,312" path="m5947,-1068l10675,-1068,10675,-1380,5947,-1380,5947,-1068xe" filled="true" fillcolor="#ffffff" stroked="false">
                <v:path arrowok="t"/>
                <v:fill type="solid"/>
              </v:shape>
            </v:group>
            <v:group style="position:absolute;left:5947;top:-1068;width:4729;height:312" coordorigin="5947,-1068" coordsize="4729,312">
              <v:shape style="position:absolute;left:5947;top:-1068;width:4729;height:312" coordorigin="5947,-1068" coordsize="4729,312" path="m5947,-756l10675,-756,10675,-1068,5947,-1068,5947,-756xe" filled="true" fillcolor="#ffffff" stroked="false">
                <v:path arrowok="t"/>
                <v:fill type="solid"/>
              </v:shape>
            </v:group>
            <w10:wrap type="none"/>
          </v:group>
        </w:pict>
      </w:r>
      <w:bookmarkStart w:name="二、本报告期利润分配及资本公积金转增股本预案情况" w:id="65"/>
      <w:bookmarkEnd w:id="65"/>
      <w:r>
        <w:rPr>
          <w:b w:val="0"/>
          <w:bCs w:val="0"/>
        </w:rPr>
      </w:r>
      <w:r>
        <w:rPr/>
        <w:t>二、本报告期利润分配及资本公积金转增股本预案情况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r>
        <w:rPr/>
        <w:pict>
          <v:shape style="position:absolute;margin-left:315.220001pt;margin-top:565.539978pt;width:145.3pt;height:84.8pt;mso-position-horizontal-relative:page;mso-position-vertical-relative:page;z-index:-15930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left="0" w:right="0"/>
                    <w:jc w:val="left"/>
                  </w:pPr>
                  <w:r>
                    <w:rPr/>
                    <w:t>截至本承诺函出具之日，</w:t>
                  </w:r>
                </w:p>
              </w:txbxContent>
            </v:textbox>
            <w10:wrap type="none"/>
          </v:shape>
        </w:pict>
      </w:r>
      <w:r>
        <w:rPr/>
        <w:pict>
          <v:group style="position:absolute;margin-left:411.420013pt;margin-top:565.539978pt;width:49.1pt;height:84.8pt;mso-position-horizontal-relative:page;mso-position-vertical-relative:page;z-index:-1593064" coordorigin="8228,11311" coordsize="982,1696">
            <v:shape style="position:absolute;left:8228;top:11311;width:982;height:1696" coordorigin="8228,11311" coordsize="982,1696" path="m8228,13006l9210,13006,9210,11311,8228,11311,8228,13006xe" filled="true" fillcolor="#ffffff" stroked="false">
              <v:path arrowok="t"/>
              <v:fill type="solid"/>
            </v:shape>
            <w10:wrap type="none"/>
          </v:group>
        </w:pict>
      </w:r>
    </w:p>
    <w:p>
      <w:pPr>
        <w:pStyle w:val="BodyText"/>
        <w:spacing w:line="240" w:lineRule="auto" w:before="44"/>
        <w:ind w:right="1122"/>
        <w:jc w:val="left"/>
      </w:pPr>
      <w:r>
        <w:rPr/>
        <w:t>公司计划年度不派发现金红利，不送红股，不以公积金转增股本。</w:t>
      </w:r>
    </w:p>
    <w:p>
      <w:pPr>
        <w:spacing w:line="240" w:lineRule="auto" w:before="13"/>
        <w:rPr>
          <w:rFonts w:ascii="宋体" w:hAnsi="宋体" w:cs="宋体" w:eastAsia="宋体" w:hint="default"/>
          <w:sz w:val="24"/>
          <w:szCs w:val="24"/>
        </w:rPr>
      </w:pPr>
    </w:p>
    <w:p>
      <w:pPr>
        <w:pStyle w:val="Heading2"/>
        <w:spacing w:line="240" w:lineRule="auto"/>
        <w:ind w:right="1122"/>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10"/>
        <w:rPr>
          <w:rFonts w:ascii="宋体" w:hAnsi="宋体" w:cs="宋体" w:eastAsia="宋体" w:hint="default"/>
          <w:b/>
          <w:bCs/>
          <w:sz w:val="24"/>
          <w:szCs w:val="24"/>
        </w:rPr>
      </w:pPr>
    </w:p>
    <w:p>
      <w:pPr>
        <w:pStyle w:val="Heading3"/>
        <w:spacing w:line="259" w:lineRule="auto"/>
        <w:ind w:right="1122"/>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1702"/>
        <w:gridCol w:w="851"/>
        <w:gridCol w:w="3261"/>
        <w:gridCol w:w="68"/>
        <w:gridCol w:w="923"/>
        <w:gridCol w:w="992"/>
        <w:gridCol w:w="496"/>
      </w:tblGrid>
      <w:tr>
        <w:trPr>
          <w:trHeight w:val="161"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26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2" w:right="61"/>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2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496" w:type="dxa"/>
            <w:vMerge/>
            <w:tcBorders>
              <w:left w:val="single" w:sz="4" w:space="0" w:color="000000"/>
              <w:right w:val="single" w:sz="4" w:space="0" w:color="000000"/>
            </w:tcBorders>
            <w:shd w:val="clear" w:color="auto" w:fill="D2D2D2"/>
          </w:tcPr>
          <w:p>
            <w:pPr/>
          </w:p>
        </w:tc>
      </w:tr>
      <w:tr>
        <w:trPr>
          <w:trHeight w:val="161"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26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496" w:type="dxa"/>
            <w:vMerge/>
            <w:tcBorders>
              <w:left w:val="single" w:sz="4" w:space="0" w:color="000000"/>
              <w:bottom w:val="single" w:sz="4" w:space="0" w:color="000000"/>
              <w:right w:val="single" w:sz="4" w:space="0" w:color="000000"/>
            </w:tcBorders>
            <w:shd w:val="clear" w:color="auto" w:fill="D2D2D2"/>
          </w:tcPr>
          <w:p>
            <w:pPr/>
          </w:p>
        </w:tc>
      </w:tr>
      <w:tr>
        <w:trPr>
          <w:trHeight w:val="4866"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17" w:right="21"/>
              <w:jc w:val="both"/>
              <w:rPr>
                <w:rFonts w:ascii="宋体" w:hAnsi="宋体" w:cs="宋体" w:eastAsia="宋体" w:hint="default"/>
                <w:sz w:val="18"/>
                <w:szCs w:val="18"/>
              </w:rPr>
            </w:pPr>
            <w:r>
              <w:rPr>
                <w:rFonts w:ascii="宋体" w:hAnsi="宋体" w:cs="宋体" w:eastAsia="宋体" w:hint="default"/>
                <w:spacing w:val="2"/>
                <w:sz w:val="18"/>
                <w:szCs w:val="18"/>
              </w:rPr>
              <w:t>爱康国际控股有限公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司；江苏爱康实业集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团有限公司；苏州度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金股权投资管理中心</w:t>
            </w:r>
          </w:p>
          <w:p>
            <w:pPr>
              <w:pStyle w:val="TableParagraph"/>
              <w:spacing w:line="319" w:lineRule="auto" w:before="19"/>
              <w:ind w:left="17" w:right="20"/>
              <w:jc w:val="both"/>
              <w:rPr>
                <w:rFonts w:ascii="宋体" w:hAnsi="宋体" w:cs="宋体" w:eastAsia="宋体" w:hint="default"/>
                <w:sz w:val="18"/>
                <w:szCs w:val="18"/>
              </w:rPr>
            </w:pPr>
            <w:r>
              <w:rPr>
                <w:rFonts w:ascii="宋体" w:hAnsi="宋体" w:cs="宋体" w:eastAsia="宋体" w:hint="default"/>
                <w:spacing w:val="-16"/>
                <w:sz w:val="18"/>
                <w:szCs w:val="18"/>
              </w:rPr>
              <w:t>（有限合伙）；天地国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际发展有限公司；钨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业研究中心有限公司</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22" w:right="-3"/>
              <w:jc w:val="both"/>
              <w:rPr>
                <w:rFonts w:ascii="宋体" w:hAnsi="宋体" w:cs="宋体" w:eastAsia="宋体" w:hint="default"/>
                <w:sz w:val="18"/>
                <w:szCs w:val="18"/>
              </w:rPr>
            </w:pPr>
            <w:r>
              <w:rPr>
                <w:rFonts w:ascii="宋体" w:hAnsi="宋体" w:cs="宋体" w:eastAsia="宋体" w:hint="default"/>
                <w:spacing w:val="18"/>
                <w:sz w:val="18"/>
                <w:szCs w:val="18"/>
              </w:rPr>
              <w:t>业绩承诺</w:t>
            </w:r>
            <w:r>
              <w:rPr>
                <w:rFonts w:ascii="宋体" w:hAnsi="宋体" w:cs="宋体" w:eastAsia="宋体" w:hint="default"/>
                <w:spacing w:val="-87"/>
                <w:sz w:val="18"/>
                <w:szCs w:val="18"/>
              </w:rPr>
              <w:t> </w:t>
            </w:r>
            <w:r>
              <w:rPr>
                <w:rFonts w:ascii="宋体" w:hAnsi="宋体" w:cs="宋体" w:eastAsia="宋体" w:hint="default"/>
                <w:spacing w:val="18"/>
                <w:sz w:val="18"/>
                <w:szCs w:val="18"/>
              </w:rPr>
              <w:t>及补偿安</w:t>
            </w:r>
            <w:r>
              <w:rPr>
                <w:rFonts w:ascii="宋体" w:hAnsi="宋体" w:cs="宋体" w:eastAsia="宋体" w:hint="default"/>
                <w:spacing w:val="-87"/>
                <w:sz w:val="18"/>
                <w:szCs w:val="18"/>
              </w:rPr>
              <w:t> </w:t>
            </w:r>
            <w:r>
              <w:rPr>
                <w:rFonts w:ascii="宋体" w:hAnsi="宋体" w:cs="宋体" w:eastAsia="宋体" w:hint="default"/>
                <w:sz w:val="18"/>
                <w:szCs w:val="18"/>
              </w:rPr>
              <w:t>排</w:t>
            </w:r>
          </w:p>
        </w:tc>
        <w:tc>
          <w:tcPr>
            <w:tcW w:w="3261"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18"/>
              <w:jc w:val="both"/>
              <w:rPr>
                <w:rFonts w:ascii="宋体" w:hAnsi="宋体" w:cs="宋体" w:eastAsia="宋体" w:hint="default"/>
                <w:sz w:val="18"/>
                <w:szCs w:val="18"/>
              </w:rPr>
            </w:pPr>
            <w:r>
              <w:rPr>
                <w:rFonts w:ascii="宋体" w:hAnsi="宋体" w:cs="宋体" w:eastAsia="宋体" w:hint="default"/>
                <w:spacing w:val="7"/>
                <w:sz w:val="18"/>
                <w:szCs w:val="18"/>
              </w:rPr>
              <w:t>爱康科技收购苏州爱康光电科技有限公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股权，交易对方爱康实业、爱康 </w:t>
            </w:r>
            <w:r>
              <w:rPr>
                <w:rFonts w:ascii="宋体" w:hAnsi="宋体" w:cs="宋体" w:eastAsia="宋体" w:hint="default"/>
                <w:spacing w:val="-2"/>
                <w:sz w:val="18"/>
                <w:szCs w:val="18"/>
              </w:rPr>
              <w:t>国际、苏州度金、天地国际及钨业研究承</w:t>
            </w:r>
            <w:r>
              <w:rPr>
                <w:rFonts w:ascii="宋体" w:hAnsi="宋体" w:cs="宋体" w:eastAsia="宋体" w:hint="default"/>
                <w:sz w:val="18"/>
                <w:szCs w:val="18"/>
              </w:rPr>
              <w:t> </w:t>
            </w:r>
            <w:r>
              <w:rPr>
                <w:rFonts w:ascii="宋体" w:hAnsi="宋体" w:cs="宋体" w:eastAsia="宋体" w:hint="default"/>
                <w:spacing w:val="-7"/>
                <w:sz w:val="18"/>
                <w:szCs w:val="18"/>
              </w:rPr>
              <w:t>诺：</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、爱康光电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年度、</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年度和 </w:t>
            </w: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年度承诺经审计扣除非经常性损益</w:t>
            </w:r>
            <w:r>
              <w:rPr>
                <w:rFonts w:ascii="宋体" w:hAnsi="宋体" w:cs="宋体" w:eastAsia="宋体" w:hint="default"/>
                <w:sz w:val="18"/>
                <w:szCs w:val="18"/>
              </w:rPr>
            </w:r>
          </w:p>
          <w:p>
            <w:pPr>
              <w:pStyle w:val="TableParagraph"/>
              <w:spacing w:line="316" w:lineRule="auto" w:before="5"/>
              <w:ind w:left="22" w:right="22"/>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（依法取得的财政补贴除外）后归属于母</w:t>
            </w:r>
            <w:r>
              <w:rPr>
                <w:rFonts w:ascii="宋体" w:hAnsi="宋体" w:cs="宋体" w:eastAsia="宋体" w:hint="default"/>
                <w:sz w:val="18"/>
                <w:szCs w:val="18"/>
              </w:rPr>
              <w:t> 公司股东的净利润数分别为人民币</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9,000</w:t>
            </w:r>
          </w:p>
          <w:p>
            <w:pPr>
              <w:pStyle w:val="TableParagraph"/>
              <w:spacing w:line="248"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万元</w:t>
            </w:r>
            <w:r>
              <w:rPr>
                <w:rFonts w:ascii="宋体" w:hAnsi="宋体" w:cs="宋体" w:eastAsia="宋体" w:hint="default"/>
                <w:spacing w:val="-75"/>
                <w:sz w:val="18"/>
                <w:szCs w:val="18"/>
              </w:rPr>
              <w:t>、</w:t>
            </w: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12,500</w:t>
            </w:r>
          </w:p>
          <w:p>
            <w:pPr>
              <w:pStyle w:val="TableParagraph"/>
              <w:spacing w:line="309"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万元。如本次重组于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 </w:t>
            </w:r>
            <w:r>
              <w:rPr>
                <w:rFonts w:ascii="宋体" w:hAnsi="宋体" w:cs="宋体" w:eastAsia="宋体" w:hint="default"/>
                <w:spacing w:val="-2"/>
                <w:sz w:val="18"/>
                <w:szCs w:val="18"/>
              </w:rPr>
              <w:t>之后实施完成，业绩承诺期和利润补偿期</w:t>
            </w:r>
            <w:r>
              <w:rPr>
                <w:rFonts w:ascii="宋体" w:hAnsi="宋体" w:cs="宋体" w:eastAsia="宋体" w:hint="default"/>
                <w:sz w:val="18"/>
                <w:szCs w:val="18"/>
              </w:rPr>
              <w:t> 往后顺延，</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年度的承诺 </w:t>
            </w:r>
            <w:r>
              <w:rPr>
                <w:rFonts w:ascii="宋体" w:hAnsi="宋体" w:cs="宋体" w:eastAsia="宋体" w:hint="default"/>
                <w:spacing w:val="-2"/>
                <w:sz w:val="18"/>
                <w:szCs w:val="18"/>
              </w:rPr>
              <w:t>经审计扣除非经常性损益（依法取得的财</w:t>
            </w:r>
            <w:r>
              <w:rPr>
                <w:rFonts w:ascii="宋体" w:hAnsi="宋体" w:cs="宋体" w:eastAsia="宋体" w:hint="default"/>
                <w:sz w:val="18"/>
                <w:szCs w:val="18"/>
              </w:rPr>
              <w:t> </w:t>
            </w:r>
            <w:r>
              <w:rPr>
                <w:rFonts w:ascii="宋体" w:hAnsi="宋体" w:cs="宋体" w:eastAsia="宋体" w:hint="default"/>
                <w:spacing w:val="7"/>
                <w:sz w:val="18"/>
                <w:szCs w:val="18"/>
              </w:rPr>
              <w:t>政补贴除外）后的净利润以本次交易之</w:t>
            </w:r>
          </w:p>
          <w:p>
            <w:pPr>
              <w:pStyle w:val="TableParagraph"/>
              <w:spacing w:line="316" w:lineRule="auto" w:before="24"/>
              <w:ind w:left="22" w:right="22"/>
              <w:jc w:val="both"/>
              <w:rPr>
                <w:rFonts w:ascii="宋体" w:hAnsi="宋体" w:cs="宋体" w:eastAsia="宋体" w:hint="default"/>
                <w:sz w:val="18"/>
                <w:szCs w:val="18"/>
              </w:rPr>
            </w:pPr>
            <w:r>
              <w:rPr>
                <w:rFonts w:ascii="宋体" w:hAnsi="宋体" w:cs="宋体" w:eastAsia="宋体" w:hint="default"/>
                <w:spacing w:val="-2"/>
                <w:sz w:val="18"/>
                <w:szCs w:val="18"/>
              </w:rPr>
              <w:t>《资产评估报告》确定的净利润预测数为</w:t>
            </w:r>
            <w:r>
              <w:rPr>
                <w:rFonts w:ascii="宋体" w:hAnsi="宋体" w:cs="宋体" w:eastAsia="宋体" w:hint="default"/>
                <w:sz w:val="18"/>
                <w:szCs w:val="18"/>
              </w:rPr>
              <w:t> </w:t>
            </w:r>
            <w:r>
              <w:rPr>
                <w:rFonts w:ascii="宋体" w:hAnsi="宋体" w:cs="宋体" w:eastAsia="宋体" w:hint="default"/>
                <w:spacing w:val="-5"/>
                <w:sz w:val="18"/>
                <w:szCs w:val="18"/>
              </w:rPr>
              <w:t>准。对于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日（即评估基准</w:t>
            </w:r>
          </w:p>
          <w:p>
            <w:pPr>
              <w:pStyle w:val="TableParagraph"/>
              <w:spacing w:line="248" w:lineRule="exact"/>
              <w:ind w:left="22" w:right="0"/>
              <w:jc w:val="both"/>
              <w:rPr>
                <w:rFonts w:ascii="宋体" w:hAnsi="宋体" w:cs="宋体" w:eastAsia="宋体" w:hint="default"/>
                <w:sz w:val="18"/>
                <w:szCs w:val="18"/>
              </w:rPr>
            </w:pPr>
            <w:r>
              <w:rPr>
                <w:rFonts w:ascii="宋体" w:hAnsi="宋体" w:cs="宋体" w:eastAsia="宋体" w:hint="default"/>
                <w:sz w:val="18"/>
                <w:szCs w:val="18"/>
              </w:rPr>
              <w:t>日）的应收账款，截至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年度审计报</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告出具之日</w:t>
            </w:r>
            <w:r>
              <w:rPr>
                <w:rFonts w:ascii="宋体" w:hAnsi="宋体" w:cs="宋体" w:eastAsia="宋体" w:hint="default"/>
                <w:spacing w:val="-81"/>
                <w:sz w:val="18"/>
                <w:szCs w:val="18"/>
              </w:rPr>
              <w:t>，</w:t>
            </w:r>
            <w:r>
              <w:rPr>
                <w:rFonts w:ascii="宋体" w:hAnsi="宋体" w:cs="宋体" w:eastAsia="宋体" w:hint="default"/>
                <w:spacing w:val="-2"/>
                <w:sz w:val="18"/>
                <w:szCs w:val="18"/>
              </w:rPr>
              <w:t>若</w:t>
            </w:r>
            <w:r>
              <w:rPr>
                <w:rFonts w:ascii="宋体" w:hAnsi="宋体" w:cs="宋体" w:eastAsia="宋体" w:hint="default"/>
                <w:sz w:val="18"/>
                <w:szCs w:val="18"/>
              </w:rPr>
              <w:t>实际未收回金额超过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日的累计坏账计提金额，即</w:t>
            </w:r>
            <w:r>
              <w:rPr>
                <w:rFonts w:ascii="宋体" w:hAnsi="宋体" w:cs="宋体" w:eastAsia="宋体" w:hint="default"/>
                <w:sz w:val="18"/>
                <w:szCs w:val="18"/>
              </w:rPr>
            </w:r>
          </w:p>
          <w:p>
            <w:pPr>
              <w:pStyle w:val="TableParagraph"/>
              <w:spacing w:line="309" w:lineRule="auto" w:before="63"/>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2,521.41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万元，超过部分将由转让方分别 </w:t>
            </w:r>
            <w:r>
              <w:rPr>
                <w:rFonts w:ascii="宋体" w:hAnsi="宋体" w:cs="宋体" w:eastAsia="宋体" w:hint="default"/>
                <w:spacing w:val="7"/>
                <w:sz w:val="18"/>
                <w:szCs w:val="18"/>
              </w:rPr>
              <w:t>就其目前的持股比例以现金补足给上市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公司。</w:t>
            </w:r>
          </w:p>
        </w:tc>
        <w:tc>
          <w:tcPr>
            <w:tcW w:w="991"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0" w:right="0"/>
              <w:jc w:val="left"/>
              <w:rPr>
                <w:rFonts w:ascii="Times New Roman" w:hAnsi="Times New Roman" w:cs="Times New Roman" w:eastAsia="Times New Roman" w:hint="default"/>
                <w:sz w:val="18"/>
                <w:szCs w:val="18"/>
              </w:rPr>
            </w:pPr>
            <w:r>
              <w:rPr>
                <w:rFonts w:ascii="Times New Roman"/>
                <w:sz w:val="18"/>
              </w:rPr>
              <w:t>2016-09-20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2" w:right="0"/>
              <w:jc w:val="left"/>
              <w:rPr>
                <w:rFonts w:ascii="Times New Roman" w:hAnsi="Times New Roman" w:cs="Times New Roman" w:eastAsia="Times New Roman" w:hint="default"/>
                <w:sz w:val="18"/>
                <w:szCs w:val="18"/>
              </w:rPr>
            </w:pPr>
            <w:r>
              <w:rPr>
                <w:rFonts w:ascii="Times New Roman"/>
                <w:sz w:val="18"/>
              </w:rPr>
              <w:t>2018-12-31</w:t>
            </w:r>
          </w:p>
        </w:tc>
        <w:tc>
          <w:tcPr>
            <w:tcW w:w="4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62" w:right="61"/>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703"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702"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3261" w:type="dxa"/>
            <w:vMerge/>
            <w:tcBorders>
              <w:left w:val="single" w:sz="4" w:space="0" w:color="000000"/>
              <w:right w:val="single" w:sz="4" w:space="0" w:color="000000"/>
            </w:tcBorders>
          </w:tcPr>
          <w:p>
            <w:pPr/>
          </w:p>
        </w:tc>
        <w:tc>
          <w:tcPr>
            <w:tcW w:w="991" w:type="dxa"/>
            <w:gridSpan w:val="2"/>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r>
      <w:tr>
        <w:trPr>
          <w:trHeight w:val="1073" w:hRule="exact"/>
        </w:trPr>
        <w:tc>
          <w:tcPr>
            <w:tcW w:w="1276" w:type="dxa"/>
            <w:vMerge w:val="restart"/>
            <w:tcBorders>
              <w:top w:val="nil" w:sz="6" w:space="0" w:color="auto"/>
              <w:left w:val="single" w:sz="4" w:space="0" w:color="000000"/>
              <w:right w:val="single" w:sz="4" w:space="0" w:color="000000"/>
            </w:tcBorders>
            <w:shd w:val="clear" w:color="auto" w:fill="D2D2D2"/>
          </w:tcPr>
          <w:p>
            <w:pPr/>
          </w:p>
        </w:tc>
        <w:tc>
          <w:tcPr>
            <w:tcW w:w="1702"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3261" w:type="dxa"/>
            <w:vMerge/>
            <w:tcBorders>
              <w:left w:val="single" w:sz="4" w:space="0" w:color="000000"/>
              <w:bottom w:val="single" w:sz="4" w:space="0" w:color="000000"/>
              <w:right w:val="single" w:sz="4" w:space="0" w:color="000000"/>
            </w:tcBorders>
          </w:tcPr>
          <w:p>
            <w:pPr/>
          </w:p>
        </w:tc>
        <w:tc>
          <w:tcPr>
            <w:tcW w:w="991" w:type="dxa"/>
            <w:gridSpan w:val="2"/>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96" w:type="dxa"/>
            <w:vMerge/>
            <w:tcBorders>
              <w:left w:val="single" w:sz="4" w:space="0" w:color="000000"/>
              <w:bottom w:val="single" w:sz="4" w:space="0" w:color="000000"/>
              <w:right w:val="single" w:sz="4" w:space="0" w:color="000000"/>
            </w:tcBorders>
          </w:tcPr>
          <w:p>
            <w:pPr/>
          </w:p>
        </w:tc>
      </w:tr>
      <w:tr>
        <w:trPr>
          <w:trHeight w:val="3794"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3" w:right="21"/>
              <w:jc w:val="both"/>
              <w:rPr>
                <w:rFonts w:ascii="宋体" w:hAnsi="宋体" w:cs="宋体" w:eastAsia="宋体" w:hint="default"/>
                <w:sz w:val="18"/>
                <w:szCs w:val="18"/>
              </w:rPr>
            </w:pPr>
            <w:r>
              <w:rPr>
                <w:rFonts w:ascii="宋体" w:hAnsi="宋体" w:cs="宋体" w:eastAsia="宋体" w:hint="default"/>
                <w:spacing w:val="2"/>
                <w:sz w:val="18"/>
                <w:szCs w:val="18"/>
              </w:rPr>
              <w:t>爱康国际控股有限公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司；江苏爱康实业集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团有限公司；邹承慧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22" w:right="-3"/>
              <w:jc w:val="both"/>
              <w:rPr>
                <w:rFonts w:ascii="宋体" w:hAnsi="宋体" w:cs="宋体" w:eastAsia="宋体" w:hint="default"/>
                <w:sz w:val="18"/>
                <w:szCs w:val="18"/>
              </w:rPr>
            </w:pPr>
            <w:r>
              <w:rPr>
                <w:rFonts w:ascii="宋体" w:hAnsi="宋体" w:cs="宋体" w:eastAsia="宋体" w:hint="default"/>
                <w:spacing w:val="18"/>
                <w:sz w:val="18"/>
                <w:szCs w:val="18"/>
              </w:rPr>
              <w:t>关于同业</w:t>
            </w:r>
            <w:r>
              <w:rPr>
                <w:rFonts w:ascii="宋体" w:hAnsi="宋体" w:cs="宋体" w:eastAsia="宋体" w:hint="default"/>
                <w:spacing w:val="-87"/>
                <w:sz w:val="18"/>
                <w:szCs w:val="18"/>
              </w:rPr>
              <w:t> </w:t>
            </w:r>
            <w:r>
              <w:rPr>
                <w:rFonts w:ascii="宋体" w:hAnsi="宋体" w:cs="宋体" w:eastAsia="宋体" w:hint="default"/>
                <w:spacing w:val="18"/>
                <w:sz w:val="18"/>
                <w:szCs w:val="18"/>
              </w:rPr>
              <w:t>竞争、关</w:t>
            </w:r>
            <w:r>
              <w:rPr>
                <w:rFonts w:ascii="宋体" w:hAnsi="宋体" w:cs="宋体" w:eastAsia="宋体" w:hint="default"/>
                <w:spacing w:val="-87"/>
                <w:sz w:val="18"/>
                <w:szCs w:val="18"/>
              </w:rPr>
              <w:t> </w:t>
            </w:r>
            <w:r>
              <w:rPr>
                <w:rFonts w:ascii="宋体" w:hAnsi="宋体" w:cs="宋体" w:eastAsia="宋体" w:hint="default"/>
                <w:spacing w:val="18"/>
                <w:sz w:val="18"/>
                <w:szCs w:val="18"/>
              </w:rPr>
              <w:t>联交易、</w:t>
            </w:r>
            <w:r>
              <w:rPr>
                <w:rFonts w:ascii="宋体" w:hAnsi="宋体" w:cs="宋体" w:eastAsia="宋体" w:hint="default"/>
                <w:spacing w:val="-87"/>
                <w:sz w:val="18"/>
                <w:szCs w:val="18"/>
              </w:rPr>
              <w:t> </w:t>
            </w:r>
            <w:r>
              <w:rPr>
                <w:rFonts w:ascii="宋体" w:hAnsi="宋体" w:cs="宋体" w:eastAsia="宋体" w:hint="default"/>
                <w:spacing w:val="18"/>
                <w:sz w:val="18"/>
                <w:szCs w:val="18"/>
              </w:rPr>
              <w:t>资金占用</w:t>
            </w:r>
            <w:r>
              <w:rPr>
                <w:rFonts w:ascii="宋体" w:hAnsi="宋体" w:cs="宋体" w:eastAsia="宋体" w:hint="default"/>
                <w:spacing w:val="-87"/>
                <w:sz w:val="18"/>
                <w:szCs w:val="18"/>
              </w:rPr>
              <w:t> </w:t>
            </w:r>
            <w:r>
              <w:rPr>
                <w:rFonts w:ascii="宋体" w:hAnsi="宋体" w:cs="宋体" w:eastAsia="宋体" w:hint="default"/>
                <w:spacing w:val="18"/>
                <w:sz w:val="18"/>
                <w:szCs w:val="18"/>
              </w:rPr>
              <w:t>方面的承</w:t>
            </w:r>
            <w:r>
              <w:rPr>
                <w:rFonts w:ascii="宋体" w:hAnsi="宋体" w:cs="宋体" w:eastAsia="宋体" w:hint="default"/>
                <w:spacing w:val="-87"/>
                <w:sz w:val="18"/>
                <w:szCs w:val="18"/>
              </w:rPr>
              <w:t> </w:t>
            </w:r>
            <w:r>
              <w:rPr>
                <w:rFonts w:ascii="宋体" w:hAnsi="宋体" w:cs="宋体" w:eastAsia="宋体" w:hint="default"/>
                <w:sz w:val="18"/>
                <w:szCs w:val="18"/>
              </w:rPr>
              <w:t>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邹承慧、江苏爱康实业集团有限公司、爱</w:t>
            </w:r>
            <w:r>
              <w:rPr>
                <w:rFonts w:ascii="宋体" w:hAnsi="宋体" w:cs="宋体" w:eastAsia="宋体" w:hint="default"/>
                <w:sz w:val="18"/>
                <w:szCs w:val="18"/>
              </w:rPr>
              <w:t> </w:t>
            </w:r>
            <w:r>
              <w:rPr>
                <w:rFonts w:ascii="宋体" w:hAnsi="宋体" w:cs="宋体" w:eastAsia="宋体" w:hint="default"/>
                <w:spacing w:val="7"/>
                <w:sz w:val="18"/>
                <w:szCs w:val="18"/>
              </w:rPr>
              <w:t>康国际控股有限公司出具关于避免同业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竞争的承诺：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84"/>
                <w:sz w:val="18"/>
                <w:szCs w:val="18"/>
              </w:rPr>
              <w:t> </w:t>
            </w:r>
            <w:r>
              <w:rPr>
                <w:rFonts w:ascii="宋体" w:hAnsi="宋体" w:cs="宋体" w:eastAsia="宋体" w:hint="default"/>
                <w:spacing w:val="2"/>
                <w:sz w:val="18"/>
                <w:szCs w:val="18"/>
              </w:rPr>
              <w:t>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本公司及本人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本公司控制的企业未 </w:t>
            </w:r>
            <w:r>
              <w:rPr>
                <w:rFonts w:ascii="宋体" w:hAnsi="宋体" w:cs="宋体" w:eastAsia="宋体" w:hint="default"/>
                <w:spacing w:val="7"/>
                <w:sz w:val="18"/>
                <w:szCs w:val="18"/>
              </w:rPr>
              <w:t>从事与爱康光电及其控股子公司所从事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7"/>
                <w:sz w:val="18"/>
                <w:szCs w:val="18"/>
              </w:rPr>
              <w:t>的业务有直接利益冲突的竞争性经营活</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动。</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、本次支付现金购买资产事宜实施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完毕后，除上市公司及其控股子公司（包</w:t>
            </w:r>
            <w:r>
              <w:rPr>
                <w:rFonts w:ascii="宋体" w:hAnsi="宋体" w:cs="宋体" w:eastAsia="宋体" w:hint="default"/>
                <w:sz w:val="18"/>
                <w:szCs w:val="18"/>
              </w:rPr>
              <w:t> 括爱康光电）外，本人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r>
              <w:rPr>
                <w:rFonts w:ascii="宋体" w:hAnsi="宋体" w:cs="宋体" w:eastAsia="宋体" w:hint="default"/>
                <w:spacing w:val="-55"/>
                <w:sz w:val="18"/>
                <w:szCs w:val="18"/>
              </w:rPr>
              <w:t> </w:t>
            </w:r>
            <w:r>
              <w:rPr>
                <w:rFonts w:ascii="宋体" w:hAnsi="宋体" w:cs="宋体" w:eastAsia="宋体" w:hint="default"/>
                <w:spacing w:val="7"/>
                <w:sz w:val="18"/>
                <w:szCs w:val="18"/>
              </w:rPr>
              <w:t>公司控制的其他企业不会直接或间接从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事或发展与上市公司及其控股子公司（包</w:t>
            </w:r>
            <w:r>
              <w:rPr>
                <w:rFonts w:ascii="宋体" w:hAnsi="宋体" w:cs="宋体" w:eastAsia="宋体" w:hint="default"/>
                <w:sz w:val="18"/>
                <w:szCs w:val="18"/>
              </w:rPr>
              <w:t> </w:t>
            </w:r>
            <w:r>
              <w:rPr>
                <w:rFonts w:ascii="宋体" w:hAnsi="宋体" w:cs="宋体" w:eastAsia="宋体" w:hint="default"/>
                <w:spacing w:val="-2"/>
                <w:sz w:val="18"/>
                <w:szCs w:val="18"/>
              </w:rPr>
              <w:t>括爱康光电）经营范围相同或相类似的业</w:t>
            </w:r>
          </w:p>
        </w:tc>
        <w:tc>
          <w:tcPr>
            <w:tcW w:w="68" w:type="dxa"/>
            <w:tcBorders>
              <w:top w:val="single" w:sz="4" w:space="0" w:color="000000"/>
              <w:left w:val="single" w:sz="4" w:space="0" w:color="000000"/>
              <w:bottom w:val="single" w:sz="4" w:space="0" w:color="000000"/>
              <w:right w:val="nil" w:sz="6" w:space="0" w:color="auto"/>
            </w:tcBorders>
          </w:tcPr>
          <w:p>
            <w:pPr/>
          </w:p>
        </w:tc>
        <w:tc>
          <w:tcPr>
            <w:tcW w:w="9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7" w:right="0"/>
              <w:jc w:val="left"/>
              <w:rPr>
                <w:rFonts w:ascii="Times New Roman" w:hAnsi="Times New Roman" w:cs="Times New Roman" w:eastAsia="Times New Roman" w:hint="default"/>
                <w:sz w:val="18"/>
                <w:szCs w:val="18"/>
              </w:rPr>
            </w:pPr>
            <w:r>
              <w:rPr>
                <w:rFonts w:ascii="Times New Roman"/>
                <w:sz w:val="18"/>
              </w:rPr>
              <w:t>2016-09-20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9999-9-30</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62" w:right="61"/>
              <w:jc w:val="both"/>
              <w:rPr>
                <w:rFonts w:ascii="宋体" w:hAnsi="宋体" w:cs="宋体" w:eastAsia="宋体" w:hint="default"/>
                <w:sz w:val="18"/>
                <w:szCs w:val="18"/>
              </w:rPr>
            </w:pPr>
            <w:r>
              <w:rPr>
                <w:rFonts w:ascii="宋体" w:hAnsi="宋体" w:cs="宋体" w:eastAsia="宋体" w:hint="default"/>
                <w:sz w:val="18"/>
                <w:szCs w:val="18"/>
              </w:rPr>
              <w:t>严格 履行 中</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702"/>
        <w:gridCol w:w="851"/>
        <w:gridCol w:w="3261"/>
        <w:gridCol w:w="991"/>
        <w:gridCol w:w="992"/>
        <w:gridCol w:w="496"/>
      </w:tblGrid>
      <w:tr>
        <w:trPr>
          <w:trHeight w:val="1128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2"/>
              <w:jc w:val="both"/>
              <w:rPr>
                <w:rFonts w:ascii="宋体" w:hAnsi="宋体" w:cs="宋体" w:eastAsia="宋体" w:hint="default"/>
                <w:sz w:val="18"/>
                <w:szCs w:val="18"/>
              </w:rPr>
            </w:pPr>
            <w:r>
              <w:rPr>
                <w:rFonts w:ascii="宋体" w:hAnsi="宋体" w:cs="宋体" w:eastAsia="宋体" w:hint="default"/>
                <w:spacing w:val="-5"/>
                <w:sz w:val="18"/>
                <w:szCs w:val="18"/>
              </w:rPr>
              <w:t>务或项目，也不为本人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本公司或代表任何</w:t>
            </w:r>
            <w:r>
              <w:rPr>
                <w:rFonts w:ascii="宋体" w:hAnsi="宋体" w:cs="宋体" w:eastAsia="宋体" w:hint="default"/>
                <w:spacing w:val="-82"/>
                <w:sz w:val="18"/>
                <w:szCs w:val="18"/>
              </w:rPr>
              <w:t> </w:t>
            </w:r>
            <w:r>
              <w:rPr>
                <w:rFonts w:ascii="宋体" w:hAnsi="宋体" w:cs="宋体" w:eastAsia="宋体" w:hint="default"/>
                <w:spacing w:val="-3"/>
                <w:sz w:val="18"/>
                <w:szCs w:val="18"/>
              </w:rPr>
              <w:t>第三方成立、发展、投资、参与、协助任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何企业与上市公司及其控股子公司（包括</w:t>
            </w:r>
            <w:r>
              <w:rPr>
                <w:rFonts w:ascii="宋体" w:hAnsi="宋体" w:cs="宋体" w:eastAsia="宋体" w:hint="default"/>
                <w:sz w:val="18"/>
                <w:szCs w:val="18"/>
              </w:rPr>
              <w:t> </w:t>
            </w:r>
            <w:r>
              <w:rPr>
                <w:rFonts w:ascii="宋体" w:hAnsi="宋体" w:cs="宋体" w:eastAsia="宋体" w:hint="default"/>
                <w:spacing w:val="-2"/>
                <w:sz w:val="18"/>
                <w:szCs w:val="18"/>
              </w:rPr>
              <w:t>爱康光电）进行直接或间接的竞争。若违</w:t>
            </w:r>
            <w:r>
              <w:rPr>
                <w:rFonts w:ascii="宋体" w:hAnsi="宋体" w:cs="宋体" w:eastAsia="宋体" w:hint="default"/>
                <w:sz w:val="18"/>
                <w:szCs w:val="18"/>
              </w:rPr>
              <w:t> </w:t>
            </w:r>
            <w:r>
              <w:rPr>
                <w:rFonts w:ascii="宋体" w:hAnsi="宋体" w:cs="宋体" w:eastAsia="宋体" w:hint="default"/>
                <w:spacing w:val="-2"/>
                <w:sz w:val="18"/>
                <w:szCs w:val="18"/>
              </w:rPr>
              <w:t>反上述承诺，将承担因此而给爱康科技和</w:t>
            </w:r>
            <w:r>
              <w:rPr>
                <w:rFonts w:ascii="宋体" w:hAnsi="宋体" w:cs="宋体" w:eastAsia="宋体" w:hint="default"/>
                <w:sz w:val="18"/>
                <w:szCs w:val="18"/>
              </w:rPr>
              <w:t> </w:t>
            </w:r>
            <w:r>
              <w:rPr>
                <w:rFonts w:ascii="宋体" w:hAnsi="宋体" w:cs="宋体" w:eastAsia="宋体" w:hint="default"/>
                <w:spacing w:val="-2"/>
                <w:sz w:val="18"/>
                <w:szCs w:val="18"/>
              </w:rPr>
              <w:t>爱康光电及其控制的其他公司、企业或者</w:t>
            </w:r>
            <w:r>
              <w:rPr>
                <w:rFonts w:ascii="宋体" w:hAnsi="宋体" w:cs="宋体" w:eastAsia="宋体" w:hint="default"/>
                <w:sz w:val="18"/>
                <w:szCs w:val="18"/>
              </w:rPr>
              <w:t> 其他经济组织造成的一切损失。邹承慧、 </w:t>
            </w:r>
            <w:r>
              <w:rPr>
                <w:rFonts w:ascii="宋体" w:hAnsi="宋体" w:cs="宋体" w:eastAsia="宋体" w:hint="default"/>
                <w:spacing w:val="-2"/>
                <w:sz w:val="18"/>
                <w:szCs w:val="18"/>
              </w:rPr>
              <w:t>江苏爱康实业集团有限公司、爱康国际控</w:t>
            </w:r>
            <w:r>
              <w:rPr>
                <w:rFonts w:ascii="宋体" w:hAnsi="宋体" w:cs="宋体" w:eastAsia="宋体" w:hint="default"/>
                <w:sz w:val="18"/>
                <w:szCs w:val="18"/>
              </w:rPr>
              <w:t> </w:t>
            </w:r>
            <w:r>
              <w:rPr>
                <w:rFonts w:ascii="宋体" w:hAnsi="宋体" w:cs="宋体" w:eastAsia="宋体" w:hint="default"/>
                <w:spacing w:val="7"/>
                <w:sz w:val="18"/>
                <w:szCs w:val="18"/>
              </w:rPr>
              <w:t>股有限公司出具关于关于减少和规范关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联交易的承诺：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本公司在作为爱 康科技的实际控制人</w:t>
            </w: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r>
              <w:rPr>
                <w:rFonts w:ascii="宋体" w:hAnsi="宋体" w:cs="宋体" w:eastAsia="宋体" w:hint="default"/>
                <w:spacing w:val="-55"/>
                <w:sz w:val="18"/>
                <w:szCs w:val="18"/>
              </w:rPr>
              <w:t> </w:t>
            </w:r>
            <w:r>
              <w:rPr>
                <w:rFonts w:ascii="宋体" w:hAnsi="宋体" w:cs="宋体" w:eastAsia="宋体" w:hint="default"/>
                <w:spacing w:val="-5"/>
                <w:sz w:val="18"/>
                <w:szCs w:val="18"/>
              </w:rPr>
              <w:t>公司及本人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本公司控制的其他公司、企业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或者其他经济组织将尽量减少并规范与</w:t>
            </w:r>
            <w:r>
              <w:rPr>
                <w:rFonts w:ascii="宋体" w:hAnsi="宋体" w:cs="宋体" w:eastAsia="宋体" w:hint="default"/>
                <w:sz w:val="18"/>
                <w:szCs w:val="18"/>
              </w:rPr>
              <w:t> </w:t>
            </w:r>
            <w:r>
              <w:rPr>
                <w:rFonts w:ascii="宋体" w:hAnsi="宋体" w:cs="宋体" w:eastAsia="宋体" w:hint="default"/>
                <w:spacing w:val="7"/>
                <w:sz w:val="18"/>
                <w:szCs w:val="18"/>
              </w:rPr>
              <w:t>爱康科技或爱康光电及其控制的其他公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w:t>
            </w:r>
            <w:r>
              <w:rPr>
                <w:rFonts w:ascii="宋体" w:hAnsi="宋体" w:cs="宋体" w:eastAsia="宋体" w:hint="default"/>
                <w:spacing w:val="14"/>
                <w:sz w:val="18"/>
                <w:szCs w:val="18"/>
              </w:rPr>
              <w:t> </w:t>
            </w:r>
            <w:r>
              <w:rPr>
                <w:rFonts w:ascii="宋体" w:hAnsi="宋体" w:cs="宋体" w:eastAsia="宋体" w:hint="default"/>
                <w:spacing w:val="2"/>
                <w:sz w:val="18"/>
                <w:szCs w:val="18"/>
              </w:rPr>
              <w:t>企业或者其他经济组织之间的关联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交易。</w:t>
            </w:r>
            <w:r>
              <w:rPr>
                <w:rFonts w:ascii="Times New Roman" w:hAnsi="Times New Roman" w:cs="Times New Roman" w:eastAsia="Times New Roman" w:hint="default"/>
                <w:sz w:val="18"/>
                <w:szCs w:val="18"/>
              </w:rPr>
              <w:t>2</w:t>
            </w:r>
            <w:r>
              <w:rPr>
                <w:rFonts w:ascii="宋体" w:hAnsi="宋体" w:cs="宋体" w:eastAsia="宋体" w:hint="default"/>
                <w:sz w:val="18"/>
                <w:szCs w:val="18"/>
              </w:rPr>
              <w:t>．本次重组完成后，本人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w:t>
            </w:r>
            <w:r>
              <w:rPr>
                <w:rFonts w:ascii="宋体" w:hAnsi="宋体" w:cs="宋体" w:eastAsia="宋体" w:hint="default"/>
                <w:spacing w:val="7"/>
                <w:sz w:val="18"/>
                <w:szCs w:val="18"/>
              </w:rPr>
              <w:t>对于无法避免或有合理原因而发生的与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爱康科技或目标公司之间的关联交易，本</w:t>
            </w:r>
            <w:r>
              <w:rPr>
                <w:rFonts w:ascii="宋体" w:hAnsi="宋体" w:cs="宋体" w:eastAsia="宋体" w:hint="default"/>
                <w:sz w:val="18"/>
                <w:szCs w:val="18"/>
              </w:rPr>
              <w:t> </w:t>
            </w:r>
            <w:r>
              <w:rPr>
                <w:rFonts w:ascii="宋体" w:hAnsi="宋体" w:cs="宋体" w:eastAsia="宋体" w:hint="default"/>
                <w:spacing w:val="11"/>
                <w:sz w:val="18"/>
                <w:szCs w:val="18"/>
              </w:rPr>
              <w:t>人</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本公司及本人</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本公司控制的其他公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司、企业或者其他经济组织将遵循市场原</w:t>
            </w:r>
            <w:r>
              <w:rPr>
                <w:rFonts w:ascii="宋体" w:hAnsi="宋体" w:cs="宋体" w:eastAsia="宋体" w:hint="default"/>
                <w:sz w:val="18"/>
                <w:szCs w:val="18"/>
              </w:rPr>
              <w:t> </w:t>
            </w:r>
            <w:r>
              <w:rPr>
                <w:rFonts w:ascii="宋体" w:hAnsi="宋体" w:cs="宋体" w:eastAsia="宋体" w:hint="default"/>
                <w:spacing w:val="-2"/>
                <w:sz w:val="18"/>
                <w:szCs w:val="18"/>
              </w:rPr>
              <w:t>则以公允、合理的市场价格进行，根据有</w:t>
            </w:r>
            <w:r>
              <w:rPr>
                <w:rFonts w:ascii="宋体" w:hAnsi="宋体" w:cs="宋体" w:eastAsia="宋体" w:hint="default"/>
                <w:sz w:val="18"/>
                <w:szCs w:val="18"/>
              </w:rPr>
              <w:t> </w:t>
            </w:r>
            <w:r>
              <w:rPr>
                <w:rFonts w:ascii="宋体" w:hAnsi="宋体" w:cs="宋体" w:eastAsia="宋体" w:hint="default"/>
                <w:spacing w:val="-2"/>
                <w:sz w:val="18"/>
                <w:szCs w:val="18"/>
              </w:rPr>
              <w:t>关法律、法规及规范性文件的规定履行关</w:t>
            </w:r>
            <w:r>
              <w:rPr>
                <w:rFonts w:ascii="宋体" w:hAnsi="宋体" w:cs="宋体" w:eastAsia="宋体" w:hint="default"/>
                <w:sz w:val="18"/>
                <w:szCs w:val="18"/>
              </w:rPr>
              <w:t> </w:t>
            </w:r>
            <w:r>
              <w:rPr>
                <w:rFonts w:ascii="宋体" w:hAnsi="宋体" w:cs="宋体" w:eastAsia="宋体" w:hint="default"/>
                <w:spacing w:val="-2"/>
                <w:sz w:val="18"/>
                <w:szCs w:val="18"/>
              </w:rPr>
              <w:t>联交易决策程序，依法履行信息披露义务</w:t>
            </w:r>
            <w:r>
              <w:rPr>
                <w:rFonts w:ascii="宋体" w:hAnsi="宋体" w:cs="宋体" w:eastAsia="宋体" w:hint="default"/>
                <w:sz w:val="18"/>
                <w:szCs w:val="18"/>
              </w:rPr>
              <w:t> </w:t>
            </w:r>
            <w:r>
              <w:rPr>
                <w:rFonts w:ascii="宋体" w:hAnsi="宋体" w:cs="宋体" w:eastAsia="宋体" w:hint="default"/>
                <w:spacing w:val="-2"/>
                <w:sz w:val="18"/>
                <w:szCs w:val="18"/>
              </w:rPr>
              <w:t>和办理有关报批程序，不利用实际控制人</w:t>
            </w:r>
            <w:r>
              <w:rPr>
                <w:rFonts w:ascii="宋体" w:hAnsi="宋体" w:cs="宋体" w:eastAsia="宋体" w:hint="default"/>
                <w:sz w:val="18"/>
                <w:szCs w:val="18"/>
              </w:rPr>
              <w:t> </w:t>
            </w:r>
            <w:r>
              <w:rPr>
                <w:rFonts w:ascii="宋体" w:hAnsi="宋体" w:cs="宋体" w:eastAsia="宋体" w:hint="default"/>
                <w:spacing w:val="7"/>
                <w:sz w:val="18"/>
                <w:szCs w:val="18"/>
              </w:rPr>
              <w:t>优势地位损害爱康科技及其他股东的合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法权益。</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本公司及本人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本公司控</w:t>
            </w:r>
            <w:r>
              <w:rPr>
                <w:rFonts w:ascii="宋体" w:hAnsi="宋体" w:cs="宋体" w:eastAsia="宋体" w:hint="default"/>
                <w:spacing w:val="-76"/>
                <w:sz w:val="18"/>
                <w:szCs w:val="18"/>
              </w:rPr>
              <w:t> </w:t>
            </w:r>
            <w:r>
              <w:rPr>
                <w:rFonts w:ascii="宋体" w:hAnsi="宋体" w:cs="宋体" w:eastAsia="宋体" w:hint="default"/>
                <w:spacing w:val="-2"/>
                <w:sz w:val="18"/>
                <w:szCs w:val="18"/>
              </w:rPr>
              <w:t>制的其他公司、企业或者其他经济组织不</w:t>
            </w:r>
            <w:r>
              <w:rPr>
                <w:rFonts w:ascii="宋体" w:hAnsi="宋体" w:cs="宋体" w:eastAsia="宋体" w:hint="default"/>
                <w:sz w:val="18"/>
                <w:szCs w:val="18"/>
              </w:rPr>
              <w:t> </w:t>
            </w:r>
            <w:r>
              <w:rPr>
                <w:rFonts w:ascii="宋体" w:hAnsi="宋体" w:cs="宋体" w:eastAsia="宋体" w:hint="default"/>
                <w:spacing w:val="7"/>
                <w:sz w:val="18"/>
                <w:szCs w:val="18"/>
              </w:rPr>
              <w:t>会利用拥有的上市公司实际控制能力操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纵、指使上市公司或者上市公司董事、监</w:t>
            </w:r>
            <w:r>
              <w:rPr>
                <w:rFonts w:ascii="宋体" w:hAnsi="宋体" w:cs="宋体" w:eastAsia="宋体" w:hint="default"/>
                <w:sz w:val="18"/>
                <w:szCs w:val="18"/>
              </w:rPr>
              <w:t> </w:t>
            </w:r>
            <w:r>
              <w:rPr>
                <w:rFonts w:ascii="宋体" w:hAnsi="宋体" w:cs="宋体" w:eastAsia="宋体" w:hint="default"/>
                <w:spacing w:val="-2"/>
                <w:sz w:val="18"/>
                <w:szCs w:val="18"/>
              </w:rPr>
              <w:t>事、高级管理人员，使得上市公司以不公</w:t>
            </w:r>
            <w:r>
              <w:rPr>
                <w:rFonts w:ascii="宋体" w:hAnsi="宋体" w:cs="宋体" w:eastAsia="宋体" w:hint="default"/>
                <w:sz w:val="18"/>
                <w:szCs w:val="18"/>
              </w:rPr>
              <w:t> </w:t>
            </w:r>
            <w:r>
              <w:rPr>
                <w:rFonts w:ascii="宋体" w:hAnsi="宋体" w:cs="宋体" w:eastAsia="宋体" w:hint="default"/>
                <w:spacing w:val="-3"/>
                <w:sz w:val="18"/>
                <w:szCs w:val="18"/>
              </w:rPr>
              <w:t>平的条件，提供或者接受资金、商品、服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务或者其他资产，或从事任何损害上市公</w:t>
            </w:r>
            <w:r>
              <w:rPr>
                <w:rFonts w:ascii="宋体" w:hAnsi="宋体" w:cs="宋体" w:eastAsia="宋体" w:hint="default"/>
                <w:sz w:val="18"/>
                <w:szCs w:val="18"/>
              </w:rPr>
              <w:t> </w:t>
            </w:r>
            <w:r>
              <w:rPr>
                <w:rFonts w:ascii="宋体" w:hAnsi="宋体" w:cs="宋体" w:eastAsia="宋体" w:hint="default"/>
                <w:spacing w:val="-5"/>
                <w:sz w:val="18"/>
                <w:szCs w:val="18"/>
              </w:rPr>
              <w:t>司利益的行为。本人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本公司若违反上述承</w:t>
            </w:r>
            <w:r>
              <w:rPr>
                <w:rFonts w:ascii="宋体" w:hAnsi="宋体" w:cs="宋体" w:eastAsia="宋体" w:hint="default"/>
                <w:spacing w:val="-82"/>
                <w:sz w:val="18"/>
                <w:szCs w:val="18"/>
              </w:rPr>
              <w:t> </w:t>
            </w:r>
            <w:r>
              <w:rPr>
                <w:rFonts w:ascii="宋体" w:hAnsi="宋体" w:cs="宋体" w:eastAsia="宋体" w:hint="default"/>
                <w:spacing w:val="-2"/>
                <w:sz w:val="18"/>
                <w:szCs w:val="18"/>
              </w:rPr>
              <w:t>诺，将承担因此而给爱康科技和爱康光电</w:t>
            </w:r>
            <w:r>
              <w:rPr>
                <w:rFonts w:ascii="宋体" w:hAnsi="宋体" w:cs="宋体" w:eastAsia="宋体" w:hint="default"/>
                <w:sz w:val="18"/>
                <w:szCs w:val="18"/>
              </w:rPr>
              <w:t> </w:t>
            </w:r>
            <w:r>
              <w:rPr>
                <w:rFonts w:ascii="宋体" w:hAnsi="宋体" w:cs="宋体" w:eastAsia="宋体" w:hint="default"/>
                <w:spacing w:val="-2"/>
                <w:sz w:val="18"/>
                <w:szCs w:val="18"/>
              </w:rPr>
              <w:t>及其控制的其他公司、企业或者其他经济</w:t>
            </w:r>
            <w:r>
              <w:rPr>
                <w:rFonts w:ascii="宋体" w:hAnsi="宋体" w:cs="宋体" w:eastAsia="宋体" w:hint="default"/>
                <w:sz w:val="18"/>
                <w:szCs w:val="18"/>
              </w:rPr>
              <w:t> 组织造成的一切损失。</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江苏爱康实业集团有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
              <w:jc w:val="left"/>
              <w:rPr>
                <w:rFonts w:ascii="宋体" w:hAnsi="宋体" w:cs="宋体" w:eastAsia="宋体" w:hint="default"/>
                <w:sz w:val="18"/>
                <w:szCs w:val="18"/>
              </w:rPr>
            </w:pPr>
            <w:r>
              <w:rPr>
                <w:rFonts w:ascii="宋体" w:hAnsi="宋体" w:cs="宋体" w:eastAsia="宋体" w:hint="default"/>
                <w:spacing w:val="18"/>
                <w:sz w:val="18"/>
                <w:szCs w:val="18"/>
              </w:rPr>
              <w:t>股份限售</w:t>
            </w:r>
            <w:r>
              <w:rPr>
                <w:rFonts w:ascii="宋体" w:hAnsi="宋体" w:cs="宋体" w:eastAsia="宋体" w:hint="default"/>
                <w:spacing w:val="-87"/>
                <w:sz w:val="18"/>
                <w:szCs w:val="18"/>
              </w:rPr>
              <w:t> </w:t>
            </w:r>
            <w:r>
              <w:rPr>
                <w:rFonts w:ascii="宋体" w:hAnsi="宋体" w:cs="宋体" w:eastAsia="宋体" w:hint="default"/>
                <w:sz w:val="18"/>
                <w:szCs w:val="18"/>
              </w:rPr>
              <w:t>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pacing w:val="19"/>
                <w:sz w:val="18"/>
                <w:szCs w:val="18"/>
              </w:rPr>
              <w:t>江苏爱康实业集团有限公司所认购的</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39,771,500 </w:t>
            </w:r>
            <w:r>
              <w:rPr>
                <w:rFonts w:ascii="宋体" w:hAnsi="宋体" w:cs="宋体" w:eastAsia="宋体" w:hint="default"/>
                <w:spacing w:val="3"/>
                <w:sz w:val="18"/>
                <w:szCs w:val="18"/>
              </w:rPr>
              <w:t>股股份自发行结束之日起</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个月内不得转让</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2016-03-23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2019-3-23</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62" w:right="61"/>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161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21"/>
              <w:jc w:val="both"/>
              <w:rPr>
                <w:rFonts w:ascii="宋体" w:hAnsi="宋体" w:cs="宋体" w:eastAsia="宋体" w:hint="default"/>
                <w:sz w:val="18"/>
                <w:szCs w:val="18"/>
              </w:rPr>
            </w:pPr>
            <w:r>
              <w:rPr>
                <w:rFonts w:ascii="宋体" w:hAnsi="宋体" w:cs="宋体" w:eastAsia="宋体" w:hint="default"/>
                <w:spacing w:val="2"/>
                <w:sz w:val="18"/>
                <w:szCs w:val="18"/>
              </w:rPr>
              <w:t>爱康国际控股有限公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司；江苏爱康实业集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团有限公司；江阴爱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康投资有限公司；邹</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
              <w:jc w:val="both"/>
              <w:rPr>
                <w:rFonts w:ascii="宋体" w:hAnsi="宋体" w:cs="宋体" w:eastAsia="宋体" w:hint="default"/>
                <w:sz w:val="18"/>
                <w:szCs w:val="18"/>
              </w:rPr>
            </w:pPr>
            <w:r>
              <w:rPr>
                <w:rFonts w:ascii="宋体" w:hAnsi="宋体" w:cs="宋体" w:eastAsia="宋体" w:hint="default"/>
                <w:spacing w:val="18"/>
                <w:sz w:val="18"/>
                <w:szCs w:val="18"/>
              </w:rPr>
              <w:t>关于同业</w:t>
            </w:r>
            <w:r>
              <w:rPr>
                <w:rFonts w:ascii="宋体" w:hAnsi="宋体" w:cs="宋体" w:eastAsia="宋体" w:hint="default"/>
                <w:spacing w:val="-87"/>
                <w:sz w:val="18"/>
                <w:szCs w:val="18"/>
              </w:rPr>
              <w:t> </w:t>
            </w:r>
            <w:r>
              <w:rPr>
                <w:rFonts w:ascii="宋体" w:hAnsi="宋体" w:cs="宋体" w:eastAsia="宋体" w:hint="default"/>
                <w:spacing w:val="18"/>
                <w:sz w:val="18"/>
                <w:szCs w:val="18"/>
              </w:rPr>
              <w:t>竞争、关</w:t>
            </w:r>
            <w:r>
              <w:rPr>
                <w:rFonts w:ascii="宋体" w:hAnsi="宋体" w:cs="宋体" w:eastAsia="宋体" w:hint="default"/>
                <w:spacing w:val="-87"/>
                <w:sz w:val="18"/>
                <w:szCs w:val="18"/>
              </w:rPr>
              <w:t> </w:t>
            </w:r>
            <w:r>
              <w:rPr>
                <w:rFonts w:ascii="宋体" w:hAnsi="宋体" w:cs="宋体" w:eastAsia="宋体" w:hint="default"/>
                <w:spacing w:val="18"/>
                <w:sz w:val="18"/>
                <w:szCs w:val="18"/>
              </w:rPr>
              <w:t>联交易、</w:t>
            </w:r>
            <w:r>
              <w:rPr>
                <w:rFonts w:ascii="宋体" w:hAnsi="宋体" w:cs="宋体" w:eastAsia="宋体" w:hint="default"/>
                <w:spacing w:val="-87"/>
                <w:sz w:val="18"/>
                <w:szCs w:val="18"/>
              </w:rPr>
              <w:t> </w:t>
            </w:r>
            <w:r>
              <w:rPr>
                <w:rFonts w:ascii="宋体" w:hAnsi="宋体" w:cs="宋体" w:eastAsia="宋体" w:hint="default"/>
                <w:spacing w:val="18"/>
                <w:sz w:val="18"/>
                <w:szCs w:val="18"/>
              </w:rPr>
              <w:t>资金占用</w:t>
            </w:r>
            <w:r>
              <w:rPr>
                <w:rFonts w:ascii="宋体" w:hAnsi="宋体" w:cs="宋体" w:eastAsia="宋体" w:hint="default"/>
                <w:spacing w:val="-87"/>
                <w:sz w:val="18"/>
                <w:szCs w:val="18"/>
              </w:rPr>
              <w:t> </w:t>
            </w:r>
            <w:r>
              <w:rPr>
                <w:rFonts w:ascii="宋体" w:hAnsi="宋体" w:cs="宋体" w:eastAsia="宋体" w:hint="default"/>
                <w:spacing w:val="18"/>
                <w:sz w:val="18"/>
                <w:szCs w:val="18"/>
              </w:rPr>
              <w:t>方面的承</w:t>
            </w:r>
            <w:r>
              <w:rPr>
                <w:rFonts w:ascii="宋体" w:hAnsi="宋体" w:cs="宋体" w:eastAsia="宋体" w:hint="default"/>
                <w:spacing w:val="-65"/>
                <w:sz w:val="18"/>
                <w:szCs w:val="18"/>
              </w:rPr>
              <w:t> </w:t>
            </w:r>
            <w:r>
              <w:rPr>
                <w:rFonts w:ascii="宋体" w:hAnsi="宋体" w:cs="宋体" w:eastAsia="宋体" w:hint="default"/>
                <w:sz w:val="18"/>
                <w:szCs w:val="18"/>
              </w:rPr>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控股股东江苏爱康实业集团有限公司、爱</w:t>
            </w:r>
            <w:r>
              <w:rPr>
                <w:rFonts w:ascii="宋体" w:hAnsi="宋体" w:cs="宋体" w:eastAsia="宋体" w:hint="default"/>
                <w:sz w:val="18"/>
                <w:szCs w:val="18"/>
              </w:rPr>
              <w:t> </w:t>
            </w:r>
            <w:r>
              <w:rPr>
                <w:rFonts w:ascii="宋体" w:hAnsi="宋体" w:cs="宋体" w:eastAsia="宋体" w:hint="default"/>
                <w:spacing w:val="-2"/>
                <w:sz w:val="18"/>
                <w:szCs w:val="18"/>
              </w:rPr>
              <w:t>康国际控股有限公司、江阴爱康投资有限</w:t>
            </w:r>
            <w:r>
              <w:rPr>
                <w:rFonts w:ascii="宋体" w:hAnsi="宋体" w:cs="宋体" w:eastAsia="宋体" w:hint="default"/>
                <w:sz w:val="18"/>
                <w:szCs w:val="18"/>
              </w:rPr>
              <w:t> </w:t>
            </w:r>
            <w:r>
              <w:rPr>
                <w:rFonts w:ascii="宋体" w:hAnsi="宋体" w:cs="宋体" w:eastAsia="宋体" w:hint="default"/>
                <w:spacing w:val="-2"/>
                <w:sz w:val="18"/>
                <w:szCs w:val="18"/>
              </w:rPr>
              <w:t>公司、实际控制人邹承慧分别向本公司出</w:t>
            </w:r>
            <w:r>
              <w:rPr>
                <w:rFonts w:ascii="宋体" w:hAnsi="宋体" w:cs="宋体" w:eastAsia="宋体" w:hint="default"/>
                <w:sz w:val="18"/>
                <w:szCs w:val="18"/>
              </w:rPr>
              <w:t> </w:t>
            </w:r>
            <w:r>
              <w:rPr>
                <w:rFonts w:ascii="宋体" w:hAnsi="宋体" w:cs="宋体" w:eastAsia="宋体" w:hint="default"/>
                <w:spacing w:val="-3"/>
                <w:sz w:val="18"/>
                <w:szCs w:val="18"/>
              </w:rPr>
              <w:t>具了《避免同业竞争承诺函》，承诺：本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公司（本人）将尽职、勤勉地履行《公司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9999-12-31</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62" w:right="61"/>
              <w:jc w:val="both"/>
              <w:rPr>
                <w:rFonts w:ascii="宋体" w:hAnsi="宋体" w:cs="宋体" w:eastAsia="宋体" w:hint="default"/>
                <w:sz w:val="18"/>
                <w:szCs w:val="18"/>
              </w:rPr>
            </w:pPr>
            <w:r>
              <w:rPr>
                <w:rFonts w:ascii="宋体" w:hAnsi="宋体" w:cs="宋体" w:eastAsia="宋体" w:hint="default"/>
                <w:sz w:val="18"/>
                <w:szCs w:val="18"/>
              </w:rPr>
              <w:t>严格 履行 中</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702"/>
        <w:gridCol w:w="851"/>
        <w:gridCol w:w="3261"/>
        <w:gridCol w:w="991"/>
        <w:gridCol w:w="992"/>
        <w:gridCol w:w="496"/>
      </w:tblGrid>
      <w:tr>
        <w:trPr>
          <w:trHeight w:val="1097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承慧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both"/>
              <w:rPr>
                <w:rFonts w:ascii="宋体" w:hAnsi="宋体" w:cs="宋体" w:eastAsia="宋体" w:hint="default"/>
                <w:sz w:val="18"/>
                <w:szCs w:val="18"/>
              </w:rPr>
            </w:pPr>
            <w:r>
              <w:rPr>
                <w:rFonts w:ascii="宋体" w:hAnsi="宋体" w:cs="宋体" w:eastAsia="宋体" w:hint="default"/>
                <w:spacing w:val="-12"/>
                <w:sz w:val="18"/>
                <w:szCs w:val="18"/>
              </w:rPr>
              <w:t>法》、《公司章程》所规定的股东职责，不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利用股份公司的股东地位损害股份公司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7"/>
                <w:sz w:val="18"/>
                <w:szCs w:val="18"/>
              </w:rPr>
              <w:t>及股份公司其他股东、债权人的合法权</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益。在本承诺书签署之日，本公司、本公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司（或本人）控制的其他企业均未生产、 </w:t>
            </w:r>
            <w:r>
              <w:rPr>
                <w:rFonts w:ascii="宋体" w:hAnsi="宋体" w:cs="宋体" w:eastAsia="宋体" w:hint="default"/>
                <w:spacing w:val="-2"/>
                <w:sz w:val="18"/>
                <w:szCs w:val="18"/>
              </w:rPr>
              <w:t>开发任何与股份公司生产、开发的产品构</w:t>
            </w:r>
            <w:r>
              <w:rPr>
                <w:rFonts w:ascii="宋体" w:hAnsi="宋体" w:cs="宋体" w:eastAsia="宋体" w:hint="default"/>
                <w:sz w:val="18"/>
                <w:szCs w:val="18"/>
              </w:rPr>
              <w:t> </w:t>
            </w:r>
            <w:r>
              <w:rPr>
                <w:rFonts w:ascii="宋体" w:hAnsi="宋体" w:cs="宋体" w:eastAsia="宋体" w:hint="default"/>
                <w:spacing w:val="-2"/>
                <w:sz w:val="18"/>
                <w:szCs w:val="18"/>
              </w:rPr>
              <w:t>成竞争或可能构成竞争的产品，未直接或</w:t>
            </w:r>
            <w:r>
              <w:rPr>
                <w:rFonts w:ascii="宋体" w:hAnsi="宋体" w:cs="宋体" w:eastAsia="宋体" w:hint="default"/>
                <w:sz w:val="18"/>
                <w:szCs w:val="18"/>
              </w:rPr>
              <w:t> </w:t>
            </w:r>
            <w:r>
              <w:rPr>
                <w:rFonts w:ascii="宋体" w:hAnsi="宋体" w:cs="宋体" w:eastAsia="宋体" w:hint="default"/>
                <w:spacing w:val="7"/>
                <w:sz w:val="18"/>
                <w:szCs w:val="18"/>
              </w:rPr>
              <w:t>间接经营任何与股份公司经营的业务构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成竞争或可能构成竞争的业务，也未参与</w:t>
            </w:r>
            <w:r>
              <w:rPr>
                <w:rFonts w:ascii="宋体" w:hAnsi="宋体" w:cs="宋体" w:eastAsia="宋体" w:hint="default"/>
                <w:sz w:val="18"/>
                <w:szCs w:val="18"/>
              </w:rPr>
              <w:t> </w:t>
            </w:r>
            <w:r>
              <w:rPr>
                <w:rFonts w:ascii="宋体" w:hAnsi="宋体" w:cs="宋体" w:eastAsia="宋体" w:hint="default"/>
                <w:spacing w:val="-2"/>
                <w:sz w:val="18"/>
                <w:szCs w:val="18"/>
              </w:rPr>
              <w:t>投资任何与股份公司生产、开发的产品或</w:t>
            </w:r>
            <w:r>
              <w:rPr>
                <w:rFonts w:ascii="宋体" w:hAnsi="宋体" w:cs="宋体" w:eastAsia="宋体" w:hint="default"/>
                <w:sz w:val="18"/>
                <w:szCs w:val="18"/>
              </w:rPr>
              <w:t> </w:t>
            </w:r>
            <w:r>
              <w:rPr>
                <w:rFonts w:ascii="宋体" w:hAnsi="宋体" w:cs="宋体" w:eastAsia="宋体" w:hint="default"/>
                <w:spacing w:val="7"/>
                <w:sz w:val="18"/>
                <w:szCs w:val="18"/>
              </w:rPr>
              <w:t>经营的业务构成竞争或可能构成竞争的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其他公司、企业或其他组织、机构。自本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承诺书签署之日起，本公司、本公司（或</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本人）控制的其他企业将不生产、开发任</w:t>
            </w:r>
            <w:r>
              <w:rPr>
                <w:rFonts w:ascii="宋体" w:hAnsi="宋体" w:cs="宋体" w:eastAsia="宋体" w:hint="default"/>
                <w:sz w:val="18"/>
                <w:szCs w:val="18"/>
              </w:rPr>
              <w:t> </w:t>
            </w:r>
            <w:r>
              <w:rPr>
                <w:rFonts w:ascii="宋体" w:hAnsi="宋体" w:cs="宋体" w:eastAsia="宋体" w:hint="default"/>
                <w:spacing w:val="-2"/>
                <w:sz w:val="18"/>
                <w:szCs w:val="18"/>
              </w:rPr>
              <w:t>何与股份公司生产、开发的产品构成竞争</w:t>
            </w:r>
            <w:r>
              <w:rPr>
                <w:rFonts w:ascii="宋体" w:hAnsi="宋体" w:cs="宋体" w:eastAsia="宋体" w:hint="default"/>
                <w:sz w:val="18"/>
                <w:szCs w:val="18"/>
              </w:rPr>
              <w:t> </w:t>
            </w:r>
            <w:r>
              <w:rPr>
                <w:rFonts w:ascii="宋体" w:hAnsi="宋体" w:cs="宋体" w:eastAsia="宋体" w:hint="default"/>
                <w:spacing w:val="-2"/>
                <w:sz w:val="18"/>
                <w:szCs w:val="18"/>
              </w:rPr>
              <w:t>或可能构成竞争的产品，不直接或间接经</w:t>
            </w:r>
            <w:r>
              <w:rPr>
                <w:rFonts w:ascii="宋体" w:hAnsi="宋体" w:cs="宋体" w:eastAsia="宋体" w:hint="default"/>
                <w:sz w:val="18"/>
                <w:szCs w:val="18"/>
              </w:rPr>
              <w:t> </w:t>
            </w:r>
            <w:r>
              <w:rPr>
                <w:rFonts w:ascii="宋体" w:hAnsi="宋体" w:cs="宋体" w:eastAsia="宋体" w:hint="default"/>
                <w:spacing w:val="7"/>
                <w:sz w:val="18"/>
                <w:szCs w:val="18"/>
              </w:rPr>
              <w:t>营任何与股份公司经营的业务构成竞争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或可能构成竞争的业务，也不参与投资任</w:t>
            </w:r>
            <w:r>
              <w:rPr>
                <w:rFonts w:ascii="宋体" w:hAnsi="宋体" w:cs="宋体" w:eastAsia="宋体" w:hint="default"/>
                <w:sz w:val="18"/>
                <w:szCs w:val="18"/>
              </w:rPr>
              <w:t> </w:t>
            </w:r>
            <w:r>
              <w:rPr>
                <w:rFonts w:ascii="宋体" w:hAnsi="宋体" w:cs="宋体" w:eastAsia="宋体" w:hint="default"/>
                <w:spacing w:val="7"/>
                <w:sz w:val="18"/>
                <w:szCs w:val="18"/>
              </w:rPr>
              <w:t>何与股份公司生产的产品或经营的业务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构成竞争或可能构成竞争的其他企业。自</w:t>
            </w:r>
            <w:r>
              <w:rPr>
                <w:rFonts w:ascii="宋体" w:hAnsi="宋体" w:cs="宋体" w:eastAsia="宋体" w:hint="default"/>
                <w:sz w:val="18"/>
                <w:szCs w:val="18"/>
              </w:rPr>
              <w:t> </w:t>
            </w:r>
            <w:r>
              <w:rPr>
                <w:rFonts w:ascii="宋体" w:hAnsi="宋体" w:cs="宋体" w:eastAsia="宋体" w:hint="default"/>
                <w:spacing w:val="-2"/>
                <w:sz w:val="18"/>
                <w:szCs w:val="18"/>
              </w:rPr>
              <w:t>本承诺书签署之日起，如本公司、本公司</w:t>
            </w:r>
          </w:p>
          <w:p>
            <w:pPr>
              <w:pStyle w:val="TableParagraph"/>
              <w:spacing w:line="319" w:lineRule="auto" w:before="19"/>
              <w:ind w:left="22" w:right="-12"/>
              <w:jc w:val="both"/>
              <w:rPr>
                <w:rFonts w:ascii="宋体" w:hAnsi="宋体" w:cs="宋体" w:eastAsia="宋体" w:hint="default"/>
                <w:sz w:val="18"/>
                <w:szCs w:val="18"/>
              </w:rPr>
            </w:pPr>
            <w:r>
              <w:rPr>
                <w:rFonts w:ascii="宋体" w:hAnsi="宋体" w:cs="宋体" w:eastAsia="宋体" w:hint="default"/>
                <w:spacing w:val="-2"/>
                <w:sz w:val="18"/>
                <w:szCs w:val="18"/>
              </w:rPr>
              <w:t>（或本人）控制的其他企业进一步拓展产</w:t>
            </w:r>
            <w:r>
              <w:rPr>
                <w:rFonts w:ascii="宋体" w:hAnsi="宋体" w:cs="宋体" w:eastAsia="宋体" w:hint="default"/>
                <w:sz w:val="18"/>
                <w:szCs w:val="18"/>
              </w:rPr>
              <w:t> </w:t>
            </w:r>
            <w:r>
              <w:rPr>
                <w:rFonts w:ascii="宋体" w:hAnsi="宋体" w:cs="宋体" w:eastAsia="宋体" w:hint="default"/>
                <w:spacing w:val="-2"/>
                <w:sz w:val="18"/>
                <w:szCs w:val="18"/>
              </w:rPr>
              <w:t>品和业务范围，或股份公司进一步拓展产</w:t>
            </w:r>
            <w:r>
              <w:rPr>
                <w:rFonts w:ascii="宋体" w:hAnsi="宋体" w:cs="宋体" w:eastAsia="宋体" w:hint="default"/>
                <w:sz w:val="18"/>
                <w:szCs w:val="18"/>
              </w:rPr>
              <w:t> </w:t>
            </w:r>
            <w:r>
              <w:rPr>
                <w:rFonts w:ascii="宋体" w:hAnsi="宋体" w:cs="宋体" w:eastAsia="宋体" w:hint="default"/>
                <w:spacing w:val="-2"/>
                <w:sz w:val="18"/>
                <w:szCs w:val="18"/>
              </w:rPr>
              <w:t>品和业务范围，本公司或本公司控制的其</w:t>
            </w:r>
            <w:r>
              <w:rPr>
                <w:rFonts w:ascii="宋体" w:hAnsi="宋体" w:cs="宋体" w:eastAsia="宋体" w:hint="default"/>
                <w:sz w:val="18"/>
                <w:szCs w:val="18"/>
              </w:rPr>
              <w:t> </w:t>
            </w:r>
            <w:r>
              <w:rPr>
                <w:rFonts w:ascii="宋体" w:hAnsi="宋体" w:cs="宋体" w:eastAsia="宋体" w:hint="default"/>
                <w:spacing w:val="7"/>
                <w:sz w:val="18"/>
                <w:szCs w:val="18"/>
              </w:rPr>
              <w:t>他企业将不与股份公司现有或拓展后的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产品或业务相竞争；若与股份公司及其下</w:t>
            </w:r>
            <w:r>
              <w:rPr>
                <w:rFonts w:ascii="宋体" w:hAnsi="宋体" w:cs="宋体" w:eastAsia="宋体" w:hint="default"/>
                <w:sz w:val="18"/>
                <w:szCs w:val="18"/>
              </w:rPr>
              <w:t> 属子公司拓展后的产品或业务产生竞争， </w:t>
            </w:r>
            <w:r>
              <w:rPr>
                <w:rFonts w:ascii="宋体" w:hAnsi="宋体" w:cs="宋体" w:eastAsia="宋体" w:hint="default"/>
                <w:spacing w:val="7"/>
                <w:sz w:val="18"/>
                <w:szCs w:val="18"/>
              </w:rPr>
              <w:t>则本公司或本公司控制的其他企业将停</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止生产或经营相竞争的业务或产品，或者</w:t>
            </w:r>
            <w:r>
              <w:rPr>
                <w:rFonts w:ascii="宋体" w:hAnsi="宋体" w:cs="宋体" w:eastAsia="宋体" w:hint="default"/>
                <w:sz w:val="18"/>
                <w:szCs w:val="18"/>
              </w:rPr>
              <w:t> </w:t>
            </w:r>
            <w:r>
              <w:rPr>
                <w:rFonts w:ascii="宋体" w:hAnsi="宋体" w:cs="宋体" w:eastAsia="宋体" w:hint="default"/>
                <w:spacing w:val="7"/>
                <w:sz w:val="18"/>
                <w:szCs w:val="18"/>
              </w:rPr>
              <w:t>将相竞争的业务或产品纳入到股份公司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经营，或者将相竞争的业务或产品转让给</w:t>
            </w:r>
            <w:r>
              <w:rPr>
                <w:rFonts w:ascii="宋体" w:hAnsi="宋体" w:cs="宋体" w:eastAsia="宋体" w:hint="default"/>
                <w:sz w:val="18"/>
                <w:szCs w:val="18"/>
              </w:rPr>
              <w:t> </w:t>
            </w:r>
            <w:r>
              <w:rPr>
                <w:rFonts w:ascii="宋体" w:hAnsi="宋体" w:cs="宋体" w:eastAsia="宋体" w:hint="default"/>
                <w:spacing w:val="7"/>
                <w:sz w:val="18"/>
                <w:szCs w:val="18"/>
              </w:rPr>
              <w:t>无关联关系的第三方的方式避免同业竞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争。发行人、发行人控股股东、发行人实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际控制人分别出具承诺函，承诺不发生关</w:t>
            </w:r>
            <w:r>
              <w:rPr>
                <w:rFonts w:ascii="宋体" w:hAnsi="宋体" w:cs="宋体" w:eastAsia="宋体" w:hint="default"/>
                <w:sz w:val="18"/>
                <w:szCs w:val="18"/>
              </w:rPr>
              <w:t> 联方资金拆借行为。</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7"/>
                <w:sz w:val="18"/>
                <w:szCs w:val="18"/>
              </w:rPr>
              <w:t>邹承慧先生针对爱康光电对外担保事项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出具承诺，若爱康光电为本次交易前的对</w:t>
            </w:r>
            <w:r>
              <w:rPr>
                <w:rFonts w:ascii="宋体" w:hAnsi="宋体" w:cs="宋体" w:eastAsia="宋体" w:hint="default"/>
                <w:sz w:val="18"/>
                <w:szCs w:val="18"/>
              </w:rPr>
              <w:t> </w:t>
            </w:r>
            <w:r>
              <w:rPr>
                <w:rFonts w:ascii="宋体" w:hAnsi="宋体" w:cs="宋体" w:eastAsia="宋体" w:hint="default"/>
                <w:spacing w:val="7"/>
                <w:sz w:val="18"/>
                <w:szCs w:val="18"/>
              </w:rPr>
              <w:t>外担保所对应银行借款未来存在逾期等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需执行担保义务的事项，将全额承担相关</w:t>
            </w:r>
            <w:r>
              <w:rPr>
                <w:rFonts w:ascii="宋体" w:hAnsi="宋体" w:cs="宋体" w:eastAsia="宋体" w:hint="default"/>
                <w:sz w:val="18"/>
                <w:szCs w:val="18"/>
              </w:rPr>
              <w:t> 担保义务。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2016-09-04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2018-12-30</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62" w:right="61"/>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1298"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3" w:right="21"/>
              <w:jc w:val="left"/>
              <w:rPr>
                <w:rFonts w:ascii="宋体" w:hAnsi="宋体" w:cs="宋体" w:eastAsia="宋体" w:hint="default"/>
                <w:sz w:val="18"/>
                <w:szCs w:val="18"/>
              </w:rPr>
            </w:pPr>
            <w:r>
              <w:rPr>
                <w:rFonts w:ascii="宋体" w:hAnsi="宋体" w:cs="宋体" w:eastAsia="宋体" w:hint="default"/>
                <w:spacing w:val="2"/>
                <w:sz w:val="18"/>
                <w:szCs w:val="18"/>
              </w:rPr>
              <w:t>江苏爱康实业集团有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3"/>
              <w:jc w:val="both"/>
              <w:rPr>
                <w:rFonts w:ascii="宋体" w:hAnsi="宋体" w:cs="宋体" w:eastAsia="宋体" w:hint="default"/>
                <w:sz w:val="18"/>
                <w:szCs w:val="18"/>
              </w:rPr>
            </w:pPr>
            <w:r>
              <w:rPr>
                <w:rFonts w:ascii="宋体" w:hAnsi="宋体" w:cs="宋体" w:eastAsia="宋体" w:hint="default"/>
                <w:spacing w:val="18"/>
                <w:sz w:val="18"/>
                <w:szCs w:val="18"/>
              </w:rPr>
              <w:t>业绩承诺</w:t>
            </w:r>
            <w:r>
              <w:rPr>
                <w:rFonts w:ascii="宋体" w:hAnsi="宋体" w:cs="宋体" w:eastAsia="宋体" w:hint="default"/>
                <w:spacing w:val="-87"/>
                <w:sz w:val="18"/>
                <w:szCs w:val="18"/>
              </w:rPr>
              <w:t> </w:t>
            </w:r>
            <w:r>
              <w:rPr>
                <w:rFonts w:ascii="宋体" w:hAnsi="宋体" w:cs="宋体" w:eastAsia="宋体" w:hint="default"/>
                <w:spacing w:val="18"/>
                <w:sz w:val="18"/>
                <w:szCs w:val="18"/>
              </w:rPr>
              <w:t>及补偿安</w:t>
            </w:r>
            <w:r>
              <w:rPr>
                <w:rFonts w:ascii="宋体" w:hAnsi="宋体" w:cs="宋体" w:eastAsia="宋体" w:hint="default"/>
                <w:spacing w:val="-87"/>
                <w:sz w:val="18"/>
                <w:szCs w:val="18"/>
              </w:rPr>
              <w:t> </w:t>
            </w:r>
            <w:r>
              <w:rPr>
                <w:rFonts w:ascii="宋体" w:hAnsi="宋体" w:cs="宋体" w:eastAsia="宋体" w:hint="default"/>
                <w:sz w:val="18"/>
                <w:szCs w:val="18"/>
              </w:rPr>
              <w:t>排</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2"/>
              <w:jc w:val="both"/>
              <w:rPr>
                <w:rFonts w:ascii="宋体" w:hAnsi="宋体" w:cs="宋体" w:eastAsia="宋体" w:hint="default"/>
                <w:sz w:val="18"/>
                <w:szCs w:val="18"/>
              </w:rPr>
            </w:pPr>
            <w:r>
              <w:rPr>
                <w:rFonts w:ascii="宋体" w:hAnsi="宋体" w:cs="宋体" w:eastAsia="宋体" w:hint="default"/>
                <w:spacing w:val="7"/>
                <w:sz w:val="18"/>
                <w:szCs w:val="18"/>
              </w:rPr>
              <w:t>赣州发展融资租赁有限责任公司管理层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预测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年实现净利 润分别为 </w:t>
            </w:r>
            <w:r>
              <w:rPr>
                <w:rFonts w:ascii="Times New Roman" w:hAnsi="Times New Roman" w:cs="Times New Roman" w:eastAsia="Times New Roman" w:hint="default"/>
                <w:sz w:val="18"/>
                <w:szCs w:val="18"/>
              </w:rPr>
              <w:t>4689.48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6890.59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8817.03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万元，爱康实业承诺若上述年度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2016-04-08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2019-04-07</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62" w:right="61"/>
              <w:jc w:val="left"/>
              <w:rPr>
                <w:rFonts w:ascii="宋体" w:hAnsi="宋体" w:cs="宋体" w:eastAsia="宋体" w:hint="default"/>
                <w:sz w:val="18"/>
                <w:szCs w:val="18"/>
              </w:rPr>
            </w:pPr>
            <w:r>
              <w:rPr>
                <w:rFonts w:ascii="宋体" w:hAnsi="宋体" w:cs="宋体" w:eastAsia="宋体" w:hint="default"/>
                <w:sz w:val="18"/>
                <w:szCs w:val="18"/>
              </w:rPr>
              <w:t>履行 完毕</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pStyle w:val="BodyText"/>
        <w:spacing w:line="319" w:lineRule="auto"/>
        <w:ind w:left="4010" w:right="3656"/>
        <w:jc w:val="left"/>
      </w:pPr>
      <w:r>
        <w:rPr/>
        <w:t>该公司经审计净利润低于管理层预测数， 将以现金方式向爱康科技补足。</w:t>
      </w:r>
    </w:p>
    <w:p>
      <w:pPr>
        <w:spacing w:after="0" w:line="319" w:lineRule="auto"/>
        <w:jc w:val="left"/>
        <w:sectPr>
          <w:pgSz w:w="11910" w:h="16840"/>
          <w:pgMar w:header="747" w:footer="979"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pStyle w:val="BodyText"/>
        <w:spacing w:line="240" w:lineRule="auto"/>
        <w:ind w:left="1458" w:right="-18"/>
        <w:jc w:val="left"/>
      </w:pPr>
      <w:r>
        <w:rPr>
          <w:rFonts w:ascii="Times New Roman" w:hAnsi="Times New Roman" w:cs="Times New Roman" w:eastAsia="Times New Roman" w:hint="default"/>
        </w:rPr>
        <w:t>ZHANG</w:t>
      </w:r>
      <w:r>
        <w:rPr>
          <w:rFonts w:ascii="Times New Roman" w:hAnsi="Times New Roman" w:cs="Times New Roman" w:eastAsia="Times New Roman" w:hint="default"/>
          <w:spacing w:val="-2"/>
        </w:rPr>
        <w:t> </w:t>
      </w:r>
      <w:r>
        <w:rPr>
          <w:rFonts w:ascii="Times New Roman" w:hAnsi="Times New Roman" w:cs="Times New Roman" w:eastAsia="Times New Roman" w:hint="default"/>
        </w:rPr>
        <w:t>JING</w:t>
      </w:r>
      <w:r>
        <w:rPr/>
        <w:t>；何前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spacing w:line="316" w:lineRule="auto"/>
        <w:ind w:left="55" w:right="0"/>
        <w:jc w:val="left"/>
      </w:pPr>
      <w:r>
        <w:rPr>
          <w:spacing w:val="18"/>
        </w:rPr>
        <w:t>股份减持</w:t>
      </w:r>
      <w:r>
        <w:rPr>
          <w:spacing w:val="-87"/>
        </w:rPr>
        <w:t> </w:t>
      </w:r>
      <w:r>
        <w:rPr/>
        <w:t>承诺</w:t>
      </w:r>
    </w:p>
    <w:p>
      <w:pPr>
        <w:pStyle w:val="BodyText"/>
        <w:spacing w:line="316" w:lineRule="auto" w:before="107"/>
        <w:ind w:left="-10" w:right="0"/>
        <w:jc w:val="both"/>
      </w:pPr>
      <w:r>
        <w:rPr>
          <w:spacing w:val="-2"/>
        </w:rPr>
        <w:br w:type="column"/>
      </w:r>
      <w:r>
        <w:rPr>
          <w:spacing w:val="-2"/>
        </w:rPr>
        <w:t>本人在担任发行人董事期间，每年转让的</w:t>
      </w:r>
      <w:r>
        <w:rPr/>
        <w:t> </w:t>
      </w:r>
      <w:r>
        <w:rPr>
          <w:spacing w:val="7"/>
        </w:rPr>
        <w:t>股份不超过本人直接或间接持有公司股</w:t>
      </w:r>
      <w:r>
        <w:rPr>
          <w:spacing w:val="-75"/>
        </w:rPr>
        <w:t> </w:t>
      </w:r>
      <w:r>
        <w:rPr>
          <w:spacing w:val="-75"/>
        </w:rPr>
      </w:r>
      <w:r>
        <w:rPr>
          <w:spacing w:val="-2"/>
        </w:rPr>
        <w:t>份总数的百分之二十五；自申报离任六个</w:t>
      </w:r>
      <w:r>
        <w:rPr/>
        <w:t> </w:t>
      </w:r>
      <w:r>
        <w:rPr>
          <w:spacing w:val="7"/>
        </w:rPr>
        <w:t>月后的十二个月内通过证券交易所挂牌</w:t>
      </w:r>
      <w:r>
        <w:rPr>
          <w:spacing w:val="-75"/>
        </w:rPr>
        <w:t> </w:t>
      </w:r>
      <w:r>
        <w:rPr>
          <w:spacing w:val="-75"/>
        </w:rPr>
      </w:r>
      <w:r>
        <w:rPr>
          <w:spacing w:val="7"/>
        </w:rPr>
        <w:t>交易出售本公司股票数量占其所持有本</w:t>
      </w:r>
      <w:r>
        <w:rPr>
          <w:spacing w:val="-75"/>
        </w:rPr>
        <w:t> </w:t>
      </w:r>
      <w:r>
        <w:rPr>
          <w:spacing w:val="-75"/>
        </w:rPr>
      </w:r>
      <w:r>
        <w:rPr>
          <w:spacing w:val="-2"/>
        </w:rPr>
        <w:t>公司股票总数（包括有限售条件和无限售</w:t>
      </w:r>
      <w:r>
        <w:rPr/>
        <w:t> 条件的股份）的比例不超过</w:t>
      </w:r>
      <w:r>
        <w:rPr>
          <w:spacing w:val="-46"/>
        </w:rPr>
        <w:t> </w:t>
      </w:r>
      <w:r>
        <w:rPr>
          <w:rFonts w:ascii="Times New Roman" w:hAnsi="Times New Roman" w:cs="Times New Roman" w:eastAsia="Times New Roman" w:hint="default"/>
        </w:rPr>
        <w:t>50%</w:t>
      </w:r>
      <w:r>
        <w:rPr/>
        <w:t>。</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BodyText"/>
        <w:spacing w:line="240" w:lineRule="auto"/>
        <w:ind w:left="2019" w:right="1252"/>
        <w:jc w:val="center"/>
      </w:pPr>
      <w:r>
        <w:rPr/>
        <w:t>严格</w:t>
      </w:r>
    </w:p>
    <w:p>
      <w:pPr>
        <w:pStyle w:val="BodyText"/>
        <w:spacing w:line="240" w:lineRule="auto" w:before="75"/>
        <w:ind w:left="64" w:right="0"/>
        <w:jc w:val="left"/>
      </w:pPr>
      <w:r>
        <w:rPr>
          <w:rFonts w:ascii="Times New Roman" w:hAnsi="Times New Roman" w:cs="Times New Roman" w:eastAsia="Times New Roman" w:hint="default"/>
        </w:rPr>
        <w:t>2016-05-26   9999-12-31  </w:t>
      </w:r>
      <w:r>
        <w:rPr>
          <w:rFonts w:ascii="Times New Roman" w:hAnsi="Times New Roman" w:cs="Times New Roman" w:eastAsia="Times New Roman" w:hint="default"/>
          <w:spacing w:val="24"/>
        </w:rPr>
        <w:t> </w:t>
      </w:r>
      <w:r>
        <w:rPr/>
        <w:t>履行</w:t>
      </w:r>
    </w:p>
    <w:p>
      <w:pPr>
        <w:pStyle w:val="BodyText"/>
        <w:spacing w:line="240" w:lineRule="auto" w:before="64"/>
        <w:ind w:left="2019" w:right="1252"/>
        <w:jc w:val="center"/>
      </w:pPr>
      <w:r>
        <w:rPr/>
        <w:t>中</w:t>
      </w:r>
    </w:p>
    <w:p>
      <w:pPr>
        <w:spacing w:after="0" w:line="240" w:lineRule="auto"/>
        <w:jc w:val="center"/>
        <w:sectPr>
          <w:type w:val="continuous"/>
          <w:pgSz w:w="11910" w:h="16840"/>
          <w:pgMar w:top="1060" w:bottom="1160" w:left="980" w:right="0"/>
          <w:cols w:num="4" w:equalWidth="0">
            <w:col w:w="3064" w:space="40"/>
            <w:col w:w="877" w:space="40"/>
            <w:col w:w="3195" w:space="40"/>
            <w:col w:w="3674"/>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pStyle w:val="BodyText"/>
        <w:spacing w:line="240" w:lineRule="auto"/>
        <w:ind w:left="1458" w:right="-20"/>
        <w:jc w:val="left"/>
      </w:pPr>
      <w:r>
        <w:rPr/>
        <w:t>丁惠华；李光华</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pStyle w:val="BodyText"/>
        <w:spacing w:line="316" w:lineRule="auto"/>
        <w:ind w:left="400" w:right="0"/>
        <w:jc w:val="left"/>
      </w:pPr>
      <w:r>
        <w:rPr>
          <w:spacing w:val="18"/>
        </w:rPr>
        <w:t>股份减持</w:t>
      </w:r>
      <w:r>
        <w:rPr>
          <w:spacing w:val="-87"/>
        </w:rPr>
        <w:t> </w:t>
      </w:r>
      <w:r>
        <w:rPr/>
        <w:t>承诺</w:t>
      </w:r>
    </w:p>
    <w:p>
      <w:pPr>
        <w:pStyle w:val="BodyText"/>
        <w:spacing w:line="316" w:lineRule="auto" w:before="89"/>
        <w:ind w:left="-10" w:right="0"/>
        <w:jc w:val="both"/>
      </w:pPr>
      <w:r>
        <w:rPr>
          <w:spacing w:val="-2"/>
        </w:rPr>
        <w:br w:type="column"/>
      </w:r>
      <w:r>
        <w:rPr>
          <w:spacing w:val="-2"/>
        </w:rPr>
        <w:t>本人在担任发行人监事期间，每年转让的</w:t>
      </w:r>
      <w:r>
        <w:rPr/>
        <w:t> </w:t>
      </w:r>
      <w:r>
        <w:rPr>
          <w:spacing w:val="7"/>
        </w:rPr>
        <w:t>股份不超过本人直接或间接持有公司股</w:t>
      </w:r>
      <w:r>
        <w:rPr>
          <w:spacing w:val="-75"/>
        </w:rPr>
        <w:t> </w:t>
      </w:r>
      <w:r>
        <w:rPr>
          <w:spacing w:val="-75"/>
        </w:rPr>
      </w:r>
      <w:r>
        <w:rPr>
          <w:spacing w:val="-2"/>
        </w:rPr>
        <w:t>份总数的百分之二十五；自申报离任六个</w:t>
      </w:r>
      <w:r>
        <w:rPr/>
        <w:t> </w:t>
      </w:r>
      <w:r>
        <w:rPr>
          <w:spacing w:val="7"/>
        </w:rPr>
        <w:t>月后的十二个月内通过证券交易所挂牌</w:t>
      </w:r>
      <w:r>
        <w:rPr>
          <w:spacing w:val="-75"/>
        </w:rPr>
        <w:t> </w:t>
      </w:r>
      <w:r>
        <w:rPr>
          <w:spacing w:val="-75"/>
        </w:rPr>
      </w:r>
      <w:r>
        <w:rPr>
          <w:spacing w:val="7"/>
        </w:rPr>
        <w:t>交易出售本公司股票数量占其所持有本</w:t>
      </w:r>
      <w:r>
        <w:rPr>
          <w:spacing w:val="-75"/>
        </w:rPr>
        <w:t> </w:t>
      </w:r>
      <w:r>
        <w:rPr>
          <w:spacing w:val="-75"/>
        </w:rPr>
      </w:r>
      <w:r>
        <w:rPr>
          <w:spacing w:val="-2"/>
        </w:rPr>
        <w:t>公司股票总数（包括有限售条件和无限售</w:t>
      </w:r>
      <w:r>
        <w:rPr/>
        <w:t> 条件的股份）的比例不超过</w:t>
      </w:r>
      <w:r>
        <w:rPr>
          <w:spacing w:val="-46"/>
        </w:rPr>
        <w:t> </w:t>
      </w:r>
      <w:r>
        <w:rPr>
          <w:rFonts w:ascii="Times New Roman" w:hAnsi="Times New Roman" w:cs="Times New Roman" w:eastAsia="Times New Roman" w:hint="default"/>
        </w:rPr>
        <w:t>50%</w:t>
      </w:r>
      <w:r>
        <w:rPr/>
        <w:t>。</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8"/>
          <w:szCs w:val="18"/>
        </w:rPr>
      </w:pPr>
    </w:p>
    <w:p>
      <w:pPr>
        <w:pStyle w:val="BodyText"/>
        <w:spacing w:line="240" w:lineRule="auto"/>
        <w:ind w:left="2019" w:right="1252"/>
        <w:jc w:val="center"/>
      </w:pPr>
      <w:r>
        <w:rPr/>
        <w:t>严格</w:t>
      </w:r>
    </w:p>
    <w:p>
      <w:pPr>
        <w:pStyle w:val="BodyText"/>
        <w:spacing w:line="240" w:lineRule="auto" w:before="75"/>
        <w:ind w:left="64" w:right="0"/>
        <w:jc w:val="left"/>
      </w:pPr>
      <w:r>
        <w:rPr>
          <w:rFonts w:ascii="Times New Roman" w:hAnsi="Times New Roman" w:cs="Times New Roman" w:eastAsia="Times New Roman" w:hint="default"/>
        </w:rPr>
        <w:t>2015-07-09   9999-12-31  </w:t>
      </w:r>
      <w:r>
        <w:rPr>
          <w:rFonts w:ascii="Times New Roman" w:hAnsi="Times New Roman" w:cs="Times New Roman" w:eastAsia="Times New Roman" w:hint="default"/>
          <w:spacing w:val="24"/>
        </w:rPr>
        <w:t> </w:t>
      </w:r>
      <w:r>
        <w:rPr/>
        <w:t>履行</w:t>
      </w:r>
    </w:p>
    <w:p>
      <w:pPr>
        <w:pStyle w:val="BodyText"/>
        <w:spacing w:line="240" w:lineRule="auto" w:before="64"/>
        <w:ind w:left="2019" w:right="1252"/>
        <w:jc w:val="center"/>
      </w:pPr>
      <w:r>
        <w:rPr/>
        <w:t>中</w:t>
      </w:r>
    </w:p>
    <w:p>
      <w:pPr>
        <w:spacing w:after="0" w:line="240" w:lineRule="auto"/>
        <w:jc w:val="center"/>
        <w:sectPr>
          <w:type w:val="continuous"/>
          <w:pgSz w:w="11910" w:h="16840"/>
          <w:pgMar w:top="1060" w:bottom="1160" w:left="980" w:right="0"/>
          <w:cols w:num="4" w:equalWidth="0">
            <w:col w:w="2719" w:space="40"/>
            <w:col w:w="1222" w:space="40"/>
            <w:col w:w="3195" w:space="40"/>
            <w:col w:w="3674"/>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pStyle w:val="BodyText"/>
        <w:spacing w:line="210" w:lineRule="exact"/>
        <w:ind w:left="1458" w:right="-17"/>
        <w:jc w:val="left"/>
      </w:pPr>
      <w:r>
        <w:rPr>
          <w:rFonts w:ascii="Times New Roman" w:hAnsi="Times New Roman" w:cs="Times New Roman" w:eastAsia="Times New Roman" w:hint="default"/>
        </w:rPr>
        <w:t>ZHANG</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7"/>
        </w:rPr>
        <w:t>JING</w:t>
      </w:r>
      <w:r>
        <w:rPr>
          <w:spacing w:val="-7"/>
        </w:rPr>
        <w:t>；冯晖；</w:t>
      </w:r>
    </w:p>
    <w:p>
      <w:pPr>
        <w:pStyle w:val="BodyText"/>
        <w:spacing w:line="316" w:lineRule="auto" w:before="89"/>
        <w:ind w:left="776" w:right="3711"/>
        <w:jc w:val="both"/>
      </w:pPr>
      <w:r>
        <w:rPr>
          <w:spacing w:val="-2"/>
        </w:rPr>
        <w:br w:type="column"/>
      </w:r>
      <w:r>
        <w:rPr>
          <w:spacing w:val="-2"/>
        </w:rPr>
        <w:t>公司董事兼总裁易美怀女士、董事袁源女</w:t>
      </w:r>
      <w:r>
        <w:rPr/>
        <w:t> </w:t>
      </w:r>
      <w:r>
        <w:rPr>
          <w:spacing w:val="-2"/>
        </w:rPr>
        <w:t>士、董事兼副总裁史强先生、董事兼董事</w:t>
      </w:r>
      <w:r>
        <w:rPr/>
        <w:t> 会秘书</w:t>
      </w:r>
      <w:r>
        <w:rPr>
          <w:spacing w:val="-42"/>
        </w:rPr>
        <w:t> </w:t>
      </w:r>
      <w:r>
        <w:rPr>
          <w:rFonts w:ascii="Times New Roman" w:hAnsi="Times New Roman" w:cs="Times New Roman" w:eastAsia="Times New Roman" w:hint="default"/>
        </w:rPr>
        <w:t>ZHANG</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t>JING</w:t>
      </w:r>
      <w:r>
        <w:rPr>
          <w:spacing w:val="-6"/>
        </w:rPr>
        <w:t>（张静）女士，监事</w:t>
      </w:r>
    </w:p>
    <w:p>
      <w:pPr>
        <w:pStyle w:val="BodyText"/>
        <w:spacing w:line="195" w:lineRule="exact"/>
        <w:ind w:left="776" w:right="0"/>
        <w:jc w:val="both"/>
      </w:pPr>
      <w:r>
        <w:rPr/>
        <w:t>赵剑先生，副总裁冯晖先生增持价格不高</w:t>
      </w:r>
    </w:p>
    <w:p>
      <w:pPr>
        <w:pStyle w:val="BodyText"/>
        <w:spacing w:line="171" w:lineRule="exact"/>
        <w:ind w:left="0" w:right="1270"/>
        <w:jc w:val="right"/>
      </w:pPr>
      <w:r>
        <w:rPr/>
        <w:t>严格</w:t>
      </w:r>
    </w:p>
    <w:p>
      <w:pPr>
        <w:spacing w:after="0" w:line="171" w:lineRule="exact"/>
        <w:jc w:val="right"/>
        <w:sectPr>
          <w:type w:val="continuous"/>
          <w:pgSz w:w="11910" w:h="16840"/>
          <w:pgMar w:top="1060" w:bottom="1160" w:left="980" w:right="0"/>
          <w:cols w:num="2" w:equalWidth="0">
            <w:col w:w="3195" w:space="40"/>
            <w:col w:w="7695"/>
          </w:cols>
        </w:sectPr>
      </w:pPr>
    </w:p>
    <w:p>
      <w:pPr>
        <w:pStyle w:val="BodyText"/>
        <w:spacing w:line="148" w:lineRule="auto" w:before="25"/>
        <w:ind w:left="1458" w:right="-14" w:firstLine="1700"/>
        <w:jc w:val="left"/>
      </w:pPr>
      <w:r>
        <w:rPr>
          <w:spacing w:val="18"/>
        </w:rPr>
        <w:t>股份增持</w:t>
      </w:r>
      <w:r>
        <w:rPr>
          <w:spacing w:val="-31"/>
        </w:rPr>
        <w:t> </w:t>
      </w:r>
      <w:r>
        <w:rPr/>
        <w:t>于</w:t>
      </w:r>
      <w:r>
        <w:rPr>
          <w:spacing w:val="-43"/>
        </w:rPr>
        <w:t> </w:t>
      </w:r>
      <w:r>
        <w:rPr>
          <w:rFonts w:ascii="Times New Roman" w:hAnsi="Times New Roman" w:cs="Times New Roman" w:eastAsia="Times New Roman" w:hint="default"/>
        </w:rPr>
        <w:t>3.00</w:t>
      </w:r>
      <w:r>
        <w:rPr>
          <w:rFonts w:ascii="Times New Roman" w:hAnsi="Times New Roman" w:cs="Times New Roman" w:eastAsia="Times New Roman" w:hint="default"/>
          <w:spacing w:val="2"/>
        </w:rPr>
        <w:t> </w:t>
      </w:r>
      <w:r>
        <w:rPr>
          <w:spacing w:val="-7"/>
        </w:rPr>
        <w:t>元</w:t>
      </w:r>
      <w:r>
        <w:rPr>
          <w:rFonts w:ascii="Times New Roman" w:hAnsi="Times New Roman" w:cs="Times New Roman" w:eastAsia="Times New Roman" w:hint="default"/>
          <w:spacing w:val="-7"/>
        </w:rPr>
        <w:t>/</w:t>
      </w:r>
      <w:r>
        <w:rPr>
          <w:spacing w:val="-7"/>
        </w:rPr>
        <w:t>股，人均拟增持数量≥</w:t>
      </w:r>
      <w:r>
        <w:rPr>
          <w:rFonts w:ascii="Times New Roman" w:hAnsi="Times New Roman" w:cs="Times New Roman" w:eastAsia="Times New Roman" w:hint="default"/>
          <w:spacing w:val="-7"/>
        </w:rPr>
        <w:t>20</w:t>
      </w:r>
      <w:r>
        <w:rPr>
          <w:rFonts w:ascii="Times New Roman" w:hAnsi="Times New Roman" w:cs="Times New Roman" w:eastAsia="Times New Roman" w:hint="default"/>
          <w:spacing w:val="2"/>
        </w:rPr>
        <w:t> </w:t>
      </w:r>
      <w:r>
        <w:rPr/>
        <w:t>万股， </w:t>
      </w:r>
      <w:r>
        <w:rPr>
          <w:spacing w:val="-7"/>
        </w:rPr>
        <w:t>史强；易美怀；袁源；</w:t>
      </w:r>
    </w:p>
    <w:p>
      <w:pPr>
        <w:pStyle w:val="BodyText"/>
        <w:spacing w:line="212" w:lineRule="exact" w:before="100"/>
        <w:ind w:left="-25" w:right="0"/>
        <w:jc w:val="left"/>
      </w:pPr>
      <w:r>
        <w:rPr/>
        <w:br w:type="column"/>
      </w:r>
      <w:r>
        <w:rPr>
          <w:rFonts w:ascii="Times New Roman" w:hAnsi="Times New Roman" w:cs="Times New Roman" w:eastAsia="Times New Roman" w:hint="default"/>
        </w:rPr>
        <w:t>2018-10-09   2019-10-09  </w:t>
      </w:r>
      <w:r>
        <w:rPr>
          <w:rFonts w:ascii="Times New Roman" w:hAnsi="Times New Roman" w:cs="Times New Roman" w:eastAsia="Times New Roman" w:hint="default"/>
          <w:spacing w:val="24"/>
        </w:rPr>
        <w:t> </w:t>
      </w:r>
      <w:r>
        <w:rPr/>
        <w:t>履行</w:t>
      </w:r>
    </w:p>
    <w:p>
      <w:pPr>
        <w:spacing w:after="0" w:line="212" w:lineRule="exact"/>
        <w:jc w:val="left"/>
        <w:sectPr>
          <w:type w:val="continuous"/>
          <w:pgSz w:w="11910" w:h="16840"/>
          <w:pgMar w:top="1060" w:bottom="1160" w:left="980" w:right="0"/>
          <w:cols w:num="2" w:equalWidth="0">
            <w:col w:w="7304" w:space="40"/>
            <w:col w:w="3586"/>
          </w:cols>
        </w:sectPr>
      </w:pPr>
    </w:p>
    <w:p>
      <w:pPr>
        <w:pStyle w:val="BodyText"/>
        <w:tabs>
          <w:tab w:pos="4010" w:val="left" w:leader="none"/>
        </w:tabs>
        <w:spacing w:line="134" w:lineRule="exact"/>
        <w:ind w:left="3159" w:right="1122"/>
        <w:jc w:val="left"/>
      </w:pPr>
      <w:r>
        <w:rPr/>
        <w:t>承诺</w:t>
        <w:tab/>
        <w:t>合计拟增持数量≥</w:t>
      </w:r>
      <w:r>
        <w:rPr>
          <w:rFonts w:ascii="Times New Roman" w:hAnsi="Times New Roman" w:cs="Times New Roman" w:eastAsia="Times New Roman" w:hint="default"/>
        </w:rPr>
        <w:t>120</w:t>
      </w:r>
      <w:r>
        <w:rPr>
          <w:rFonts w:ascii="Times New Roman" w:hAnsi="Times New Roman" w:cs="Times New Roman" w:eastAsia="Times New Roman" w:hint="default"/>
          <w:spacing w:val="9"/>
        </w:rPr>
        <w:t> </w:t>
      </w:r>
      <w:r>
        <w:rPr/>
        <w:t>万股。由于时间安</w:t>
      </w:r>
    </w:p>
    <w:p>
      <w:pPr>
        <w:pStyle w:val="BodyText"/>
        <w:tabs>
          <w:tab w:pos="9384" w:val="left" w:leader="none"/>
        </w:tabs>
        <w:spacing w:line="149" w:lineRule="exact"/>
        <w:ind w:left="1458" w:right="1122"/>
        <w:jc w:val="left"/>
      </w:pPr>
      <w:r>
        <w:rPr/>
        <w:t>赵剑</w:t>
        <w:tab/>
        <w:t>中</w:t>
      </w:r>
    </w:p>
    <w:p>
      <w:pPr>
        <w:pStyle w:val="BodyText"/>
        <w:spacing w:line="195" w:lineRule="exact"/>
        <w:ind w:left="674" w:right="376"/>
        <w:jc w:val="center"/>
      </w:pPr>
      <w:r>
        <w:rPr/>
        <w:t>排问题、增持期间窗口期较长原因，增持</w:t>
      </w:r>
    </w:p>
    <w:p>
      <w:pPr>
        <w:pStyle w:val="BodyText"/>
        <w:spacing w:line="240" w:lineRule="auto" w:before="76"/>
        <w:ind w:left="674" w:right="376"/>
        <w:jc w:val="center"/>
      </w:pPr>
      <w:r>
        <w:rPr/>
        <w:t>实施主体提出增持承诺时限向后顺延</w:t>
      </w:r>
      <w:r>
        <w:rPr>
          <w:spacing w:val="-64"/>
        </w:rPr>
        <w:t> </w:t>
      </w:r>
      <w:r>
        <w:rPr>
          <w:rFonts w:ascii="Times New Roman" w:hAnsi="Times New Roman" w:cs="Times New Roman" w:eastAsia="Times New Roman" w:hint="default"/>
        </w:rPr>
        <w:t>6</w:t>
      </w:r>
      <w:r>
        <w:rPr>
          <w:rFonts w:ascii="Times New Roman" w:hAnsi="Times New Roman" w:cs="Times New Roman" w:eastAsia="Times New Roman" w:hint="default"/>
          <w:spacing w:val="-18"/>
        </w:rPr>
        <w:t> </w:t>
      </w:r>
      <w:r>
        <w:rPr/>
        <w:t>个</w:t>
      </w:r>
    </w:p>
    <w:p>
      <w:pPr>
        <w:pStyle w:val="BodyText"/>
        <w:spacing w:line="302" w:lineRule="auto" w:before="63"/>
        <w:ind w:left="4010" w:right="3696"/>
        <w:jc w:val="left"/>
      </w:pPr>
      <w:r>
        <w:rPr>
          <w:spacing w:val="-9"/>
        </w:rPr>
        <w:t>月，即在</w:t>
      </w:r>
      <w:r>
        <w:rPr>
          <w:spacing w:val="-46"/>
        </w:rPr>
        <w:t> </w:t>
      </w:r>
      <w:r>
        <w:rPr>
          <w:rFonts w:ascii="Times New Roman" w:hAnsi="Times New Roman" w:cs="Times New Roman" w:eastAsia="Times New Roman" w:hint="default"/>
        </w:rPr>
        <w:t>2019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日之前完成增持 股票的承诺。</w:t>
      </w:r>
    </w:p>
    <w:p>
      <w:pPr>
        <w:spacing w:after="0" w:line="302" w:lineRule="auto"/>
        <w:jc w:val="left"/>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310" w:lineRule="atLeast"/>
        <w:ind w:left="1458" w:right="-14"/>
        <w:jc w:val="left"/>
      </w:pPr>
      <w:r>
        <w:rPr>
          <w:spacing w:val="2"/>
        </w:rPr>
        <w:t>丁韶华；季海瑜；刘</w:t>
      </w:r>
      <w:r>
        <w:rPr>
          <w:spacing w:val="-87"/>
        </w:rPr>
        <w:t> </w:t>
      </w:r>
      <w:r>
        <w:rPr>
          <w:spacing w:val="-87"/>
        </w:rPr>
      </w:r>
      <w:r>
        <w:rPr>
          <w:spacing w:val="-7"/>
        </w:rPr>
        <w:t>丹萍；吕学强；史强；</w:t>
      </w:r>
    </w:p>
    <w:p>
      <w:pPr>
        <w:pStyle w:val="BodyText"/>
        <w:spacing w:line="316" w:lineRule="auto" w:before="119"/>
        <w:ind w:left="776" w:right="3692"/>
        <w:jc w:val="left"/>
      </w:pPr>
      <w:r>
        <w:rPr>
          <w:spacing w:val="-2"/>
        </w:rPr>
        <w:br w:type="column"/>
      </w:r>
      <w:r>
        <w:rPr>
          <w:spacing w:val="-2"/>
        </w:rPr>
        <w:t>公司全体董事、监事承诺：本人在担任发</w:t>
      </w:r>
      <w:r>
        <w:rPr/>
        <w:t> </w:t>
      </w:r>
      <w:r>
        <w:rPr>
          <w:spacing w:val="-2"/>
        </w:rPr>
        <w:t>行人董事期间，每年转让的股份不超过本</w:t>
      </w:r>
    </w:p>
    <w:p>
      <w:pPr>
        <w:pStyle w:val="BodyText"/>
        <w:spacing w:line="196" w:lineRule="exact" w:before="19"/>
        <w:ind w:left="776" w:right="3692"/>
        <w:jc w:val="left"/>
      </w:pPr>
      <w:r>
        <w:rPr>
          <w:spacing w:val="7"/>
        </w:rPr>
        <w:t>人直接或间接持有公司股份总数的百分</w:t>
      </w:r>
    </w:p>
    <w:p>
      <w:pPr>
        <w:pStyle w:val="BodyText"/>
        <w:spacing w:line="171" w:lineRule="exact"/>
        <w:ind w:left="0" w:right="1270"/>
        <w:jc w:val="right"/>
      </w:pPr>
      <w:r>
        <w:rPr/>
        <w:t>严格</w:t>
      </w:r>
    </w:p>
    <w:p>
      <w:pPr>
        <w:spacing w:after="0" w:line="171" w:lineRule="exact"/>
        <w:jc w:val="right"/>
        <w:sectPr>
          <w:type w:val="continuous"/>
          <w:pgSz w:w="11910" w:h="16840"/>
          <w:pgMar w:top="1060" w:bottom="1160" w:left="980" w:right="0"/>
          <w:cols w:num="2" w:equalWidth="0">
            <w:col w:w="3195" w:space="40"/>
            <w:col w:w="7695"/>
          </w:cols>
        </w:sectPr>
      </w:pPr>
    </w:p>
    <w:p>
      <w:pPr>
        <w:pStyle w:val="BodyText"/>
        <w:spacing w:line="212" w:lineRule="exact" w:before="76"/>
        <w:ind w:left="1458" w:right="-13"/>
        <w:jc w:val="left"/>
      </w:pPr>
      <w:r>
        <w:rPr>
          <w:spacing w:val="2"/>
        </w:rPr>
        <w:t>汤勇；徐国辉；易美</w:t>
      </w:r>
    </w:p>
    <w:p>
      <w:pPr>
        <w:pStyle w:val="BodyText"/>
        <w:spacing w:line="157" w:lineRule="exact"/>
        <w:ind w:left="15" w:right="-19"/>
        <w:jc w:val="left"/>
      </w:pPr>
      <w:r>
        <w:rPr>
          <w:spacing w:val="18"/>
        </w:rPr>
        <w:br w:type="column"/>
      </w:r>
      <w:r>
        <w:rPr>
          <w:spacing w:val="18"/>
        </w:rPr>
        <w:t>股份减持</w:t>
      </w:r>
      <w:r>
        <w:rPr>
          <w:spacing w:val="-68"/>
        </w:rPr>
        <w:t> </w:t>
      </w:r>
      <w:r>
        <w:rPr/>
        <w:t>之二十五；自申报离任六个月后的十二个</w:t>
      </w:r>
    </w:p>
    <w:p>
      <w:pPr>
        <w:pStyle w:val="BodyText"/>
        <w:spacing w:line="212" w:lineRule="exact" w:before="76"/>
        <w:ind w:left="64" w:right="0"/>
        <w:jc w:val="left"/>
      </w:pPr>
      <w:r>
        <w:rPr/>
        <w:br w:type="column"/>
      </w:r>
      <w:r>
        <w:rPr>
          <w:rFonts w:ascii="Times New Roman" w:hAnsi="Times New Roman" w:cs="Times New Roman" w:eastAsia="Times New Roman" w:hint="default"/>
        </w:rPr>
        <w:t>2013-09-16   9999-12-31  </w:t>
      </w:r>
      <w:r>
        <w:rPr>
          <w:rFonts w:ascii="Times New Roman" w:hAnsi="Times New Roman" w:cs="Times New Roman" w:eastAsia="Times New Roman" w:hint="default"/>
          <w:spacing w:val="24"/>
        </w:rPr>
        <w:t> </w:t>
      </w:r>
      <w:r>
        <w:rPr/>
        <w:t>履行</w:t>
      </w:r>
    </w:p>
    <w:p>
      <w:pPr>
        <w:spacing w:after="0" w:line="212" w:lineRule="exact"/>
        <w:jc w:val="left"/>
        <w:sectPr>
          <w:type w:val="continuous"/>
          <w:pgSz w:w="11910" w:h="16840"/>
          <w:pgMar w:top="1060" w:bottom="1160" w:left="980" w:right="0"/>
          <w:cols w:num="3" w:equalWidth="0">
            <w:col w:w="3104" w:space="40"/>
            <w:col w:w="4071" w:space="40"/>
            <w:col w:w="3675"/>
          </w:cols>
        </w:sectPr>
      </w:pPr>
    </w:p>
    <w:p>
      <w:pPr>
        <w:pStyle w:val="BodyText"/>
        <w:spacing w:line="141" w:lineRule="exact"/>
        <w:ind w:left="0" w:right="0"/>
        <w:jc w:val="right"/>
      </w:pPr>
      <w:r>
        <w:rPr/>
        <w:t>承诺</w:t>
      </w:r>
    </w:p>
    <w:p>
      <w:pPr>
        <w:pStyle w:val="BodyText"/>
        <w:spacing w:line="195" w:lineRule="exact"/>
        <w:ind w:left="1458" w:right="0"/>
        <w:jc w:val="left"/>
      </w:pPr>
      <w:r>
        <w:rPr>
          <w:spacing w:val="2"/>
        </w:rPr>
        <w:t>怀；袁淳；袁源；赵</w:t>
      </w:r>
    </w:p>
    <w:p>
      <w:pPr>
        <w:pStyle w:val="BodyText"/>
        <w:spacing w:line="240" w:lineRule="auto" w:before="77"/>
        <w:ind w:left="1458" w:right="0"/>
        <w:jc w:val="left"/>
      </w:pPr>
      <w:r>
        <w:rPr/>
        <w:t>剑；邹承慧</w:t>
      </w:r>
    </w:p>
    <w:p>
      <w:pPr>
        <w:pStyle w:val="BodyText"/>
        <w:spacing w:line="141" w:lineRule="exact"/>
        <w:ind w:left="451" w:right="3656"/>
        <w:jc w:val="left"/>
      </w:pPr>
      <w:r>
        <w:rPr>
          <w:spacing w:val="7"/>
        </w:rPr>
        <w:br w:type="column"/>
      </w:r>
      <w:r>
        <w:rPr>
          <w:spacing w:val="7"/>
        </w:rPr>
        <w:t>月内通过证券交易所挂牌交易出售本公</w:t>
      </w:r>
    </w:p>
    <w:p>
      <w:pPr>
        <w:pStyle w:val="BodyText"/>
        <w:spacing w:line="156" w:lineRule="exact"/>
        <w:ind w:left="0" w:right="1360"/>
        <w:jc w:val="right"/>
      </w:pPr>
      <w:r>
        <w:rPr/>
        <w:t>中</w:t>
      </w:r>
    </w:p>
    <w:p>
      <w:pPr>
        <w:pStyle w:val="BodyText"/>
        <w:spacing w:line="195" w:lineRule="exact"/>
        <w:ind w:left="451" w:right="3656"/>
        <w:jc w:val="left"/>
      </w:pPr>
      <w:r>
        <w:rPr>
          <w:spacing w:val="7"/>
        </w:rPr>
        <w:t>司股票数量占其所持有本公司股票总数</w:t>
      </w:r>
    </w:p>
    <w:p>
      <w:pPr>
        <w:pStyle w:val="BodyText"/>
        <w:spacing w:line="319" w:lineRule="auto" w:before="76"/>
        <w:ind w:left="451" w:right="3656"/>
        <w:jc w:val="left"/>
      </w:pPr>
      <w:r>
        <w:rPr/>
        <w:t>（包括有限售条件和无限售条件的股份） 的比例不超过</w:t>
      </w:r>
      <w:r>
        <w:rPr>
          <w:spacing w:val="-46"/>
        </w:rPr>
        <w:t> </w:t>
      </w:r>
      <w:r>
        <w:rPr>
          <w:rFonts w:ascii="Times New Roman" w:hAnsi="Times New Roman" w:cs="Times New Roman" w:eastAsia="Times New Roman" w:hint="default"/>
        </w:rPr>
        <w:t>50%</w:t>
      </w:r>
      <w:r>
        <w:rPr/>
        <w:t>。</w:t>
      </w:r>
    </w:p>
    <w:p>
      <w:pPr>
        <w:spacing w:after="0" w:line="319" w:lineRule="auto"/>
        <w:jc w:val="left"/>
        <w:sectPr>
          <w:type w:val="continuous"/>
          <w:pgSz w:w="11910" w:h="16840"/>
          <w:pgMar w:top="1060" w:bottom="1160" w:left="980" w:right="0"/>
          <w:cols w:num="2" w:equalWidth="0">
            <w:col w:w="3520" w:space="40"/>
            <w:col w:w="7370"/>
          </w:cols>
        </w:sectPr>
      </w:pPr>
    </w:p>
    <w:p>
      <w:pPr>
        <w:pStyle w:val="BodyText"/>
        <w:spacing w:line="196" w:lineRule="exact" w:before="87"/>
        <w:ind w:left="181" w:right="1122"/>
        <w:jc w:val="left"/>
      </w:pPr>
      <w:r>
        <w:rPr/>
        <w:t>承诺是否按时</w:t>
      </w:r>
    </w:p>
    <w:p>
      <w:pPr>
        <w:pStyle w:val="BodyText"/>
        <w:spacing w:line="156" w:lineRule="exact"/>
        <w:ind w:left="1458" w:right="1122"/>
        <w:jc w:val="left"/>
      </w:pPr>
      <w:r>
        <w:rPr/>
        <w:t>是</w:t>
      </w:r>
    </w:p>
    <w:p>
      <w:pPr>
        <w:pStyle w:val="BodyText"/>
        <w:spacing w:line="196" w:lineRule="exact"/>
        <w:ind w:left="181" w:right="1122"/>
        <w:jc w:val="left"/>
      </w:pPr>
      <w:r>
        <w:rPr/>
        <w:t>履行</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6" w:lineRule="auto" w:before="44"/>
        <w:ind w:left="181" w:right="-17"/>
        <w:jc w:val="left"/>
      </w:pPr>
      <w:r>
        <w:rPr/>
        <w:pict>
          <v:group style="position:absolute;margin-left:56.459999pt;margin-top:71.759964pt;width:478.95pt;height:685.75pt;mso-position-horizontal-relative:page;mso-position-vertical-relative:page;z-index:-1593040" coordorigin="1129,1435" coordsize="9579,13715">
            <v:group style="position:absolute;left:1139;top:1450;width:1267;height:665" coordorigin="1139,1450" coordsize="1267,665">
              <v:shape style="position:absolute;left:1139;top:1450;width:1267;height:665" coordorigin="1139,1450" coordsize="1267,665" path="m1139,2114l2405,2114,2405,1450,1139,1450,1139,2114xe" filled="true" fillcolor="#d2d2d2" stroked="false">
                <v:path arrowok="t"/>
                <v:fill type="solid"/>
              </v:shape>
            </v:group>
            <v:group style="position:absolute;left:1139;top:1445;width:1267;height:2" coordorigin="1139,1445" coordsize="1267,2">
              <v:shape style="position:absolute;left:1139;top:1445;width:1267;height:2" coordorigin="1139,1445" coordsize="1267,0" path="m1139,1445l2405,1445e" filled="false" stroked="true" strokeweight=".48pt" strokecolor="#000000">
                <v:path arrowok="t"/>
              </v:shape>
            </v:group>
            <v:group style="position:absolute;left:2415;top:1445;width:1692;height:2" coordorigin="2415,1445" coordsize="1692,2">
              <v:shape style="position:absolute;left:2415;top:1445;width:1692;height:2" coordorigin="2415,1445" coordsize="1692,0" path="m2415,1445l4107,1445e" filled="false" stroked="true" strokeweight=".48pt" strokecolor="#000000">
                <v:path arrowok="t"/>
              </v:shape>
            </v:group>
            <v:group style="position:absolute;left:4116;top:1445;width:842;height:2" coordorigin="4116,1445" coordsize="842,2">
              <v:shape style="position:absolute;left:4116;top:1445;width:842;height:2" coordorigin="4116,1445" coordsize="842,0" path="m4116,1445l4958,1445e" filled="false" stroked="true" strokeweight=".48pt" strokecolor="#000000">
                <v:path arrowok="t"/>
              </v:shape>
            </v:group>
            <v:group style="position:absolute;left:4968;top:1445;width:3252;height:2" coordorigin="4968,1445" coordsize="3252,2">
              <v:shape style="position:absolute;left:4968;top:1445;width:3252;height:2" coordorigin="4968,1445" coordsize="3252,0" path="m4968,1445l8219,1445e" filled="false" stroked="true" strokeweight=".48pt" strokecolor="#000000">
                <v:path arrowok="t"/>
              </v:shape>
            </v:group>
            <v:group style="position:absolute;left:8228;top:1445;width:982;height:2" coordorigin="8228,1445" coordsize="982,2">
              <v:shape style="position:absolute;left:8228;top:1445;width:982;height:2" coordorigin="8228,1445" coordsize="982,0" path="m8228,1445l9210,1445e" filled="false" stroked="true" strokeweight=".48pt" strokecolor="#000000">
                <v:path arrowok="t"/>
              </v:shape>
            </v:group>
            <v:group style="position:absolute;left:9220;top:1445;width:983;height:2" coordorigin="9220,1445" coordsize="983,2">
              <v:shape style="position:absolute;left:9220;top:1445;width:983;height:2" coordorigin="9220,1445" coordsize="983,0" path="m9220,1445l10202,1445e" filled="false" stroked="true" strokeweight=".48pt" strokecolor="#000000">
                <v:path arrowok="t"/>
              </v:shape>
            </v:group>
            <v:group style="position:absolute;left:10212;top:1445;width:486;height:2" coordorigin="10212,1445" coordsize="486,2">
              <v:shape style="position:absolute;left:10212;top:1445;width:486;height:2" coordorigin="10212,1445" coordsize="486,0" path="m10212,1445l10698,1445e" filled="false" stroked="true" strokeweight=".48pt" strokecolor="#000000">
                <v:path arrowok="t"/>
              </v:shape>
            </v:group>
            <v:group style="position:absolute;left:1139;top:2114;width:1267;height:2275" coordorigin="1139,2114" coordsize="1267,2275">
              <v:shape style="position:absolute;left:1139;top:2114;width:1267;height:2275" coordorigin="1139,2114" coordsize="1267,2275" path="m1139,4389l2405,4389,2405,2114,1139,2114,1139,4389xe" filled="true" fillcolor="#d2d2d2" stroked="false">
                <v:path arrowok="t"/>
                <v:fill type="solid"/>
              </v:shape>
            </v:group>
            <v:group style="position:absolute;left:2415;top:2119;width:1692;height:2" coordorigin="2415,2119" coordsize="1692,2">
              <v:shape style="position:absolute;left:2415;top:2119;width:1692;height:2" coordorigin="2415,2119" coordsize="1692,0" path="m2415,2119l4107,2119e" filled="false" stroked="true" strokeweight=".48pt" strokecolor="#000000">
                <v:path arrowok="t"/>
              </v:shape>
            </v:group>
            <v:group style="position:absolute;left:4116;top:2119;width:842;height:2" coordorigin="4116,2119" coordsize="842,2">
              <v:shape style="position:absolute;left:4116;top:2119;width:842;height:2" coordorigin="4116,2119" coordsize="842,0" path="m4116,2119l4958,2119e" filled="false" stroked="true" strokeweight=".48pt" strokecolor="#000000">
                <v:path arrowok="t"/>
              </v:shape>
            </v:group>
            <v:group style="position:absolute;left:4968;top:2119;width:3252;height:2" coordorigin="4968,2119" coordsize="3252,2">
              <v:shape style="position:absolute;left:4968;top:2119;width:3252;height:2" coordorigin="4968,2119" coordsize="3252,0" path="m4968,2119l8219,2119e" filled="false" stroked="true" strokeweight=".48pt" strokecolor="#000000">
                <v:path arrowok="t"/>
              </v:shape>
            </v:group>
            <v:group style="position:absolute;left:8228;top:2119;width:982;height:2" coordorigin="8228,2119" coordsize="982,2">
              <v:shape style="position:absolute;left:8228;top:2119;width:982;height:2" coordorigin="8228,2119" coordsize="982,0" path="m8228,2119l9210,2119e" filled="false" stroked="true" strokeweight=".48pt" strokecolor="#000000">
                <v:path arrowok="t"/>
              </v:shape>
            </v:group>
            <v:group style="position:absolute;left:9220;top:2119;width:983;height:2" coordorigin="9220,2119" coordsize="983,2">
              <v:shape style="position:absolute;left:9220;top:2119;width:983;height:2" coordorigin="9220,2119" coordsize="983,0" path="m9220,2119l10202,2119e" filled="false" stroked="true" strokeweight=".48pt" strokecolor="#000000">
                <v:path arrowok="t"/>
              </v:shape>
            </v:group>
            <v:group style="position:absolute;left:10212;top:2119;width:486;height:2" coordorigin="10212,2119" coordsize="486,2">
              <v:shape style="position:absolute;left:10212;top:2119;width:486;height:2" coordorigin="10212,2119" coordsize="486,0" path="m10212,2119l10698,2119e" filled="false" stroked="true" strokeweight=".48pt" strokecolor="#000000">
                <v:path arrowok="t"/>
              </v:shape>
            </v:group>
            <v:group style="position:absolute;left:1139;top:4389;width:1267;height:2274" coordorigin="1139,4389" coordsize="1267,2274">
              <v:shape style="position:absolute;left:1139;top:4389;width:1267;height:2274" coordorigin="1139,4389" coordsize="1267,2274" path="m1139,6663l2405,6663,2405,4389,1139,4389,1139,6663xe" filled="true" fillcolor="#d2d2d2" stroked="false">
                <v:path arrowok="t"/>
                <v:fill type="solid"/>
              </v:shape>
            </v:group>
            <v:group style="position:absolute;left:2415;top:4394;width:1692;height:2" coordorigin="2415,4394" coordsize="1692,2">
              <v:shape style="position:absolute;left:2415;top:4394;width:1692;height:2" coordorigin="2415,4394" coordsize="1692,0" path="m2415,4394l4107,4394e" filled="false" stroked="true" strokeweight=".48pt" strokecolor="#000000">
                <v:path arrowok="t"/>
              </v:shape>
            </v:group>
            <v:group style="position:absolute;left:4116;top:4394;width:842;height:2" coordorigin="4116,4394" coordsize="842,2">
              <v:shape style="position:absolute;left:4116;top:4394;width:842;height:2" coordorigin="4116,4394" coordsize="842,0" path="m4116,4394l4958,4394e" filled="false" stroked="true" strokeweight=".48pt" strokecolor="#000000">
                <v:path arrowok="t"/>
              </v:shape>
            </v:group>
            <v:group style="position:absolute;left:4968;top:4394;width:3252;height:2" coordorigin="4968,4394" coordsize="3252,2">
              <v:shape style="position:absolute;left:4968;top:4394;width:3252;height:2" coordorigin="4968,4394" coordsize="3252,0" path="m4968,4394l8219,4394e" filled="false" stroked="true" strokeweight=".48pt" strokecolor="#000000">
                <v:path arrowok="t"/>
              </v:shape>
            </v:group>
            <v:group style="position:absolute;left:8228;top:4394;width:982;height:2" coordorigin="8228,4394" coordsize="982,2">
              <v:shape style="position:absolute;left:8228;top:4394;width:982;height:2" coordorigin="8228,4394" coordsize="982,0" path="m8228,4394l9210,4394e" filled="false" stroked="true" strokeweight=".48pt" strokecolor="#000000">
                <v:path arrowok="t"/>
              </v:shape>
            </v:group>
            <v:group style="position:absolute;left:9220;top:4394;width:983;height:2" coordorigin="9220,4394" coordsize="983,2">
              <v:shape style="position:absolute;left:9220;top:4394;width:983;height:2" coordorigin="9220,4394" coordsize="983,0" path="m9220,4394l10202,4394e" filled="false" stroked="true" strokeweight=".48pt" strokecolor="#000000">
                <v:path arrowok="t"/>
              </v:shape>
            </v:group>
            <v:group style="position:absolute;left:10212;top:4394;width:486;height:2" coordorigin="10212,4394" coordsize="486,2">
              <v:shape style="position:absolute;left:10212;top:4394;width:486;height:2" coordorigin="10212,4394" coordsize="486,0" path="m10212,4394l10698,4394e" filled="false" stroked="true" strokeweight=".48pt" strokecolor="#000000">
                <v:path arrowok="t"/>
              </v:shape>
            </v:group>
            <v:group style="position:absolute;left:1139;top:6663;width:1267;height:3211" coordorigin="1139,6663" coordsize="1267,3211">
              <v:shape style="position:absolute;left:1139;top:6663;width:1267;height:3211" coordorigin="1139,6663" coordsize="1267,3211" path="m1139,9873l2405,9873,2405,6663,1139,6663,1139,9873xe" filled="true" fillcolor="#d2d2d2" stroked="false">
                <v:path arrowok="t"/>
                <v:fill type="solid"/>
              </v:shape>
            </v:group>
            <v:group style="position:absolute;left:4116;top:6672;width:842;height:1248" coordorigin="4116,6672" coordsize="842,1248">
              <v:shape style="position:absolute;left:4116;top:6672;width:842;height:1248" coordorigin="4116,6672" coordsize="842,1248" path="m4116,7920l4958,7920,4958,6672,4116,6672,4116,7920xe" filled="true" fillcolor="#ffffff" stroked="false">
                <v:path arrowok="t"/>
                <v:fill type="solid"/>
              </v:shape>
            </v:group>
            <v:group style="position:absolute;left:4128;top:7920;width:2;height:705" coordorigin="4128,7920" coordsize="2,705">
              <v:shape style="position:absolute;left:4128;top:7920;width:2;height:705" coordorigin="4128,7920" coordsize="0,705" path="m4128,7920l4128,8625e" filled="false" stroked="true" strokeweight="1.140pt" strokecolor="#ffffff">
                <v:path arrowok="t"/>
              </v:shape>
            </v:group>
            <v:group style="position:absolute;left:4139;top:7920;width:796;height:352" coordorigin="4139,7920" coordsize="796,352">
              <v:shape style="position:absolute;left:4139;top:7920;width:796;height:352" coordorigin="4139,7920" coordsize="796,352" path="m4139,8272l4935,8272,4935,7920,4139,7920,4139,8272xe" filled="true" fillcolor="#ffffff" stroked="false">
                <v:path arrowok="t"/>
                <v:fill type="solid"/>
              </v:shape>
            </v:group>
            <v:group style="position:absolute;left:4139;top:8272;width:796;height:354" coordorigin="4139,8272" coordsize="796,354">
              <v:shape style="position:absolute;left:4139;top:8272;width:796;height:354" coordorigin="4139,8272" coordsize="796,354" path="m4139,8625l4935,8625,4935,8272,4139,8272,4139,8625xe" filled="true" fillcolor="#ffffff" stroked="false">
                <v:path arrowok="t"/>
                <v:fill type="solid"/>
              </v:shape>
            </v:group>
            <v:group style="position:absolute;left:8228;top:6672;width:982;height:1404" coordorigin="8228,6672" coordsize="982,1404">
              <v:shape style="position:absolute;left:8228;top:6672;width:982;height:1404" coordorigin="8228,6672" coordsize="982,1404" path="m8228,8076l9210,8076,9210,6672,8228,6672,8228,8076xe" filled="true" fillcolor="#ffffff" stroked="false">
                <v:path arrowok="t"/>
                <v:fill type="solid"/>
              </v:shape>
            </v:group>
            <v:group style="position:absolute;left:8240;top:8076;width:2;height:393" coordorigin="8240,8076" coordsize="2,393">
              <v:shape style="position:absolute;left:8240;top:8076;width:2;height:393" coordorigin="8240,8076" coordsize="0,393" path="m8240,8076l8240,8469e" filled="false" stroked="true" strokeweight="1.140pt" strokecolor="#ffffff">
                <v:path arrowok="t"/>
              </v:shape>
            </v:group>
            <v:group style="position:absolute;left:8251;top:8076;width:936;height:393" coordorigin="8251,8076" coordsize="936,393">
              <v:shape style="position:absolute;left:8251;top:8076;width:936;height:393" coordorigin="8251,8076" coordsize="936,393" path="m8251,8469l9187,8469,9187,8076,8251,8076,8251,8469xe" filled="true" fillcolor="#ffffff" stroked="false">
                <v:path arrowok="t"/>
                <v:fill type="solid"/>
              </v:shape>
            </v:group>
            <v:group style="position:absolute;left:2415;top:6668;width:1692;height:2" coordorigin="2415,6668" coordsize="1692,2">
              <v:shape style="position:absolute;left:2415;top:6668;width:1692;height:2" coordorigin="2415,6668" coordsize="1692,0" path="m2415,6668l4107,6668e" filled="false" stroked="true" strokeweight=".48001pt" strokecolor="#000000">
                <v:path arrowok="t"/>
              </v:shape>
            </v:group>
            <v:group style="position:absolute;left:4116;top:6668;width:842;height:2" coordorigin="4116,6668" coordsize="842,2">
              <v:shape style="position:absolute;left:4116;top:6668;width:842;height:2" coordorigin="4116,6668" coordsize="842,0" path="m4116,6668l4958,6668e" filled="false" stroked="true" strokeweight=".48001pt" strokecolor="#000000">
                <v:path arrowok="t"/>
              </v:shape>
            </v:group>
            <v:group style="position:absolute;left:4968;top:6668;width:3252;height:2" coordorigin="4968,6668" coordsize="3252,2">
              <v:shape style="position:absolute;left:4968;top:6668;width:3252;height:2" coordorigin="4968,6668" coordsize="3252,0" path="m4968,6668l8219,6668e" filled="false" stroked="true" strokeweight=".48001pt" strokecolor="#000000">
                <v:path arrowok="t"/>
              </v:shape>
            </v:group>
            <v:group style="position:absolute;left:8228;top:6668;width:982;height:2" coordorigin="8228,6668" coordsize="982,2">
              <v:shape style="position:absolute;left:8228;top:6668;width:982;height:2" coordorigin="8228,6668" coordsize="982,0" path="m8228,6668l9210,6668e" filled="false" stroked="true" strokeweight=".48001pt" strokecolor="#000000">
                <v:path arrowok="t"/>
              </v:shape>
            </v:group>
            <v:group style="position:absolute;left:9220;top:6668;width:983;height:2" coordorigin="9220,6668" coordsize="983,2">
              <v:shape style="position:absolute;left:9220;top:6668;width:983;height:2" coordorigin="9220,6668" coordsize="983,0" path="m9220,6668l10202,6668e" filled="false" stroked="true" strokeweight=".48001pt" strokecolor="#000000">
                <v:path arrowok="t"/>
              </v:shape>
            </v:group>
            <v:group style="position:absolute;left:10212;top:6668;width:486;height:2" coordorigin="10212,6668" coordsize="486,2">
              <v:shape style="position:absolute;left:10212;top:6668;width:486;height:2" coordorigin="10212,6668" coordsize="486,0" path="m10212,6668l10698,6668e" filled="false" stroked="true" strokeweight=".48001pt" strokecolor="#000000">
                <v:path arrowok="t"/>
              </v:shape>
            </v:group>
            <v:group style="position:absolute;left:1139;top:9873;width:1267;height:2586" coordorigin="1139,9873" coordsize="1267,2586">
              <v:shape style="position:absolute;left:1139;top:9873;width:1267;height:2586" coordorigin="1139,9873" coordsize="1267,2586" path="m1139,12459l2405,12459,2405,9873,1139,9873,1139,12459xe" filled="true" fillcolor="#d2d2d2" stroked="false">
                <v:path arrowok="t"/>
                <v:fill type="solid"/>
              </v:shape>
            </v:group>
            <v:group style="position:absolute;left:4116;top:9883;width:842;height:936" coordorigin="4116,9883" coordsize="842,936">
              <v:shape style="position:absolute;left:4116;top:9883;width:842;height:936" coordorigin="4116,9883" coordsize="842,936" path="m4116,10819l4958,10819,4958,9883,4116,9883,4116,10819xe" filled="true" fillcolor="#ffffff" stroked="false">
                <v:path arrowok="t"/>
                <v:fill type="solid"/>
              </v:shape>
            </v:group>
            <v:group style="position:absolute;left:4128;top:10819;width:2;height:705" coordorigin="4128,10819" coordsize="2,705">
              <v:shape style="position:absolute;left:4128;top:10819;width:2;height:705" coordorigin="4128,10819" coordsize="0,705" path="m4128,10819l4128,11523e" filled="false" stroked="true" strokeweight="1.140pt" strokecolor="#ffffff">
                <v:path arrowok="t"/>
              </v:shape>
            </v:group>
            <v:group style="position:absolute;left:4139;top:10819;width:796;height:352" coordorigin="4139,10819" coordsize="796,352">
              <v:shape style="position:absolute;left:4139;top:10819;width:796;height:352" coordorigin="4139,10819" coordsize="796,352" path="m4139,11170l4935,11170,4935,10819,4139,10819,4139,11170xe" filled="true" fillcolor="#ffffff" stroked="false">
                <v:path arrowok="t"/>
                <v:fill type="solid"/>
              </v:shape>
            </v:group>
            <v:group style="position:absolute;left:2415;top:9878;width:1692;height:2" coordorigin="2415,9878" coordsize="1692,2">
              <v:shape style="position:absolute;left:2415;top:9878;width:1692;height:2" coordorigin="2415,9878" coordsize="1692,0" path="m2415,9878l4107,9878e" filled="false" stroked="true" strokeweight=".47998pt" strokecolor="#000000">
                <v:path arrowok="t"/>
              </v:shape>
            </v:group>
            <v:group style="position:absolute;left:4116;top:9878;width:842;height:2" coordorigin="4116,9878" coordsize="842,2">
              <v:shape style="position:absolute;left:4116;top:9878;width:842;height:2" coordorigin="4116,9878" coordsize="842,0" path="m4116,9878l4958,9878e" filled="false" stroked="true" strokeweight=".47998pt" strokecolor="#000000">
                <v:path arrowok="t"/>
              </v:shape>
            </v:group>
            <v:group style="position:absolute;left:4968;top:9878;width:3252;height:2" coordorigin="4968,9878" coordsize="3252,2">
              <v:shape style="position:absolute;left:4968;top:9878;width:3252;height:2" coordorigin="4968,9878" coordsize="3252,0" path="m4968,9878l8219,9878e" filled="false" stroked="true" strokeweight=".47998pt" strokecolor="#000000">
                <v:path arrowok="t"/>
              </v:shape>
            </v:group>
            <v:group style="position:absolute;left:8228;top:9878;width:982;height:2" coordorigin="8228,9878" coordsize="982,2">
              <v:shape style="position:absolute;left:8228;top:9878;width:982;height:2" coordorigin="8228,9878" coordsize="982,0" path="m8228,9878l9210,9878e" filled="false" stroked="true" strokeweight=".47998pt" strokecolor="#000000">
                <v:path arrowok="t"/>
              </v:shape>
            </v:group>
            <v:group style="position:absolute;left:9220;top:9878;width:983;height:2" coordorigin="9220,9878" coordsize="983,2">
              <v:shape style="position:absolute;left:9220;top:9878;width:983;height:2" coordorigin="9220,9878" coordsize="983,0" path="m9220,9878l10202,9878e" filled="false" stroked="true" strokeweight=".47998pt" strokecolor="#000000">
                <v:path arrowok="t"/>
              </v:shape>
            </v:group>
            <v:group style="position:absolute;left:10212;top:9878;width:486;height:2" coordorigin="10212,9878" coordsize="486,2">
              <v:shape style="position:absolute;left:10212;top:9878;width:486;height:2" coordorigin="10212,9878" coordsize="486,0" path="m10212,9878l10698,9878e" filled="false" stroked="true" strokeweight=".47998pt" strokecolor="#000000">
                <v:path arrowok="t"/>
              </v:shape>
            </v:group>
            <v:group style="position:absolute;left:4112;top:1440;width:2;height:11029" coordorigin="4112,1440" coordsize="2,11029">
              <v:shape style="position:absolute;left:4112;top:1440;width:2;height:11029" coordorigin="4112,1440" coordsize="0,11029" path="m4112,1440l4112,12469e" filled="false" stroked="true" strokeweight=".48pt" strokecolor="#000000">
                <v:path arrowok="t"/>
              </v:shape>
            </v:group>
            <v:group style="position:absolute;left:4963;top:1440;width:2;height:11029" coordorigin="4963,1440" coordsize="2,11029">
              <v:shape style="position:absolute;left:4963;top:1440;width:2;height:11029" coordorigin="4963,1440" coordsize="0,11029" path="m4963,1440l4963,12469e" filled="false" stroked="true" strokeweight=".48pt" strokecolor="#000000">
                <v:path arrowok="t"/>
              </v:shape>
            </v:group>
            <v:group style="position:absolute;left:8224;top:1440;width:2;height:11029" coordorigin="8224,1440" coordsize="2,11029">
              <v:shape style="position:absolute;left:8224;top:1440;width:2;height:11029" coordorigin="8224,1440" coordsize="0,11029" path="m8224,1440l8224,12469e" filled="false" stroked="true" strokeweight=".47998pt" strokecolor="#000000">
                <v:path arrowok="t"/>
              </v:shape>
            </v:group>
            <v:group style="position:absolute;left:9215;top:1440;width:2;height:11029" coordorigin="9215,1440" coordsize="2,11029">
              <v:shape style="position:absolute;left:9215;top:1440;width:2;height:11029" coordorigin="9215,1440" coordsize="0,11029" path="m9215,1440l9215,12469e" filled="false" stroked="true" strokeweight=".47998pt" strokecolor="#000000">
                <v:path arrowok="t"/>
              </v:shape>
            </v:group>
            <v:group style="position:absolute;left:10207;top:1440;width:2;height:11029" coordorigin="10207,1440" coordsize="2,11029">
              <v:shape style="position:absolute;left:10207;top:1440;width:2;height:11029" coordorigin="10207,1440" coordsize="0,11029" path="m10207,1440l10207,12469e" filled="false" stroked="true" strokeweight=".47998pt" strokecolor="#000000">
                <v:path arrowok="t"/>
              </v:shape>
            </v:group>
            <v:group style="position:absolute;left:1150;top:12469;width:2;height:705" coordorigin="1150,12469" coordsize="2,705">
              <v:shape style="position:absolute;left:1150;top:12469;width:2;height:705" coordorigin="1150,12469" coordsize="0,705" path="m1150,12469l1150,13173e" filled="false" stroked="true" strokeweight="1.140pt" strokecolor="#d2d2d2">
                <v:path arrowok="t"/>
              </v:shape>
            </v:group>
            <v:group style="position:absolute;left:2394;top:12469;width:2;height:705" coordorigin="2394,12469" coordsize="2,705">
              <v:shape style="position:absolute;left:2394;top:12469;width:2;height:705" coordorigin="2394,12469" coordsize="0,705" path="m2394,12469l2394,13173e" filled="false" stroked="true" strokeweight="1.140pt" strokecolor="#d2d2d2">
                <v:path arrowok="t"/>
              </v:shape>
            </v:group>
            <v:group style="position:absolute;left:1162;top:12469;width:1221;height:352" coordorigin="1162,12469" coordsize="1221,352">
              <v:shape style="position:absolute;left:1162;top:12469;width:1221;height:352" coordorigin="1162,12469" coordsize="1221,352" path="m1162,12820l2382,12820,2382,12469,1162,12469,1162,12820xe" filled="true" fillcolor="#d2d2d2" stroked="false">
                <v:path arrowok="t"/>
                <v:fill type="solid"/>
              </v:shape>
            </v:group>
            <v:group style="position:absolute;left:1162;top:12820;width:1221;height:353" coordorigin="1162,12820" coordsize="1221,353">
              <v:shape style="position:absolute;left:1162;top:12820;width:1221;height:353" coordorigin="1162,12820" coordsize="1221,353" path="m1162,13173l2382,13173,2382,12820,1162,12820,1162,13173xe" filled="true" fillcolor="#d2d2d2" stroked="false">
                <v:path arrowok="t"/>
                <v:fill type="solid"/>
              </v:shape>
            </v:group>
            <v:group style="position:absolute;left:1139;top:12464;width:1267;height:2" coordorigin="1139,12464" coordsize="1267,2">
              <v:shape style="position:absolute;left:1139;top:12464;width:1267;height:2" coordorigin="1139,12464" coordsize="1267,0" path="m1139,12464l2405,12464e" filled="false" stroked="true" strokeweight=".48004pt" strokecolor="#000000">
                <v:path arrowok="t"/>
              </v:shape>
            </v:group>
            <v:group style="position:absolute;left:2415;top:12464;width:1692;height:2" coordorigin="2415,12464" coordsize="1692,2">
              <v:shape style="position:absolute;left:2415;top:12464;width:1692;height:2" coordorigin="2415,12464" coordsize="1692,0" path="m2415,12464l4107,12464e" filled="false" stroked="true" strokeweight=".48004pt" strokecolor="#000000">
                <v:path arrowok="t"/>
              </v:shape>
            </v:group>
            <v:group style="position:absolute;left:4116;top:12464;width:842;height:2" coordorigin="4116,12464" coordsize="842,2">
              <v:shape style="position:absolute;left:4116;top:12464;width:842;height:2" coordorigin="4116,12464" coordsize="842,0" path="m4116,12464l4958,12464e" filled="false" stroked="true" strokeweight=".48004pt" strokecolor="#000000">
                <v:path arrowok="t"/>
              </v:shape>
            </v:group>
            <v:group style="position:absolute;left:4968;top:12464;width:3252;height:2" coordorigin="4968,12464" coordsize="3252,2">
              <v:shape style="position:absolute;left:4968;top:12464;width:3252;height:2" coordorigin="4968,12464" coordsize="3252,0" path="m4968,12464l8219,12464e" filled="false" stroked="true" strokeweight=".48004pt" strokecolor="#000000">
                <v:path arrowok="t"/>
              </v:shape>
            </v:group>
            <v:group style="position:absolute;left:8228;top:12464;width:982;height:2" coordorigin="8228,12464" coordsize="982,2">
              <v:shape style="position:absolute;left:8228;top:12464;width:982;height:2" coordorigin="8228,12464" coordsize="982,0" path="m8228,12464l9210,12464e" filled="false" stroked="true" strokeweight=".48004pt" strokecolor="#000000">
                <v:path arrowok="t"/>
              </v:shape>
            </v:group>
            <v:group style="position:absolute;left:9220;top:12464;width:983;height:2" coordorigin="9220,12464" coordsize="983,2">
              <v:shape style="position:absolute;left:9220;top:12464;width:983;height:2" coordorigin="9220,12464" coordsize="983,0" path="m9220,12464l10202,12464e" filled="false" stroked="true" strokeweight=".48004pt" strokecolor="#000000">
                <v:path arrowok="t"/>
              </v:shape>
            </v:group>
            <v:group style="position:absolute;left:10212;top:12464;width:486;height:2" coordorigin="10212,12464" coordsize="486,2">
              <v:shape style="position:absolute;left:10212;top:12464;width:486;height:2" coordorigin="10212,12464" coordsize="486,0" path="m10212,12464l10698,12464e" filled="false" stroked="true" strokeweight=".48004pt" strokecolor="#000000">
                <v:path arrowok="t"/>
              </v:shape>
            </v:group>
            <v:group style="position:absolute;left:1150;top:13183;width:2;height:1953" coordorigin="1150,13183" coordsize="2,1953">
              <v:shape style="position:absolute;left:1150;top:13183;width:2;height:1953" coordorigin="1150,13183" coordsize="0,1953" path="m1150,13183l1150,15136e" filled="false" stroked="true" strokeweight="1.140pt" strokecolor="#d2d2d2">
                <v:path arrowok="t"/>
              </v:shape>
            </v:group>
            <v:group style="position:absolute;left:2394;top:13183;width:2;height:1953" coordorigin="2394,13183" coordsize="2,1953">
              <v:shape style="position:absolute;left:2394;top:13183;width:2;height:1953" coordorigin="2394,13183" coordsize="0,1953" path="m2394,13183l2394,15136e" filled="false" stroked="true" strokeweight="1.140pt" strokecolor="#d2d2d2">
                <v:path arrowok="t"/>
              </v:shape>
            </v:group>
            <v:group style="position:absolute;left:1162;top:13183;width:1221;height:352" coordorigin="1162,13183" coordsize="1221,352">
              <v:shape style="position:absolute;left:1162;top:13183;width:1221;height:352" coordorigin="1162,13183" coordsize="1221,352" path="m1162,13534l2382,13534,2382,13183,1162,13183,1162,13534xe" filled="true" fillcolor="#d2d2d2" stroked="false">
                <v:path arrowok="t"/>
                <v:fill type="solid"/>
              </v:shape>
            </v:group>
            <v:group style="position:absolute;left:1162;top:13534;width:1221;height:312" coordorigin="1162,13534" coordsize="1221,312">
              <v:shape style="position:absolute;left:1162;top:13534;width:1221;height:312" coordorigin="1162,13534" coordsize="1221,312" path="m1162,13846l2382,13846,2382,13534,1162,13534,1162,13846xe" filled="true" fillcolor="#d2d2d2" stroked="false">
                <v:path arrowok="t"/>
                <v:fill type="solid"/>
              </v:shape>
            </v:group>
            <v:group style="position:absolute;left:1162;top:13846;width:1221;height:313" coordorigin="1162,13846" coordsize="1221,313">
              <v:shape style="position:absolute;left:1162;top:13846;width:1221;height:313" coordorigin="1162,13846" coordsize="1221,313" path="m1162,14159l2382,14159,2382,13846,1162,13846,1162,14159xe" filled="true" fillcolor="#d2d2d2" stroked="false">
                <v:path arrowok="t"/>
                <v:fill type="solid"/>
              </v:shape>
            </v:group>
            <v:group style="position:absolute;left:1162;top:14159;width:1221;height:312" coordorigin="1162,14159" coordsize="1221,312">
              <v:shape style="position:absolute;left:1162;top:14159;width:1221;height:312" coordorigin="1162,14159" coordsize="1221,312" path="m1162,14471l2382,14471,2382,14159,1162,14159,1162,14471xe" filled="true" fillcolor="#d2d2d2" stroked="false">
                <v:path arrowok="t"/>
                <v:fill type="solid"/>
              </v:shape>
            </v:group>
            <v:group style="position:absolute;left:1162;top:14471;width:1221;height:312" coordorigin="1162,14471" coordsize="1221,312">
              <v:shape style="position:absolute;left:1162;top:14471;width:1221;height:312" coordorigin="1162,14471" coordsize="1221,312" path="m1162,14783l2382,14783,2382,14471,1162,14471,1162,14783xe" filled="true" fillcolor="#d2d2d2" stroked="false">
                <v:path arrowok="t"/>
                <v:fill type="solid"/>
              </v:shape>
            </v:group>
            <v:group style="position:absolute;left:1162;top:14783;width:1221;height:353" coordorigin="1162,14783" coordsize="1221,353">
              <v:shape style="position:absolute;left:1162;top:14783;width:1221;height:353" coordorigin="1162,14783" coordsize="1221,353" path="m1162,15136l2382,15136,2382,14783,1162,14783,1162,15136xe" filled="true" fillcolor="#d2d2d2" stroked="false">
                <v:path arrowok="t"/>
                <v:fill type="solid"/>
              </v:shape>
            </v:group>
            <v:group style="position:absolute;left:1139;top:13178;width:1267;height:2" coordorigin="1139,13178" coordsize="1267,2">
              <v:shape style="position:absolute;left:1139;top:13178;width:1267;height:2" coordorigin="1139,13178" coordsize="1267,0" path="m1139,13178l2405,13178e" filled="false" stroked="true" strokeweight=".48004pt" strokecolor="#000000">
                <v:path arrowok="t"/>
              </v:shape>
            </v:group>
            <v:group style="position:absolute;left:2415;top:13178;width:8284;height:2" coordorigin="2415,13178" coordsize="8284,2">
              <v:shape style="position:absolute;left:2415;top:13178;width:8284;height:2" coordorigin="2415,13178" coordsize="8284,0" path="m2415,13178l10698,13178e" filled="false" stroked="true" strokeweight=".48004pt" strokecolor="#000000">
                <v:path arrowok="t"/>
              </v:shape>
            </v:group>
            <v:group style="position:absolute;left:1134;top:1440;width:2;height:13706" coordorigin="1134,1440" coordsize="2,13706">
              <v:shape style="position:absolute;left:1134;top:1440;width:2;height:13706" coordorigin="1134,1440" coordsize="0,13706" path="m1134,1440l1134,15145e" filled="false" stroked="true" strokeweight=".48pt" strokecolor="#000000">
                <v:path arrowok="t"/>
              </v:shape>
            </v:group>
            <v:group style="position:absolute;left:1139;top:15140;width:1267;height:2" coordorigin="1139,15140" coordsize="1267,2">
              <v:shape style="position:absolute;left:1139;top:15140;width:1267;height:2" coordorigin="1139,15140" coordsize="1267,0" path="m1139,15140l2405,15140e" filled="false" stroked="true" strokeweight=".48004pt" strokecolor="#000000">
                <v:path arrowok="t"/>
              </v:shape>
            </v:group>
            <v:group style="position:absolute;left:2410;top:1440;width:2;height:13706" coordorigin="2410,1440" coordsize="2,13706">
              <v:shape style="position:absolute;left:2410;top:1440;width:2;height:13706" coordorigin="2410,1440" coordsize="0,13706" path="m2410,1440l2410,15145e" filled="false" stroked="true" strokeweight=".48pt" strokecolor="#000000">
                <v:path arrowok="t"/>
              </v:shape>
            </v:group>
            <v:group style="position:absolute;left:2415;top:15140;width:8284;height:2" coordorigin="2415,15140" coordsize="8284,2">
              <v:shape style="position:absolute;left:2415;top:15140;width:8284;height:2" coordorigin="2415,15140" coordsize="8284,0" path="m2415,15140l10698,15140e" filled="false" stroked="true" strokeweight=".48004pt" strokecolor="#000000">
                <v:path arrowok="t"/>
              </v:shape>
            </v:group>
            <v:group style="position:absolute;left:10703;top:1440;width:2;height:13706" coordorigin="10703,1440" coordsize="2,13706">
              <v:shape style="position:absolute;left:10703;top:1440;width:2;height:13706" coordorigin="10703,1440" coordsize="0,13706" path="m10703,1440l10703,15145e" filled="false" stroked="true" strokeweight=".48004pt" strokecolor="#000000">
                <v:path arrowok="t"/>
              </v:shape>
            </v:group>
            <w10:wrap type="none"/>
          </v:group>
        </w:pict>
      </w:r>
      <w:r>
        <w:rPr/>
        <w:t>如承诺超期未 </w:t>
      </w:r>
      <w:r>
        <w:rPr>
          <w:spacing w:val="-6"/>
        </w:rPr>
        <w:t>履行完毕的，应</w:t>
      </w:r>
      <w:r>
        <w:rPr>
          <w:spacing w:val="-88"/>
        </w:rPr>
        <w:t> </w:t>
      </w:r>
      <w:r>
        <w:rPr>
          <w:spacing w:val="-88"/>
        </w:rPr>
      </w:r>
      <w:r>
        <w:rPr/>
        <w:t>当详细说明未 完成履行的具 体原因及下一 步的工作计划</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18"/>
        <w:ind w:left="16" w:right="0"/>
        <w:jc w:val="left"/>
      </w:pPr>
      <w:r>
        <w:rPr/>
        <w:t>不适用</w:t>
      </w:r>
    </w:p>
    <w:p>
      <w:pPr>
        <w:spacing w:after="0" w:line="240" w:lineRule="auto"/>
        <w:jc w:val="left"/>
        <w:sectPr>
          <w:type w:val="continuous"/>
          <w:pgSz w:w="11910" w:h="16840"/>
          <w:pgMar w:top="1060" w:bottom="1160" w:left="980" w:right="0"/>
          <w:cols w:num="2" w:equalWidth="0">
            <w:col w:w="1403" w:space="40"/>
            <w:col w:w="9487"/>
          </w:cols>
        </w:sectPr>
      </w:pPr>
    </w:p>
    <w:p>
      <w:pPr>
        <w:spacing w:line="240" w:lineRule="auto" w:before="10"/>
        <w:rPr>
          <w:rFonts w:ascii="宋体" w:hAnsi="宋体" w:cs="宋体" w:eastAsia="宋体" w:hint="default"/>
          <w:sz w:val="24"/>
          <w:szCs w:val="24"/>
        </w:rPr>
      </w:pPr>
    </w:p>
    <w:p>
      <w:pPr>
        <w:pStyle w:val="Heading3"/>
        <w:spacing w:line="259" w:lineRule="auto" w:before="35"/>
        <w:ind w:right="1122"/>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26"/>
        <w:gridCol w:w="568"/>
        <w:gridCol w:w="566"/>
        <w:gridCol w:w="850"/>
        <w:gridCol w:w="852"/>
        <w:gridCol w:w="4819"/>
        <w:gridCol w:w="568"/>
        <w:gridCol w:w="918"/>
      </w:tblGrid>
      <w:tr>
        <w:trPr>
          <w:trHeight w:val="1962" w:hRule="exact"/>
        </w:trPr>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 w:right="26"/>
              <w:jc w:val="both"/>
              <w:rPr>
                <w:rFonts w:ascii="宋体" w:hAnsi="宋体" w:cs="宋体" w:eastAsia="宋体" w:hint="default"/>
                <w:sz w:val="18"/>
                <w:szCs w:val="18"/>
              </w:rPr>
            </w:pPr>
            <w:r>
              <w:rPr>
                <w:rFonts w:ascii="宋体" w:hAnsi="宋体" w:cs="宋体" w:eastAsia="宋体" w:hint="default"/>
                <w:sz w:val="18"/>
                <w:szCs w:val="18"/>
              </w:rPr>
              <w:t>盈利 预测 资产 或项 目名 称</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8" w:right="97"/>
              <w:jc w:val="both"/>
              <w:rPr>
                <w:rFonts w:ascii="宋体" w:hAnsi="宋体" w:cs="宋体" w:eastAsia="宋体" w:hint="default"/>
                <w:sz w:val="18"/>
                <w:szCs w:val="18"/>
              </w:rPr>
            </w:pPr>
            <w:r>
              <w:rPr>
                <w:rFonts w:ascii="宋体" w:hAnsi="宋体" w:cs="宋体" w:eastAsia="宋体" w:hint="default"/>
                <w:sz w:val="18"/>
                <w:szCs w:val="18"/>
              </w:rPr>
              <w:t>预测 起始 时间</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预测 终止 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0" w:right="59"/>
              <w:jc w:val="center"/>
              <w:rPr>
                <w:rFonts w:ascii="宋体" w:hAnsi="宋体" w:cs="宋体" w:eastAsia="宋体" w:hint="default"/>
                <w:sz w:val="18"/>
                <w:szCs w:val="18"/>
              </w:rPr>
            </w:pPr>
            <w:r>
              <w:rPr>
                <w:rFonts w:ascii="宋体" w:hAnsi="宋体" w:cs="宋体" w:eastAsia="宋体" w:hint="default"/>
                <w:sz w:val="18"/>
                <w:szCs w:val="18"/>
              </w:rPr>
              <w:t>当期预测 业绩（万 元）</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1" w:right="59"/>
              <w:jc w:val="center"/>
              <w:rPr>
                <w:rFonts w:ascii="宋体" w:hAnsi="宋体" w:cs="宋体" w:eastAsia="宋体" w:hint="default"/>
                <w:sz w:val="18"/>
                <w:szCs w:val="18"/>
              </w:rPr>
            </w:pPr>
            <w:r>
              <w:rPr>
                <w:rFonts w:ascii="宋体" w:hAnsi="宋体" w:cs="宋体" w:eastAsia="宋体" w:hint="default"/>
                <w:sz w:val="18"/>
                <w:szCs w:val="18"/>
              </w:rPr>
              <w:t>当期实际 业绩（万 元）</w:t>
            </w:r>
          </w:p>
        </w:tc>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23" w:right="0"/>
              <w:jc w:val="left"/>
              <w:rPr>
                <w:rFonts w:ascii="宋体" w:hAnsi="宋体" w:cs="宋体" w:eastAsia="宋体" w:hint="default"/>
                <w:sz w:val="18"/>
                <w:szCs w:val="18"/>
              </w:rPr>
            </w:pPr>
            <w:r>
              <w:rPr>
                <w:rFonts w:ascii="宋体" w:hAnsi="宋体" w:cs="宋体" w:eastAsia="宋体" w:hint="default"/>
                <w:sz w:val="18"/>
                <w:szCs w:val="18"/>
              </w:rPr>
              <w:t>未达预测的原因（如适用）</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99" w:right="96"/>
              <w:jc w:val="both"/>
              <w:rPr>
                <w:rFonts w:ascii="宋体" w:hAnsi="宋体" w:cs="宋体" w:eastAsia="宋体" w:hint="default"/>
                <w:sz w:val="18"/>
                <w:szCs w:val="18"/>
              </w:rPr>
            </w:pPr>
            <w:r>
              <w:rPr>
                <w:rFonts w:ascii="宋体" w:hAnsi="宋体" w:cs="宋体" w:eastAsia="宋体" w:hint="default"/>
                <w:sz w:val="18"/>
                <w:szCs w:val="18"/>
              </w:rPr>
              <w:t>原预 测披 露日 期</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3" w:right="92" w:hanging="90"/>
              <w:jc w:val="left"/>
              <w:rPr>
                <w:rFonts w:ascii="宋体" w:hAnsi="宋体" w:cs="宋体" w:eastAsia="宋体" w:hint="default"/>
                <w:sz w:val="18"/>
                <w:szCs w:val="18"/>
              </w:rPr>
            </w:pPr>
            <w:r>
              <w:rPr>
                <w:rFonts w:ascii="宋体" w:hAnsi="宋体" w:cs="宋体" w:eastAsia="宋体" w:hint="default"/>
                <w:sz w:val="18"/>
                <w:szCs w:val="18"/>
              </w:rPr>
              <w:t>原预测披 露索引</w:t>
            </w:r>
          </w:p>
        </w:tc>
      </w:tr>
      <w:tr>
        <w:trPr>
          <w:trHeight w:val="360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赣发 租赁</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8,817.03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8,615.26</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．项目投放时间影响。</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年投放规模达到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13.8 </w:t>
            </w:r>
            <w:r>
              <w:rPr>
                <w:rFonts w:ascii="宋体" w:hAnsi="宋体" w:cs="宋体" w:eastAsia="宋体" w:hint="default"/>
                <w:sz w:val="18"/>
                <w:szCs w:val="18"/>
              </w:rPr>
              <w:t>亿元，由 于政策调整、项目储备、资金匹配等因素，有近一半金额的 投放时间在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月后实现投放，整体投放收益周期较 短，在一定程度上影响了营业收入。</w:t>
            </w:r>
          </w:p>
          <w:p>
            <w:pPr>
              <w:pStyle w:val="TableParagraph"/>
              <w:spacing w:line="309" w:lineRule="auto" w:before="64"/>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．公司业务方向调整影响。加大民生公用事业投入，致使部 </w:t>
            </w:r>
            <w:r>
              <w:rPr>
                <w:rFonts w:ascii="宋体" w:hAnsi="宋体" w:cs="宋体" w:eastAsia="宋体" w:hint="default"/>
                <w:spacing w:val="-4"/>
                <w:sz w:val="18"/>
                <w:szCs w:val="18"/>
              </w:rPr>
              <w:t>分项目收益率下降，如南康污水、崇义水务、兴国二医院（二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期）、大余中医院（三期）等项目。</w:t>
            </w:r>
          </w:p>
          <w:p>
            <w:pPr>
              <w:pStyle w:val="TableParagraph"/>
              <w:spacing w:line="300" w:lineRule="auto" w:before="64"/>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．融资成本抬升影响。随着资本市场额度的收缩，融资成本 </w:t>
            </w:r>
            <w:r>
              <w:rPr>
                <w:rFonts w:ascii="宋体" w:hAnsi="宋体" w:cs="宋体" w:eastAsia="宋体" w:hint="default"/>
                <w:spacing w:val="-4"/>
                <w:sz w:val="18"/>
                <w:szCs w:val="18"/>
              </w:rPr>
              <w:t>也水涨船高。</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年公司的平均融资成本为</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6.5%</w:t>
            </w:r>
            <w:r>
              <w:rPr>
                <w:rFonts w:ascii="宋体" w:hAnsi="宋体" w:cs="宋体" w:eastAsia="宋体" w:hint="default"/>
                <w:spacing w:val="-5"/>
                <w:sz w:val="18"/>
                <w:szCs w:val="18"/>
              </w:rPr>
              <w:t>，而在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年度，平均融资成本已上升到</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6.8%</w:t>
            </w:r>
            <w:r>
              <w:rPr>
                <w:rFonts w:ascii="宋体" w:hAnsi="宋体" w:cs="宋体" w:eastAsia="宋体" w:hint="default"/>
                <w:spacing w:val="-4"/>
                <w:sz w:val="18"/>
                <w:szCs w:val="18"/>
              </w:rPr>
              <w:t>，直接增加了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 的营业成本。</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22" w:right="163"/>
              <w:jc w:val="left"/>
              <w:rPr>
                <w:rFonts w:ascii="宋体" w:hAnsi="宋体" w:cs="宋体" w:eastAsia="宋体" w:hint="default"/>
                <w:sz w:val="18"/>
                <w:szCs w:val="18"/>
              </w:rPr>
            </w:pPr>
            <w:r>
              <w:rPr>
                <w:rFonts w:ascii="宋体" w:hAnsi="宋体" w:cs="宋体" w:eastAsia="宋体" w:hint="default"/>
                <w:sz w:val="18"/>
                <w:szCs w:val="18"/>
              </w:rPr>
              <w:t>巨潮咨询 网：</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2016-31</w:t>
            </w:r>
          </w:p>
        </w:tc>
      </w:tr>
      <w:tr>
        <w:trPr>
          <w:trHeight w:val="1338"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1"/>
              <w:jc w:val="left"/>
              <w:rPr>
                <w:rFonts w:ascii="宋体" w:hAnsi="宋体" w:cs="宋体" w:eastAsia="宋体" w:hint="default"/>
                <w:sz w:val="18"/>
                <w:szCs w:val="18"/>
              </w:rPr>
            </w:pPr>
            <w:r>
              <w:rPr>
                <w:rFonts w:ascii="宋体" w:hAnsi="宋体" w:cs="宋体" w:eastAsia="宋体" w:hint="default"/>
                <w:sz w:val="18"/>
                <w:szCs w:val="18"/>
              </w:rPr>
              <w:t>爱康 光电</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32,591.49</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3"/>
              <w:jc w:val="left"/>
              <w:rPr>
                <w:rFonts w:ascii="宋体" w:hAnsi="宋体" w:cs="宋体" w:eastAsia="宋体" w:hint="default"/>
                <w:sz w:val="18"/>
                <w:szCs w:val="18"/>
              </w:rPr>
            </w:pPr>
            <w:r>
              <w:rPr>
                <w:rFonts w:ascii="宋体" w:hAnsi="宋体" w:cs="宋体" w:eastAsia="宋体" w:hint="default"/>
                <w:sz w:val="18"/>
                <w:szCs w:val="18"/>
              </w:rPr>
              <w:t>巨潮咨询 网：</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2016-138</w:t>
            </w:r>
          </w:p>
        </w:tc>
      </w:tr>
    </w:tbl>
    <w:p>
      <w:pPr>
        <w:pStyle w:val="BodyText"/>
        <w:spacing w:line="240" w:lineRule="auto" w:before="51"/>
        <w:ind w:right="1122"/>
        <w:jc w:val="left"/>
      </w:pPr>
      <w:r>
        <w:rPr/>
        <w:t>公司股东、交易对手方在报告年度经营业绩做出的承诺情况</w:t>
      </w:r>
    </w:p>
    <w:p>
      <w:pPr>
        <w:pStyle w:val="BodyText"/>
        <w:spacing w:line="240" w:lineRule="auto" w:before="117"/>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042" w:firstLine="360"/>
        <w:jc w:val="left"/>
      </w:pPr>
      <w:r>
        <w:rPr>
          <w:rFonts w:ascii="Times New Roman" w:hAnsi="Times New Roman" w:cs="Times New Roman" w:eastAsia="Times New Roman" w:hint="default"/>
          <w:spacing w:val="-3"/>
        </w:rPr>
        <w:t>1</w:t>
      </w:r>
      <w:r>
        <w:rPr>
          <w:spacing w:val="-3"/>
        </w:rPr>
        <w:t>、公司于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月以现金方式向控股股东爱康实业收购了其持有的赣发租赁</w:t>
      </w:r>
      <w:r>
        <w:rPr>
          <w:rFonts w:ascii="Times New Roman" w:hAnsi="Times New Roman" w:cs="Times New Roman" w:eastAsia="Times New Roman" w:hint="default"/>
          <w:spacing w:val="-3"/>
        </w:rPr>
        <w:t>40%</w:t>
      </w:r>
      <w:r>
        <w:rPr>
          <w:spacing w:val="-3"/>
        </w:rPr>
        <w:t>的股权。赣发租赁预测 </w:t>
      </w:r>
      <w:r>
        <w:rPr>
          <w:rFonts w:ascii="Times New Roman" w:hAnsi="Times New Roman" w:cs="Times New Roman" w:eastAsia="Times New Roman" w:hint="default"/>
        </w:rPr>
        <w:t>2016</w:t>
      </w:r>
      <w:r>
        <w:rPr>
          <w:rFonts w:ascii="Times New Roman" w:hAnsi="Times New Roman" w:cs="Times New Roman" w:eastAsia="Times New Roman" w:hint="default"/>
          <w:spacing w:val="22"/>
        </w:rPr>
        <w:t> </w:t>
      </w:r>
      <w:r>
        <w:rPr>
          <w:spacing w:val="-11"/>
        </w:rPr>
        <w:t>年、</w:t>
      </w:r>
      <w:r>
        <w:rPr>
          <w:rFonts w:ascii="Times New Roman" w:hAnsi="Times New Roman" w:cs="Times New Roman" w:eastAsia="Times New Roman" w:hint="default"/>
          <w:spacing w:val="-11"/>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2018 </w:t>
      </w:r>
      <w:r>
        <w:rPr/>
        <w:t>年实现净利润分别为 </w:t>
      </w:r>
      <w:r>
        <w:rPr>
          <w:rFonts w:ascii="Times New Roman" w:hAnsi="Times New Roman" w:cs="Times New Roman" w:eastAsia="Times New Roman" w:hint="default"/>
        </w:rPr>
        <w:t>4,689.48</w:t>
      </w:r>
      <w:r>
        <w:rPr/>
        <w:t>万元、</w:t>
      </w:r>
      <w:r>
        <w:rPr>
          <w:rFonts w:ascii="Times New Roman" w:hAnsi="Times New Roman" w:cs="Times New Roman" w:eastAsia="Times New Roman" w:hint="default"/>
        </w:rPr>
        <w:t>6,890.59 </w:t>
      </w:r>
      <w:r>
        <w:rPr/>
        <w:t>万元、</w:t>
      </w:r>
      <w:r>
        <w:rPr>
          <w:rFonts w:ascii="Times New Roman" w:hAnsi="Times New Roman" w:cs="Times New Roman" w:eastAsia="Times New Roman" w:hint="default"/>
        </w:rPr>
        <w:t>8,817.03</w:t>
      </w:r>
      <w:r>
        <w:rPr>
          <w:rFonts w:ascii="Times New Roman" w:hAnsi="Times New Roman" w:cs="Times New Roman" w:eastAsia="Times New Roman" w:hint="default"/>
          <w:spacing w:val="14"/>
        </w:rPr>
        <w:t> </w:t>
      </w:r>
      <w:r>
        <w:rPr/>
        <w:t>万元（经审计，以扣除非经常性损益前后归属于母 公司的净利润孰低者为计算依据）。爱康实业承诺若</w:t>
      </w:r>
      <w:r>
        <w:rPr>
          <w:rFonts w:ascii="Times New Roman" w:hAnsi="Times New Roman" w:cs="Times New Roman" w:eastAsia="Times New Roman" w:hint="default"/>
        </w:rPr>
        <w:t>2016 </w:t>
      </w:r>
      <w:r>
        <w:rPr/>
        <w:t>年、</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年赣发租赁经审计净利润低于管理层预测数， 将以现金方式向本公司补足，具体补偿金额计算公式为：（承诺业绩</w:t>
      </w:r>
      <w:r>
        <w:rPr>
          <w:rFonts w:ascii="Times New Roman" w:hAnsi="Times New Roman" w:cs="Times New Roman" w:eastAsia="Times New Roman" w:hint="default"/>
        </w:rPr>
        <w:t>-</w:t>
      </w:r>
      <w:r>
        <w:rPr/>
        <w:t>当年实际净利润）</w:t>
      </w:r>
      <w:r>
        <w:rPr>
          <w:rFonts w:ascii="Times New Roman" w:hAnsi="Times New Roman" w:cs="Times New Roman" w:eastAsia="Times New Roman" w:hint="default"/>
        </w:rPr>
        <w:t>*40%</w:t>
      </w:r>
      <w:r>
        <w:rPr/>
        <w:t>。。</w:t>
      </w:r>
    </w:p>
    <w:p>
      <w:pPr>
        <w:pStyle w:val="BodyText"/>
        <w:spacing w:line="300" w:lineRule="auto" w:before="53"/>
        <w:ind w:right="1129" w:firstLine="360"/>
        <w:jc w:val="both"/>
      </w:pPr>
      <w:r>
        <w:rPr>
          <w:rFonts w:ascii="Times New Roman" w:hAnsi="Times New Roman" w:cs="Times New Roman" w:eastAsia="Times New Roman" w:hint="default"/>
          <w:spacing w:val="-1"/>
        </w:rPr>
        <w:t>2</w:t>
      </w:r>
      <w:r>
        <w:rPr>
          <w:spacing w:val="-1"/>
        </w:rPr>
        <w:t>、公司以支付现金的方式购买爱康光电</w:t>
      </w:r>
      <w:r>
        <w:rPr>
          <w:rFonts w:ascii="Times New Roman" w:hAnsi="Times New Roman" w:cs="Times New Roman" w:eastAsia="Times New Roman" w:hint="default"/>
          <w:spacing w:val="-1"/>
        </w:rPr>
        <w:t>100%</w:t>
      </w:r>
      <w:r>
        <w:rPr>
          <w:spacing w:val="-1"/>
        </w:rPr>
        <w:t>的股权，已经公司第二届董事会第五十六次临时会议、</w:t>
      </w:r>
      <w:r>
        <w:rPr>
          <w:rFonts w:ascii="Times New Roman" w:hAnsi="Times New Roman" w:cs="Times New Roman" w:eastAsia="Times New Roman" w:hint="default"/>
          <w:spacing w:val="-1"/>
        </w:rPr>
        <w:t>2016</w:t>
      </w:r>
      <w:r>
        <w:rPr>
          <w:spacing w:val="-1"/>
        </w:rPr>
        <w:t>年第六次临时</w:t>
      </w:r>
      <w:r>
        <w:rPr/>
        <w:t> </w:t>
      </w:r>
      <w:r>
        <w:rPr>
          <w:spacing w:val="-2"/>
        </w:rPr>
        <w:t>股东大会审议通过。交易对手方承诺爱康光电</w:t>
      </w:r>
      <w:r>
        <w:rPr>
          <w:rFonts w:ascii="Times New Roman" w:hAnsi="Times New Roman" w:cs="Times New Roman" w:eastAsia="Times New Roman" w:hint="default"/>
          <w:spacing w:val="-2"/>
        </w:rPr>
        <w:t>2016</w:t>
      </w:r>
      <w:r>
        <w:rPr>
          <w:spacing w:val="-2"/>
        </w:rPr>
        <w:t>年度、</w:t>
      </w:r>
      <w:r>
        <w:rPr>
          <w:rFonts w:ascii="Times New Roman" w:hAnsi="Times New Roman" w:cs="Times New Roman" w:eastAsia="Times New Roman" w:hint="default"/>
          <w:spacing w:val="-2"/>
        </w:rPr>
        <w:t>2017</w:t>
      </w:r>
      <w:r>
        <w:rPr>
          <w:spacing w:val="-2"/>
        </w:rPr>
        <w:t>年度和</w:t>
      </w:r>
      <w:r>
        <w:rPr>
          <w:rFonts w:ascii="Times New Roman" w:hAnsi="Times New Roman" w:cs="Times New Roman" w:eastAsia="Times New Roman" w:hint="default"/>
          <w:spacing w:val="-2"/>
        </w:rPr>
        <w:t>2018</w:t>
      </w:r>
      <w:r>
        <w:rPr>
          <w:spacing w:val="-2"/>
        </w:rPr>
        <w:t>年度经审计扣除非经常性损益（依法取得的财政补</w:t>
      </w:r>
      <w:r>
        <w:rPr>
          <w:spacing w:val="-54"/>
        </w:rPr>
        <w:t> </w:t>
      </w:r>
      <w:r>
        <w:rPr>
          <w:spacing w:val="-54"/>
        </w:rPr>
      </w:r>
      <w:r>
        <w:rPr/>
        <w:t>贴除外）后归属于母公司股东的净利润数分别为人民币</w:t>
      </w:r>
      <w:r>
        <w:rPr>
          <w:rFonts w:ascii="Times New Roman" w:hAnsi="Times New Roman" w:cs="Times New Roman" w:eastAsia="Times New Roman" w:hint="default"/>
        </w:rPr>
        <w:t>9,000</w:t>
      </w:r>
      <w:r>
        <w:rPr/>
        <w:t>万元、人民币</w:t>
      </w:r>
      <w:r>
        <w:rPr>
          <w:rFonts w:ascii="Times New Roman" w:hAnsi="Times New Roman" w:cs="Times New Roman" w:eastAsia="Times New Roman" w:hint="default"/>
        </w:rPr>
        <w:t>11,000</w:t>
      </w:r>
      <w:r>
        <w:rPr/>
        <w:t>万元和人民币</w:t>
      </w:r>
      <w:r>
        <w:rPr>
          <w:rFonts w:ascii="Times New Roman" w:hAnsi="Times New Roman" w:cs="Times New Roman" w:eastAsia="Times New Roman" w:hint="default"/>
        </w:rPr>
        <w:t>12,500</w:t>
      </w:r>
      <w:r>
        <w:rPr/>
        <w:t>万元。对于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spacing w:val="-45"/>
        </w:rPr>
        <w:t> </w:t>
      </w:r>
      <w:r>
        <w:rPr>
          <w:rFonts w:ascii="Times New Roman" w:hAnsi="Times New Roman" w:cs="Times New Roman" w:eastAsia="Times New Roman" w:hint="default"/>
        </w:rPr>
        <w:t>31</w:t>
      </w:r>
      <w:r>
        <w:rPr/>
        <w:t>日（即评估基准日）的应收账款，截至</w:t>
      </w:r>
      <w:r>
        <w:rPr>
          <w:rFonts w:ascii="Times New Roman" w:hAnsi="Times New Roman" w:cs="Times New Roman" w:eastAsia="Times New Roman" w:hint="default"/>
        </w:rPr>
        <w:t>2018</w:t>
      </w:r>
      <w:r>
        <w:rPr/>
        <w:t>年度审计报告出具之日，若实际未收回金额超过</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日的累计坏账计</w:t>
      </w:r>
      <w:r>
        <w:rPr>
          <w:spacing w:val="-82"/>
        </w:rPr>
        <w:t> </w:t>
      </w:r>
      <w:r>
        <w:rPr>
          <w:spacing w:val="-82"/>
        </w:rPr>
      </w:r>
      <w:r>
        <w:rPr/>
        <w:t>提金额，即</w:t>
      </w:r>
      <w:r>
        <w:rPr>
          <w:rFonts w:ascii="Times New Roman" w:hAnsi="Times New Roman" w:cs="Times New Roman" w:eastAsia="Times New Roman" w:hint="default"/>
        </w:rPr>
        <w:t>2,521.41</w:t>
      </w:r>
      <w:r>
        <w:rPr/>
        <w:t>万元，超过部分将由转让方分别就其目前的持股比例以现金补足给上市公司。</w:t>
      </w:r>
    </w:p>
    <w:p>
      <w:pPr>
        <w:spacing w:line="240" w:lineRule="auto" w:before="2"/>
        <w:rPr>
          <w:rFonts w:ascii="宋体" w:hAnsi="宋体" w:cs="宋体" w:eastAsia="宋体" w:hint="default"/>
          <w:sz w:val="20"/>
          <w:szCs w:val="20"/>
        </w:rPr>
      </w:pPr>
    </w:p>
    <w:p>
      <w:pPr>
        <w:pStyle w:val="Heading2"/>
        <w:spacing w:line="240" w:lineRule="auto"/>
        <w:ind w:right="1122"/>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3"/>
        <w:gridCol w:w="955"/>
        <w:gridCol w:w="956"/>
        <w:gridCol w:w="959"/>
        <w:gridCol w:w="958"/>
        <w:gridCol w:w="958"/>
        <w:gridCol w:w="958"/>
        <w:gridCol w:w="959"/>
        <w:gridCol w:w="958"/>
        <w:gridCol w:w="948"/>
      </w:tblGrid>
      <w:tr>
        <w:trPr>
          <w:trHeight w:val="383" w:hRule="exact"/>
        </w:trPr>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0" w:right="0"/>
              <w:jc w:val="left"/>
              <w:rPr>
                <w:rFonts w:ascii="宋体" w:hAnsi="宋体" w:cs="宋体" w:eastAsia="宋体" w:hint="default"/>
                <w:sz w:val="18"/>
                <w:szCs w:val="18"/>
              </w:rPr>
            </w:pPr>
            <w:r>
              <w:rPr>
                <w:rFonts w:ascii="宋体" w:hAnsi="宋体" w:cs="宋体" w:eastAsia="宋体" w:hint="default"/>
                <w:sz w:val="18"/>
                <w:szCs w:val="18"/>
              </w:rPr>
              <w:t>股东或关</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2"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0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报告期新增</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报告期偿还</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0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预计偿还方</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预计偿还金</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预计偿还时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0" w:right="1138"/>
        <w:jc w:val="right"/>
      </w:pPr>
      <w:r>
        <w:rPr/>
        <w:pict>
          <v:shape style="position:absolute;margin-left:56.459999pt;margin-top:-175.088272pt;width:479.3pt;height:397.8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2"/>
                    <w:gridCol w:w="955"/>
                    <w:gridCol w:w="956"/>
                    <w:gridCol w:w="958"/>
                    <w:gridCol w:w="959"/>
                    <w:gridCol w:w="958"/>
                    <w:gridCol w:w="958"/>
                    <w:gridCol w:w="959"/>
                    <w:gridCol w:w="958"/>
                    <w:gridCol w:w="959"/>
                  </w:tblGrid>
                  <w:tr>
                    <w:trPr>
                      <w:trHeight w:val="362" w:hRule="exact"/>
                    </w:trPr>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0" w:right="0"/>
                          <w:jc w:val="left"/>
                          <w:rPr>
                            <w:rFonts w:ascii="宋体" w:hAnsi="宋体" w:cs="宋体" w:eastAsia="宋体" w:hint="default"/>
                            <w:sz w:val="18"/>
                            <w:szCs w:val="18"/>
                          </w:rPr>
                        </w:pPr>
                        <w:r>
                          <w:rPr>
                            <w:rFonts w:ascii="宋体" w:hAnsi="宋体" w:cs="宋体" w:eastAsia="宋体" w:hint="default"/>
                            <w:sz w:val="18"/>
                            <w:szCs w:val="18"/>
                          </w:rPr>
                          <w:t>联人名称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4" w:right="0"/>
                          <w:jc w:val="left"/>
                          <w:rPr>
                            <w:rFonts w:ascii="宋体" w:hAnsi="宋体" w:cs="宋体" w:eastAsia="宋体" w:hint="default"/>
                            <w:sz w:val="18"/>
                            <w:szCs w:val="18"/>
                          </w:rPr>
                        </w:pPr>
                        <w:r>
                          <w:rPr>
                            <w:rFonts w:ascii="宋体" w:hAnsi="宋体" w:cs="宋体" w:eastAsia="宋体" w:hint="default"/>
                            <w:sz w:val="18"/>
                            <w:szCs w:val="18"/>
                          </w:rPr>
                          <w:t>占用金额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3" w:right="0"/>
                          <w:jc w:val="left"/>
                          <w:rPr>
                            <w:rFonts w:ascii="宋体" w:hAnsi="宋体" w:cs="宋体" w:eastAsia="宋体" w:hint="default"/>
                            <w:sz w:val="18"/>
                            <w:szCs w:val="18"/>
                          </w:rPr>
                        </w:pPr>
                        <w:r>
                          <w:rPr>
                            <w:rFonts w:ascii="宋体" w:hAnsi="宋体" w:cs="宋体" w:eastAsia="宋体" w:hint="default"/>
                            <w:sz w:val="18"/>
                            <w:szCs w:val="18"/>
                          </w:rPr>
                          <w:t>总金额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间（月份）</w:t>
                        </w:r>
                      </w:p>
                    </w:tc>
                  </w:tr>
                  <w:tr>
                    <w:trPr>
                      <w:trHeight w:val="1962"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10" w:right="111"/>
                          <w:jc w:val="left"/>
                          <w:rPr>
                            <w:rFonts w:ascii="宋体" w:hAnsi="宋体" w:cs="宋体" w:eastAsia="宋体" w:hint="default"/>
                            <w:sz w:val="18"/>
                            <w:szCs w:val="18"/>
                          </w:rPr>
                        </w:pPr>
                        <w:r>
                          <w:rPr>
                            <w:rFonts w:ascii="宋体" w:hAnsi="宋体" w:cs="宋体" w:eastAsia="宋体" w:hint="default"/>
                            <w:sz w:val="18"/>
                            <w:szCs w:val="18"/>
                          </w:rPr>
                          <w:t>日本爱康 株式会社</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出售日本爱 康后，由本 公司的全资 孙公司变更 为非合并范 围关联方</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113.38</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115.91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115.91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2019-04</w:t>
                        </w:r>
                      </w:p>
                    </w:tc>
                  </w:tr>
                  <w:tr>
                    <w:trPr>
                      <w:trHeight w:val="402"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113.38</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115.91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115.91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期末合计值占最近一期经审计净资 产的比例</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详见巨潮咨询《关于转让日本全资孙公司暨关联交易的公告 </w:t>
                        </w:r>
                        <w:r>
                          <w:rPr>
                            <w:rFonts w:ascii="宋体" w:hAnsi="宋体" w:cs="宋体" w:eastAsia="宋体" w:hint="default"/>
                            <w:spacing w:val="-20"/>
                            <w:sz w:val="18"/>
                            <w:szCs w:val="18"/>
                          </w:rPr>
                          <w:t>》</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2018-27</w:t>
                        </w:r>
                      </w:p>
                    </w:tc>
                  </w:tr>
                  <w:tr>
                    <w:trPr>
                      <w:trHeight w:val="1650"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5"/>
                            <w:sz w:val="18"/>
                            <w:szCs w:val="18"/>
                          </w:rPr>
                          <w:t>营性资金占用情况的原因、责任人追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究及董事会拟定采取措施的情况说 明</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月本公司将持有的日本爱康株式会社（以下简称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日本爱康</w:t>
                        </w:r>
                        <w:r>
                          <w:rPr>
                            <w:rFonts w:ascii="Times New Roman" w:hAnsi="Times New Roman" w:cs="Times New Roman" w:eastAsia="Times New Roman" w:hint="default"/>
                            <w:sz w:val="18"/>
                            <w:szCs w:val="18"/>
                          </w:rPr>
                          <w:t>”</w:t>
                        </w:r>
                        <w:r>
                          <w:rPr>
                            <w:rFonts w:ascii="宋体" w:hAnsi="宋体" w:cs="宋体" w:eastAsia="宋体" w:hint="default"/>
                            <w:sz w:val="18"/>
                            <w:szCs w:val="18"/>
                          </w:rPr>
                          <w:t>）的股权出售给 </w:t>
                        </w:r>
                        <w:r>
                          <w:rPr>
                            <w:rFonts w:ascii="宋体" w:hAnsi="宋体" w:cs="宋体" w:eastAsia="宋体" w:hint="default"/>
                            <w:spacing w:val="-1"/>
                            <w:sz w:val="18"/>
                            <w:szCs w:val="18"/>
                          </w:rPr>
                          <w:t>关联方爱康能源株式会社，出售后日本爱康由本公司的全资孙公司变更为非合并范围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关联方，</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年日本爱康原股东香港爱康电力国际控股有限公司支付给日本爱康</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万元，用于其日常运营，本表披露的往来变动额为全年汇兑损益。截至本报告日，日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本爱康已经归还上述款项。</w:t>
                        </w:r>
                      </w:p>
                    </w:tc>
                  </w:tr>
                  <w:tr>
                    <w:trPr>
                      <w:trHeight w:val="1026"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5"/>
                            <w:sz w:val="18"/>
                            <w:szCs w:val="18"/>
                          </w:rPr>
                          <w:t>的原因、责任追究情况及董事会拟定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采取的措施说明</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截至本报告日，日本爱康已经归还上述款项。</w:t>
                        </w:r>
                      </w:p>
                    </w:tc>
                  </w:tr>
                  <w:tr>
                    <w:trPr>
                      <w:trHeight w:val="714"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详见《关于江苏爱康科技股份有限公司关联方非经营性资金占用及其他关联资金往来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情况汇总表的专项审核报告》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2"/>
        <w:spacing w:line="240" w:lineRule="auto" w:before="26"/>
        <w:ind w:right="0"/>
        <w:jc w:val="both"/>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4" w:right="1122"/>
        <w:jc w:val="left"/>
      </w:pPr>
      <w:r>
        <w:rPr/>
        <w:t>（</w:t>
      </w:r>
      <w:r>
        <w:rPr>
          <w:rFonts w:ascii="Times New Roman" w:hAnsi="Times New Roman" w:cs="Times New Roman" w:eastAsia="Times New Roman" w:hint="default"/>
        </w:rPr>
        <w:t>1</w:t>
      </w:r>
      <w:r>
        <w:rPr/>
        <w:t>）会计政策变更</w:t>
      </w:r>
    </w:p>
    <w:p>
      <w:pPr>
        <w:pStyle w:val="BodyText"/>
        <w:spacing w:line="316" w:lineRule="auto" w:before="63"/>
        <w:ind w:left="514" w:right="1122" w:firstLine="120"/>
        <w:jc w:val="left"/>
      </w:pPr>
      <w:r>
        <w:rPr/>
        <w:t>①因执行新企业会计准则导致的会计政策变更 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月发布了《关于修订印发</w:t>
      </w:r>
      <w:r>
        <w:rPr>
          <w:rFonts w:ascii="Times New Roman" w:hAnsi="Times New Roman" w:cs="Times New Roman" w:eastAsia="Times New Roman" w:hint="default"/>
        </w:rPr>
        <w:t>2018</w:t>
      </w:r>
      <w:r>
        <w:rPr/>
        <w:t>年度一般企业财务报表格的通知》（财会</w:t>
      </w:r>
      <w:r>
        <w:rPr>
          <w:rFonts w:ascii="Times New Roman" w:hAnsi="Times New Roman" w:cs="Times New Roman" w:eastAsia="Times New Roman" w:hint="default"/>
        </w:rPr>
        <w:t>[2018]15</w:t>
      </w:r>
      <w:r>
        <w:rPr/>
        <w:t>号</w:t>
      </w:r>
      <w:r>
        <w:rPr>
          <w:rFonts w:ascii="Times New Roman" w:hAnsi="Times New Roman" w:cs="Times New Roman" w:eastAsia="Times New Roman" w:hint="default"/>
        </w:rPr>
        <w:t>)</w:t>
      </w:r>
      <w:r>
        <w:rPr/>
        <w:t>，本公司根据相关</w:t>
      </w:r>
    </w:p>
    <w:p>
      <w:pPr>
        <w:pStyle w:val="BodyText"/>
        <w:spacing w:line="309" w:lineRule="auto"/>
        <w:ind w:right="1131"/>
        <w:jc w:val="both"/>
      </w:pPr>
      <w:r>
        <w:rPr>
          <w:spacing w:val="-1"/>
        </w:rPr>
        <w:t>要求按照一般企业财务报表格式</w:t>
      </w:r>
      <w:r>
        <w:rPr>
          <w:rFonts w:ascii="Times New Roman" w:hAnsi="Times New Roman" w:cs="Times New Roman" w:eastAsia="Times New Roman" w:hint="default"/>
          <w:spacing w:val="-1"/>
        </w:rPr>
        <w:t>(</w:t>
      </w:r>
      <w:r>
        <w:rPr>
          <w:spacing w:val="-1"/>
        </w:rPr>
        <w:t>适用于尚未执行新金融准则和新收入准则的企业</w:t>
      </w:r>
      <w:r>
        <w:rPr>
          <w:rFonts w:ascii="Times New Roman" w:hAnsi="Times New Roman" w:cs="Times New Roman" w:eastAsia="Times New Roman" w:hint="default"/>
          <w:spacing w:val="-1"/>
        </w:rPr>
        <w:t>)</w:t>
      </w:r>
      <w:r>
        <w:rPr>
          <w:spacing w:val="-1"/>
        </w:rPr>
        <w:t>编制财务报表。本公司根据通知的列报要</w:t>
      </w:r>
      <w:r>
        <w:rPr>
          <w:spacing w:val="-57"/>
        </w:rPr>
        <w:t> </w:t>
      </w:r>
      <w:r>
        <w:rPr>
          <w:spacing w:val="-57"/>
        </w:rPr>
      </w:r>
      <w:r>
        <w:rPr>
          <w:spacing w:val="-2"/>
        </w:rPr>
        <w:t>求相应追溯重述了比较报表，本期和比较期间财务报表的部分项目列报内容不同，但对本期和比较期间的本公司净利润和股</w:t>
      </w:r>
      <w:r>
        <w:rPr>
          <w:spacing w:val="-64"/>
        </w:rPr>
        <w:t> </w:t>
      </w:r>
      <w:r>
        <w:rPr>
          <w:spacing w:val="-64"/>
        </w:rPr>
      </w:r>
      <w:r>
        <w:rPr/>
        <w:t>东权益无影响。</w:t>
      </w:r>
    </w:p>
    <w:p>
      <w:pPr>
        <w:pStyle w:val="BodyText"/>
        <w:spacing w:line="319" w:lineRule="auto" w:before="24"/>
        <w:ind w:left="634" w:right="7032"/>
        <w:jc w:val="left"/>
      </w:pPr>
      <w:r>
        <w:rPr/>
        <w:t>②其他会计政策变更 本公司本报告期内无其他会计政策变更。</w:t>
      </w:r>
    </w:p>
    <w:p>
      <w:pPr>
        <w:pStyle w:val="BodyText"/>
        <w:spacing w:line="300" w:lineRule="auto" w:before="17"/>
        <w:ind w:left="514" w:right="7512"/>
        <w:jc w:val="left"/>
      </w:pPr>
      <w:r>
        <w:rPr/>
        <w:t>（</w:t>
      </w:r>
      <w:r>
        <w:rPr>
          <w:rFonts w:ascii="Times New Roman" w:hAnsi="Times New Roman" w:cs="Times New Roman" w:eastAsia="Times New Roman" w:hint="default"/>
        </w:rPr>
        <w:t>2</w:t>
      </w:r>
      <w:r>
        <w:rPr/>
        <w:t>）会计估计变更 本公司本报告期内无会计估计变更。</w:t>
      </w:r>
    </w:p>
    <w:p>
      <w:pPr>
        <w:spacing w:after="0" w:line="30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22"/>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1122"/>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28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rPr>
        <w:t>1.</w:t>
      </w:r>
      <w:r>
        <w:rPr/>
        <w:t>本年新纳入合并范围的子公司、特殊目的主体、通过受托经营或承租等方式形成控制权的经营实体</w:t>
      </w:r>
    </w:p>
    <w:p>
      <w:pPr>
        <w:spacing w:line="240" w:lineRule="auto" w:before="3"/>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986"/>
        <w:gridCol w:w="1134"/>
        <w:gridCol w:w="1002"/>
        <w:gridCol w:w="1266"/>
        <w:gridCol w:w="1370"/>
        <w:gridCol w:w="1004"/>
      </w:tblGrid>
      <w:tr>
        <w:trPr>
          <w:trHeight w:val="634" w:hRule="exact"/>
        </w:trPr>
        <w:tc>
          <w:tcPr>
            <w:tcW w:w="398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1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10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37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股权取得比例</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0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新增方式</w:t>
            </w:r>
          </w:p>
        </w:tc>
      </w:tr>
      <w:tr>
        <w:trPr>
          <w:trHeight w:val="32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青岛中德爱康能源科技有限公司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山东</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山东</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sz w:val="18"/>
                <w:szCs w:val="18"/>
              </w:rPr>
              <w:t>能源互联网</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80%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浙江爱康光电科技有限公司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浙江湖州</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浙江湖州</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徐州慧康国创股权投资合伙企业（有限合伙）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股权投资</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23.22%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徐州慧兴康新能源科技有限公司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sz w:val="18"/>
                <w:szCs w:val="18"/>
              </w:rPr>
              <w:t>新能源</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23.22%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爱康科技</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新能源私募投资基金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基金</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51"/>
        <w:ind w:right="1122"/>
        <w:jc w:val="left"/>
      </w:pPr>
      <w:r>
        <w:rPr>
          <w:rFonts w:ascii="宋体" w:hAnsi="宋体" w:cs="宋体" w:eastAsia="宋体" w:hint="default"/>
        </w:rPr>
        <w:t>2.</w:t>
      </w:r>
      <w:r>
        <w:rPr/>
        <w:t>本年不再纳入合并范围的公司、特殊目的主体、通过受托经营或承租等方式形成控制权的经营实体</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702"/>
        <w:gridCol w:w="1418"/>
        <w:gridCol w:w="1417"/>
        <w:gridCol w:w="993"/>
        <w:gridCol w:w="1418"/>
        <w:gridCol w:w="815"/>
      </w:tblGrid>
      <w:tr>
        <w:trPr>
          <w:trHeight w:val="634" w:hRule="exact"/>
        </w:trPr>
        <w:tc>
          <w:tcPr>
            <w:tcW w:w="3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4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14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9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股权取得比例</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81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10"/>
              <w:ind w:left="220" w:right="132" w:hanging="90"/>
              <w:jc w:val="left"/>
              <w:rPr>
                <w:rFonts w:ascii="宋体" w:hAnsi="宋体" w:cs="宋体" w:eastAsia="宋体" w:hint="default"/>
                <w:sz w:val="18"/>
                <w:szCs w:val="18"/>
              </w:rPr>
            </w:pPr>
            <w:r>
              <w:rPr>
                <w:rFonts w:ascii="宋体" w:hAnsi="宋体" w:cs="宋体" w:eastAsia="宋体" w:hint="default"/>
                <w:sz w:val="18"/>
                <w:szCs w:val="18"/>
              </w:rPr>
              <w:t>不纳入 原因</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云南新康能源电力有限责任公司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云南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云南</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绥滨昱辉太阳能发电有限公司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黑龙江绥滨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黑龙江绥滨</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抚州爱康电力开发有限公司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江西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江西</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宽甸满族自治县爱康太阳能发电有限公司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辽宁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辽宁</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阳谷宏大电力开发有限公司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贵溪爱康电力开发有限公司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江西</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无棣隆康电力开发有限公司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无棣县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无棣县</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湖北中康新能电力有限公司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湖北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湖北</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江西碳诺科技有限公司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江西</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平泉县仁辉光伏发电有限公司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河北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河北</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
                <w:sz w:val="18"/>
                <w:szCs w:val="18"/>
              </w:rPr>
              <w:t>徐州慧康国创股权投资合伙企业（有限合伙）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股权投资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23.22%</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徐州慧兴康新能源科技有限公司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新能源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23.22%</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浙江瑞旭投资有限公司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浙江嘉兴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浙江嘉兴</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贸易</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新疆爱康电力开发有限公司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新疆精河</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新疆精河</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青海昱辉新能源有限公司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青海乌兰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青海乌兰</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柯坪嘉盛阳光电力有限公司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新疆柯坪县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新疆柯坪县</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苏州慧康电力开发有限公司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湖南中康电力开发有限公司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湖南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湖南</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新疆聚阳能源科技有限公司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新疆奇台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新疆奇台</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九州方园博州新能源有限公司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新疆博州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新疆博州</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九州方园博乐市新能源有限公司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新疆博州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新疆博州</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宿州恒康新能源有限公司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安徽宿州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安徽宿州</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特克斯昱辉太阳能开发有限公司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新疆特克斯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新疆特克斯</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内蒙古四子王旗神光能源发展有限公司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内蒙古</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内蒙古</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3702"/>
        <w:gridCol w:w="1418"/>
        <w:gridCol w:w="1417"/>
        <w:gridCol w:w="993"/>
        <w:gridCol w:w="1418"/>
        <w:gridCol w:w="815"/>
      </w:tblGrid>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新疆伊阳能源科技有限公司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赣州市南康区爱康新能源科技有限公司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江西南康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江西南康</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0"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徐州统联新能源有限公司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江苏徐州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江苏徐州</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济南统联新能源有限公司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山东</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山东</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泰州中康新能源有限公司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江苏泰州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江苏泰州</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30"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丹阳中康电力开发有限公司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丹阳市云阳镇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丹阳市云阳镇</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无锡中康电力开发有限公司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江苏无锡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江苏无锡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日本爱康株式会社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日本</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0"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AJE</w:t>
            </w:r>
            <w:r>
              <w:rPr>
                <w:rFonts w:ascii="宋体" w:hAnsi="宋体" w:cs="宋体" w:eastAsia="宋体" w:hint="default"/>
                <w:spacing w:val="-46"/>
                <w:sz w:val="18"/>
                <w:szCs w:val="18"/>
              </w:rPr>
              <w:t> </w:t>
            </w:r>
            <w:r>
              <w:rPr>
                <w:rFonts w:ascii="宋体" w:hAnsi="宋体" w:cs="宋体" w:eastAsia="宋体" w:hint="default"/>
                <w:sz w:val="18"/>
                <w:szCs w:val="18"/>
              </w:rPr>
              <w:t>第一合同会社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日本</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2"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AJE</w:t>
            </w:r>
            <w:r>
              <w:rPr>
                <w:rFonts w:ascii="宋体" w:hAnsi="宋体" w:cs="宋体" w:eastAsia="宋体" w:hint="default"/>
                <w:spacing w:val="-46"/>
                <w:sz w:val="18"/>
                <w:szCs w:val="18"/>
              </w:rPr>
              <w:t> </w:t>
            </w:r>
            <w:r>
              <w:rPr>
                <w:rFonts w:ascii="宋体" w:hAnsi="宋体" w:cs="宋体" w:eastAsia="宋体" w:hint="default"/>
                <w:sz w:val="18"/>
                <w:szCs w:val="18"/>
              </w:rPr>
              <w:t>第二合同会社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日本</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2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电现第二阳光产业园株式会社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日本</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0"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转让</w:t>
            </w:r>
          </w:p>
        </w:tc>
      </w:tr>
    </w:tbl>
    <w:p>
      <w:pPr>
        <w:spacing w:line="240" w:lineRule="auto" w:before="2"/>
        <w:rPr>
          <w:rFonts w:ascii="宋体" w:hAnsi="宋体" w:cs="宋体" w:eastAsia="宋体" w:hint="default"/>
          <w:sz w:val="18"/>
          <w:szCs w:val="18"/>
        </w:rPr>
      </w:pPr>
    </w:p>
    <w:p>
      <w:pPr>
        <w:pStyle w:val="Heading2"/>
        <w:spacing w:line="240" w:lineRule="auto" w:before="26"/>
        <w:ind w:right="1122"/>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徐殷鹏，秦松涛</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122"/>
        <w:jc w:val="left"/>
      </w:pPr>
      <w:r>
        <w:rPr/>
        <w:t>当期是否改聘会计师事务所</w:t>
      </w:r>
    </w:p>
    <w:p>
      <w:pPr>
        <w:pStyle w:val="BodyText"/>
        <w:spacing w:line="340" w:lineRule="auto" w:before="116"/>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2"/>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2"/>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三、处罚及整改情况" w:id="78"/>
      <w:bookmarkEnd w:id="78"/>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rPr>
        <w:t>2018</w:t>
      </w:r>
      <w:r>
        <w:rPr/>
        <w:t>年</w:t>
      </w:r>
      <w:r>
        <w:rPr>
          <w:rFonts w:ascii="宋体" w:hAnsi="宋体" w:cs="宋体" w:eastAsia="宋体" w:hint="default"/>
        </w:rPr>
        <w:t>02</w:t>
      </w:r>
      <w:r>
        <w:rPr/>
        <w:t>月</w:t>
      </w:r>
      <w:r>
        <w:rPr>
          <w:rFonts w:ascii="宋体" w:hAnsi="宋体" w:cs="宋体" w:eastAsia="宋体" w:hint="default"/>
        </w:rPr>
        <w:t>11</w:t>
      </w:r>
      <w:r>
        <w:rPr/>
        <w:t>日，公司第三届董事会第二十九次临时会议审议通过了《关于</w:t>
      </w:r>
      <w:r>
        <w:rPr>
          <w:rFonts w:ascii="宋体" w:hAnsi="宋体" w:cs="宋体" w:eastAsia="宋体" w:hint="default"/>
        </w:rPr>
        <w:t>&lt;</w:t>
      </w:r>
      <w:r>
        <w:rPr/>
        <w:t>江苏爱康科技股份有限公司</w:t>
      </w:r>
      <w:r>
        <w:rPr>
          <w:rFonts w:ascii="宋体" w:hAnsi="宋体" w:cs="宋体" w:eastAsia="宋体" w:hint="default"/>
        </w:rPr>
        <w:t>2018</w:t>
      </w:r>
      <w:r>
        <w:rPr/>
        <w:t>年限制性</w:t>
      </w:r>
    </w:p>
    <w:p>
      <w:pPr>
        <w:pStyle w:val="BodyText"/>
        <w:spacing w:line="319" w:lineRule="auto" w:before="2"/>
        <w:ind w:right="1128"/>
        <w:jc w:val="both"/>
      </w:pPr>
      <w:r>
        <w:rPr>
          <w:spacing w:val="-2"/>
        </w:rPr>
        <w:t>股票激励计划（草案）</w:t>
      </w:r>
      <w:r>
        <w:rPr>
          <w:rFonts w:ascii="宋体" w:hAnsi="宋体" w:cs="宋体" w:eastAsia="宋体" w:hint="default"/>
          <w:spacing w:val="-2"/>
        </w:rPr>
        <w:t>&gt;</w:t>
      </w:r>
      <w:r>
        <w:rPr>
          <w:spacing w:val="-2"/>
        </w:rPr>
        <w:t>及其摘要的议案》、《关于</w:t>
      </w:r>
      <w:r>
        <w:rPr>
          <w:rFonts w:ascii="宋体" w:hAnsi="宋体" w:cs="宋体" w:eastAsia="宋体" w:hint="default"/>
          <w:spacing w:val="-2"/>
        </w:rPr>
        <w:t>&lt;</w:t>
      </w:r>
      <w:r>
        <w:rPr>
          <w:spacing w:val="-2"/>
        </w:rPr>
        <w:t>江苏爱康科技股份有限公司</w:t>
      </w:r>
      <w:r>
        <w:rPr>
          <w:rFonts w:ascii="宋体" w:hAnsi="宋体" w:cs="宋体" w:eastAsia="宋体" w:hint="default"/>
          <w:spacing w:val="-2"/>
        </w:rPr>
        <w:t>2018</w:t>
      </w:r>
      <w:r>
        <w:rPr>
          <w:spacing w:val="-2"/>
        </w:rPr>
        <w:t>年限制性股票激励计划实施考核管理办</w:t>
      </w:r>
      <w:r>
        <w:rPr>
          <w:spacing w:val="-59"/>
        </w:rPr>
        <w:t> </w:t>
      </w:r>
      <w:r>
        <w:rPr/>
        <w:t>法</w:t>
      </w:r>
      <w:r>
        <w:rPr>
          <w:rFonts w:ascii="宋体" w:hAnsi="宋体" w:cs="宋体" w:eastAsia="宋体" w:hint="default"/>
        </w:rPr>
        <w:t>&gt;</w:t>
      </w:r>
      <w:r>
        <w:rPr/>
        <w:t>的议案》和《关于提请股东大会授权董事会办理公司限制性股票激励计划有关事项的议案》，公司独立董事对该事项发 </w:t>
      </w:r>
      <w:r>
        <w:rPr>
          <w:spacing w:val="-2"/>
        </w:rPr>
        <w:t>表了明确的同意意见，上海嘉坦律师事务所出具了《关于公司</w:t>
      </w:r>
      <w:r>
        <w:rPr>
          <w:rFonts w:ascii="宋体" w:hAnsi="宋体" w:cs="宋体" w:eastAsia="宋体" w:hint="default"/>
          <w:spacing w:val="-2"/>
        </w:rPr>
        <w:t>2018</w:t>
      </w:r>
      <w:r>
        <w:rPr>
          <w:spacing w:val="-2"/>
        </w:rPr>
        <w:t>年限制性股票激励计划（草案）的法律意见书》。上海信</w:t>
      </w:r>
      <w:r>
        <w:rPr>
          <w:spacing w:val="-62"/>
        </w:rPr>
        <w:t> </w:t>
      </w:r>
      <w:r>
        <w:rPr>
          <w:spacing w:val="-62"/>
        </w:rPr>
      </w:r>
      <w:r>
        <w:rPr/>
        <w:t>公企业管理咨询有限公司出具了关于公司</w:t>
      </w:r>
      <w:r>
        <w:rPr>
          <w:rFonts w:ascii="宋体" w:hAnsi="宋体" w:cs="宋体" w:eastAsia="宋体" w:hint="default"/>
        </w:rPr>
        <w:t>2018</w:t>
      </w:r>
      <w:r>
        <w:rPr/>
        <w:t>年限制性股票激励计划（草案）之独立财务顾问报告。</w:t>
      </w:r>
    </w:p>
    <w:p>
      <w:pPr>
        <w:pStyle w:val="BodyText"/>
        <w:spacing w:line="319" w:lineRule="auto" w:before="57"/>
        <w:ind w:right="1130" w:firstLine="360"/>
        <w:jc w:val="both"/>
      </w:pPr>
      <w:r>
        <w:rPr>
          <w:rFonts w:ascii="宋体" w:hAnsi="宋体" w:cs="宋体" w:eastAsia="宋体" w:hint="default"/>
        </w:rPr>
        <w:t>2018</w:t>
      </w:r>
      <w:r>
        <w:rPr/>
        <w:t>年</w:t>
      </w:r>
      <w:r>
        <w:rPr>
          <w:rFonts w:ascii="宋体" w:hAnsi="宋体" w:cs="宋体" w:eastAsia="宋体" w:hint="default"/>
        </w:rPr>
        <w:t>02</w:t>
      </w:r>
      <w:r>
        <w:rPr/>
        <w:t>月</w:t>
      </w:r>
      <w:r>
        <w:rPr>
          <w:rFonts w:ascii="宋体" w:hAnsi="宋体" w:cs="宋体" w:eastAsia="宋体" w:hint="default"/>
        </w:rPr>
        <w:t>11</w:t>
      </w:r>
      <w:r>
        <w:rPr/>
        <w:t>日，公司第三届监事会第十六次临时会议审议通过了《关于</w:t>
      </w:r>
      <w:r>
        <w:rPr>
          <w:rFonts w:ascii="宋体" w:hAnsi="宋体" w:cs="宋体" w:eastAsia="宋体" w:hint="default"/>
        </w:rPr>
        <w:t>&lt;</w:t>
      </w:r>
      <w:r>
        <w:rPr/>
        <w:t>江苏爱康科技股份有限公司</w:t>
      </w:r>
      <w:r>
        <w:rPr>
          <w:rFonts w:ascii="宋体" w:hAnsi="宋体" w:cs="宋体" w:eastAsia="宋体" w:hint="default"/>
        </w:rPr>
        <w:t>2018</w:t>
      </w:r>
      <w:r>
        <w:rPr/>
        <w:t>年限制性股 </w:t>
      </w:r>
      <w:r>
        <w:rPr>
          <w:spacing w:val="-3"/>
        </w:rPr>
        <w:t>票激励计划（草案）</w:t>
      </w:r>
      <w:r>
        <w:rPr>
          <w:rFonts w:ascii="宋体" w:hAnsi="宋体" w:cs="宋体" w:eastAsia="宋体" w:hint="default"/>
          <w:spacing w:val="-3"/>
        </w:rPr>
        <w:t>&gt;</w:t>
      </w:r>
      <w:r>
        <w:rPr>
          <w:spacing w:val="-3"/>
        </w:rPr>
        <w:t>及其摘要的议案》、《关于</w:t>
      </w:r>
      <w:r>
        <w:rPr>
          <w:rFonts w:ascii="宋体" w:hAnsi="宋体" w:cs="宋体" w:eastAsia="宋体" w:hint="default"/>
          <w:spacing w:val="-3"/>
        </w:rPr>
        <w:t>&lt;</w:t>
      </w:r>
      <w:r>
        <w:rPr>
          <w:spacing w:val="-3"/>
        </w:rPr>
        <w:t>江苏爱康科技股份有限公司</w:t>
      </w:r>
      <w:r>
        <w:rPr>
          <w:rFonts w:ascii="宋体" w:hAnsi="宋体" w:cs="宋体" w:eastAsia="宋体" w:hint="default"/>
          <w:spacing w:val="-3"/>
        </w:rPr>
        <w:t>2018</w:t>
      </w:r>
      <w:r>
        <w:rPr>
          <w:spacing w:val="-3"/>
        </w:rPr>
        <w:t>年限制性股票激励计划实施考核管理办法</w:t>
      </w:r>
      <w:r>
        <w:rPr>
          <w:rFonts w:ascii="宋体" w:hAnsi="宋体" w:cs="宋体" w:eastAsia="宋体" w:hint="default"/>
          <w:spacing w:val="-3"/>
        </w:rPr>
        <w:t>&gt;</w:t>
      </w:r>
      <w:r>
        <w:rPr>
          <w:rFonts w:ascii="宋体" w:hAnsi="宋体" w:cs="宋体" w:eastAsia="宋体" w:hint="default"/>
        </w:rPr>
        <w:t> </w:t>
      </w:r>
      <w:r>
        <w:rPr>
          <w:spacing w:val="-2"/>
        </w:rPr>
        <w:t>的议案》及《关于核查</w:t>
      </w:r>
      <w:r>
        <w:rPr>
          <w:rFonts w:ascii="宋体" w:hAnsi="宋体" w:cs="宋体" w:eastAsia="宋体" w:hint="default"/>
          <w:spacing w:val="-2"/>
        </w:rPr>
        <w:t>2018</w:t>
      </w:r>
      <w:r>
        <w:rPr>
          <w:spacing w:val="-2"/>
        </w:rPr>
        <w:t>年限制性股票激励计划激励对象名单的议案》，同时公司披露了《</w:t>
      </w:r>
      <w:r>
        <w:rPr>
          <w:rFonts w:ascii="宋体" w:hAnsi="宋体" w:cs="宋体" w:eastAsia="宋体" w:hint="default"/>
          <w:spacing w:val="-2"/>
        </w:rPr>
        <w:t>2018</w:t>
      </w:r>
      <w:r>
        <w:rPr>
          <w:spacing w:val="-2"/>
        </w:rPr>
        <w:t>年限制性股票激励计划激</w:t>
      </w:r>
      <w:r>
        <w:rPr>
          <w:spacing w:val="-57"/>
        </w:rPr>
        <w:t> </w:t>
      </w:r>
      <w:r>
        <w:rPr/>
        <w:t>励对象名单》。</w:t>
      </w:r>
    </w:p>
    <w:p>
      <w:pPr>
        <w:pStyle w:val="BodyText"/>
        <w:spacing w:line="319" w:lineRule="auto" w:before="55"/>
        <w:ind w:right="1122" w:firstLine="360"/>
        <w:jc w:val="left"/>
      </w:pP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22</w:t>
      </w:r>
      <w:r>
        <w:rPr/>
        <w:t>日，公司召开第三届监事会第十七次临时会议，监事会对授予日激励对象名单以及激励对象获授权益条件 的成就情况进行了核实，并发表核查意见。</w:t>
      </w:r>
    </w:p>
    <w:p>
      <w:pPr>
        <w:pStyle w:val="BodyText"/>
        <w:spacing w:line="319" w:lineRule="auto" w:before="55"/>
        <w:ind w:right="0" w:firstLine="360"/>
        <w:jc w:val="left"/>
      </w:pP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27</w:t>
      </w:r>
      <w:r>
        <w:rPr>
          <w:spacing w:val="-2"/>
        </w:rPr>
        <w:t>日，公司召开</w:t>
      </w:r>
      <w:r>
        <w:rPr>
          <w:rFonts w:ascii="宋体" w:hAnsi="宋体" w:cs="宋体" w:eastAsia="宋体" w:hint="default"/>
          <w:spacing w:val="-2"/>
        </w:rPr>
        <w:t>2018</w:t>
      </w:r>
      <w:r>
        <w:rPr>
          <w:spacing w:val="-2"/>
        </w:rPr>
        <w:t>年第四次临时股东大会，审议通过了《关于</w:t>
      </w:r>
      <w:r>
        <w:rPr>
          <w:rFonts w:ascii="宋体" w:hAnsi="宋体" w:cs="宋体" w:eastAsia="宋体" w:hint="default"/>
          <w:spacing w:val="-2"/>
        </w:rPr>
        <w:t>&lt;</w:t>
      </w:r>
      <w:r>
        <w:rPr>
          <w:spacing w:val="-2"/>
        </w:rPr>
        <w:t>江苏爱康科技股份有限公司</w:t>
      </w:r>
      <w:r>
        <w:rPr>
          <w:rFonts w:ascii="宋体" w:hAnsi="宋体" w:cs="宋体" w:eastAsia="宋体" w:hint="default"/>
          <w:spacing w:val="-2"/>
        </w:rPr>
        <w:t>2018</w:t>
      </w:r>
      <w:r>
        <w:rPr>
          <w:spacing w:val="-2"/>
        </w:rPr>
        <w:t>年限制性股</w:t>
      </w:r>
      <w:r>
        <w:rPr/>
        <w:t> </w:t>
      </w:r>
      <w:r>
        <w:rPr>
          <w:spacing w:val="-3"/>
        </w:rPr>
        <w:t>票激励计划（草案）</w:t>
      </w:r>
      <w:r>
        <w:rPr>
          <w:rFonts w:ascii="宋体" w:hAnsi="宋体" w:cs="宋体" w:eastAsia="宋体" w:hint="default"/>
          <w:spacing w:val="-3"/>
        </w:rPr>
        <w:t>&gt;</w:t>
      </w:r>
      <w:r>
        <w:rPr>
          <w:spacing w:val="-3"/>
        </w:rPr>
        <w:t>及其摘要的提案》、《关于</w:t>
      </w:r>
      <w:r>
        <w:rPr>
          <w:rFonts w:ascii="宋体" w:hAnsi="宋体" w:cs="宋体" w:eastAsia="宋体" w:hint="default"/>
          <w:spacing w:val="-3"/>
        </w:rPr>
        <w:t>&lt;</w:t>
      </w:r>
      <w:r>
        <w:rPr>
          <w:spacing w:val="-3"/>
        </w:rPr>
        <w:t>江苏爱康科技股份有限公司</w:t>
      </w:r>
      <w:r>
        <w:rPr>
          <w:rFonts w:ascii="宋体" w:hAnsi="宋体" w:cs="宋体" w:eastAsia="宋体" w:hint="default"/>
          <w:spacing w:val="-3"/>
        </w:rPr>
        <w:t>2018</w:t>
      </w:r>
      <w:r>
        <w:rPr>
          <w:spacing w:val="-3"/>
        </w:rPr>
        <w:t>年限制性股票激励计划实施考核管理办法</w:t>
      </w:r>
      <w:r>
        <w:rPr>
          <w:rFonts w:ascii="宋体" w:hAnsi="宋体" w:cs="宋体" w:eastAsia="宋体" w:hint="default"/>
          <w:spacing w:val="-3"/>
        </w:rPr>
        <w:t>&gt;</w:t>
      </w:r>
      <w:r>
        <w:rPr>
          <w:rFonts w:ascii="宋体" w:hAnsi="宋体" w:cs="宋体" w:eastAsia="宋体" w:hint="default"/>
        </w:rPr>
        <w:t> </w:t>
      </w:r>
      <w:r>
        <w:rPr>
          <w:spacing w:val="-4"/>
        </w:rPr>
        <w:t>的提案》和《关于提请股东大会授权董事会办理公司限制性股票激励计划有关事项的提案》。限制性股票激励计划获得批准，</w:t>
      </w:r>
      <w:r>
        <w:rPr>
          <w:spacing w:val="-46"/>
        </w:rPr>
        <w:t> </w:t>
      </w:r>
      <w:r>
        <w:rPr>
          <w:spacing w:val="-46"/>
        </w:rPr>
      </w:r>
      <w:r>
        <w:rPr>
          <w:spacing w:val="-2"/>
        </w:rPr>
        <w:t>公司董事会被授权确定限制性股票授予日，在激励对象符合条件时向激励对象授予限制性股票，并办理授予限制性股票所必</w:t>
      </w:r>
      <w:r>
        <w:rPr>
          <w:spacing w:val="-64"/>
        </w:rPr>
        <w:t> </w:t>
      </w:r>
      <w:r>
        <w:rPr>
          <w:spacing w:val="-64"/>
        </w:rPr>
      </w:r>
      <w:r>
        <w:rPr/>
        <w:t>需的全部事宜。</w:t>
      </w:r>
    </w:p>
    <w:p>
      <w:pPr>
        <w:pStyle w:val="BodyText"/>
        <w:spacing w:line="240" w:lineRule="auto" w:before="58"/>
        <w:ind w:left="514" w:right="1122"/>
        <w:jc w:val="left"/>
      </w:pP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28</w:t>
      </w:r>
      <w:r>
        <w:rPr/>
        <w:t>日，公司披露了《关于</w:t>
      </w:r>
      <w:r>
        <w:rPr>
          <w:rFonts w:ascii="宋体" w:hAnsi="宋体" w:cs="宋体" w:eastAsia="宋体" w:hint="default"/>
        </w:rPr>
        <w:t>2018</w:t>
      </w:r>
      <w:r>
        <w:rPr/>
        <w:t>年限制性股票激励计划内幕信息知情人买卖公司股票情况的自查报告》。</w:t>
      </w:r>
    </w:p>
    <w:p>
      <w:pPr>
        <w:pStyle w:val="BodyText"/>
        <w:spacing w:line="240" w:lineRule="auto" w:before="115"/>
        <w:ind w:left="514" w:right="0"/>
        <w:jc w:val="left"/>
      </w:pPr>
      <w:r>
        <w:rPr>
          <w:rFonts w:ascii="宋体" w:hAnsi="宋体" w:cs="宋体" w:eastAsia="宋体" w:hint="default"/>
        </w:rPr>
        <w:t>2018</w:t>
      </w:r>
      <w:r>
        <w:rPr/>
        <w:t>年</w:t>
      </w:r>
      <w:r>
        <w:rPr>
          <w:rFonts w:ascii="宋体" w:hAnsi="宋体" w:cs="宋体" w:eastAsia="宋体" w:hint="default"/>
        </w:rPr>
        <w:t>03</w:t>
      </w:r>
      <w:r>
        <w:rPr/>
        <w:t>月</w:t>
      </w:r>
      <w:r>
        <w:rPr>
          <w:rFonts w:ascii="宋体" w:hAnsi="宋体" w:cs="宋体" w:eastAsia="宋体" w:hint="default"/>
        </w:rPr>
        <w:t>01</w:t>
      </w:r>
      <w:r>
        <w:rPr/>
        <w:t>日，公司召开第三届董事会第三十次临时会议和第三届监事会第十八次临时会议，审议通过了《关于调整</w:t>
      </w:r>
    </w:p>
    <w:p>
      <w:pPr>
        <w:pStyle w:val="BodyText"/>
        <w:spacing w:line="319" w:lineRule="auto" w:before="76"/>
        <w:ind w:right="1131"/>
        <w:jc w:val="both"/>
      </w:pPr>
      <w:r>
        <w:rPr>
          <w:rFonts w:ascii="宋体" w:hAnsi="宋体" w:cs="宋体" w:eastAsia="宋体" w:hint="default"/>
          <w:spacing w:val="-2"/>
        </w:rPr>
        <w:t>2018</w:t>
      </w:r>
      <w:r>
        <w:rPr>
          <w:spacing w:val="-2"/>
        </w:rPr>
        <w:t>年限制性股票激励计划激励对象及授予数量的议案》、《关于向激励对象授予限制性股票的议案》、《关于注销部分已</w:t>
      </w:r>
      <w:r>
        <w:rPr>
          <w:spacing w:val="-64"/>
        </w:rPr>
        <w:t> </w:t>
      </w:r>
      <w:r>
        <w:rPr>
          <w:spacing w:val="-64"/>
        </w:rPr>
      </w:r>
      <w:r>
        <w:rPr/>
        <w:t>回购股票暨变更公司注册资本及修订公司章程的议案》。调整完成后，确定以</w:t>
      </w:r>
      <w:r>
        <w:rPr>
          <w:rFonts w:ascii="宋体" w:hAnsi="宋体" w:cs="宋体" w:eastAsia="宋体" w:hint="default"/>
        </w:rPr>
        <w:t>2018</w:t>
      </w:r>
      <w:r>
        <w:rPr/>
        <w:t>年</w:t>
      </w:r>
      <w:r>
        <w:rPr>
          <w:rFonts w:ascii="宋体" w:hAnsi="宋体" w:cs="宋体" w:eastAsia="宋体" w:hint="default"/>
        </w:rPr>
        <w:t>03</w:t>
      </w:r>
      <w:r>
        <w:rPr/>
        <w:t>月</w:t>
      </w:r>
      <w:r>
        <w:rPr>
          <w:rFonts w:ascii="宋体" w:hAnsi="宋体" w:cs="宋体" w:eastAsia="宋体" w:hint="default"/>
        </w:rPr>
        <w:t>01</w:t>
      </w:r>
      <w:r>
        <w:rPr/>
        <w:t>日为授予日，向</w:t>
      </w:r>
      <w:r>
        <w:rPr>
          <w:rFonts w:ascii="宋体" w:hAnsi="宋体" w:cs="宋体" w:eastAsia="宋体" w:hint="default"/>
        </w:rPr>
        <w:t>170</w:t>
      </w:r>
      <w:r>
        <w:rPr/>
        <w:t>名激励对象 授予</w:t>
      </w:r>
      <w:r>
        <w:rPr>
          <w:rFonts w:ascii="宋体" w:hAnsi="宋体" w:cs="宋体" w:eastAsia="宋体" w:hint="default"/>
        </w:rPr>
        <w:t>1,642.4581</w:t>
      </w:r>
      <w:r>
        <w:rPr/>
        <w:t>万股限制性股票，授予价格为</w:t>
      </w:r>
      <w:r>
        <w:rPr>
          <w:rFonts w:ascii="宋体" w:hAnsi="宋体" w:cs="宋体" w:eastAsia="宋体" w:hint="default"/>
        </w:rPr>
        <w:t>1.31</w:t>
      </w:r>
      <w:r>
        <w:rPr/>
        <w:t>元</w:t>
      </w:r>
      <w:r>
        <w:rPr>
          <w:rFonts w:ascii="宋体" w:hAnsi="宋体" w:cs="宋体" w:eastAsia="宋体" w:hint="default"/>
        </w:rPr>
        <w:t>/</w:t>
      </w:r>
      <w:r>
        <w:rPr/>
        <w:t>股。公司独立董事对此发表了同意的独立意见，上海嘉坦律师事务所 </w:t>
      </w:r>
      <w:r>
        <w:rPr>
          <w:spacing w:val="-2"/>
        </w:rPr>
        <w:t>出具了《关于公司</w:t>
      </w:r>
      <w:r>
        <w:rPr>
          <w:rFonts w:ascii="宋体" w:hAnsi="宋体" w:cs="宋体" w:eastAsia="宋体" w:hint="default"/>
          <w:spacing w:val="-2"/>
        </w:rPr>
        <w:t>2018</w:t>
      </w:r>
      <w:r>
        <w:rPr>
          <w:spacing w:val="-2"/>
        </w:rPr>
        <w:t>年限制性股票激励计划授予和调整事项之法律意见书》。上海信公企业管理咨询有限公司出具了《关</w:t>
      </w:r>
      <w:r>
        <w:rPr>
          <w:spacing w:val="-62"/>
        </w:rPr>
        <w:t> </w:t>
      </w:r>
      <w:r>
        <w:rPr>
          <w:spacing w:val="-62"/>
        </w:rPr>
      </w:r>
      <w:r>
        <w:rPr/>
        <w:t>于公司</w:t>
      </w:r>
      <w:r>
        <w:rPr>
          <w:rFonts w:ascii="宋体" w:hAnsi="宋体" w:cs="宋体" w:eastAsia="宋体" w:hint="default"/>
        </w:rPr>
        <w:t>2018</w:t>
      </w:r>
      <w:r>
        <w:rPr/>
        <w:t>年限制性股票激励计划限制性股票授予相关事项之独立财务顾问报告》。</w:t>
      </w:r>
    </w:p>
    <w:p>
      <w:pPr>
        <w:pStyle w:val="BodyText"/>
        <w:spacing w:line="319" w:lineRule="auto" w:before="55"/>
        <w:ind w:right="1212" w:firstLine="360"/>
        <w:jc w:val="left"/>
      </w:pPr>
      <w:r>
        <w:rPr>
          <w:rFonts w:ascii="宋体" w:hAnsi="宋体" w:cs="宋体" w:eastAsia="宋体" w:hint="default"/>
        </w:rPr>
        <w:t>2018</w:t>
      </w:r>
      <w:r>
        <w:rPr/>
        <w:t>年</w:t>
      </w:r>
      <w:r>
        <w:rPr>
          <w:rFonts w:ascii="宋体" w:hAnsi="宋体" w:cs="宋体" w:eastAsia="宋体" w:hint="default"/>
        </w:rPr>
        <w:t>03</w:t>
      </w:r>
      <w:r>
        <w:rPr/>
        <w:t>月</w:t>
      </w:r>
      <w:r>
        <w:rPr>
          <w:rFonts w:ascii="宋体" w:hAnsi="宋体" w:cs="宋体" w:eastAsia="宋体" w:hint="default"/>
        </w:rPr>
        <w:t>19</w:t>
      </w:r>
      <w:r>
        <w:rPr/>
        <w:t>日，公司发布了《关于</w:t>
      </w:r>
      <w:r>
        <w:rPr>
          <w:rFonts w:ascii="宋体" w:hAnsi="宋体" w:cs="宋体" w:eastAsia="宋体" w:hint="default"/>
        </w:rPr>
        <w:t>2018</w:t>
      </w:r>
      <w:r>
        <w:rPr/>
        <w:t>年限制性股票授予完成公告》，授予的限制性股票的授予日为</w:t>
      </w:r>
      <w:r>
        <w:rPr>
          <w:rFonts w:ascii="宋体" w:hAnsi="宋体" w:cs="宋体" w:eastAsia="宋体" w:hint="default"/>
        </w:rPr>
        <w:t>2018</w:t>
      </w:r>
      <w:r>
        <w:rPr/>
        <w:t>年</w:t>
      </w:r>
      <w:r>
        <w:rPr>
          <w:rFonts w:ascii="宋体" w:hAnsi="宋体" w:cs="宋体" w:eastAsia="宋体" w:hint="default"/>
        </w:rPr>
        <w:t>03</w:t>
      </w:r>
      <w:r>
        <w:rPr/>
        <w:t>月</w:t>
      </w:r>
      <w:r>
        <w:rPr>
          <w:rFonts w:ascii="宋体" w:hAnsi="宋体" w:cs="宋体" w:eastAsia="宋体" w:hint="default"/>
        </w:rPr>
        <w:t>01 </w:t>
      </w:r>
      <w:r>
        <w:rPr/>
        <w:t>日，授予股份的上市日期为</w:t>
      </w:r>
      <w:r>
        <w:rPr>
          <w:rFonts w:ascii="宋体" w:hAnsi="宋体" w:cs="宋体" w:eastAsia="宋体" w:hint="default"/>
        </w:rPr>
        <w:t>2018</w:t>
      </w:r>
      <w:r>
        <w:rPr/>
        <w:t>年</w:t>
      </w:r>
      <w:r>
        <w:rPr>
          <w:rFonts w:ascii="宋体" w:hAnsi="宋体" w:cs="宋体" w:eastAsia="宋体" w:hint="default"/>
        </w:rPr>
        <w:t>03</w:t>
      </w:r>
      <w:r>
        <w:rPr/>
        <w:t>月</w:t>
      </w:r>
      <w:r>
        <w:rPr>
          <w:rFonts w:ascii="宋体" w:hAnsi="宋体" w:cs="宋体" w:eastAsia="宋体" w:hint="default"/>
        </w:rPr>
        <w:t>20</w:t>
      </w:r>
      <w:r>
        <w:rPr/>
        <w:t>日。</w:t>
      </w:r>
    </w:p>
    <w:p>
      <w:pPr>
        <w:pStyle w:val="BodyText"/>
        <w:spacing w:line="240" w:lineRule="auto" w:before="56"/>
        <w:ind w:left="514" w:right="0"/>
        <w:jc w:val="left"/>
      </w:pP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30</w:t>
      </w:r>
      <w:r>
        <w:rPr/>
        <w:t>日，公司发布了《关于部分已回购股票注销完成的公告》，根据公司股权激励计划相关规定，对本次已回</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4" w:right="1122" w:hanging="360"/>
        <w:jc w:val="left"/>
      </w:pPr>
      <w:r>
        <w:rPr/>
        <w:t>购但并未授予的股票共计</w:t>
      </w:r>
      <w:r>
        <w:rPr>
          <w:rFonts w:ascii="宋体" w:hAnsi="宋体" w:cs="宋体" w:eastAsia="宋体" w:hint="default"/>
        </w:rPr>
        <w:t>475,419 </w:t>
      </w:r>
      <w:r>
        <w:rPr/>
        <w:t>股进行注销处理，注销股份占公司目前总股本的</w:t>
      </w:r>
      <w:r>
        <w:rPr>
          <w:rFonts w:ascii="宋体" w:hAnsi="宋体" w:cs="宋体" w:eastAsia="宋体" w:hint="default"/>
        </w:rPr>
        <w:t>0.01%</w:t>
      </w:r>
      <w:r>
        <w:rPr/>
        <w:t>。 </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24</w:t>
      </w:r>
      <w:r>
        <w:rPr/>
        <w:t>日公司发布了《关于部分已回购股票注销完成的公告》，</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31</w:t>
      </w:r>
      <w:r>
        <w:rPr/>
        <w:t>日公司发布了《关于部分已回购股</w:t>
      </w:r>
    </w:p>
    <w:p>
      <w:pPr>
        <w:pStyle w:val="BodyText"/>
        <w:spacing w:line="224" w:lineRule="exact"/>
        <w:ind w:right="0"/>
        <w:jc w:val="left"/>
      </w:pPr>
      <w:r>
        <w:rPr/>
        <w:t>票注销完成的公告》，根据公司股权激励计划相关规定，对本次已回购并授予后离职员工持有的股票共计</w:t>
      </w:r>
      <w:r>
        <w:rPr>
          <w:rFonts w:ascii="宋体" w:hAnsi="宋体" w:cs="宋体" w:eastAsia="宋体" w:hint="default"/>
        </w:rPr>
        <w:t>417,169</w:t>
      </w:r>
      <w:r>
        <w:rPr/>
        <w:t>股进行注</w:t>
      </w:r>
    </w:p>
    <w:p>
      <w:pPr>
        <w:pStyle w:val="BodyText"/>
        <w:spacing w:line="240" w:lineRule="auto" w:before="77"/>
        <w:ind w:right="1122"/>
        <w:jc w:val="left"/>
      </w:pPr>
      <w:r>
        <w:rPr/>
        <w:t>销处理，注销股份占公司目前总股本的</w:t>
      </w:r>
      <w:r>
        <w:rPr>
          <w:rFonts w:ascii="宋体" w:hAnsi="宋体" w:cs="宋体" w:eastAsia="宋体" w:hint="default"/>
        </w:rPr>
        <w:t>0.01%</w:t>
      </w:r>
      <w:r>
        <w:rPr/>
        <w:t>。</w:t>
      </w:r>
    </w:p>
    <w:p>
      <w:pPr>
        <w:spacing w:line="240" w:lineRule="auto" w:before="1"/>
        <w:rPr>
          <w:rFonts w:ascii="宋体" w:hAnsi="宋体" w:cs="宋体" w:eastAsia="宋体" w:hint="default"/>
          <w:sz w:val="25"/>
          <w:szCs w:val="25"/>
        </w:rPr>
      </w:pPr>
    </w:p>
    <w:p>
      <w:pPr>
        <w:pStyle w:val="Heading2"/>
        <w:spacing w:line="240" w:lineRule="auto"/>
        <w:ind w:right="1122"/>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484"/>
        <w:gridCol w:w="677"/>
        <w:gridCol w:w="706"/>
        <w:gridCol w:w="542"/>
        <w:gridCol w:w="426"/>
        <w:gridCol w:w="850"/>
        <w:gridCol w:w="709"/>
        <w:gridCol w:w="709"/>
        <w:gridCol w:w="425"/>
        <w:gridCol w:w="568"/>
        <w:gridCol w:w="566"/>
        <w:gridCol w:w="709"/>
        <w:gridCol w:w="1205"/>
      </w:tblGrid>
      <w:tr>
        <w:trPr>
          <w:trHeight w:val="1650"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6" w:right="55"/>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6" w:right="84"/>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 w:right="27"/>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0" w:right="59"/>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0" w:right="77"/>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6"/>
              <w:jc w:val="both"/>
              <w:rPr>
                <w:rFonts w:ascii="宋体" w:hAnsi="宋体" w:cs="宋体" w:eastAsia="宋体" w:hint="default"/>
                <w:sz w:val="18"/>
                <w:szCs w:val="18"/>
              </w:rPr>
            </w:pPr>
            <w:r>
              <w:rPr>
                <w:rFonts w:ascii="宋体" w:hAnsi="宋体" w:cs="宋体" w:eastAsia="宋体" w:hint="default"/>
                <w:sz w:val="18"/>
                <w:szCs w:val="18"/>
              </w:rPr>
              <w:t>是否 超过 获批 额度</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9"/>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可获 得的 同类 交易 市价</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both"/>
              <w:rPr>
                <w:rFonts w:ascii="宋体" w:hAnsi="宋体" w:cs="宋体" w:eastAsia="宋体" w:hint="default"/>
                <w:sz w:val="18"/>
                <w:szCs w:val="18"/>
              </w:rPr>
            </w:pPr>
            <w:r>
              <w:rPr>
                <w:rFonts w:ascii="宋体" w:hAnsi="宋体" w:cs="宋体" w:eastAsia="宋体" w:hint="default"/>
                <w:spacing w:val="9"/>
                <w:sz w:val="18"/>
                <w:szCs w:val="18"/>
              </w:rPr>
              <w:t>苏州爱康能 源工程技术 股份有限公 </w:t>
            </w:r>
            <w:r>
              <w:rPr>
                <w:rFonts w:ascii="宋体" w:hAnsi="宋体" w:cs="宋体" w:eastAsia="宋体" w:hint="default"/>
                <w:sz w:val="18"/>
                <w:szCs w:val="18"/>
              </w:rPr>
              <w:t>司</w:t>
            </w:r>
          </w:p>
        </w:tc>
        <w:tc>
          <w:tcPr>
            <w:tcW w:w="4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6" w:right="55"/>
              <w:jc w:val="both"/>
              <w:rPr>
                <w:rFonts w:ascii="宋体" w:hAnsi="宋体" w:cs="宋体" w:eastAsia="宋体" w:hint="default"/>
                <w:sz w:val="18"/>
                <w:szCs w:val="18"/>
              </w:rPr>
            </w:pPr>
            <w:r>
              <w:rPr>
                <w:rFonts w:ascii="宋体" w:hAnsi="宋体" w:cs="宋体" w:eastAsia="宋体" w:hint="default"/>
                <w:sz w:val="18"/>
                <w:szCs w:val="18"/>
              </w:rPr>
              <w:t>同受 控股 股东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38" w:right="36" w:firstLine="25"/>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6" w:right="21" w:hanging="144"/>
              <w:jc w:val="left"/>
              <w:rPr>
                <w:rFonts w:ascii="宋体" w:hAnsi="宋体" w:cs="宋体" w:eastAsia="宋体" w:hint="default"/>
                <w:sz w:val="18"/>
                <w:szCs w:val="18"/>
              </w:rPr>
            </w:pPr>
            <w:r>
              <w:rPr>
                <w:rFonts w:ascii="宋体" w:hAnsi="宋体" w:cs="宋体" w:eastAsia="宋体" w:hint="default"/>
                <w:spacing w:val="-18"/>
                <w:sz w:val="18"/>
                <w:szCs w:val="18"/>
              </w:rPr>
              <w:t>支架、组</w:t>
            </w:r>
            <w:r>
              <w:rPr>
                <w:rFonts w:ascii="宋体" w:hAnsi="宋体" w:cs="宋体" w:eastAsia="宋体" w:hint="default"/>
                <w:sz w:val="18"/>
                <w:szCs w:val="18"/>
              </w:rPr>
              <w:t> 件等</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4"/>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 w:right="27"/>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42,416.12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8.76%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8" w:right="99"/>
              <w:jc w:val="both"/>
              <w:rPr>
                <w:rFonts w:ascii="宋体" w:hAnsi="宋体" w:cs="宋体" w:eastAsia="宋体" w:hint="default"/>
                <w:sz w:val="18"/>
                <w:szCs w:val="18"/>
              </w:rPr>
            </w:pPr>
            <w:r>
              <w:rPr>
                <w:rFonts w:ascii="宋体" w:hAnsi="宋体" w:cs="宋体" w:eastAsia="宋体" w:hint="default"/>
                <w:sz w:val="18"/>
                <w:szCs w:val="18"/>
              </w:rPr>
              <w:t>合同 约定 结算 方式</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4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巨潮咨询网，</w:t>
            </w:r>
            <w:r>
              <w:rPr>
                <w:rFonts w:ascii="宋体" w:hAnsi="宋体" w:cs="宋体" w:eastAsia="宋体" w:hint="default"/>
                <w:sz w:val="18"/>
                <w:szCs w:val="18"/>
              </w:rPr>
              <w:t> </w:t>
            </w:r>
            <w:r>
              <w:rPr>
                <w:rFonts w:ascii="宋体" w:hAnsi="宋体" w:cs="宋体" w:eastAsia="宋体" w:hint="default"/>
                <w:spacing w:val="49"/>
                <w:sz w:val="18"/>
                <w:szCs w:val="18"/>
              </w:rPr>
              <w:t>披露编号：</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2018-16</w:t>
            </w: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42,416.12</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60,000</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2"/>
        <w:rPr>
          <w:rFonts w:ascii="宋体" w:hAnsi="宋体" w:cs="宋体" w:eastAsia="宋体" w:hint="default"/>
          <w:sz w:val="20"/>
          <w:szCs w:val="20"/>
        </w:rPr>
      </w:pPr>
    </w:p>
    <w:p>
      <w:pPr>
        <w:pStyle w:val="Heading3"/>
        <w:spacing w:line="240" w:lineRule="auto"/>
        <w:ind w:right="1122"/>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right="1122"/>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1122"/>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1122"/>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1122"/>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spacing w:line="240" w:lineRule="auto" w:before="3"/>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879"/>
        <w:gridCol w:w="971"/>
        <w:gridCol w:w="566"/>
        <w:gridCol w:w="1264"/>
        <w:gridCol w:w="885"/>
        <w:gridCol w:w="5130"/>
      </w:tblGrid>
      <w:tr>
        <w:trPr>
          <w:trHeight w:val="700" w:hRule="exact"/>
        </w:trPr>
        <w:tc>
          <w:tcPr>
            <w:tcW w:w="879"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出租方</w:t>
            </w:r>
          </w:p>
        </w:tc>
        <w:tc>
          <w:tcPr>
            <w:tcW w:w="97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合同金额</w:t>
            </w:r>
          </w:p>
          <w:p>
            <w:pPr>
              <w:pStyle w:val="TableParagraph"/>
              <w:spacing w:line="240" w:lineRule="auto" w:before="104"/>
              <w:ind w:left="11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6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3"/>
              <w:ind w:left="93" w:right="0"/>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40" w:lineRule="auto" w:before="104"/>
              <w:ind w:left="1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4"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期限</w:t>
            </w:r>
          </w:p>
        </w:tc>
        <w:tc>
          <w:tcPr>
            <w:tcW w:w="885"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还款方式</w:t>
            </w:r>
          </w:p>
        </w:tc>
        <w:tc>
          <w:tcPr>
            <w:tcW w:w="5130"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抵押担保说明</w:t>
            </w:r>
          </w:p>
        </w:tc>
      </w:tr>
      <w:tr>
        <w:trPr>
          <w:trHeight w:val="1220" w:hRule="exact"/>
        </w:trPr>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5"/>
              <w:ind w:left="69" w:right="69"/>
              <w:jc w:val="center"/>
              <w:rPr>
                <w:rFonts w:ascii="宋体" w:hAnsi="宋体" w:cs="宋体" w:eastAsia="宋体" w:hint="default"/>
                <w:sz w:val="18"/>
                <w:szCs w:val="18"/>
              </w:rPr>
            </w:pPr>
            <w:r>
              <w:rPr>
                <w:rFonts w:ascii="宋体" w:hAnsi="宋体" w:cs="宋体" w:eastAsia="宋体" w:hint="default"/>
                <w:sz w:val="18"/>
                <w:szCs w:val="18"/>
              </w:rPr>
              <w:t>华能天成 融资租赁 股份有限 公司</w:t>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17,000.00</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7.40</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2015-12-9</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至</w:t>
            </w:r>
          </w:p>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2023-12-9</w:t>
            </w:r>
          </w:p>
        </w:tc>
        <w:tc>
          <w:tcPr>
            <w:tcW w:w="8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316" w:lineRule="auto"/>
              <w:ind w:left="163" w:right="70" w:hanging="91"/>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130"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135"/>
              <w:ind w:left="18" w:right="17"/>
              <w:jc w:val="both"/>
              <w:rPr>
                <w:rFonts w:ascii="宋体" w:hAnsi="宋体" w:cs="宋体" w:eastAsia="宋体" w:hint="default"/>
                <w:sz w:val="18"/>
                <w:szCs w:val="18"/>
              </w:rPr>
            </w:pPr>
            <w:r>
              <w:rPr>
                <w:rFonts w:ascii="宋体" w:hAnsi="宋体" w:cs="宋体" w:eastAsia="宋体" w:hint="default"/>
                <w:sz w:val="18"/>
                <w:szCs w:val="18"/>
              </w:rPr>
              <w:t>以孝义太子能源</w:t>
            </w:r>
            <w:r>
              <w:rPr>
                <w:rFonts w:ascii="宋体" w:hAnsi="宋体" w:cs="宋体" w:eastAsia="宋体" w:hint="default"/>
                <w:spacing w:val="-58"/>
                <w:sz w:val="18"/>
                <w:szCs w:val="18"/>
              </w:rPr>
              <w:t> </w:t>
            </w:r>
            <w:r>
              <w:rPr>
                <w:rFonts w:ascii="Times New Roman" w:hAnsi="Times New Roman" w:cs="Times New Roman" w:eastAsia="Times New Roman" w:hint="default"/>
                <w:position w:val="1"/>
                <w:sz w:val="18"/>
                <w:szCs w:val="18"/>
              </w:rPr>
              <w:t>30MW</w:t>
            </w:r>
            <w:r>
              <w:rPr>
                <w:rFonts w:ascii="Times New Roman" w:hAnsi="Times New Roman" w:cs="Times New Roman" w:eastAsia="Times New Roman" w:hint="default"/>
                <w:spacing w:val="-14"/>
                <w:position w:val="1"/>
                <w:sz w:val="18"/>
                <w:szCs w:val="18"/>
              </w:rPr>
              <w:t> </w:t>
            </w:r>
            <w:r>
              <w:rPr>
                <w:rFonts w:ascii="宋体" w:hAnsi="宋体" w:cs="宋体" w:eastAsia="宋体" w:hint="default"/>
                <w:sz w:val="18"/>
                <w:szCs w:val="18"/>
              </w:rPr>
              <w:t>光伏并网发电设备作为抵押并以其电费收 </w:t>
            </w:r>
            <w:r>
              <w:rPr>
                <w:rFonts w:ascii="宋体" w:hAnsi="宋体" w:cs="宋体" w:eastAsia="宋体" w:hint="default"/>
                <w:spacing w:val="3"/>
                <w:sz w:val="18"/>
                <w:szCs w:val="18"/>
              </w:rPr>
              <w:t>费权作为质押</w:t>
            </w:r>
            <w:r>
              <w:rPr>
                <w:rFonts w:ascii="Times New Roman" w:hAnsi="Times New Roman" w:cs="Times New Roman" w:eastAsia="Times New Roman" w:hint="default"/>
                <w:spacing w:val="3"/>
                <w:position w:val="1"/>
                <w:sz w:val="18"/>
                <w:szCs w:val="18"/>
              </w:rPr>
              <w:t>,</w:t>
            </w:r>
            <w:r>
              <w:rPr>
                <w:rFonts w:ascii="宋体" w:hAnsi="宋体" w:cs="宋体" w:eastAsia="宋体" w:hint="default"/>
                <w:spacing w:val="3"/>
                <w:sz w:val="18"/>
                <w:szCs w:val="18"/>
              </w:rPr>
              <w:t>本公司以其持有的对孝义能源</w:t>
            </w:r>
            <w:r>
              <w:rPr>
                <w:rFonts w:ascii="宋体" w:hAnsi="宋体" w:cs="宋体" w:eastAsia="宋体" w:hint="default"/>
                <w:spacing w:val="11"/>
                <w:sz w:val="18"/>
                <w:szCs w:val="18"/>
              </w:rPr>
              <w:t> </w:t>
            </w:r>
            <w:r>
              <w:rPr>
                <w:rFonts w:ascii="Times New Roman" w:hAnsi="Times New Roman" w:cs="Times New Roman" w:eastAsia="Times New Roman" w:hint="default"/>
                <w:spacing w:val="2"/>
                <w:position w:val="1"/>
                <w:sz w:val="18"/>
                <w:szCs w:val="18"/>
              </w:rPr>
              <w:t>95%</w:t>
            </w:r>
            <w:r>
              <w:rPr>
                <w:rFonts w:ascii="宋体" w:hAnsi="宋体" w:cs="宋体" w:eastAsia="宋体" w:hint="default"/>
                <w:spacing w:val="2"/>
                <w:sz w:val="18"/>
                <w:szCs w:val="18"/>
              </w:rPr>
              <w:t>的股权作为质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押物进行质押担保。</w:t>
            </w:r>
          </w:p>
        </w:tc>
      </w:tr>
      <w:tr>
        <w:trPr>
          <w:trHeight w:val="1220" w:hRule="exact"/>
        </w:trPr>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5"/>
              <w:ind w:left="69" w:right="69"/>
              <w:jc w:val="center"/>
              <w:rPr>
                <w:rFonts w:ascii="宋体" w:hAnsi="宋体" w:cs="宋体" w:eastAsia="宋体" w:hint="default"/>
                <w:sz w:val="18"/>
                <w:szCs w:val="18"/>
              </w:rPr>
            </w:pPr>
            <w:r>
              <w:rPr>
                <w:rFonts w:ascii="宋体" w:hAnsi="宋体" w:cs="宋体" w:eastAsia="宋体" w:hint="default"/>
                <w:sz w:val="18"/>
                <w:szCs w:val="18"/>
              </w:rPr>
              <w:t>赣州发展 融资租赁 有限责任 公司</w:t>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12,000.00</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6.65</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2018-12-27</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至</w:t>
            </w:r>
          </w:p>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2023-12-27</w:t>
            </w:r>
          </w:p>
        </w:tc>
        <w:tc>
          <w:tcPr>
            <w:tcW w:w="8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316" w:lineRule="auto"/>
              <w:ind w:left="163" w:right="70" w:hanging="91"/>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321" w:lineRule="auto"/>
              <w:ind w:left="18" w:right="17"/>
              <w:jc w:val="left"/>
              <w:rPr>
                <w:rFonts w:ascii="宋体" w:hAnsi="宋体" w:cs="宋体" w:eastAsia="宋体" w:hint="default"/>
                <w:sz w:val="18"/>
                <w:szCs w:val="18"/>
              </w:rPr>
            </w:pPr>
            <w:r>
              <w:rPr>
                <w:rFonts w:ascii="宋体" w:hAnsi="宋体" w:cs="宋体" w:eastAsia="宋体" w:hint="default"/>
                <w:sz w:val="18"/>
                <w:szCs w:val="18"/>
              </w:rPr>
              <w:t>公司以伊川佳康一期</w:t>
            </w:r>
            <w:r>
              <w:rPr>
                <w:rFonts w:ascii="宋体" w:hAnsi="宋体" w:cs="宋体" w:eastAsia="宋体" w:hint="default"/>
                <w:spacing w:val="-57"/>
                <w:sz w:val="18"/>
                <w:szCs w:val="18"/>
              </w:rPr>
              <w:t> </w:t>
            </w:r>
            <w:r>
              <w:rPr>
                <w:rFonts w:ascii="Times New Roman" w:hAnsi="Times New Roman" w:cs="Times New Roman" w:eastAsia="Times New Roman" w:hint="default"/>
                <w:position w:val="1"/>
                <w:sz w:val="18"/>
                <w:szCs w:val="18"/>
              </w:rPr>
              <w:t>22MW</w:t>
            </w:r>
            <w:r>
              <w:rPr>
                <w:rFonts w:ascii="Times New Roman" w:hAnsi="Times New Roman" w:cs="Times New Roman" w:eastAsia="Times New Roman" w:hint="default"/>
                <w:spacing w:val="-11"/>
                <w:position w:val="1"/>
                <w:sz w:val="18"/>
                <w:szCs w:val="18"/>
              </w:rPr>
              <w:t> </w:t>
            </w:r>
            <w:r>
              <w:rPr>
                <w:rFonts w:ascii="宋体" w:hAnsi="宋体" w:cs="宋体" w:eastAsia="宋体" w:hint="default"/>
                <w:sz w:val="18"/>
                <w:szCs w:val="18"/>
              </w:rPr>
              <w:t>光伏电站设备做抵押。邹承慧为本借 款承担个人无限连带责任担保。</w:t>
            </w:r>
          </w:p>
        </w:tc>
      </w:tr>
      <w:tr>
        <w:trPr>
          <w:trHeight w:val="1219" w:hRule="exact"/>
        </w:trPr>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4"/>
              <w:ind w:left="69" w:right="69"/>
              <w:jc w:val="center"/>
              <w:rPr>
                <w:rFonts w:ascii="宋体" w:hAnsi="宋体" w:cs="宋体" w:eastAsia="宋体" w:hint="default"/>
                <w:sz w:val="18"/>
                <w:szCs w:val="18"/>
              </w:rPr>
            </w:pPr>
            <w:r>
              <w:rPr>
                <w:rFonts w:ascii="宋体" w:hAnsi="宋体" w:cs="宋体" w:eastAsia="宋体" w:hint="default"/>
                <w:sz w:val="18"/>
                <w:szCs w:val="18"/>
              </w:rPr>
              <w:t>赣州发展 融资租赁 有限责任 公司</w:t>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10,000.00</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6.65</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2018-6-13</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至</w:t>
            </w:r>
          </w:p>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2023-6-12</w:t>
            </w:r>
          </w:p>
        </w:tc>
        <w:tc>
          <w:tcPr>
            <w:tcW w:w="8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163" w:right="70" w:hanging="91"/>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公司以苏州光电部分设备做抵押。</w:t>
            </w:r>
          </w:p>
        </w:tc>
      </w:tr>
      <w:tr>
        <w:trPr>
          <w:trHeight w:val="1221" w:hRule="exact"/>
        </w:trPr>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5"/>
              <w:ind w:left="69" w:right="69"/>
              <w:jc w:val="center"/>
              <w:rPr>
                <w:rFonts w:ascii="宋体" w:hAnsi="宋体" w:cs="宋体" w:eastAsia="宋体" w:hint="default"/>
                <w:sz w:val="18"/>
                <w:szCs w:val="18"/>
              </w:rPr>
            </w:pPr>
            <w:r>
              <w:rPr>
                <w:rFonts w:ascii="宋体" w:hAnsi="宋体" w:cs="宋体" w:eastAsia="宋体" w:hint="default"/>
                <w:sz w:val="18"/>
                <w:szCs w:val="18"/>
              </w:rPr>
              <w:t>赣州发展 融资租赁 有限责任 公司</w:t>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10,000.00</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6.65</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2018-6-13</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至</w:t>
            </w:r>
          </w:p>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2023-6-12</w:t>
            </w:r>
          </w:p>
        </w:tc>
        <w:tc>
          <w:tcPr>
            <w:tcW w:w="8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316" w:lineRule="auto"/>
              <w:ind w:left="163" w:right="70" w:hanging="91"/>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公司以赣州光电部分设备做抵押。</w:t>
            </w:r>
          </w:p>
        </w:tc>
      </w:tr>
      <w:tr>
        <w:trPr>
          <w:trHeight w:val="979" w:hRule="exact"/>
        </w:trPr>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35"/>
              <w:ind w:left="69" w:right="69"/>
              <w:jc w:val="both"/>
              <w:rPr>
                <w:rFonts w:ascii="宋体" w:hAnsi="宋体" w:cs="宋体" w:eastAsia="宋体" w:hint="default"/>
                <w:sz w:val="18"/>
                <w:szCs w:val="18"/>
              </w:rPr>
            </w:pPr>
            <w:r>
              <w:rPr>
                <w:rFonts w:ascii="宋体" w:hAnsi="宋体" w:cs="宋体" w:eastAsia="宋体" w:hint="default"/>
                <w:sz w:val="18"/>
                <w:szCs w:val="18"/>
              </w:rPr>
              <w:t>苏银金融 租赁股份 有限公司</w:t>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15" w:right="0"/>
              <w:jc w:val="left"/>
              <w:rPr>
                <w:rFonts w:ascii="Times New Roman" w:hAnsi="Times New Roman" w:cs="Times New Roman" w:eastAsia="Times New Roman" w:hint="default"/>
                <w:sz w:val="18"/>
                <w:szCs w:val="18"/>
              </w:rPr>
            </w:pPr>
            <w:r>
              <w:rPr>
                <w:rFonts w:ascii="Times New Roman"/>
                <w:sz w:val="18"/>
              </w:rPr>
              <w:t>12,000.00</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浮动</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2016-4-28</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至</w:t>
            </w:r>
          </w:p>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2021-4-28</w:t>
            </w:r>
          </w:p>
        </w:tc>
        <w:tc>
          <w:tcPr>
            <w:tcW w:w="8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163" w:right="70" w:hanging="91"/>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130" w:type="dxa"/>
            <w:tcBorders>
              <w:top w:val="single" w:sz="8" w:space="0" w:color="000000"/>
              <w:left w:val="single" w:sz="8" w:space="0" w:color="000000"/>
              <w:bottom w:val="single" w:sz="8" w:space="0" w:color="000000"/>
              <w:right w:val="single" w:sz="8" w:space="0" w:color="000000"/>
            </w:tcBorders>
          </w:tcPr>
          <w:p>
            <w:pPr>
              <w:pStyle w:val="TableParagraph"/>
              <w:spacing w:line="324" w:lineRule="auto" w:before="15"/>
              <w:ind w:left="18" w:right="17"/>
              <w:jc w:val="both"/>
              <w:rPr>
                <w:rFonts w:ascii="宋体" w:hAnsi="宋体" w:cs="宋体" w:eastAsia="宋体" w:hint="default"/>
                <w:sz w:val="18"/>
                <w:szCs w:val="18"/>
              </w:rPr>
            </w:pPr>
            <w:r>
              <w:rPr>
                <w:rFonts w:ascii="宋体" w:hAnsi="宋体" w:cs="宋体" w:eastAsia="宋体" w:hint="default"/>
                <w:sz w:val="18"/>
                <w:szCs w:val="18"/>
              </w:rPr>
              <w:t>邹承慧为本借款承担个人无限连带责任担保，本公司以其持有的</w:t>
            </w:r>
            <w:r>
              <w:rPr>
                <w:rFonts w:ascii="宋体" w:hAnsi="宋体" w:cs="宋体" w:eastAsia="宋体" w:hint="default"/>
                <w:spacing w:val="-63"/>
                <w:sz w:val="18"/>
                <w:szCs w:val="18"/>
              </w:rPr>
              <w:t> </w:t>
            </w:r>
            <w:r>
              <w:rPr>
                <w:rFonts w:ascii="宋体" w:hAnsi="宋体" w:cs="宋体" w:eastAsia="宋体" w:hint="default"/>
                <w:spacing w:val="7"/>
                <w:sz w:val="18"/>
                <w:szCs w:val="18"/>
              </w:rPr>
              <w:t>对凤庆爱康的</w:t>
            </w:r>
            <w:r>
              <w:rPr>
                <w:rFonts w:ascii="宋体" w:hAnsi="宋体" w:cs="宋体" w:eastAsia="宋体" w:hint="default"/>
                <w:spacing w:val="25"/>
                <w:sz w:val="18"/>
                <w:szCs w:val="18"/>
              </w:rPr>
              <w:t> </w:t>
            </w:r>
            <w:r>
              <w:rPr>
                <w:rFonts w:ascii="Times New Roman" w:hAnsi="Times New Roman" w:cs="Times New Roman" w:eastAsia="Times New Roman" w:hint="default"/>
                <w:spacing w:val="7"/>
                <w:position w:val="1"/>
                <w:sz w:val="18"/>
                <w:szCs w:val="18"/>
              </w:rPr>
              <w:t>100%</w:t>
            </w:r>
            <w:r>
              <w:rPr>
                <w:rFonts w:ascii="宋体" w:hAnsi="宋体" w:cs="宋体" w:eastAsia="宋体" w:hint="default"/>
                <w:spacing w:val="7"/>
                <w:sz w:val="18"/>
                <w:szCs w:val="18"/>
              </w:rPr>
              <w:t>的股权作质押担保，公司以凤庆爱康一期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position w:val="1"/>
                <w:sz w:val="18"/>
                <w:szCs w:val="18"/>
              </w:rPr>
              <w:t>22MW</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光伏电站设备做抵押并以其电费收费权作为质押。</w:t>
            </w:r>
          </w:p>
        </w:tc>
      </w:tr>
    </w:tbl>
    <w:p>
      <w:pPr>
        <w:spacing w:after="0" w:line="324"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879"/>
        <w:gridCol w:w="971"/>
        <w:gridCol w:w="566"/>
        <w:gridCol w:w="1264"/>
        <w:gridCol w:w="885"/>
        <w:gridCol w:w="5130"/>
      </w:tblGrid>
      <w:tr>
        <w:trPr>
          <w:trHeight w:val="920" w:hRule="exact"/>
        </w:trPr>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5"/>
              <w:ind w:left="69" w:right="69"/>
              <w:jc w:val="both"/>
              <w:rPr>
                <w:rFonts w:ascii="宋体" w:hAnsi="宋体" w:cs="宋体" w:eastAsia="宋体" w:hint="default"/>
                <w:sz w:val="18"/>
                <w:szCs w:val="18"/>
              </w:rPr>
            </w:pPr>
            <w:r>
              <w:rPr>
                <w:rFonts w:ascii="宋体" w:hAnsi="宋体" w:cs="宋体" w:eastAsia="宋体" w:hint="default"/>
                <w:sz w:val="18"/>
                <w:szCs w:val="18"/>
              </w:rPr>
              <w:t>苏银金融 租赁股份 有限公司</w:t>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8,000.00</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浮动</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1"/>
              <w:jc w:val="center"/>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2016-6-29</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至</w:t>
            </w:r>
          </w:p>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2021-6-29</w:t>
            </w:r>
          </w:p>
        </w:tc>
        <w:tc>
          <w:tcPr>
            <w:tcW w:w="88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9"/>
              <w:ind w:left="163" w:right="70" w:hanging="91"/>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130"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145"/>
              <w:ind w:left="18" w:right="14"/>
              <w:jc w:val="left"/>
              <w:rPr>
                <w:rFonts w:ascii="宋体" w:hAnsi="宋体" w:cs="宋体" w:eastAsia="宋体" w:hint="default"/>
                <w:sz w:val="18"/>
                <w:szCs w:val="18"/>
              </w:rPr>
            </w:pPr>
            <w:r>
              <w:rPr>
                <w:rFonts w:ascii="宋体" w:hAnsi="宋体" w:cs="宋体" w:eastAsia="宋体" w:hint="default"/>
                <w:sz w:val="18"/>
                <w:szCs w:val="18"/>
              </w:rPr>
              <w:t>公司以其持有的对凤庆爱康的</w:t>
            </w:r>
            <w:r>
              <w:rPr>
                <w:rFonts w:ascii="宋体" w:hAnsi="宋体" w:cs="宋体" w:eastAsia="宋体" w:hint="default"/>
                <w:spacing w:val="44"/>
                <w:sz w:val="18"/>
                <w:szCs w:val="18"/>
              </w:rPr>
              <w:t> </w:t>
            </w:r>
            <w:r>
              <w:rPr>
                <w:rFonts w:ascii="Times New Roman" w:hAnsi="Times New Roman" w:cs="Times New Roman" w:eastAsia="Times New Roman" w:hint="default"/>
                <w:position w:val="1"/>
                <w:sz w:val="18"/>
                <w:szCs w:val="18"/>
              </w:rPr>
              <w:t>100%</w:t>
            </w:r>
            <w:r>
              <w:rPr>
                <w:rFonts w:ascii="宋体" w:hAnsi="宋体" w:cs="宋体" w:eastAsia="宋体" w:hint="default"/>
                <w:sz w:val="18"/>
                <w:szCs w:val="18"/>
              </w:rPr>
              <w:t>的股权作为质押物进行质押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担保。</w:t>
            </w:r>
          </w:p>
        </w:tc>
      </w:tr>
      <w:tr>
        <w:trPr>
          <w:trHeight w:val="980" w:hRule="exact"/>
        </w:trPr>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34"/>
              <w:ind w:left="69" w:right="69"/>
              <w:jc w:val="both"/>
              <w:rPr>
                <w:rFonts w:ascii="宋体" w:hAnsi="宋体" w:cs="宋体" w:eastAsia="宋体" w:hint="default"/>
                <w:sz w:val="18"/>
                <w:szCs w:val="18"/>
              </w:rPr>
            </w:pPr>
            <w:r>
              <w:rPr>
                <w:rFonts w:ascii="宋体" w:hAnsi="宋体" w:cs="宋体" w:eastAsia="宋体" w:hint="default"/>
                <w:sz w:val="18"/>
                <w:szCs w:val="18"/>
              </w:rPr>
              <w:t>苏州金融 租赁股份 有限公司</w:t>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60" w:right="0"/>
              <w:jc w:val="left"/>
              <w:rPr>
                <w:rFonts w:ascii="Times New Roman" w:hAnsi="Times New Roman" w:cs="Times New Roman" w:eastAsia="Times New Roman" w:hint="default"/>
                <w:sz w:val="18"/>
                <w:szCs w:val="18"/>
              </w:rPr>
            </w:pPr>
            <w:r>
              <w:rPr>
                <w:rFonts w:ascii="Times New Roman"/>
                <w:sz w:val="18"/>
              </w:rPr>
              <w:t>5,500.00</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浮动</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2016-3-20</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至</w:t>
            </w:r>
          </w:p>
          <w:p>
            <w:pPr>
              <w:pStyle w:val="TableParagraph"/>
              <w:spacing w:line="240" w:lineRule="auto" w:before="113"/>
              <w:ind w:right="0"/>
              <w:jc w:val="center"/>
              <w:rPr>
                <w:rFonts w:ascii="Times New Roman" w:hAnsi="Times New Roman" w:cs="Times New Roman" w:eastAsia="Times New Roman" w:hint="default"/>
                <w:sz w:val="18"/>
                <w:szCs w:val="18"/>
              </w:rPr>
            </w:pPr>
            <w:r>
              <w:rPr>
                <w:rFonts w:ascii="Times New Roman"/>
                <w:sz w:val="18"/>
              </w:rPr>
              <w:t>2021-3-20</w:t>
            </w:r>
          </w:p>
        </w:tc>
        <w:tc>
          <w:tcPr>
            <w:tcW w:w="8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19" w:lineRule="auto"/>
              <w:ind w:left="253" w:right="70" w:hanging="181"/>
              <w:jc w:val="left"/>
              <w:rPr>
                <w:rFonts w:ascii="宋体" w:hAnsi="宋体" w:cs="宋体" w:eastAsia="宋体" w:hint="default"/>
                <w:sz w:val="18"/>
                <w:szCs w:val="18"/>
              </w:rPr>
            </w:pPr>
            <w:r>
              <w:rPr>
                <w:rFonts w:ascii="宋体" w:hAnsi="宋体" w:cs="宋体" w:eastAsia="宋体" w:hint="default"/>
                <w:sz w:val="18"/>
                <w:szCs w:val="18"/>
              </w:rPr>
              <w:t>分季还本 付息</w:t>
            </w:r>
          </w:p>
        </w:tc>
        <w:tc>
          <w:tcPr>
            <w:tcW w:w="5130"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14"/>
              <w:ind w:left="18" w:right="17"/>
              <w:jc w:val="both"/>
              <w:rPr>
                <w:rFonts w:ascii="宋体" w:hAnsi="宋体" w:cs="宋体" w:eastAsia="宋体" w:hint="default"/>
                <w:sz w:val="18"/>
                <w:szCs w:val="18"/>
              </w:rPr>
            </w:pPr>
            <w:r>
              <w:rPr>
                <w:rFonts w:ascii="宋体" w:hAnsi="宋体" w:cs="宋体" w:eastAsia="宋体" w:hint="default"/>
                <w:sz w:val="18"/>
                <w:szCs w:val="18"/>
              </w:rPr>
              <w:t>公司以朝阳爱康</w:t>
            </w:r>
            <w:r>
              <w:rPr>
                <w:rFonts w:ascii="宋体" w:hAnsi="宋体" w:cs="宋体" w:eastAsia="宋体" w:hint="default"/>
                <w:spacing w:val="-58"/>
                <w:sz w:val="18"/>
                <w:szCs w:val="18"/>
              </w:rPr>
              <w:t> </w:t>
            </w:r>
            <w:r>
              <w:rPr>
                <w:rFonts w:ascii="Times New Roman" w:hAnsi="Times New Roman" w:cs="Times New Roman" w:eastAsia="Times New Roman" w:hint="default"/>
                <w:position w:val="1"/>
                <w:sz w:val="18"/>
                <w:szCs w:val="18"/>
              </w:rPr>
              <w:t>10MW</w:t>
            </w:r>
            <w:r>
              <w:rPr>
                <w:rFonts w:ascii="Times New Roman" w:hAnsi="Times New Roman" w:cs="Times New Roman" w:eastAsia="Times New Roman" w:hint="default"/>
                <w:spacing w:val="-14"/>
                <w:position w:val="1"/>
                <w:sz w:val="18"/>
                <w:szCs w:val="18"/>
              </w:rPr>
              <w:t> </w:t>
            </w:r>
            <w:r>
              <w:rPr>
                <w:rFonts w:ascii="宋体" w:hAnsi="宋体" w:cs="宋体" w:eastAsia="宋体" w:hint="default"/>
                <w:sz w:val="18"/>
                <w:szCs w:val="18"/>
              </w:rPr>
              <w:t>电站设备做抵押并以其电费收费权作为质 </w:t>
            </w:r>
            <w:r>
              <w:rPr>
                <w:rFonts w:ascii="宋体" w:hAnsi="宋体" w:cs="宋体" w:eastAsia="宋体" w:hint="default"/>
                <w:spacing w:val="-5"/>
                <w:sz w:val="18"/>
                <w:szCs w:val="18"/>
              </w:rPr>
              <w:t>押，本公司以其持有的对朝阳爱康</w:t>
            </w:r>
            <w:r>
              <w:rPr>
                <w:rFonts w:ascii="宋体" w:hAnsi="宋体" w:cs="宋体" w:eastAsia="宋体" w:hint="default"/>
                <w:spacing w:val="-44"/>
                <w:sz w:val="18"/>
                <w:szCs w:val="18"/>
              </w:rPr>
              <w:t> </w:t>
            </w:r>
            <w:r>
              <w:rPr>
                <w:rFonts w:ascii="Times New Roman" w:hAnsi="Times New Roman" w:cs="Times New Roman" w:eastAsia="Times New Roman" w:hint="default"/>
                <w:position w:val="1"/>
                <w:sz w:val="18"/>
                <w:szCs w:val="18"/>
              </w:rPr>
              <w:t>100%</w:t>
            </w:r>
            <w:r>
              <w:rPr>
                <w:rFonts w:ascii="宋体" w:hAnsi="宋体" w:cs="宋体" w:eastAsia="宋体" w:hint="default"/>
                <w:sz w:val="18"/>
                <w:szCs w:val="18"/>
              </w:rPr>
              <w:t>的股权作为质押物进行质 押担保。</w:t>
            </w:r>
          </w:p>
        </w:tc>
      </w:tr>
      <w:tr>
        <w:trPr>
          <w:trHeight w:val="920" w:hRule="exact"/>
        </w:trPr>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5"/>
              <w:ind w:left="69" w:right="69"/>
              <w:jc w:val="both"/>
              <w:rPr>
                <w:rFonts w:ascii="宋体" w:hAnsi="宋体" w:cs="宋体" w:eastAsia="宋体" w:hint="default"/>
                <w:sz w:val="18"/>
                <w:szCs w:val="18"/>
              </w:rPr>
            </w:pPr>
            <w:r>
              <w:rPr>
                <w:rFonts w:ascii="宋体" w:hAnsi="宋体" w:cs="宋体" w:eastAsia="宋体" w:hint="default"/>
                <w:sz w:val="18"/>
                <w:szCs w:val="18"/>
              </w:rPr>
              <w:t>苏州金融 租赁股份 有限公司</w:t>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5,500.00</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5.56</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1"/>
              <w:jc w:val="center"/>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2016-7-20</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至</w:t>
            </w:r>
          </w:p>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2022-4-20</w:t>
            </w:r>
          </w:p>
        </w:tc>
        <w:tc>
          <w:tcPr>
            <w:tcW w:w="88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9"/>
              <w:ind w:left="163" w:right="70" w:hanging="91"/>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130"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145"/>
              <w:ind w:left="18" w:right="14"/>
              <w:jc w:val="left"/>
              <w:rPr>
                <w:rFonts w:ascii="宋体" w:hAnsi="宋体" w:cs="宋体" w:eastAsia="宋体" w:hint="default"/>
                <w:sz w:val="18"/>
                <w:szCs w:val="18"/>
              </w:rPr>
            </w:pPr>
            <w:r>
              <w:rPr>
                <w:rFonts w:ascii="宋体" w:hAnsi="宋体" w:cs="宋体" w:eastAsia="宋体" w:hint="default"/>
                <w:spacing w:val="2"/>
                <w:sz w:val="18"/>
                <w:szCs w:val="18"/>
              </w:rPr>
              <w:t>光伏电站的收益权和苏州中康持有的大安爱康</w:t>
            </w:r>
            <w:r>
              <w:rPr>
                <w:rFonts w:ascii="宋体" w:hAnsi="宋体" w:cs="宋体" w:eastAsia="宋体" w:hint="default"/>
                <w:spacing w:val="16"/>
                <w:sz w:val="18"/>
                <w:szCs w:val="18"/>
              </w:rPr>
              <w:t> </w:t>
            </w:r>
            <w:r>
              <w:rPr>
                <w:rFonts w:ascii="Times New Roman" w:hAnsi="Times New Roman" w:cs="Times New Roman" w:eastAsia="Times New Roman" w:hint="default"/>
                <w:position w:val="1"/>
                <w:sz w:val="18"/>
                <w:szCs w:val="18"/>
              </w:rPr>
              <w:t>100%</w:t>
            </w:r>
            <w:r>
              <w:rPr>
                <w:rFonts w:ascii="宋体" w:hAnsi="宋体" w:cs="宋体" w:eastAsia="宋体" w:hint="default"/>
                <w:sz w:val="18"/>
                <w:szCs w:val="18"/>
              </w:rPr>
              <w:t>的股权作为</w:t>
            </w:r>
            <w:r>
              <w:rPr>
                <w:rFonts w:ascii="宋体" w:hAnsi="宋体" w:cs="宋体" w:eastAsia="宋体" w:hint="default"/>
                <w:spacing w:val="-88"/>
                <w:sz w:val="18"/>
                <w:szCs w:val="18"/>
              </w:rPr>
              <w:t> </w:t>
            </w:r>
            <w:r>
              <w:rPr>
                <w:rFonts w:ascii="宋体" w:hAnsi="宋体" w:cs="宋体" w:eastAsia="宋体" w:hint="default"/>
                <w:sz w:val="18"/>
                <w:szCs w:val="18"/>
              </w:rPr>
              <w:t>质押担保。</w:t>
            </w:r>
          </w:p>
        </w:tc>
      </w:tr>
      <w:tr>
        <w:trPr>
          <w:trHeight w:val="920" w:hRule="exact"/>
        </w:trPr>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5"/>
              <w:ind w:left="69" w:right="69"/>
              <w:jc w:val="both"/>
              <w:rPr>
                <w:rFonts w:ascii="宋体" w:hAnsi="宋体" w:cs="宋体" w:eastAsia="宋体" w:hint="default"/>
                <w:sz w:val="18"/>
                <w:szCs w:val="18"/>
              </w:rPr>
            </w:pPr>
            <w:r>
              <w:rPr>
                <w:rFonts w:ascii="宋体" w:hAnsi="宋体" w:cs="宋体" w:eastAsia="宋体" w:hint="default"/>
                <w:sz w:val="18"/>
                <w:szCs w:val="18"/>
              </w:rPr>
              <w:t>苏州金融 租赁股份 有限公司</w:t>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10,000.00</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5.145</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left="180"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2017-1-5</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至</w:t>
            </w:r>
          </w:p>
          <w:p>
            <w:pPr>
              <w:pStyle w:val="TableParagraph"/>
              <w:spacing w:line="240" w:lineRule="auto" w:before="112"/>
              <w:ind w:left="247" w:right="0"/>
              <w:jc w:val="left"/>
              <w:rPr>
                <w:rFonts w:ascii="Times New Roman" w:hAnsi="Times New Roman" w:cs="Times New Roman" w:eastAsia="Times New Roman" w:hint="default"/>
                <w:sz w:val="18"/>
                <w:szCs w:val="18"/>
              </w:rPr>
            </w:pPr>
            <w:r>
              <w:rPr>
                <w:rFonts w:ascii="Times New Roman"/>
                <w:sz w:val="18"/>
              </w:rPr>
              <w:t>2022-7-20</w:t>
            </w:r>
          </w:p>
        </w:tc>
        <w:tc>
          <w:tcPr>
            <w:tcW w:w="88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9"/>
              <w:ind w:left="163" w:right="70" w:hanging="91"/>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130"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145"/>
              <w:ind w:left="18" w:right="17"/>
              <w:jc w:val="left"/>
              <w:rPr>
                <w:rFonts w:ascii="宋体" w:hAnsi="宋体" w:cs="宋体" w:eastAsia="宋体" w:hint="default"/>
                <w:sz w:val="18"/>
                <w:szCs w:val="18"/>
              </w:rPr>
            </w:pPr>
            <w:r>
              <w:rPr>
                <w:rFonts w:ascii="宋体" w:hAnsi="宋体" w:cs="宋体" w:eastAsia="宋体" w:hint="default"/>
                <w:sz w:val="18"/>
                <w:szCs w:val="18"/>
              </w:rPr>
              <w:t>公司以持有锦州爱康</w:t>
            </w:r>
            <w:r>
              <w:rPr>
                <w:rFonts w:ascii="宋体" w:hAnsi="宋体" w:cs="宋体" w:eastAsia="宋体" w:hint="default"/>
                <w:spacing w:val="-29"/>
                <w:sz w:val="18"/>
                <w:szCs w:val="18"/>
              </w:rPr>
              <w:t> </w:t>
            </w:r>
            <w:r>
              <w:rPr>
                <w:rFonts w:ascii="Times New Roman" w:hAnsi="Times New Roman" w:cs="Times New Roman" w:eastAsia="Times New Roman" w:hint="default"/>
                <w:position w:val="1"/>
                <w:sz w:val="18"/>
                <w:szCs w:val="18"/>
              </w:rPr>
              <w:t>100%</w:t>
            </w:r>
            <w:r>
              <w:rPr>
                <w:rFonts w:ascii="宋体" w:hAnsi="宋体" w:cs="宋体" w:eastAsia="宋体" w:hint="default"/>
                <w:sz w:val="18"/>
                <w:szCs w:val="18"/>
              </w:rPr>
              <w:t>股权做质押，以锦州</w:t>
            </w:r>
            <w:r>
              <w:rPr>
                <w:rFonts w:ascii="宋体" w:hAnsi="宋体" w:cs="宋体" w:eastAsia="宋体" w:hint="default"/>
                <w:spacing w:val="-29"/>
                <w:sz w:val="18"/>
                <w:szCs w:val="18"/>
              </w:rPr>
              <w:t> </w:t>
            </w:r>
            <w:r>
              <w:rPr>
                <w:rFonts w:ascii="Times New Roman" w:hAnsi="Times New Roman" w:cs="Times New Roman" w:eastAsia="Times New Roman" w:hint="default"/>
                <w:position w:val="1"/>
                <w:sz w:val="18"/>
                <w:szCs w:val="18"/>
              </w:rPr>
              <w:t>20MW</w:t>
            </w:r>
            <w:r>
              <w:rPr>
                <w:rFonts w:ascii="Times New Roman" w:hAnsi="Times New Roman" w:cs="Times New Roman" w:eastAsia="Times New Roman" w:hint="default"/>
                <w:spacing w:val="15"/>
                <w:position w:val="1"/>
                <w:sz w:val="18"/>
                <w:szCs w:val="18"/>
              </w:rPr>
              <w:t> </w:t>
            </w:r>
            <w:r>
              <w:rPr>
                <w:rFonts w:ascii="宋体" w:hAnsi="宋体" w:cs="宋体" w:eastAsia="宋体" w:hint="default"/>
                <w:sz w:val="18"/>
                <w:szCs w:val="18"/>
              </w:rPr>
              <w:t>电站电费 收费权做质押。</w:t>
            </w:r>
          </w:p>
        </w:tc>
      </w:tr>
      <w:tr>
        <w:trPr>
          <w:trHeight w:val="660" w:hRule="exact"/>
        </w:trPr>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25"/>
              <w:ind w:left="69" w:right="69"/>
              <w:jc w:val="left"/>
              <w:rPr>
                <w:rFonts w:ascii="宋体" w:hAnsi="宋体" w:cs="宋体" w:eastAsia="宋体" w:hint="default"/>
                <w:sz w:val="18"/>
                <w:szCs w:val="18"/>
              </w:rPr>
            </w:pPr>
            <w:r>
              <w:rPr>
                <w:rFonts w:ascii="宋体" w:hAnsi="宋体" w:cs="宋体" w:eastAsia="宋体" w:hint="default"/>
                <w:sz w:val="18"/>
                <w:szCs w:val="18"/>
              </w:rPr>
              <w:t>华润租赁 有限公司</w:t>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5,530.68</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4.90</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0"/>
              <w:jc w:val="center"/>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2016-12-29</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至</w:t>
            </w:r>
          </w:p>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2026-12-29</w:t>
            </w:r>
          </w:p>
        </w:tc>
        <w:tc>
          <w:tcPr>
            <w:tcW w:w="88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9"/>
              <w:ind w:left="163" w:right="70" w:hanging="91"/>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130"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14"/>
              <w:ind w:left="18" w:right="18"/>
              <w:jc w:val="left"/>
              <w:rPr>
                <w:rFonts w:ascii="宋体" w:hAnsi="宋体" w:cs="宋体" w:eastAsia="宋体" w:hint="default"/>
                <w:sz w:val="18"/>
                <w:szCs w:val="18"/>
              </w:rPr>
            </w:pPr>
            <w:r>
              <w:rPr>
                <w:rFonts w:ascii="宋体" w:hAnsi="宋体" w:cs="宋体" w:eastAsia="宋体" w:hint="default"/>
                <w:sz w:val="18"/>
                <w:szCs w:val="18"/>
              </w:rPr>
              <w:t>质押担保物为明光爱康</w:t>
            </w:r>
            <w:r>
              <w:rPr>
                <w:rFonts w:ascii="宋体" w:hAnsi="宋体" w:cs="宋体" w:eastAsia="宋体" w:hint="default"/>
                <w:spacing w:val="-29"/>
                <w:sz w:val="18"/>
                <w:szCs w:val="18"/>
              </w:rPr>
              <w:t> </w:t>
            </w:r>
            <w:r>
              <w:rPr>
                <w:rFonts w:ascii="Times New Roman" w:hAnsi="Times New Roman" w:cs="Times New Roman" w:eastAsia="Times New Roman" w:hint="default"/>
                <w:position w:val="1"/>
                <w:sz w:val="18"/>
                <w:szCs w:val="18"/>
              </w:rPr>
              <w:t>100%</w:t>
            </w:r>
            <w:r>
              <w:rPr>
                <w:rFonts w:ascii="宋体" w:hAnsi="宋体" w:cs="宋体" w:eastAsia="宋体" w:hint="default"/>
                <w:sz w:val="18"/>
                <w:szCs w:val="18"/>
              </w:rPr>
              <w:t>股权，公司以明光爱康</w:t>
            </w:r>
            <w:r>
              <w:rPr>
                <w:rFonts w:ascii="宋体" w:hAnsi="宋体" w:cs="宋体" w:eastAsia="宋体" w:hint="default"/>
                <w:spacing w:val="-29"/>
                <w:sz w:val="18"/>
                <w:szCs w:val="18"/>
              </w:rPr>
              <w:t> </w:t>
            </w:r>
            <w:r>
              <w:rPr>
                <w:rFonts w:ascii="Times New Roman" w:hAnsi="Times New Roman" w:cs="Times New Roman" w:eastAsia="Times New Roman" w:hint="default"/>
                <w:position w:val="1"/>
                <w:sz w:val="18"/>
                <w:szCs w:val="18"/>
              </w:rPr>
              <w:t>20MW</w:t>
            </w:r>
            <w:r>
              <w:rPr>
                <w:rFonts w:ascii="Times New Roman" w:hAnsi="Times New Roman" w:cs="Times New Roman" w:eastAsia="Times New Roman" w:hint="default"/>
                <w:spacing w:val="15"/>
                <w:position w:val="1"/>
                <w:sz w:val="18"/>
                <w:szCs w:val="18"/>
              </w:rPr>
              <w:t> </w:t>
            </w:r>
            <w:r>
              <w:rPr>
                <w:rFonts w:ascii="宋体" w:hAnsi="宋体" w:cs="宋体" w:eastAsia="宋体" w:hint="default"/>
                <w:sz w:val="18"/>
                <w:szCs w:val="18"/>
              </w:rPr>
              <w:t>光伏 电站设备做抵押并以其电费收费权作为质押。</w:t>
            </w:r>
          </w:p>
        </w:tc>
      </w:tr>
      <w:tr>
        <w:trPr>
          <w:trHeight w:val="919" w:hRule="exact"/>
        </w:trPr>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4"/>
              <w:ind w:left="69" w:right="69"/>
              <w:jc w:val="center"/>
              <w:rPr>
                <w:rFonts w:ascii="宋体" w:hAnsi="宋体" w:cs="宋体" w:eastAsia="宋体" w:hint="default"/>
                <w:sz w:val="18"/>
                <w:szCs w:val="18"/>
              </w:rPr>
            </w:pPr>
            <w:r>
              <w:rPr>
                <w:rFonts w:ascii="宋体" w:hAnsi="宋体" w:cs="宋体" w:eastAsia="宋体" w:hint="default"/>
                <w:sz w:val="18"/>
                <w:szCs w:val="18"/>
              </w:rPr>
              <w:t>华夏金融 租赁有限 公司</w:t>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12,000.00</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6.62</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1"/>
              <w:jc w:val="center"/>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2018-4-27</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至</w:t>
            </w:r>
          </w:p>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2018-4-27</w:t>
            </w:r>
          </w:p>
        </w:tc>
        <w:tc>
          <w:tcPr>
            <w:tcW w:w="88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8"/>
              <w:ind w:left="163" w:right="70" w:hanging="91"/>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13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45"/>
              <w:ind w:left="18" w:right="18"/>
              <w:jc w:val="left"/>
              <w:rPr>
                <w:rFonts w:ascii="宋体" w:hAnsi="宋体" w:cs="宋体" w:eastAsia="宋体" w:hint="default"/>
                <w:sz w:val="18"/>
                <w:szCs w:val="18"/>
              </w:rPr>
            </w:pPr>
            <w:r>
              <w:rPr>
                <w:rFonts w:ascii="宋体" w:hAnsi="宋体" w:cs="宋体" w:eastAsia="宋体" w:hint="default"/>
                <w:sz w:val="18"/>
                <w:szCs w:val="18"/>
              </w:rPr>
              <w:t>质押担保物为无棣爱康</w:t>
            </w:r>
            <w:r>
              <w:rPr>
                <w:rFonts w:ascii="宋体" w:hAnsi="宋体" w:cs="宋体" w:eastAsia="宋体" w:hint="default"/>
                <w:spacing w:val="-29"/>
                <w:sz w:val="18"/>
                <w:szCs w:val="18"/>
              </w:rPr>
              <w:t> </w:t>
            </w:r>
            <w:r>
              <w:rPr>
                <w:rFonts w:ascii="Times New Roman" w:hAnsi="Times New Roman" w:cs="Times New Roman" w:eastAsia="Times New Roman" w:hint="default"/>
                <w:position w:val="1"/>
                <w:sz w:val="18"/>
                <w:szCs w:val="18"/>
              </w:rPr>
              <w:t>100%</w:t>
            </w:r>
            <w:r>
              <w:rPr>
                <w:rFonts w:ascii="宋体" w:hAnsi="宋体" w:cs="宋体" w:eastAsia="宋体" w:hint="default"/>
                <w:sz w:val="18"/>
                <w:szCs w:val="18"/>
              </w:rPr>
              <w:t>股权，公司以无棣一期</w:t>
            </w:r>
            <w:r>
              <w:rPr>
                <w:rFonts w:ascii="宋体" w:hAnsi="宋体" w:cs="宋体" w:eastAsia="宋体" w:hint="default"/>
                <w:spacing w:val="-29"/>
                <w:sz w:val="18"/>
                <w:szCs w:val="18"/>
              </w:rPr>
              <w:t> </w:t>
            </w:r>
            <w:r>
              <w:rPr>
                <w:rFonts w:ascii="Times New Roman" w:hAnsi="Times New Roman" w:cs="Times New Roman" w:eastAsia="Times New Roman" w:hint="default"/>
                <w:position w:val="1"/>
                <w:sz w:val="18"/>
                <w:szCs w:val="18"/>
              </w:rPr>
              <w:t>20MW</w:t>
            </w:r>
            <w:r>
              <w:rPr>
                <w:rFonts w:ascii="Times New Roman" w:hAnsi="Times New Roman" w:cs="Times New Roman" w:eastAsia="Times New Roman" w:hint="default"/>
                <w:spacing w:val="15"/>
                <w:position w:val="1"/>
                <w:sz w:val="18"/>
                <w:szCs w:val="18"/>
              </w:rPr>
              <w:t> </w:t>
            </w:r>
            <w:r>
              <w:rPr>
                <w:rFonts w:ascii="宋体" w:hAnsi="宋体" w:cs="宋体" w:eastAsia="宋体" w:hint="default"/>
                <w:sz w:val="18"/>
                <w:szCs w:val="18"/>
              </w:rPr>
              <w:t>光伏 电站设备做抵押并以其电费收费权作为质押。</w:t>
            </w:r>
          </w:p>
        </w:tc>
      </w:tr>
      <w:tr>
        <w:trPr>
          <w:trHeight w:val="920" w:hRule="exact"/>
        </w:trPr>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5"/>
              <w:ind w:left="69" w:right="69"/>
              <w:jc w:val="center"/>
              <w:rPr>
                <w:rFonts w:ascii="宋体" w:hAnsi="宋体" w:cs="宋体" w:eastAsia="宋体" w:hint="default"/>
                <w:sz w:val="18"/>
                <w:szCs w:val="18"/>
              </w:rPr>
            </w:pPr>
            <w:r>
              <w:rPr>
                <w:rFonts w:ascii="宋体" w:hAnsi="宋体" w:cs="宋体" w:eastAsia="宋体" w:hint="default"/>
                <w:sz w:val="18"/>
                <w:szCs w:val="18"/>
              </w:rPr>
              <w:t>华夏金融 租赁有限 公司</w:t>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5,000.00</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6.71</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0"/>
              <w:jc w:val="center"/>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2018-6-8</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至</w:t>
            </w:r>
          </w:p>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2028-6-8</w:t>
            </w:r>
          </w:p>
        </w:tc>
        <w:tc>
          <w:tcPr>
            <w:tcW w:w="88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9"/>
              <w:ind w:left="163" w:right="70" w:hanging="91"/>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130"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145"/>
              <w:ind w:left="18" w:right="18"/>
              <w:jc w:val="left"/>
              <w:rPr>
                <w:rFonts w:ascii="宋体" w:hAnsi="宋体" w:cs="宋体" w:eastAsia="宋体" w:hint="default"/>
                <w:sz w:val="18"/>
                <w:szCs w:val="18"/>
              </w:rPr>
            </w:pPr>
            <w:r>
              <w:rPr>
                <w:rFonts w:ascii="宋体" w:hAnsi="宋体" w:cs="宋体" w:eastAsia="宋体" w:hint="default"/>
                <w:sz w:val="18"/>
                <w:szCs w:val="18"/>
              </w:rPr>
              <w:t>质押担保物为无棣爱康</w:t>
            </w:r>
            <w:r>
              <w:rPr>
                <w:rFonts w:ascii="宋体" w:hAnsi="宋体" w:cs="宋体" w:eastAsia="宋体" w:hint="default"/>
                <w:spacing w:val="-29"/>
                <w:sz w:val="18"/>
                <w:szCs w:val="18"/>
              </w:rPr>
              <w:t> </w:t>
            </w:r>
            <w:r>
              <w:rPr>
                <w:rFonts w:ascii="Times New Roman" w:hAnsi="Times New Roman" w:cs="Times New Roman" w:eastAsia="Times New Roman" w:hint="default"/>
                <w:position w:val="1"/>
                <w:sz w:val="18"/>
                <w:szCs w:val="18"/>
              </w:rPr>
              <w:t>100%</w:t>
            </w:r>
            <w:r>
              <w:rPr>
                <w:rFonts w:ascii="宋体" w:hAnsi="宋体" w:cs="宋体" w:eastAsia="宋体" w:hint="default"/>
                <w:sz w:val="18"/>
                <w:szCs w:val="18"/>
              </w:rPr>
              <w:t>股权，公司以无棣二期</w:t>
            </w:r>
            <w:r>
              <w:rPr>
                <w:rFonts w:ascii="宋体" w:hAnsi="宋体" w:cs="宋体" w:eastAsia="宋体" w:hint="default"/>
                <w:spacing w:val="-29"/>
                <w:sz w:val="18"/>
                <w:szCs w:val="18"/>
              </w:rPr>
              <w:t> </w:t>
            </w:r>
            <w:r>
              <w:rPr>
                <w:rFonts w:ascii="Times New Roman" w:hAnsi="Times New Roman" w:cs="Times New Roman" w:eastAsia="Times New Roman" w:hint="default"/>
                <w:position w:val="1"/>
                <w:sz w:val="18"/>
                <w:szCs w:val="18"/>
              </w:rPr>
              <w:t>10MW</w:t>
            </w:r>
            <w:r>
              <w:rPr>
                <w:rFonts w:ascii="Times New Roman" w:hAnsi="Times New Roman" w:cs="Times New Roman" w:eastAsia="Times New Roman" w:hint="default"/>
                <w:spacing w:val="15"/>
                <w:position w:val="1"/>
                <w:sz w:val="18"/>
                <w:szCs w:val="18"/>
              </w:rPr>
              <w:t> </w:t>
            </w:r>
            <w:r>
              <w:rPr>
                <w:rFonts w:ascii="宋体" w:hAnsi="宋体" w:cs="宋体" w:eastAsia="宋体" w:hint="default"/>
                <w:sz w:val="18"/>
                <w:szCs w:val="18"/>
              </w:rPr>
              <w:t>光伏 电站设备做抵押并以其电费收费权作为质押。</w:t>
            </w:r>
          </w:p>
        </w:tc>
      </w:tr>
      <w:tr>
        <w:trPr>
          <w:trHeight w:val="921" w:hRule="exact"/>
        </w:trPr>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5"/>
              <w:ind w:left="69" w:right="69"/>
              <w:jc w:val="center"/>
              <w:rPr>
                <w:rFonts w:ascii="宋体" w:hAnsi="宋体" w:cs="宋体" w:eastAsia="宋体" w:hint="default"/>
                <w:sz w:val="18"/>
                <w:szCs w:val="18"/>
              </w:rPr>
            </w:pPr>
            <w:r>
              <w:rPr>
                <w:rFonts w:ascii="宋体" w:hAnsi="宋体" w:cs="宋体" w:eastAsia="宋体" w:hint="default"/>
                <w:sz w:val="18"/>
                <w:szCs w:val="18"/>
              </w:rPr>
              <w:t>华夏金融 租赁有限 公司</w:t>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5,000.00</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6.71</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0"/>
              <w:jc w:val="center"/>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2018-6-8</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至</w:t>
            </w:r>
          </w:p>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2028-6-8</w:t>
            </w:r>
          </w:p>
        </w:tc>
        <w:tc>
          <w:tcPr>
            <w:tcW w:w="88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9"/>
              <w:ind w:left="163" w:right="70" w:hanging="91"/>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130"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145"/>
              <w:ind w:left="18" w:right="18"/>
              <w:jc w:val="left"/>
              <w:rPr>
                <w:rFonts w:ascii="宋体" w:hAnsi="宋体" w:cs="宋体" w:eastAsia="宋体" w:hint="default"/>
                <w:sz w:val="18"/>
                <w:szCs w:val="18"/>
              </w:rPr>
            </w:pPr>
            <w:r>
              <w:rPr>
                <w:rFonts w:ascii="宋体" w:hAnsi="宋体" w:cs="宋体" w:eastAsia="宋体" w:hint="default"/>
                <w:sz w:val="18"/>
                <w:szCs w:val="18"/>
              </w:rPr>
              <w:t>质押担保物为无棣爱康</w:t>
            </w:r>
            <w:r>
              <w:rPr>
                <w:rFonts w:ascii="宋体" w:hAnsi="宋体" w:cs="宋体" w:eastAsia="宋体" w:hint="default"/>
                <w:spacing w:val="-29"/>
                <w:sz w:val="18"/>
                <w:szCs w:val="18"/>
              </w:rPr>
              <w:t> </w:t>
            </w:r>
            <w:r>
              <w:rPr>
                <w:rFonts w:ascii="Times New Roman" w:hAnsi="Times New Roman" w:cs="Times New Roman" w:eastAsia="Times New Roman" w:hint="default"/>
                <w:position w:val="1"/>
                <w:sz w:val="18"/>
                <w:szCs w:val="18"/>
              </w:rPr>
              <w:t>100%</w:t>
            </w:r>
            <w:r>
              <w:rPr>
                <w:rFonts w:ascii="宋体" w:hAnsi="宋体" w:cs="宋体" w:eastAsia="宋体" w:hint="default"/>
                <w:sz w:val="18"/>
                <w:szCs w:val="18"/>
              </w:rPr>
              <w:t>股权，公司以无棣三期</w:t>
            </w:r>
            <w:r>
              <w:rPr>
                <w:rFonts w:ascii="宋体" w:hAnsi="宋体" w:cs="宋体" w:eastAsia="宋体" w:hint="default"/>
                <w:spacing w:val="-29"/>
                <w:sz w:val="18"/>
                <w:szCs w:val="18"/>
              </w:rPr>
              <w:t> </w:t>
            </w:r>
            <w:r>
              <w:rPr>
                <w:rFonts w:ascii="Times New Roman" w:hAnsi="Times New Roman" w:cs="Times New Roman" w:eastAsia="Times New Roman" w:hint="default"/>
                <w:position w:val="1"/>
                <w:sz w:val="18"/>
                <w:szCs w:val="18"/>
              </w:rPr>
              <w:t>10MW</w:t>
            </w:r>
            <w:r>
              <w:rPr>
                <w:rFonts w:ascii="Times New Roman" w:hAnsi="Times New Roman" w:cs="Times New Roman" w:eastAsia="Times New Roman" w:hint="default"/>
                <w:spacing w:val="15"/>
                <w:position w:val="1"/>
                <w:sz w:val="18"/>
                <w:szCs w:val="18"/>
              </w:rPr>
              <w:t> </w:t>
            </w:r>
            <w:r>
              <w:rPr>
                <w:rFonts w:ascii="宋体" w:hAnsi="宋体" w:cs="宋体" w:eastAsia="宋体" w:hint="default"/>
                <w:sz w:val="18"/>
                <w:szCs w:val="18"/>
              </w:rPr>
              <w:t>光伏 电站设备做抵押并以其电费收费权作为质押。</w:t>
            </w:r>
          </w:p>
        </w:tc>
      </w:tr>
      <w:tr>
        <w:trPr>
          <w:trHeight w:val="919" w:hRule="exact"/>
        </w:trPr>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4"/>
              <w:ind w:left="69" w:right="69"/>
              <w:jc w:val="center"/>
              <w:rPr>
                <w:rFonts w:ascii="宋体" w:hAnsi="宋体" w:cs="宋体" w:eastAsia="宋体" w:hint="default"/>
                <w:sz w:val="18"/>
                <w:szCs w:val="18"/>
              </w:rPr>
            </w:pPr>
            <w:r>
              <w:rPr>
                <w:rFonts w:ascii="宋体" w:hAnsi="宋体" w:cs="宋体" w:eastAsia="宋体" w:hint="default"/>
                <w:sz w:val="18"/>
                <w:szCs w:val="18"/>
              </w:rPr>
              <w:t>华夏金融 租赁有限 公司</w:t>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20,000.00</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6.71</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0"/>
              <w:jc w:val="center"/>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2018-6-8</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至</w:t>
            </w:r>
          </w:p>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2028-6-8</w:t>
            </w:r>
          </w:p>
        </w:tc>
        <w:tc>
          <w:tcPr>
            <w:tcW w:w="88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8"/>
              <w:ind w:left="163" w:right="70" w:hanging="91"/>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13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45"/>
              <w:ind w:left="18" w:right="18"/>
              <w:jc w:val="left"/>
              <w:rPr>
                <w:rFonts w:ascii="宋体" w:hAnsi="宋体" w:cs="宋体" w:eastAsia="宋体" w:hint="default"/>
                <w:sz w:val="18"/>
                <w:szCs w:val="18"/>
              </w:rPr>
            </w:pPr>
            <w:r>
              <w:rPr>
                <w:rFonts w:ascii="宋体" w:hAnsi="宋体" w:cs="宋体" w:eastAsia="宋体" w:hint="default"/>
                <w:sz w:val="18"/>
                <w:szCs w:val="18"/>
              </w:rPr>
              <w:t>质押担保物为无棣爱康</w:t>
            </w:r>
            <w:r>
              <w:rPr>
                <w:rFonts w:ascii="宋体" w:hAnsi="宋体" w:cs="宋体" w:eastAsia="宋体" w:hint="default"/>
                <w:spacing w:val="-29"/>
                <w:sz w:val="18"/>
                <w:szCs w:val="18"/>
              </w:rPr>
              <w:t> </w:t>
            </w:r>
            <w:r>
              <w:rPr>
                <w:rFonts w:ascii="Times New Roman" w:hAnsi="Times New Roman" w:cs="Times New Roman" w:eastAsia="Times New Roman" w:hint="default"/>
                <w:position w:val="1"/>
                <w:sz w:val="18"/>
                <w:szCs w:val="18"/>
              </w:rPr>
              <w:t>100%</w:t>
            </w:r>
            <w:r>
              <w:rPr>
                <w:rFonts w:ascii="宋体" w:hAnsi="宋体" w:cs="宋体" w:eastAsia="宋体" w:hint="default"/>
                <w:sz w:val="18"/>
                <w:szCs w:val="18"/>
              </w:rPr>
              <w:t>股权，公司以无棣四期</w:t>
            </w:r>
            <w:r>
              <w:rPr>
                <w:rFonts w:ascii="宋体" w:hAnsi="宋体" w:cs="宋体" w:eastAsia="宋体" w:hint="default"/>
                <w:spacing w:val="-29"/>
                <w:sz w:val="18"/>
                <w:szCs w:val="18"/>
              </w:rPr>
              <w:t> </w:t>
            </w:r>
            <w:r>
              <w:rPr>
                <w:rFonts w:ascii="Times New Roman" w:hAnsi="Times New Roman" w:cs="Times New Roman" w:eastAsia="Times New Roman" w:hint="default"/>
                <w:position w:val="1"/>
                <w:sz w:val="18"/>
                <w:szCs w:val="18"/>
              </w:rPr>
              <w:t>20MW</w:t>
            </w:r>
            <w:r>
              <w:rPr>
                <w:rFonts w:ascii="Times New Roman" w:hAnsi="Times New Roman" w:cs="Times New Roman" w:eastAsia="Times New Roman" w:hint="default"/>
                <w:spacing w:val="15"/>
                <w:position w:val="1"/>
                <w:sz w:val="18"/>
                <w:szCs w:val="18"/>
              </w:rPr>
              <w:t> </w:t>
            </w:r>
            <w:r>
              <w:rPr>
                <w:rFonts w:ascii="宋体" w:hAnsi="宋体" w:cs="宋体" w:eastAsia="宋体" w:hint="default"/>
                <w:sz w:val="18"/>
                <w:szCs w:val="18"/>
              </w:rPr>
              <w:t>光伏 电站设备做抵押并以其电费收费权作为质押。</w:t>
            </w:r>
          </w:p>
        </w:tc>
      </w:tr>
      <w:tr>
        <w:trPr>
          <w:trHeight w:val="1220" w:hRule="exact"/>
        </w:trPr>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5"/>
              <w:ind w:left="69" w:right="67"/>
              <w:jc w:val="both"/>
              <w:rPr>
                <w:rFonts w:ascii="宋体" w:hAnsi="宋体" w:cs="宋体" w:eastAsia="宋体" w:hint="default"/>
                <w:sz w:val="18"/>
                <w:szCs w:val="18"/>
              </w:rPr>
            </w:pPr>
            <w:r>
              <w:rPr>
                <w:rFonts w:ascii="宋体" w:hAnsi="宋体" w:cs="宋体" w:eastAsia="宋体" w:hint="default"/>
                <w:sz w:val="18"/>
                <w:szCs w:val="18"/>
              </w:rPr>
              <w:t>上海爱康 富罗纳融 资租赁有 限公司</w:t>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36,000.00</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6.71</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2018-9-21</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至</w:t>
            </w:r>
          </w:p>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2028-9-21</w:t>
            </w:r>
          </w:p>
        </w:tc>
        <w:tc>
          <w:tcPr>
            <w:tcW w:w="8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316" w:lineRule="auto"/>
              <w:ind w:left="163" w:right="70" w:hanging="91"/>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321" w:lineRule="auto"/>
              <w:ind w:left="18" w:right="17"/>
              <w:jc w:val="left"/>
              <w:rPr>
                <w:rFonts w:ascii="宋体" w:hAnsi="宋体" w:cs="宋体" w:eastAsia="宋体" w:hint="default"/>
                <w:sz w:val="18"/>
                <w:szCs w:val="18"/>
              </w:rPr>
            </w:pPr>
            <w:r>
              <w:rPr>
                <w:rFonts w:ascii="宋体" w:hAnsi="宋体" w:cs="宋体" w:eastAsia="宋体" w:hint="default"/>
                <w:sz w:val="18"/>
                <w:szCs w:val="18"/>
              </w:rPr>
              <w:t>质押担保物为南召</w:t>
            </w:r>
            <w:r>
              <w:rPr>
                <w:rFonts w:ascii="宋体" w:hAnsi="宋体" w:cs="宋体" w:eastAsia="宋体" w:hint="default"/>
                <w:spacing w:val="-29"/>
                <w:sz w:val="18"/>
                <w:szCs w:val="18"/>
              </w:rPr>
              <w:t> </w:t>
            </w:r>
            <w:r>
              <w:rPr>
                <w:rFonts w:ascii="Times New Roman" w:hAnsi="Times New Roman" w:cs="Times New Roman" w:eastAsia="Times New Roman" w:hint="default"/>
                <w:position w:val="1"/>
                <w:sz w:val="18"/>
                <w:szCs w:val="18"/>
              </w:rPr>
              <w:t>100%</w:t>
            </w:r>
            <w:r>
              <w:rPr>
                <w:rFonts w:ascii="宋体" w:hAnsi="宋体" w:cs="宋体" w:eastAsia="宋体" w:hint="default"/>
                <w:sz w:val="18"/>
                <w:szCs w:val="18"/>
              </w:rPr>
              <w:t>股权，公司以南召</w:t>
            </w:r>
            <w:r>
              <w:rPr>
                <w:rFonts w:ascii="宋体" w:hAnsi="宋体" w:cs="宋体" w:eastAsia="宋体" w:hint="default"/>
                <w:spacing w:val="-29"/>
                <w:sz w:val="18"/>
                <w:szCs w:val="18"/>
              </w:rPr>
              <w:t> </w:t>
            </w:r>
            <w:r>
              <w:rPr>
                <w:rFonts w:ascii="Times New Roman" w:hAnsi="Times New Roman" w:cs="Times New Roman" w:eastAsia="Times New Roman" w:hint="default"/>
                <w:position w:val="1"/>
                <w:sz w:val="18"/>
                <w:szCs w:val="18"/>
              </w:rPr>
              <w:t>80MW</w:t>
            </w:r>
            <w:r>
              <w:rPr>
                <w:rFonts w:ascii="Times New Roman" w:hAnsi="Times New Roman" w:cs="Times New Roman" w:eastAsia="Times New Roman" w:hint="default"/>
                <w:spacing w:val="15"/>
                <w:position w:val="1"/>
                <w:sz w:val="18"/>
                <w:szCs w:val="18"/>
              </w:rPr>
              <w:t> </w:t>
            </w:r>
            <w:r>
              <w:rPr>
                <w:rFonts w:ascii="宋体" w:hAnsi="宋体" w:cs="宋体" w:eastAsia="宋体" w:hint="default"/>
                <w:sz w:val="18"/>
                <w:szCs w:val="18"/>
              </w:rPr>
              <w:t>光伏电站设备 做抵押并以其电费收费权作为质押。</w:t>
            </w:r>
          </w:p>
        </w:tc>
      </w:tr>
      <w:tr>
        <w:trPr>
          <w:trHeight w:val="1220" w:hRule="exact"/>
        </w:trPr>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5"/>
              <w:ind w:left="69" w:right="69"/>
              <w:jc w:val="both"/>
              <w:rPr>
                <w:rFonts w:ascii="宋体" w:hAnsi="宋体" w:cs="宋体" w:eastAsia="宋体" w:hint="default"/>
                <w:sz w:val="18"/>
                <w:szCs w:val="18"/>
              </w:rPr>
            </w:pPr>
            <w:r>
              <w:rPr>
                <w:rFonts w:ascii="宋体" w:hAnsi="宋体" w:cs="宋体" w:eastAsia="宋体" w:hint="default"/>
                <w:sz w:val="18"/>
                <w:szCs w:val="18"/>
              </w:rPr>
              <w:t>上海爱康 富罗纳融 资租赁有 限公司</w:t>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4,500.00</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6.71</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2018-9-21</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至</w:t>
            </w:r>
          </w:p>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2028-9-21</w:t>
            </w:r>
          </w:p>
        </w:tc>
        <w:tc>
          <w:tcPr>
            <w:tcW w:w="8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316" w:lineRule="auto"/>
              <w:ind w:left="163" w:right="70" w:hanging="91"/>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1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321" w:lineRule="auto"/>
              <w:ind w:left="18" w:right="17"/>
              <w:jc w:val="left"/>
              <w:rPr>
                <w:rFonts w:ascii="宋体" w:hAnsi="宋体" w:cs="宋体" w:eastAsia="宋体" w:hint="default"/>
                <w:sz w:val="18"/>
                <w:szCs w:val="18"/>
              </w:rPr>
            </w:pPr>
            <w:r>
              <w:rPr>
                <w:rFonts w:ascii="宋体" w:hAnsi="宋体" w:cs="宋体" w:eastAsia="宋体" w:hint="default"/>
                <w:sz w:val="18"/>
                <w:szCs w:val="18"/>
              </w:rPr>
              <w:t>质押担保物为莒南鑫顺风</w:t>
            </w:r>
            <w:r>
              <w:rPr>
                <w:rFonts w:ascii="宋体" w:hAnsi="宋体" w:cs="宋体" w:eastAsia="宋体" w:hint="default"/>
                <w:spacing w:val="-29"/>
                <w:sz w:val="18"/>
                <w:szCs w:val="18"/>
              </w:rPr>
              <w:t> </w:t>
            </w:r>
            <w:r>
              <w:rPr>
                <w:rFonts w:ascii="Times New Roman" w:hAnsi="Times New Roman" w:cs="Times New Roman" w:eastAsia="Times New Roman" w:hint="default"/>
                <w:position w:val="1"/>
                <w:sz w:val="18"/>
                <w:szCs w:val="18"/>
              </w:rPr>
              <w:t>100%</w:t>
            </w:r>
            <w:r>
              <w:rPr>
                <w:rFonts w:ascii="宋体" w:hAnsi="宋体" w:cs="宋体" w:eastAsia="宋体" w:hint="default"/>
                <w:sz w:val="18"/>
                <w:szCs w:val="18"/>
              </w:rPr>
              <w:t>股权，公司以莒南</w:t>
            </w:r>
            <w:r>
              <w:rPr>
                <w:rFonts w:ascii="宋体" w:hAnsi="宋体" w:cs="宋体" w:eastAsia="宋体" w:hint="default"/>
                <w:spacing w:val="-29"/>
                <w:sz w:val="18"/>
                <w:szCs w:val="18"/>
              </w:rPr>
              <w:t> </w:t>
            </w:r>
            <w:r>
              <w:rPr>
                <w:rFonts w:ascii="Times New Roman" w:hAnsi="Times New Roman" w:cs="Times New Roman" w:eastAsia="Times New Roman" w:hint="default"/>
                <w:position w:val="1"/>
                <w:sz w:val="18"/>
                <w:szCs w:val="18"/>
              </w:rPr>
              <w:t>10MW</w:t>
            </w:r>
            <w:r>
              <w:rPr>
                <w:rFonts w:ascii="Times New Roman" w:hAnsi="Times New Roman" w:cs="Times New Roman" w:eastAsia="Times New Roman" w:hint="default"/>
                <w:spacing w:val="16"/>
                <w:position w:val="1"/>
                <w:sz w:val="18"/>
                <w:szCs w:val="18"/>
              </w:rPr>
              <w:t> </w:t>
            </w:r>
            <w:r>
              <w:rPr>
                <w:rFonts w:ascii="宋体" w:hAnsi="宋体" w:cs="宋体" w:eastAsia="宋体" w:hint="default"/>
                <w:sz w:val="18"/>
                <w:szCs w:val="18"/>
              </w:rPr>
              <w:t>光伏电 站设备做抵押并以其电费收费权作为质押。</w:t>
            </w:r>
          </w:p>
        </w:tc>
      </w:tr>
      <w:tr>
        <w:trPr>
          <w:trHeight w:val="979" w:hRule="exact"/>
        </w:trPr>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34"/>
              <w:ind w:left="69" w:right="69"/>
              <w:jc w:val="center"/>
              <w:rPr>
                <w:rFonts w:ascii="宋体" w:hAnsi="宋体" w:cs="宋体" w:eastAsia="宋体" w:hint="default"/>
                <w:sz w:val="18"/>
                <w:szCs w:val="18"/>
              </w:rPr>
            </w:pPr>
            <w:r>
              <w:rPr>
                <w:rFonts w:ascii="宋体" w:hAnsi="宋体" w:cs="宋体" w:eastAsia="宋体" w:hint="default"/>
                <w:sz w:val="18"/>
                <w:szCs w:val="18"/>
              </w:rPr>
              <w:t>信达金融 租赁有限 公司</w:t>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15" w:right="0"/>
              <w:jc w:val="left"/>
              <w:rPr>
                <w:rFonts w:ascii="Times New Roman" w:hAnsi="Times New Roman" w:cs="Times New Roman" w:eastAsia="Times New Roman" w:hint="default"/>
                <w:sz w:val="18"/>
                <w:szCs w:val="18"/>
              </w:rPr>
            </w:pPr>
            <w:r>
              <w:rPr>
                <w:rFonts w:ascii="Times New Roman"/>
                <w:sz w:val="18"/>
              </w:rPr>
              <w:t>10,000.00</w:t>
            </w:r>
          </w:p>
        </w:tc>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4.90</w:t>
            </w:r>
          </w:p>
        </w:tc>
        <w:tc>
          <w:tcPr>
            <w:tcW w:w="12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position w:val="1"/>
                <w:sz w:val="18"/>
                <w:szCs w:val="18"/>
              </w:rPr>
              <w:t>2018-7-6</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至</w:t>
            </w:r>
          </w:p>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2026-7-6</w:t>
            </w:r>
          </w:p>
        </w:tc>
        <w:tc>
          <w:tcPr>
            <w:tcW w:w="8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163" w:right="71" w:hanging="91"/>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130" w:type="dxa"/>
            <w:tcBorders>
              <w:top w:val="single" w:sz="8" w:space="0" w:color="000000"/>
              <w:left w:val="single" w:sz="8" w:space="0" w:color="000000"/>
              <w:bottom w:val="single" w:sz="8" w:space="0" w:color="000000"/>
              <w:right w:val="single" w:sz="8" w:space="0" w:color="000000"/>
            </w:tcBorders>
          </w:tcPr>
          <w:p>
            <w:pPr>
              <w:pStyle w:val="TableParagraph"/>
              <w:spacing w:line="324" w:lineRule="auto" w:before="14"/>
              <w:ind w:left="18" w:right="17"/>
              <w:jc w:val="both"/>
              <w:rPr>
                <w:rFonts w:ascii="宋体" w:hAnsi="宋体" w:cs="宋体" w:eastAsia="宋体" w:hint="default"/>
                <w:sz w:val="18"/>
                <w:szCs w:val="18"/>
              </w:rPr>
            </w:pPr>
            <w:r>
              <w:rPr>
                <w:rFonts w:ascii="宋体" w:hAnsi="宋体" w:cs="宋体" w:eastAsia="宋体" w:hint="default"/>
                <w:sz w:val="18"/>
                <w:szCs w:val="18"/>
              </w:rPr>
              <w:t>邹承慧为本借款承担个人无限连带责任担保，本公司以其持有的</w:t>
            </w:r>
            <w:r>
              <w:rPr>
                <w:rFonts w:ascii="宋体" w:hAnsi="宋体" w:cs="宋体" w:eastAsia="宋体" w:hint="default"/>
                <w:spacing w:val="-63"/>
                <w:sz w:val="18"/>
                <w:szCs w:val="18"/>
              </w:rPr>
              <w:t> </w:t>
            </w:r>
            <w:r>
              <w:rPr>
                <w:rFonts w:ascii="宋体" w:hAnsi="宋体" w:cs="宋体" w:eastAsia="宋体" w:hint="default"/>
                <w:sz w:val="18"/>
                <w:szCs w:val="18"/>
              </w:rPr>
              <w:t>对禄劝爱康的</w:t>
            </w:r>
            <w:r>
              <w:rPr>
                <w:rFonts w:ascii="宋体" w:hAnsi="宋体" w:cs="宋体" w:eastAsia="宋体" w:hint="default"/>
                <w:spacing w:val="-46"/>
                <w:sz w:val="18"/>
                <w:szCs w:val="18"/>
              </w:rPr>
              <w:t> </w:t>
            </w:r>
            <w:r>
              <w:rPr>
                <w:rFonts w:ascii="Times New Roman" w:hAnsi="Times New Roman" w:cs="Times New Roman" w:eastAsia="Times New Roman" w:hint="default"/>
                <w:spacing w:val="-3"/>
                <w:position w:val="1"/>
                <w:sz w:val="18"/>
                <w:szCs w:val="18"/>
              </w:rPr>
              <w:t>100%</w:t>
            </w:r>
            <w:r>
              <w:rPr>
                <w:rFonts w:ascii="宋体" w:hAnsi="宋体" w:cs="宋体" w:eastAsia="宋体" w:hint="default"/>
                <w:spacing w:val="-3"/>
                <w:sz w:val="18"/>
                <w:szCs w:val="18"/>
              </w:rPr>
              <w:t>的股权作为质押物进行质押担保，公司以禄劝</w:t>
            </w:r>
            <w:r>
              <w:rPr>
                <w:rFonts w:ascii="宋体" w:hAnsi="宋体" w:cs="宋体" w:eastAsia="宋体" w:hint="default"/>
                <w:sz w:val="18"/>
                <w:szCs w:val="18"/>
              </w:rPr>
              <w:t> 爱康</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20MW</w:t>
            </w:r>
            <w:r>
              <w:rPr>
                <w:rFonts w:ascii="Times New Roman" w:hAnsi="Times New Roman" w:cs="Times New Roman" w:eastAsia="Times New Roman" w:hint="default"/>
                <w:spacing w:val="-2"/>
                <w:position w:val="1"/>
                <w:sz w:val="18"/>
                <w:szCs w:val="18"/>
              </w:rPr>
              <w:t> </w:t>
            </w:r>
            <w:r>
              <w:rPr>
                <w:rFonts w:ascii="宋体" w:hAnsi="宋体" w:cs="宋体" w:eastAsia="宋体" w:hint="default"/>
                <w:sz w:val="18"/>
                <w:szCs w:val="18"/>
              </w:rPr>
              <w:t>光伏电站设备做抵押并以其电费收费权作为质押。</w:t>
            </w:r>
          </w:p>
        </w:tc>
      </w:tr>
    </w:tbl>
    <w:p>
      <w:pPr>
        <w:pStyle w:val="BodyText"/>
        <w:spacing w:line="240" w:lineRule="auto" w:before="52"/>
        <w:ind w:right="1122"/>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22"/>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9"/>
        <w:gridCol w:w="1559"/>
        <w:gridCol w:w="851"/>
        <w:gridCol w:w="1559"/>
        <w:gridCol w:w="992"/>
        <w:gridCol w:w="1276"/>
        <w:gridCol w:w="709"/>
        <w:gridCol w:w="568"/>
        <w:gridCol w:w="643"/>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3"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3" w:right="53"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9"/>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7"/>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 w:right="4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苏州爱康薄膜新 材料有限公司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917.62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苏州爱康薄膜新 材料有限公司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江苏爱康绿色家 园科技有限公司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江苏爱康实业集 团有限公司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江苏爱康实业集 团有限公司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江苏爱康实业集 团有限公司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江苏爱康实业集 团有限公司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江苏爱康实业集 团有限公司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江苏爱康实业集 团有限公司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江苏爱康实业集 团有限公司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江苏爱康实业集 团有限公司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江苏爱康实业集 团有限公司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江苏爱康实业集 团有限公司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苏州爱康能源工 程技术有限公司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24"/>
              <w:jc w:val="left"/>
              <w:rPr>
                <w:rFonts w:ascii="宋体" w:hAnsi="宋体" w:cs="宋体" w:eastAsia="宋体" w:hint="default"/>
                <w:sz w:val="18"/>
                <w:szCs w:val="18"/>
              </w:rPr>
            </w:pPr>
            <w:r>
              <w:rPr>
                <w:rFonts w:ascii="宋体" w:hAnsi="宋体" w:cs="宋体" w:eastAsia="宋体" w:hint="default"/>
                <w:sz w:val="18"/>
                <w:szCs w:val="18"/>
              </w:rPr>
              <w:t>苏州爱康能源工 程技术有限公司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2,655.34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苏州爱康能源工 程技术有限公司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9"/>
        <w:gridCol w:w="1559"/>
        <w:gridCol w:w="851"/>
        <w:gridCol w:w="1559"/>
        <w:gridCol w:w="992"/>
        <w:gridCol w:w="1276"/>
        <w:gridCol w:w="709"/>
        <w:gridCol w:w="568"/>
        <w:gridCol w:w="643"/>
      </w:tblGrid>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苏州爱康能源工 程技术有限公司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苏州爱康能源工 程技术有限公司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苏州爱康能源工 程技术有限公司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苏州爱康能源工 程技术有限公司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苏州爱康能源工 程技术有限公司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苏州爱康能源工 程技术有限公司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苏州爱康能源工 程技术有限公司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固镇县爱康光伏 新能源有限公司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固镇县爱康光伏 新能源有限公司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磁县品佑光伏电 力开发有限公司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临朐祥泰光伏发 电有限公司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日本爱康株式会 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上海富罗纳融资 租赁有限公司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13,894.69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上海富罗纳融资 租赁有限公司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上海富罗纳融资 租赁有限公司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上海富罗纳融资 租赁有限公司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江西慧谷供应链 管理有限公司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金昌清能电力有 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23,765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九州方园博乐市 新能源有限公司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31,368.43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9"/>
        <w:gridCol w:w="1202"/>
        <w:gridCol w:w="351"/>
        <w:gridCol w:w="857"/>
        <w:gridCol w:w="1565"/>
        <w:gridCol w:w="981"/>
        <w:gridCol w:w="1282"/>
        <w:gridCol w:w="715"/>
        <w:gridCol w:w="562"/>
        <w:gridCol w:w="643"/>
      </w:tblGrid>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九州方园博乐市 新能源有限公司</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13,480.09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新疆伊阳能源科 技有限公司</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18,524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both"/>
              <w:rPr>
                <w:rFonts w:ascii="宋体" w:hAnsi="宋体" w:cs="宋体" w:eastAsia="宋体" w:hint="default"/>
                <w:sz w:val="18"/>
                <w:szCs w:val="18"/>
              </w:rPr>
            </w:pPr>
            <w:r>
              <w:rPr>
                <w:rFonts w:ascii="宋体" w:hAnsi="宋体" w:cs="宋体" w:eastAsia="宋体" w:hint="default"/>
                <w:sz w:val="18"/>
                <w:szCs w:val="18"/>
              </w:rPr>
              <w:t>内蒙古四子王旗 神光能源发展有 限公司</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特克斯昱辉新能 源有限公司</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9,500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新疆聚阳能源科 技有限公司</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11,200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新疆聚阳能源科 技有限公司</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11,200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浙江瑞旭投资有 限公司</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46,350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15,750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浙江瑞旭投资有 限公司</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46,350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28,400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九州方园博州市 新能源有限公司</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68,310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65,550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丹阳中康电力开 发有限公司</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935.83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883.34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随县爱康新能源 投资有限公司</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7,200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江阴东华铝材科 技有限公司</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江阴东华铝材科 技有限公司</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4,100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江阴东华铝材科 技有限公司</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江阴科玛金属制 品有限公司</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773" w:type="dxa"/>
            <w:gridSpan w:val="3"/>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844,060.83</w:t>
            </w:r>
          </w:p>
        </w:tc>
        <w:tc>
          <w:tcPr>
            <w:tcW w:w="22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 w:right="75"/>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192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64" w:right="0"/>
              <w:jc w:val="left"/>
              <w:rPr>
                <w:rFonts w:ascii="Times New Roman" w:hAnsi="Times New Roman" w:cs="Times New Roman" w:eastAsia="Times New Roman" w:hint="default"/>
                <w:sz w:val="18"/>
                <w:szCs w:val="18"/>
              </w:rPr>
            </w:pPr>
            <w:r>
              <w:rPr>
                <w:rFonts w:ascii="Times New Roman"/>
                <w:sz w:val="18"/>
              </w:rPr>
              <w:t>466,531.51</w:t>
            </w:r>
          </w:p>
        </w:tc>
      </w:tr>
      <w:tr>
        <w:trPr>
          <w:trHeight w:val="719" w:hRule="exact"/>
        </w:trPr>
        <w:tc>
          <w:tcPr>
            <w:tcW w:w="26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773" w:type="dxa"/>
            <w:gridSpan w:val="3"/>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844,060.83</w:t>
            </w:r>
          </w:p>
        </w:tc>
        <w:tc>
          <w:tcPr>
            <w:tcW w:w="22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 w:right="75"/>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1920"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72" w:right="0"/>
              <w:jc w:val="left"/>
              <w:rPr>
                <w:rFonts w:ascii="Times New Roman" w:hAnsi="Times New Roman" w:cs="Times New Roman" w:eastAsia="Times New Roman" w:hint="default"/>
                <w:sz w:val="18"/>
                <w:szCs w:val="18"/>
              </w:rPr>
            </w:pPr>
            <w:r>
              <w:rPr>
                <w:rFonts w:ascii="Times New Roman"/>
                <w:sz w:val="18"/>
              </w:rPr>
              <w:t>479,511.06</w:t>
            </w:r>
          </w:p>
        </w:tc>
      </w:tr>
      <w:tr>
        <w:trPr>
          <w:trHeight w:val="393" w:hRule="exact"/>
        </w:trPr>
        <w:tc>
          <w:tcPr>
            <w:tcW w:w="957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55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7" w:type="dxa"/>
            <w:vMerge w:val="restart"/>
            <w:tcBorders>
              <w:top w:val="single" w:sz="4" w:space="0" w:color="000000"/>
              <w:left w:val="single" w:sz="4" w:space="0" w:color="000000"/>
              <w:right w:val="single" w:sz="4" w:space="0" w:color="000000"/>
            </w:tcBorders>
            <w:shd w:val="clear" w:color="auto" w:fill="D2D2D2"/>
          </w:tcPr>
          <w:p>
            <w:pPr/>
          </w:p>
        </w:tc>
        <w:tc>
          <w:tcPr>
            <w:tcW w:w="1565" w:type="dxa"/>
            <w:vMerge w:val="restart"/>
            <w:tcBorders>
              <w:top w:val="single" w:sz="4" w:space="0" w:color="000000"/>
              <w:left w:val="single" w:sz="4" w:space="0" w:color="000000"/>
              <w:right w:val="single" w:sz="4" w:space="0" w:color="000000"/>
            </w:tcBorders>
            <w:shd w:val="clear" w:color="auto" w:fill="D2D2D2"/>
          </w:tcPr>
          <w:p>
            <w:pPr/>
          </w:p>
        </w:tc>
        <w:tc>
          <w:tcPr>
            <w:tcW w:w="9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2" w:type="dxa"/>
            <w:vMerge w:val="restart"/>
            <w:tcBorders>
              <w:top w:val="single" w:sz="4" w:space="0" w:color="000000"/>
              <w:left w:val="single" w:sz="4" w:space="0" w:color="000000"/>
              <w:right w:val="single" w:sz="4" w:space="0" w:color="000000"/>
            </w:tcBorders>
            <w:shd w:val="clear" w:color="auto" w:fill="D2D2D2"/>
          </w:tcPr>
          <w:p>
            <w:pPr/>
          </w:p>
        </w:tc>
        <w:tc>
          <w:tcPr>
            <w:tcW w:w="715" w:type="dxa"/>
            <w:vMerge w:val="restart"/>
            <w:tcBorders>
              <w:top w:val="single" w:sz="4" w:space="0" w:color="000000"/>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2" w:right="97"/>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64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7" w:right="4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56"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55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14" w:right="47"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7" w:type="dxa"/>
            <w:vMerge/>
            <w:tcBorders>
              <w:left w:val="single" w:sz="4" w:space="0" w:color="000000"/>
              <w:bottom w:val="nil" w:sz="6" w:space="0" w:color="auto"/>
              <w:right w:val="single" w:sz="4" w:space="0" w:color="000000"/>
            </w:tcBorders>
            <w:shd w:val="clear" w:color="auto" w:fill="D2D2D2"/>
          </w:tcPr>
          <w:p>
            <w:pPr/>
          </w:p>
        </w:tc>
        <w:tc>
          <w:tcPr>
            <w:tcW w:w="1565" w:type="dxa"/>
            <w:vMerge/>
            <w:tcBorders>
              <w:left w:val="single" w:sz="4" w:space="0" w:color="000000"/>
              <w:bottom w:val="nil" w:sz="6" w:space="0" w:color="auto"/>
              <w:right w:val="single" w:sz="4" w:space="0" w:color="000000"/>
            </w:tcBorders>
            <w:shd w:val="clear" w:color="auto" w:fill="D2D2D2"/>
          </w:tcPr>
          <w:p>
            <w:pPr/>
          </w:p>
        </w:tc>
        <w:tc>
          <w:tcPr>
            <w:tcW w:w="98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395" w:right="3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282" w:type="dxa"/>
            <w:vMerge/>
            <w:tcBorders>
              <w:left w:val="single" w:sz="4" w:space="0" w:color="000000"/>
              <w:bottom w:val="nil" w:sz="6" w:space="0" w:color="auto"/>
              <w:right w:val="single" w:sz="4" w:space="0" w:color="000000"/>
            </w:tcBorders>
            <w:shd w:val="clear" w:color="auto" w:fill="D2D2D2"/>
          </w:tcPr>
          <w:p>
            <w:pPr/>
          </w:p>
        </w:tc>
        <w:tc>
          <w:tcPr>
            <w:tcW w:w="715"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643" w:type="dxa"/>
            <w:vMerge/>
            <w:tcBorders>
              <w:left w:val="single" w:sz="4" w:space="0" w:color="000000"/>
              <w:right w:val="single" w:sz="4" w:space="0" w:color="000000"/>
            </w:tcBorders>
            <w:shd w:val="clear" w:color="auto" w:fill="D2D2D2"/>
          </w:tcPr>
          <w:p>
            <w:pPr/>
          </w:p>
        </w:tc>
      </w:tr>
      <w:tr>
        <w:trPr>
          <w:trHeight w:val="392"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53" w:type="dxa"/>
            <w:gridSpan w:val="2"/>
            <w:vMerge/>
            <w:tcBorders>
              <w:left w:val="single" w:sz="4" w:space="0" w:color="000000"/>
              <w:right w:val="single" w:sz="4" w:space="0" w:color="000000"/>
            </w:tcBorders>
            <w:shd w:val="clear" w:color="auto" w:fill="D2D2D2"/>
          </w:tcPr>
          <w:p>
            <w:pPr/>
          </w:p>
        </w:tc>
        <w:tc>
          <w:tcPr>
            <w:tcW w:w="8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9"/>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5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981" w:type="dxa"/>
            <w:vMerge/>
            <w:tcBorders>
              <w:left w:val="single" w:sz="4" w:space="0" w:color="000000"/>
              <w:right w:val="single" w:sz="4" w:space="0" w:color="000000"/>
            </w:tcBorders>
            <w:shd w:val="clear" w:color="auto" w:fill="D2D2D2"/>
          </w:tcPr>
          <w:p>
            <w:pPr/>
          </w:p>
        </w:tc>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担保期</w:t>
            </w:r>
          </w:p>
        </w:tc>
        <w:tc>
          <w:tcPr>
            <w:tcW w:w="562" w:type="dxa"/>
            <w:vMerge/>
            <w:tcBorders>
              <w:left w:val="single" w:sz="4" w:space="0" w:color="000000"/>
              <w:right w:val="single" w:sz="4" w:space="0" w:color="000000"/>
            </w:tcBorders>
            <w:shd w:val="clear" w:color="auto" w:fill="D2D2D2"/>
          </w:tcPr>
          <w:p>
            <w:pPr/>
          </w:p>
        </w:tc>
        <w:tc>
          <w:tcPr>
            <w:tcW w:w="643" w:type="dxa"/>
            <w:vMerge/>
            <w:tcBorders>
              <w:left w:val="single" w:sz="4" w:space="0" w:color="000000"/>
              <w:right w:val="single" w:sz="4" w:space="0" w:color="000000"/>
            </w:tcBorders>
            <w:shd w:val="clear" w:color="auto" w:fill="D2D2D2"/>
          </w:tcPr>
          <w:p>
            <w:pPr/>
          </w:p>
        </w:tc>
      </w:tr>
      <w:tr>
        <w:trPr>
          <w:trHeight w:val="156"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1553" w:type="dxa"/>
            <w:gridSpan w:val="2"/>
            <w:vMerge/>
            <w:tcBorders>
              <w:left w:val="single" w:sz="4" w:space="0" w:color="000000"/>
              <w:bottom w:val="nil" w:sz="6" w:space="0" w:color="auto"/>
              <w:right w:val="single" w:sz="4" w:space="0" w:color="000000"/>
            </w:tcBorders>
            <w:shd w:val="clear" w:color="auto" w:fill="D2D2D2"/>
          </w:tcPr>
          <w:p>
            <w:pPr/>
          </w:p>
        </w:tc>
        <w:tc>
          <w:tcPr>
            <w:tcW w:w="857" w:type="dxa"/>
            <w:vMerge w:val="restart"/>
            <w:tcBorders>
              <w:top w:val="nil" w:sz="6" w:space="0" w:color="auto"/>
              <w:left w:val="single" w:sz="4" w:space="0" w:color="000000"/>
              <w:right w:val="single" w:sz="4" w:space="0" w:color="000000"/>
            </w:tcBorders>
            <w:shd w:val="clear" w:color="auto" w:fill="D2D2D2"/>
          </w:tcPr>
          <w:p>
            <w:pPr/>
          </w:p>
        </w:tc>
        <w:tc>
          <w:tcPr>
            <w:tcW w:w="1565" w:type="dxa"/>
            <w:vMerge w:val="restart"/>
            <w:tcBorders>
              <w:top w:val="nil" w:sz="6" w:space="0" w:color="auto"/>
              <w:left w:val="single" w:sz="4" w:space="0" w:color="000000"/>
              <w:right w:val="single" w:sz="4" w:space="0" w:color="000000"/>
            </w:tcBorders>
            <w:shd w:val="clear" w:color="auto" w:fill="D2D2D2"/>
          </w:tcPr>
          <w:p>
            <w:pPr/>
          </w:p>
        </w:tc>
        <w:tc>
          <w:tcPr>
            <w:tcW w:w="981" w:type="dxa"/>
            <w:vMerge/>
            <w:tcBorders>
              <w:left w:val="single" w:sz="4" w:space="0" w:color="000000"/>
              <w:bottom w:val="nil" w:sz="6" w:space="0" w:color="auto"/>
              <w:right w:val="single" w:sz="4" w:space="0" w:color="000000"/>
            </w:tcBorders>
            <w:shd w:val="clear" w:color="auto" w:fill="D2D2D2"/>
          </w:tcPr>
          <w:p>
            <w:pPr/>
          </w:p>
        </w:tc>
        <w:tc>
          <w:tcPr>
            <w:tcW w:w="1282" w:type="dxa"/>
            <w:vMerge w:val="restart"/>
            <w:tcBorders>
              <w:top w:val="nil" w:sz="6" w:space="0" w:color="auto"/>
              <w:left w:val="single" w:sz="4" w:space="0" w:color="000000"/>
              <w:right w:val="single" w:sz="4" w:space="0" w:color="000000"/>
            </w:tcBorders>
            <w:shd w:val="clear" w:color="auto" w:fill="D2D2D2"/>
          </w:tcPr>
          <w:p>
            <w:pPr/>
          </w:p>
        </w:tc>
        <w:tc>
          <w:tcPr>
            <w:tcW w:w="715" w:type="dxa"/>
            <w:vMerge w:val="restart"/>
            <w:tcBorders>
              <w:top w:val="nil" w:sz="6" w:space="0" w:color="auto"/>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643" w:type="dxa"/>
            <w:vMerge/>
            <w:tcBorders>
              <w:left w:val="single" w:sz="4" w:space="0" w:color="000000"/>
              <w:right w:val="single" w:sz="4" w:space="0" w:color="000000"/>
            </w:tcBorders>
            <w:shd w:val="clear" w:color="auto" w:fill="D2D2D2"/>
          </w:tcPr>
          <w:p>
            <w:pPr/>
          </w:p>
        </w:tc>
      </w:tr>
      <w:tr>
        <w:trPr>
          <w:trHeight w:val="161"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55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7" w:type="dxa"/>
            <w:vMerge/>
            <w:tcBorders>
              <w:left w:val="single" w:sz="4" w:space="0" w:color="000000"/>
              <w:bottom w:val="single" w:sz="4" w:space="0" w:color="000000"/>
              <w:right w:val="single" w:sz="4" w:space="0" w:color="000000"/>
            </w:tcBorders>
            <w:shd w:val="clear" w:color="auto" w:fill="D2D2D2"/>
          </w:tcPr>
          <w:p>
            <w:pPr/>
          </w:p>
        </w:tc>
        <w:tc>
          <w:tcPr>
            <w:tcW w:w="1565" w:type="dxa"/>
            <w:vMerge/>
            <w:tcBorders>
              <w:left w:val="single" w:sz="4" w:space="0" w:color="000000"/>
              <w:bottom w:val="single" w:sz="4" w:space="0" w:color="000000"/>
              <w:right w:val="single" w:sz="4" w:space="0" w:color="000000"/>
            </w:tcBorders>
            <w:shd w:val="clear" w:color="auto" w:fill="D2D2D2"/>
          </w:tcPr>
          <w:p>
            <w:pPr/>
          </w:p>
        </w:tc>
        <w:tc>
          <w:tcPr>
            <w:tcW w:w="9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2" w:type="dxa"/>
            <w:vMerge/>
            <w:tcBorders>
              <w:left w:val="single" w:sz="4" w:space="0" w:color="000000"/>
              <w:bottom w:val="single" w:sz="4" w:space="0" w:color="000000"/>
              <w:right w:val="single" w:sz="4" w:space="0" w:color="000000"/>
            </w:tcBorders>
            <w:shd w:val="clear" w:color="auto" w:fill="D2D2D2"/>
          </w:tcPr>
          <w:p>
            <w:pPr/>
          </w:p>
        </w:tc>
        <w:tc>
          <w:tcPr>
            <w:tcW w:w="715"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643"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9"/>
        <w:gridCol w:w="1559"/>
        <w:gridCol w:w="851"/>
        <w:gridCol w:w="1559"/>
        <w:gridCol w:w="992"/>
        <w:gridCol w:w="1276"/>
        <w:gridCol w:w="709"/>
        <w:gridCol w:w="568"/>
        <w:gridCol w:w="643"/>
      </w:tblGrid>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苏州爱康金属科 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苏州爱康金属科 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苏州爱康金属科 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苏州爱康金属科 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苏州爱康金属科 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南通爱康金属科 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南通爱康金属科 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南通爱康金属科 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南通爱康金属科 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苏州爱康光电科 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苏州爱康光电科 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苏州爱康光电科 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苏州爱康光电科 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苏州爱康光电科 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苏州爱康光电科 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苏州爱康光电科 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赣州爱康光电科 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赣州爱康光电科 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赣州爱康光电科 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9"/>
        <w:gridCol w:w="302"/>
        <w:gridCol w:w="899"/>
        <w:gridCol w:w="358"/>
        <w:gridCol w:w="566"/>
        <w:gridCol w:w="285"/>
        <w:gridCol w:w="1029"/>
        <w:gridCol w:w="529"/>
        <w:gridCol w:w="515"/>
        <w:gridCol w:w="478"/>
        <w:gridCol w:w="570"/>
        <w:gridCol w:w="706"/>
        <w:gridCol w:w="346"/>
        <w:gridCol w:w="364"/>
        <w:gridCol w:w="422"/>
        <w:gridCol w:w="145"/>
        <w:gridCol w:w="643"/>
      </w:tblGrid>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无棣爱康电力开 发有限公司</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44,000</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4" w:right="0"/>
              <w:jc w:val="left"/>
              <w:rPr>
                <w:rFonts w:ascii="Times New Roman" w:hAnsi="Times New Roman" w:cs="Times New Roman" w:eastAsia="Times New Roman" w:hint="default"/>
                <w:sz w:val="18"/>
                <w:szCs w:val="18"/>
              </w:rPr>
            </w:pPr>
            <w:r>
              <w:rPr>
                <w:rFonts w:ascii="Times New Roman"/>
                <w:sz w:val="18"/>
              </w:rPr>
              <w:t>12,000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无棣爱康电力开 发有限公司</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44,000</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4" w:right="0"/>
              <w:jc w:val="left"/>
              <w:rPr>
                <w:rFonts w:ascii="Times New Roman" w:hAnsi="Times New Roman" w:cs="Times New Roman" w:eastAsia="Times New Roman" w:hint="default"/>
                <w:sz w:val="18"/>
                <w:szCs w:val="18"/>
              </w:rPr>
            </w:pPr>
            <w:r>
              <w:rPr>
                <w:rFonts w:ascii="Times New Roman"/>
                <w:sz w:val="18"/>
              </w:rPr>
              <w:t>30,000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南召中机国能电 力有限公司</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45,278</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4" w:right="0"/>
              <w:jc w:val="left"/>
              <w:rPr>
                <w:rFonts w:ascii="Times New Roman" w:hAnsi="Times New Roman" w:cs="Times New Roman" w:eastAsia="Times New Roman" w:hint="default"/>
                <w:sz w:val="18"/>
                <w:szCs w:val="18"/>
              </w:rPr>
            </w:pPr>
            <w:r>
              <w:rPr>
                <w:rFonts w:ascii="Times New Roman"/>
                <w:sz w:val="18"/>
              </w:rPr>
              <w:t>36,000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禄劝县爱康能源 电力有限公司</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22,500</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4" w:right="0"/>
              <w:jc w:val="left"/>
              <w:rPr>
                <w:rFonts w:ascii="Times New Roman" w:hAnsi="Times New Roman" w:cs="Times New Roman" w:eastAsia="Times New Roman" w:hint="default"/>
                <w:sz w:val="18"/>
                <w:szCs w:val="18"/>
              </w:rPr>
            </w:pPr>
            <w:r>
              <w:rPr>
                <w:rFonts w:ascii="Times New Roman"/>
                <w:sz w:val="18"/>
              </w:rPr>
              <w:t>10,000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莒南鑫顺风光电 科技有限公司</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4" w:right="0"/>
              <w:jc w:val="left"/>
              <w:rPr>
                <w:rFonts w:ascii="Times New Roman" w:hAnsi="Times New Roman" w:cs="Times New Roman" w:eastAsia="Times New Roman" w:hint="default"/>
                <w:sz w:val="18"/>
                <w:szCs w:val="18"/>
              </w:rPr>
            </w:pPr>
            <w:r>
              <w:rPr>
                <w:rFonts w:ascii="Times New Roman"/>
                <w:sz w:val="18"/>
              </w:rPr>
              <w:t>5,000</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4,500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伊川县佳康电力 开发有限公司</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18,000</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4" w:right="0"/>
              <w:jc w:val="left"/>
              <w:rPr>
                <w:rFonts w:ascii="Times New Roman" w:hAnsi="Times New Roman" w:cs="Times New Roman" w:eastAsia="Times New Roman" w:hint="default"/>
                <w:sz w:val="18"/>
                <w:szCs w:val="18"/>
              </w:rPr>
            </w:pPr>
            <w:r>
              <w:rPr>
                <w:rFonts w:ascii="Times New Roman"/>
                <w:sz w:val="18"/>
              </w:rPr>
              <w:t>12,000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九州方园博乐市 新能源有限公司</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40,000</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4" w:right="0"/>
              <w:jc w:val="left"/>
              <w:rPr>
                <w:rFonts w:ascii="Times New Roman" w:hAnsi="Times New Roman" w:cs="Times New Roman" w:eastAsia="Times New Roman" w:hint="default"/>
                <w:sz w:val="18"/>
                <w:szCs w:val="18"/>
              </w:rPr>
            </w:pPr>
            <w:r>
              <w:rPr>
                <w:rFonts w:ascii="Times New Roman"/>
                <w:sz w:val="18"/>
              </w:rPr>
              <w:t>23,000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宿州恒康新能源 有限公司</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11,000</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11,000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9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410" w:type="dxa"/>
            <w:gridSpan w:val="4"/>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55" w:right="0"/>
              <w:jc w:val="left"/>
              <w:rPr>
                <w:rFonts w:ascii="Times New Roman" w:hAnsi="Times New Roman" w:cs="Times New Roman" w:eastAsia="Times New Roman" w:hint="default"/>
                <w:sz w:val="18"/>
                <w:szCs w:val="18"/>
              </w:rPr>
            </w:pPr>
            <w:r>
              <w:rPr>
                <w:rFonts w:ascii="Times New Roman"/>
                <w:sz w:val="18"/>
              </w:rPr>
              <w:t>642,704.17</w:t>
            </w:r>
          </w:p>
        </w:tc>
        <w:tc>
          <w:tcPr>
            <w:tcW w:w="22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1920"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4" w:right="0"/>
              <w:jc w:val="left"/>
              <w:rPr>
                <w:rFonts w:ascii="Times New Roman" w:hAnsi="Times New Roman" w:cs="Times New Roman" w:eastAsia="Times New Roman" w:hint="default"/>
                <w:sz w:val="18"/>
                <w:szCs w:val="18"/>
              </w:rPr>
            </w:pPr>
            <w:r>
              <w:rPr>
                <w:rFonts w:ascii="Times New Roman"/>
                <w:sz w:val="18"/>
              </w:rPr>
              <w:t>262,634.7</w:t>
            </w:r>
          </w:p>
        </w:tc>
      </w:tr>
      <w:tr>
        <w:trPr>
          <w:trHeight w:val="719" w:hRule="exact"/>
        </w:trPr>
        <w:tc>
          <w:tcPr>
            <w:tcW w:w="29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 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410" w:type="dxa"/>
            <w:gridSpan w:val="4"/>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55" w:right="0"/>
              <w:jc w:val="left"/>
              <w:rPr>
                <w:rFonts w:ascii="Times New Roman" w:hAnsi="Times New Roman" w:cs="Times New Roman" w:eastAsia="Times New Roman" w:hint="default"/>
                <w:sz w:val="18"/>
                <w:szCs w:val="18"/>
              </w:rPr>
            </w:pPr>
            <w:r>
              <w:rPr>
                <w:rFonts w:ascii="Times New Roman"/>
                <w:sz w:val="18"/>
              </w:rPr>
              <w:t>642,704.17</w:t>
            </w:r>
          </w:p>
        </w:tc>
        <w:tc>
          <w:tcPr>
            <w:tcW w:w="22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1920"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4" w:right="0"/>
              <w:jc w:val="left"/>
              <w:rPr>
                <w:rFonts w:ascii="Times New Roman" w:hAnsi="Times New Roman" w:cs="Times New Roman" w:eastAsia="Times New Roman" w:hint="default"/>
                <w:sz w:val="18"/>
                <w:szCs w:val="18"/>
              </w:rPr>
            </w:pPr>
            <w:r>
              <w:rPr>
                <w:rFonts w:ascii="Times New Roman"/>
                <w:sz w:val="18"/>
              </w:rPr>
              <w:t>295,235.6</w:t>
            </w:r>
          </w:p>
        </w:tc>
      </w:tr>
      <w:tr>
        <w:trPr>
          <w:trHeight w:val="392" w:hRule="exact"/>
        </w:trPr>
        <w:tc>
          <w:tcPr>
            <w:tcW w:w="9576"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21" w:type="dxa"/>
            <w:gridSpan w:val="2"/>
            <w:vMerge w:val="restart"/>
            <w:tcBorders>
              <w:top w:val="single" w:sz="4" w:space="0" w:color="000000"/>
              <w:left w:val="single" w:sz="4" w:space="0" w:color="000000"/>
              <w:right w:val="single" w:sz="4" w:space="0" w:color="000000"/>
            </w:tcBorders>
            <w:shd w:val="clear" w:color="auto" w:fill="D2D2D2"/>
          </w:tcPr>
          <w:p>
            <w:pPr/>
          </w:p>
        </w:tc>
        <w:tc>
          <w:tcPr>
            <w:tcW w:w="89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1" w:right="8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gridSpan w:val="2"/>
            <w:vMerge w:val="restart"/>
            <w:tcBorders>
              <w:top w:val="single" w:sz="4" w:space="0" w:color="000000"/>
              <w:left w:val="single" w:sz="4" w:space="0" w:color="000000"/>
              <w:right w:val="single" w:sz="4" w:space="0" w:color="000000"/>
            </w:tcBorders>
            <w:shd w:val="clear" w:color="auto" w:fill="D2D2D2"/>
          </w:tcPr>
          <w:p>
            <w:pPr/>
          </w:p>
        </w:tc>
        <w:tc>
          <w:tcPr>
            <w:tcW w:w="1314" w:type="dxa"/>
            <w:gridSpan w:val="2"/>
            <w:vMerge w:val="restart"/>
            <w:tcBorders>
              <w:top w:val="single" w:sz="4" w:space="0" w:color="000000"/>
              <w:left w:val="single" w:sz="4" w:space="0" w:color="000000"/>
              <w:right w:val="single" w:sz="4" w:space="0" w:color="000000"/>
            </w:tcBorders>
            <w:shd w:val="clear" w:color="auto" w:fill="D2D2D2"/>
          </w:tcPr>
          <w:p>
            <w:pPr/>
          </w:p>
        </w:tc>
        <w:tc>
          <w:tcPr>
            <w:tcW w:w="104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48" w:type="dxa"/>
            <w:gridSpan w:val="2"/>
            <w:vMerge w:val="restart"/>
            <w:tcBorders>
              <w:top w:val="single" w:sz="4" w:space="0" w:color="000000"/>
              <w:left w:val="single" w:sz="4" w:space="0" w:color="000000"/>
              <w:right w:val="single" w:sz="4" w:space="0" w:color="000000"/>
            </w:tcBorders>
            <w:shd w:val="clear" w:color="auto" w:fill="D2D2D2"/>
          </w:tcPr>
          <w:p>
            <w:pPr/>
          </w:p>
        </w:tc>
        <w:tc>
          <w:tcPr>
            <w:tcW w:w="1051"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21" w:type="dxa"/>
            <w:gridSpan w:val="2"/>
            <w:vMerge/>
            <w:tcBorders>
              <w:left w:val="single" w:sz="4" w:space="0" w:color="000000"/>
              <w:bottom w:val="nil" w:sz="6" w:space="0" w:color="auto"/>
              <w:right w:val="single" w:sz="4" w:space="0" w:color="000000"/>
            </w:tcBorders>
            <w:shd w:val="clear" w:color="auto" w:fill="D2D2D2"/>
          </w:tcPr>
          <w:p>
            <w:pPr/>
          </w:p>
        </w:tc>
        <w:tc>
          <w:tcPr>
            <w:tcW w:w="899" w:type="dxa"/>
            <w:vMerge/>
            <w:tcBorders>
              <w:left w:val="single" w:sz="4" w:space="0" w:color="000000"/>
              <w:right w:val="single" w:sz="4" w:space="0" w:color="000000"/>
            </w:tcBorders>
            <w:shd w:val="clear" w:color="auto" w:fill="D2D2D2"/>
          </w:tcPr>
          <w:p>
            <w:pPr/>
          </w:p>
        </w:tc>
        <w:tc>
          <w:tcPr>
            <w:tcW w:w="925" w:type="dxa"/>
            <w:gridSpan w:val="2"/>
            <w:vMerge/>
            <w:tcBorders>
              <w:left w:val="single" w:sz="4" w:space="0" w:color="000000"/>
              <w:bottom w:val="nil" w:sz="6" w:space="0" w:color="auto"/>
              <w:right w:val="single" w:sz="4" w:space="0" w:color="000000"/>
            </w:tcBorders>
            <w:shd w:val="clear" w:color="auto" w:fill="D2D2D2"/>
          </w:tcPr>
          <w:p>
            <w:pPr/>
          </w:p>
        </w:tc>
        <w:tc>
          <w:tcPr>
            <w:tcW w:w="1314" w:type="dxa"/>
            <w:gridSpan w:val="2"/>
            <w:vMerge/>
            <w:tcBorders>
              <w:left w:val="single" w:sz="4" w:space="0" w:color="000000"/>
              <w:bottom w:val="nil" w:sz="6" w:space="0" w:color="auto"/>
              <w:right w:val="single" w:sz="4" w:space="0" w:color="000000"/>
            </w:tcBorders>
            <w:shd w:val="clear" w:color="auto" w:fill="D2D2D2"/>
          </w:tcPr>
          <w:p>
            <w:pPr/>
          </w:p>
        </w:tc>
        <w:tc>
          <w:tcPr>
            <w:tcW w:w="104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6" w:right="66"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8" w:type="dxa"/>
            <w:gridSpan w:val="2"/>
            <w:vMerge/>
            <w:tcBorders>
              <w:left w:val="single" w:sz="4" w:space="0" w:color="000000"/>
              <w:bottom w:val="nil" w:sz="6" w:space="0" w:color="auto"/>
              <w:right w:val="single" w:sz="4" w:space="0" w:color="000000"/>
            </w:tcBorders>
            <w:shd w:val="clear" w:color="auto" w:fill="D2D2D2"/>
          </w:tcPr>
          <w:p>
            <w:pPr/>
          </w:p>
        </w:tc>
        <w:tc>
          <w:tcPr>
            <w:tcW w:w="1051" w:type="dxa"/>
            <w:gridSpan w:val="2"/>
            <w:vMerge/>
            <w:tcBorders>
              <w:left w:val="single" w:sz="4" w:space="0" w:color="000000"/>
              <w:bottom w:val="nil" w:sz="6" w:space="0" w:color="auto"/>
              <w:right w:val="single" w:sz="4" w:space="0" w:color="000000"/>
            </w:tcBorders>
            <w:shd w:val="clear" w:color="auto" w:fill="D2D2D2"/>
          </w:tcPr>
          <w:p>
            <w:pPr/>
          </w:p>
        </w:tc>
        <w:tc>
          <w:tcPr>
            <w:tcW w:w="78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7"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2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9" w:type="dxa"/>
            <w:vMerge/>
            <w:tcBorders>
              <w:left w:val="single" w:sz="4" w:space="0" w:color="000000"/>
              <w:right w:val="single" w:sz="4" w:space="0" w:color="000000"/>
            </w:tcBorders>
            <w:shd w:val="clear" w:color="auto" w:fill="D2D2D2"/>
          </w:tcPr>
          <w:p>
            <w:pPr/>
          </w:p>
        </w:tc>
        <w:tc>
          <w:tcPr>
            <w:tcW w:w="92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4" w:type="dxa"/>
            <w:gridSpan w:val="2"/>
            <w:vMerge/>
            <w:tcBorders>
              <w:left w:val="single" w:sz="4" w:space="0" w:color="000000"/>
              <w:right w:val="single" w:sz="4" w:space="0" w:color="000000"/>
            </w:tcBorders>
            <w:shd w:val="clear" w:color="auto" w:fill="D2D2D2"/>
          </w:tcPr>
          <w:p>
            <w:pPr/>
          </w:p>
        </w:tc>
        <w:tc>
          <w:tcPr>
            <w:tcW w:w="104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gridSpan w:val="2"/>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r>
      <w:tr>
        <w:trPr>
          <w:trHeight w:val="156" w:hRule="exact"/>
        </w:trPr>
        <w:tc>
          <w:tcPr>
            <w:tcW w:w="1721" w:type="dxa"/>
            <w:gridSpan w:val="2"/>
            <w:vMerge w:val="restart"/>
            <w:tcBorders>
              <w:top w:val="nil" w:sz="6" w:space="0" w:color="auto"/>
              <w:left w:val="single" w:sz="4" w:space="0" w:color="000000"/>
              <w:right w:val="single" w:sz="4" w:space="0" w:color="000000"/>
            </w:tcBorders>
            <w:shd w:val="clear" w:color="auto" w:fill="D2D2D2"/>
          </w:tcPr>
          <w:p>
            <w:pPr/>
          </w:p>
        </w:tc>
        <w:tc>
          <w:tcPr>
            <w:tcW w:w="899" w:type="dxa"/>
            <w:vMerge/>
            <w:tcBorders>
              <w:left w:val="single" w:sz="4" w:space="0" w:color="000000"/>
              <w:right w:val="single" w:sz="4" w:space="0" w:color="000000"/>
            </w:tcBorders>
            <w:shd w:val="clear" w:color="auto" w:fill="D2D2D2"/>
          </w:tcPr>
          <w:p>
            <w:pPr/>
          </w:p>
        </w:tc>
        <w:tc>
          <w:tcPr>
            <w:tcW w:w="925" w:type="dxa"/>
            <w:gridSpan w:val="2"/>
            <w:vMerge w:val="restart"/>
            <w:tcBorders>
              <w:top w:val="nil" w:sz="6" w:space="0" w:color="auto"/>
              <w:left w:val="single" w:sz="4" w:space="0" w:color="000000"/>
              <w:right w:val="single" w:sz="4" w:space="0" w:color="000000"/>
            </w:tcBorders>
            <w:shd w:val="clear" w:color="auto" w:fill="D2D2D2"/>
          </w:tcPr>
          <w:p>
            <w:pPr/>
          </w:p>
        </w:tc>
        <w:tc>
          <w:tcPr>
            <w:tcW w:w="1314" w:type="dxa"/>
            <w:gridSpan w:val="2"/>
            <w:vMerge w:val="restart"/>
            <w:tcBorders>
              <w:top w:val="nil" w:sz="6" w:space="0" w:color="auto"/>
              <w:left w:val="single" w:sz="4" w:space="0" w:color="000000"/>
              <w:right w:val="single" w:sz="4" w:space="0" w:color="000000"/>
            </w:tcBorders>
            <w:shd w:val="clear" w:color="auto" w:fill="D2D2D2"/>
          </w:tcPr>
          <w:p>
            <w:pPr/>
          </w:p>
        </w:tc>
        <w:tc>
          <w:tcPr>
            <w:tcW w:w="1044" w:type="dxa"/>
            <w:gridSpan w:val="2"/>
            <w:vMerge/>
            <w:tcBorders>
              <w:left w:val="single" w:sz="4" w:space="0" w:color="000000"/>
              <w:bottom w:val="nil" w:sz="6" w:space="0" w:color="auto"/>
              <w:right w:val="single" w:sz="4" w:space="0" w:color="000000"/>
            </w:tcBorders>
            <w:shd w:val="clear" w:color="auto" w:fill="D2D2D2"/>
          </w:tcPr>
          <w:p>
            <w:pPr/>
          </w:p>
        </w:tc>
        <w:tc>
          <w:tcPr>
            <w:tcW w:w="1048" w:type="dxa"/>
            <w:gridSpan w:val="2"/>
            <w:vMerge w:val="restart"/>
            <w:tcBorders>
              <w:top w:val="nil" w:sz="6" w:space="0" w:color="auto"/>
              <w:left w:val="single" w:sz="4" w:space="0" w:color="000000"/>
              <w:right w:val="single" w:sz="4" w:space="0" w:color="000000"/>
            </w:tcBorders>
            <w:shd w:val="clear" w:color="auto" w:fill="D2D2D2"/>
          </w:tcPr>
          <w:p>
            <w:pPr/>
          </w:p>
        </w:tc>
        <w:tc>
          <w:tcPr>
            <w:tcW w:w="1051"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21" w:type="dxa"/>
            <w:gridSpan w:val="2"/>
            <w:vMerge/>
            <w:tcBorders>
              <w:left w:val="single" w:sz="4" w:space="0" w:color="000000"/>
              <w:bottom w:val="single" w:sz="4" w:space="0" w:color="000000"/>
              <w:right w:val="single" w:sz="4" w:space="0" w:color="000000"/>
            </w:tcBorders>
            <w:shd w:val="clear" w:color="auto" w:fill="D2D2D2"/>
          </w:tcPr>
          <w:p>
            <w:pPr/>
          </w:p>
        </w:tc>
        <w:tc>
          <w:tcPr>
            <w:tcW w:w="899" w:type="dxa"/>
            <w:vMerge/>
            <w:tcBorders>
              <w:left w:val="single" w:sz="4" w:space="0" w:color="000000"/>
              <w:bottom w:val="single" w:sz="4" w:space="0" w:color="000000"/>
              <w:right w:val="single" w:sz="4" w:space="0" w:color="000000"/>
            </w:tcBorders>
            <w:shd w:val="clear" w:color="auto" w:fill="D2D2D2"/>
          </w:tcPr>
          <w:p>
            <w:pPr/>
          </w:p>
        </w:tc>
        <w:tc>
          <w:tcPr>
            <w:tcW w:w="925" w:type="dxa"/>
            <w:gridSpan w:val="2"/>
            <w:vMerge/>
            <w:tcBorders>
              <w:left w:val="single" w:sz="4" w:space="0" w:color="000000"/>
              <w:bottom w:val="single" w:sz="4" w:space="0" w:color="000000"/>
              <w:right w:val="single" w:sz="4" w:space="0" w:color="000000"/>
            </w:tcBorders>
            <w:shd w:val="clear" w:color="auto" w:fill="D2D2D2"/>
          </w:tcPr>
          <w:p>
            <w:pPr/>
          </w:p>
        </w:tc>
        <w:tc>
          <w:tcPr>
            <w:tcW w:w="1314" w:type="dxa"/>
            <w:gridSpan w:val="2"/>
            <w:vMerge/>
            <w:tcBorders>
              <w:left w:val="single" w:sz="4" w:space="0" w:color="000000"/>
              <w:bottom w:val="single" w:sz="4" w:space="0" w:color="000000"/>
              <w:right w:val="single" w:sz="4" w:space="0" w:color="000000"/>
            </w:tcBorders>
            <w:shd w:val="clear" w:color="auto" w:fill="D2D2D2"/>
          </w:tcPr>
          <w:p>
            <w:pPr/>
          </w:p>
        </w:tc>
        <w:tc>
          <w:tcPr>
            <w:tcW w:w="104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48" w:type="dxa"/>
            <w:gridSpan w:val="2"/>
            <w:vMerge/>
            <w:tcBorders>
              <w:left w:val="single" w:sz="4" w:space="0" w:color="000000"/>
              <w:bottom w:val="single" w:sz="4" w:space="0" w:color="000000"/>
              <w:right w:val="single" w:sz="4" w:space="0" w:color="000000"/>
            </w:tcBorders>
            <w:shd w:val="clear" w:color="auto" w:fill="D2D2D2"/>
          </w:tcPr>
          <w:p>
            <w:pPr/>
          </w:p>
        </w:tc>
        <w:tc>
          <w:tcPr>
            <w:tcW w:w="1051" w:type="dxa"/>
            <w:gridSpan w:val="2"/>
            <w:vMerge/>
            <w:tcBorders>
              <w:left w:val="single" w:sz="4" w:space="0" w:color="000000"/>
              <w:bottom w:val="single" w:sz="4" w:space="0" w:color="000000"/>
              <w:right w:val="single" w:sz="4" w:space="0" w:color="000000"/>
            </w:tcBorders>
            <w:shd w:val="clear" w:color="auto" w:fill="D2D2D2"/>
          </w:tcPr>
          <w:p>
            <w:pPr/>
          </w:p>
        </w:tc>
        <w:tc>
          <w:tcPr>
            <w:tcW w:w="78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721" w:type="dxa"/>
            <w:gridSpan w:val="2"/>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925" w:type="dxa"/>
            <w:gridSpan w:val="2"/>
            <w:tcBorders>
              <w:top w:val="single" w:sz="4" w:space="0" w:color="000000"/>
              <w:left w:val="single" w:sz="4" w:space="0" w:color="000000"/>
              <w:bottom w:val="single" w:sz="4" w:space="0" w:color="000000"/>
              <w:right w:val="single" w:sz="4" w:space="0" w:color="000000"/>
            </w:tcBorders>
          </w:tcPr>
          <w:p>
            <w:pPr/>
          </w:p>
        </w:tc>
        <w:tc>
          <w:tcPr>
            <w:tcW w:w="1314" w:type="dxa"/>
            <w:gridSpan w:val="2"/>
            <w:tcBorders>
              <w:top w:val="single" w:sz="4" w:space="0" w:color="000000"/>
              <w:left w:val="single" w:sz="4" w:space="0" w:color="000000"/>
              <w:bottom w:val="single" w:sz="4" w:space="0" w:color="000000"/>
              <w:right w:val="single" w:sz="4" w:space="0" w:color="000000"/>
            </w:tcBorders>
          </w:tcPr>
          <w:p>
            <w:pPr/>
          </w:p>
        </w:tc>
        <w:tc>
          <w:tcPr>
            <w:tcW w:w="1044" w:type="dxa"/>
            <w:gridSpan w:val="2"/>
            <w:tcBorders>
              <w:top w:val="single" w:sz="4" w:space="0" w:color="000000"/>
              <w:left w:val="single" w:sz="4" w:space="0" w:color="000000"/>
              <w:bottom w:val="single" w:sz="4" w:space="0" w:color="000000"/>
              <w:right w:val="single" w:sz="4" w:space="0" w:color="000000"/>
            </w:tcBorders>
          </w:tcPr>
          <w:p>
            <w:pPr/>
          </w:p>
        </w:tc>
        <w:tc>
          <w:tcPr>
            <w:tcW w:w="1048" w:type="dxa"/>
            <w:gridSpan w:val="2"/>
            <w:tcBorders>
              <w:top w:val="single" w:sz="4" w:space="0" w:color="000000"/>
              <w:left w:val="single" w:sz="4" w:space="0" w:color="000000"/>
              <w:bottom w:val="single" w:sz="4" w:space="0" w:color="000000"/>
              <w:right w:val="single" w:sz="4" w:space="0" w:color="000000"/>
            </w:tcBorders>
          </w:tcPr>
          <w:p>
            <w:pPr/>
          </w:p>
        </w:tc>
        <w:tc>
          <w:tcPr>
            <w:tcW w:w="1051" w:type="dxa"/>
            <w:gridSpan w:val="2"/>
            <w:tcBorders>
              <w:top w:val="single" w:sz="4" w:space="0" w:color="000000"/>
              <w:left w:val="single" w:sz="4" w:space="0" w:color="000000"/>
              <w:bottom w:val="single" w:sz="4" w:space="0" w:color="000000"/>
              <w:right w:val="single" w:sz="4" w:space="0" w:color="000000"/>
            </w:tcBorders>
          </w:tcPr>
          <w:p>
            <w:pPr/>
          </w:p>
        </w:tc>
        <w:tc>
          <w:tcPr>
            <w:tcW w:w="786" w:type="dxa"/>
            <w:gridSpan w:val="2"/>
            <w:tcBorders>
              <w:top w:val="single" w:sz="4" w:space="0" w:color="000000"/>
              <w:left w:val="single" w:sz="4" w:space="0" w:color="000000"/>
              <w:bottom w:val="single" w:sz="4" w:space="0" w:color="000000"/>
              <w:right w:val="single" w:sz="4" w:space="0" w:color="000000"/>
            </w:tcBorders>
          </w:tcPr>
          <w:p>
            <w:pPr/>
          </w:p>
        </w:tc>
        <w:tc>
          <w:tcPr>
            <w:tcW w:w="78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9" w:type="dxa"/>
            <w:gridSpan w:val="4"/>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c>
          <w:tcPr>
            <w:tcW w:w="20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6"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9" w:type="dxa"/>
            <w:gridSpan w:val="4"/>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c>
          <w:tcPr>
            <w:tcW w:w="20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6"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76"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9" w:type="dxa"/>
            <w:gridSpan w:val="4"/>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1,486,765</w:t>
            </w:r>
          </w:p>
        </w:tc>
        <w:tc>
          <w:tcPr>
            <w:tcW w:w="20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3"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6"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729,166.21</w:t>
            </w:r>
          </w:p>
        </w:tc>
      </w:tr>
      <w:tr>
        <w:trPr>
          <w:trHeight w:val="714" w:hRule="exact"/>
        </w:trPr>
        <w:tc>
          <w:tcPr>
            <w:tcW w:w="26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9" w:type="dxa"/>
            <w:gridSpan w:val="4"/>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1,486,765</w:t>
            </w:r>
          </w:p>
        </w:tc>
        <w:tc>
          <w:tcPr>
            <w:tcW w:w="20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6"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774,746.66</w:t>
            </w:r>
          </w:p>
        </w:tc>
      </w:tr>
      <w:tr>
        <w:trPr>
          <w:trHeight w:val="407" w:hRule="exact"/>
        </w:trPr>
        <w:tc>
          <w:tcPr>
            <w:tcW w:w="485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130.26%</w:t>
            </w:r>
          </w:p>
        </w:tc>
      </w:tr>
      <w:tr>
        <w:trPr>
          <w:trHeight w:val="392" w:hRule="exact"/>
        </w:trPr>
        <w:tc>
          <w:tcPr>
            <w:tcW w:w="9576"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445,691.06</w:t>
            </w:r>
          </w:p>
        </w:tc>
      </w:tr>
      <w:tr>
        <w:trPr>
          <w:trHeight w:val="402" w:hRule="exact"/>
        </w:trPr>
        <w:tc>
          <w:tcPr>
            <w:tcW w:w="485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w:t>
            </w:r>
          </w:p>
        </w:tc>
        <w:tc>
          <w:tcPr>
            <w:tcW w:w="471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458,728.15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858"/>
        <w:gridCol w:w="4718"/>
      </w:tblGrid>
      <w:tr>
        <w:trPr>
          <w:trHeight w:val="362" w:hRule="exact"/>
        </w:trPr>
        <w:tc>
          <w:tcPr>
            <w:tcW w:w="4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477,300.87</w:t>
            </w:r>
          </w:p>
        </w:tc>
      </w:tr>
      <w:tr>
        <w:trPr>
          <w:trHeight w:val="402" w:hRule="exact"/>
        </w:trPr>
        <w:tc>
          <w:tcPr>
            <w:tcW w:w="4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1,381,720.08</w:t>
            </w:r>
          </w:p>
        </w:tc>
      </w:tr>
      <w:tr>
        <w:trPr>
          <w:trHeight w:val="714" w:hRule="exact"/>
        </w:trPr>
        <w:tc>
          <w:tcPr>
            <w:tcW w:w="4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责任的情况说明（如有）</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both"/>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2"/>
        <w:rPr>
          <w:rFonts w:ascii="宋体" w:hAnsi="宋体" w:cs="宋体" w:eastAsia="宋体" w:hint="default"/>
          <w:sz w:val="20"/>
          <w:szCs w:val="20"/>
        </w:rPr>
      </w:pPr>
    </w:p>
    <w:p>
      <w:pPr>
        <w:pStyle w:val="Heading3"/>
        <w:spacing w:line="240" w:lineRule="auto"/>
        <w:ind w:right="0"/>
        <w:jc w:val="both"/>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3"/>
        <w:spacing w:line="240" w:lineRule="auto"/>
        <w:ind w:right="0"/>
        <w:jc w:val="both"/>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3"/>
        <w:spacing w:line="240" w:lineRule="auto"/>
        <w:ind w:right="0"/>
        <w:jc w:val="both"/>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十八、社会责任情况" w:id="99"/>
      <w:bookmarkEnd w:id="99"/>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420"/>
        <w:jc w:val="both"/>
      </w:pPr>
      <w:r>
        <w:rPr/>
        <w:t>报告期内，公司积极承担社会责任，履行企业公民应尽的义务，建立健全法人治理结构、规范企业运作，保障股东权 </w:t>
      </w:r>
      <w:r>
        <w:rPr>
          <w:spacing w:val="-2"/>
        </w:rPr>
        <w:t>益，坚持做到经济效益、社会效益并重。公司在不断为股东创造价值的同时，充分尊重和维护相关利益者的合法权益，积极</w:t>
      </w:r>
      <w:r>
        <w:rPr>
          <w:spacing w:val="-66"/>
        </w:rPr>
        <w:t> </w:t>
      </w:r>
      <w:r>
        <w:rPr>
          <w:spacing w:val="-66"/>
        </w:rPr>
      </w:r>
      <w:r>
        <w:rPr/>
        <w:t>承担股东、员工、社会等各方利益相关者的责任，共同推动公司持续、稳定、健康的发展。</w:t>
      </w:r>
    </w:p>
    <w:p>
      <w:pPr>
        <w:pStyle w:val="BodyText"/>
        <w:spacing w:line="300" w:lineRule="auto" w:before="19"/>
        <w:ind w:left="574" w:right="1122"/>
        <w:jc w:val="left"/>
      </w:pPr>
      <w:r>
        <w:rPr>
          <w:rFonts w:ascii="Times New Roman" w:hAnsi="Times New Roman" w:cs="Times New Roman" w:eastAsia="Times New Roman" w:hint="default"/>
        </w:rPr>
        <w:t>1</w:t>
      </w:r>
      <w:r>
        <w:rPr/>
        <w:t>、股东 公司建立了较为完善的公司治理结构，制订了完整的内控制度，形成了以股东大会、董事会、监事会及管理层为主体</w:t>
      </w:r>
    </w:p>
    <w:p>
      <w:pPr>
        <w:pStyle w:val="BodyText"/>
        <w:spacing w:line="316" w:lineRule="auto" w:before="32"/>
        <w:ind w:right="1130"/>
        <w:jc w:val="both"/>
      </w:pPr>
      <w:r>
        <w:rPr>
          <w:spacing w:val="-2"/>
        </w:rPr>
        <w:t>结构的决策与经营体系，切实保障全体股东及债权人的权益。严格按照相关法律法规的要求，及时、真实、准确、完整地进</w:t>
      </w:r>
      <w:r>
        <w:rPr>
          <w:spacing w:val="-68"/>
        </w:rPr>
        <w:t> </w:t>
      </w:r>
      <w:r>
        <w:rPr>
          <w:spacing w:val="-68"/>
        </w:rPr>
      </w:r>
      <w:r>
        <w:rPr>
          <w:spacing w:val="-2"/>
        </w:rPr>
        <w:t>行信息披露，确保公司所有股东能够以平等的机会获得公司信息，保障全体股东的合法权益。公司通过现场接待、网上业绩</w:t>
      </w:r>
      <w:r>
        <w:rPr>
          <w:spacing w:val="-66"/>
        </w:rPr>
        <w:t> </w:t>
      </w:r>
      <w:r>
        <w:rPr>
          <w:spacing w:val="-66"/>
        </w:rPr>
      </w:r>
      <w:r>
        <w:rPr>
          <w:spacing w:val="-2"/>
        </w:rPr>
        <w:t>说明会、电话、传真、邮件和投资者关系互动平台等多种方式与投资者进行沟通交流，提高了公司的透明度和诚信度。在正</w:t>
      </w:r>
      <w:r>
        <w:rPr>
          <w:spacing w:val="-66"/>
        </w:rPr>
        <w:t> </w:t>
      </w:r>
      <w:r>
        <w:rPr>
          <w:spacing w:val="-66"/>
        </w:rPr>
      </w:r>
      <w:r>
        <w:rPr/>
        <w:t>常经营和持续发展的前提下，公司采取积极方式回报投资者。</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r>
        <w:rPr/>
        <w:pict>
          <v:group style="position:absolute;margin-left:152.779999pt;margin-top:718.559998pt;width:24.2pt;height:39pt;mso-position-horizontal-relative:page;mso-position-vertical-relative:page;z-index:-1592992" coordorigin="3056,14371" coordsize="484,780">
            <v:shape style="position:absolute;left:3056;top:14371;width:484;height:780" coordorigin="3056,14371" coordsize="484,780" path="m3056,15151l3539,15151,3539,14371,3056,14371,3056,15151xe" filled="true" fillcolor="#ffffff" stroked="false">
              <v:path arrowok="t"/>
              <v:fill type="solid"/>
            </v:shape>
            <w10:wrap type="none"/>
          </v:group>
        </w:pict>
      </w:r>
      <w:r>
        <w:rPr/>
        <w:pict>
          <v:group style="position:absolute;margin-left:153.919998pt;margin-top:685.359985pt;width:21.9pt;height:15.65pt;mso-position-horizontal-relative:page;mso-position-vertical-relative:page;z-index:-1592968" coordorigin="3078,13707" coordsize="438,313">
            <v:shape style="position:absolute;left:3078;top:13707;width:438;height:313" coordorigin="3078,13707" coordsize="438,313" path="m3078,14020l3516,14020,3516,13707,3078,13707,3078,14020xe" filled="true" fillcolor="#ffffff" stroked="false">
              <v:path arrowok="t"/>
              <v:fill type="solid"/>
            </v:shape>
            <w10:wrap type="none"/>
          </v:group>
        </w:pict>
      </w:r>
      <w:r>
        <w:rPr/>
        <w:pict>
          <v:group style="position:absolute;margin-left:320.380005pt;margin-top:694.179993pt;width:69.9pt;height:15.65pt;mso-position-horizontal-relative:page;mso-position-vertical-relative:page;z-index:-1592896" coordorigin="6408,13884" coordsize="1398,313">
            <v:shape style="position:absolute;left:6408;top:13884;width:1398;height:313" coordorigin="6408,13884" coordsize="1398,313" path="m6408,14196l7806,14196,7806,13884,6408,13884,6408,14196xe" filled="true" fillcolor="#ffffff" stroked="false">
              <v:path arrowok="t"/>
              <v:fill type="solid"/>
            </v:shape>
            <w10:wrap type="none"/>
          </v:group>
        </w:pict>
      </w:r>
    </w:p>
    <w:p>
      <w:pPr>
        <w:pStyle w:val="BodyText"/>
        <w:spacing w:line="300" w:lineRule="auto" w:before="44"/>
        <w:ind w:left="574" w:right="1122"/>
        <w:jc w:val="left"/>
      </w:pPr>
      <w:r>
        <w:rPr>
          <w:rFonts w:ascii="Times New Roman" w:hAnsi="Times New Roman" w:cs="Times New Roman" w:eastAsia="Times New Roman" w:hint="default"/>
        </w:rPr>
        <w:t>2</w:t>
      </w:r>
      <w:r>
        <w:rPr/>
        <w:t>、员工 公司始终坚持以人为本的核心价值观，关心员工的工作、生活、健康、安全，切实保护员工的各项权益，提升企业的</w:t>
      </w:r>
    </w:p>
    <w:p>
      <w:pPr>
        <w:pStyle w:val="BodyText"/>
        <w:spacing w:line="319" w:lineRule="auto" w:before="31"/>
        <w:ind w:right="0"/>
        <w:jc w:val="left"/>
      </w:pPr>
      <w:r>
        <w:rPr>
          <w:spacing w:val="-2"/>
        </w:rPr>
        <w:t>凝聚力，实现员工与企业的共同成长。公司按照《中华人民共和国劳动合同法》和有关劳动法律法规的规定，严格执行国家</w:t>
      </w:r>
      <w:r>
        <w:rPr>
          <w:spacing w:val="-66"/>
        </w:rPr>
        <w:t> </w:t>
      </w:r>
      <w:r>
        <w:rPr>
          <w:spacing w:val="-66"/>
        </w:rPr>
      </w:r>
      <w:r>
        <w:rPr>
          <w:spacing w:val="-4"/>
        </w:rPr>
        <w:t>用工制度、劳动保护制度、社会保障制度和医疗保障制度，按照国家及主管部门的规定、要求，为企业员工缴纳医疗保险金、</w:t>
      </w:r>
      <w:r>
        <w:rPr>
          <w:spacing w:val="-44"/>
        </w:rPr>
        <w:t> </w:t>
      </w:r>
      <w:r>
        <w:rPr>
          <w:spacing w:val="-44"/>
        </w:rPr>
      </w:r>
      <w:r>
        <w:rPr>
          <w:spacing w:val="-2"/>
        </w:rPr>
        <w:t>养老保险金、失业保险金、工伤保险金、生育保险金和住房公积金，同时安排全员健康体检。公司建立了较为完善的培训体</w:t>
      </w:r>
      <w:r>
        <w:rPr>
          <w:spacing w:val="-66"/>
        </w:rPr>
        <w:t> </w:t>
      </w:r>
      <w:r>
        <w:rPr>
          <w:spacing w:val="-66"/>
        </w:rPr>
      </w:r>
      <w:r>
        <w:rPr>
          <w:spacing w:val="-2"/>
        </w:rPr>
        <w:t>系，不定期组织员工进行培训学习，同时成立各类文化社团和义工组织，定期组织活动，丰富了员工的生活，增强了公司凝</w:t>
      </w:r>
      <w:r>
        <w:rPr>
          <w:spacing w:val="-66"/>
        </w:rPr>
        <w:t> </w:t>
      </w:r>
      <w:r>
        <w:rPr>
          <w:spacing w:val="-66"/>
        </w:rPr>
      </w:r>
      <w:r>
        <w:rPr/>
        <w:t>聚力和向心力。</w:t>
      </w:r>
    </w:p>
    <w:p>
      <w:pPr>
        <w:pStyle w:val="BodyText"/>
        <w:spacing w:line="300" w:lineRule="auto" w:before="17"/>
        <w:ind w:left="574" w:right="1122"/>
        <w:jc w:val="left"/>
      </w:pPr>
      <w:r>
        <w:rPr>
          <w:rFonts w:ascii="Times New Roman" w:hAnsi="Times New Roman" w:cs="Times New Roman" w:eastAsia="Times New Roman" w:hint="default"/>
        </w:rPr>
        <w:t>3</w:t>
      </w:r>
      <w:r>
        <w:rPr/>
        <w:t>、供应商、客户 公司坚持诚信守法的经营理念，严格规范经营运作，遵守相关合同及制度，充分维护供应商和客户的合法权益，与供</w:t>
      </w:r>
    </w:p>
    <w:p>
      <w:pPr>
        <w:pStyle w:val="BodyText"/>
        <w:spacing w:line="316" w:lineRule="auto" w:before="31"/>
        <w:ind w:right="1032"/>
        <w:jc w:val="left"/>
      </w:pPr>
      <w:r>
        <w:rPr>
          <w:spacing w:val="-2"/>
        </w:rPr>
        <w:t>应商和客户建立良好关系，为客户提供合格产品，完善售后服务，实现共赢。公司充分尊重供应商、客户和银行等其他利益</w:t>
      </w:r>
      <w:r>
        <w:rPr>
          <w:spacing w:val="-66"/>
        </w:rPr>
        <w:t> </w:t>
      </w:r>
      <w:r>
        <w:rPr>
          <w:spacing w:val="-66"/>
        </w:rPr>
      </w:r>
      <w:r>
        <w:rPr>
          <w:spacing w:val="-2"/>
        </w:rPr>
        <w:t>相关者的合法权益，在经济活动中秉承诚实守信、公平公正的原则，树立良好的企业形象，促进公司能够平稳持续地健康发</w:t>
      </w:r>
      <w:r>
        <w:rPr>
          <w:spacing w:val="-66"/>
        </w:rPr>
        <w:t> </w:t>
      </w:r>
      <w:r>
        <w:rPr>
          <w:spacing w:val="-66"/>
        </w:rPr>
      </w:r>
      <w:r>
        <w:rPr>
          <w:spacing w:val="-2"/>
        </w:rPr>
        <w:t>展。公司在重大项目的采购过程中，采用招标模式，与供应商、建设商均签署廉洁协议，严格防控项目建设过程中的腐败行</w:t>
      </w:r>
      <w:r>
        <w:rPr>
          <w:spacing w:val="-66"/>
        </w:rPr>
        <w:t> </w:t>
      </w:r>
      <w:r>
        <w:rPr>
          <w:spacing w:val="-66"/>
        </w:rPr>
      </w:r>
      <w:r>
        <w:rPr>
          <w:spacing w:val="-2"/>
        </w:rPr>
        <w:t>为；公司立足为客户创造价值，紧紧围绕客户建设、运营、维护业务全过程的需求和困难，从解决方案入手，满足客户的需</w:t>
      </w:r>
      <w:r>
        <w:rPr>
          <w:spacing w:val="-68"/>
        </w:rPr>
        <w:t> </w:t>
      </w:r>
      <w:r>
        <w:rPr>
          <w:spacing w:val="-68"/>
        </w:rPr>
      </w:r>
      <w:r>
        <w:rPr>
          <w:spacing w:val="-2"/>
        </w:rPr>
        <w:t>求；公司商业信用良好，银行资信状况良好，与各大银行均保持良好的合作，不存在重大违法违规或不诚信行为。公司为客</w:t>
      </w:r>
      <w:r>
        <w:rPr>
          <w:spacing w:val="-66"/>
        </w:rPr>
        <w:t> </w:t>
      </w:r>
      <w:r>
        <w:rPr>
          <w:spacing w:val="-66"/>
        </w:rPr>
      </w:r>
      <w:r>
        <w:rPr/>
        <w:t>户提供优质产品与服务的同时，通过自身的发展，为配套商提供了更多的就业机会，服务社会。公司严格把控产品质量关， 注重生产安全和产品安全，为客户提供优质安全的产品，公司的产品和服务赢得了用户的广泛信赖。</w:t>
      </w:r>
    </w:p>
    <w:p>
      <w:pPr>
        <w:pStyle w:val="BodyText"/>
        <w:spacing w:line="328" w:lineRule="auto" w:before="19"/>
        <w:ind w:right="1122" w:firstLine="420"/>
        <w:jc w:val="left"/>
      </w:pPr>
      <w:r>
        <w:rPr>
          <w:rFonts w:ascii="Times New Roman" w:hAnsi="Times New Roman" w:cs="Times New Roman" w:eastAsia="Times New Roman" w:hint="default"/>
        </w:rPr>
        <w:t>4</w:t>
      </w:r>
      <w:r>
        <w:rPr/>
        <w:t>、环境保护 </w:t>
      </w:r>
      <w:r>
        <w:rPr>
          <w:spacing w:val="-2"/>
        </w:rPr>
        <w:t>作为一家新能源企业，公司深知绿色环保、节能减排对于美丽中国和美好家园建设的深刻意义，致力于低碳环保事业，为天</w:t>
      </w:r>
      <w:r>
        <w:rPr>
          <w:spacing w:val="-66"/>
        </w:rPr>
        <w:t> </w:t>
      </w:r>
      <w:r>
        <w:rPr>
          <w:spacing w:val="-66"/>
        </w:rPr>
      </w:r>
      <w:r>
        <w:rPr>
          <w:spacing w:val="-2"/>
        </w:rPr>
        <w:t>更蓝、地更绿而凝聚力量。公司开发运营光伏电站，为人类建设更多的绿色能源，并热切期盼有更多的同行者能和我们一起</w:t>
      </w:r>
    </w:p>
    <w:p>
      <w:pPr>
        <w:pStyle w:val="BodyText"/>
        <w:spacing w:line="338" w:lineRule="auto" w:before="11"/>
        <w:ind w:right="1122"/>
        <w:jc w:val="left"/>
      </w:pPr>
      <w:r>
        <w:rPr/>
        <w:t>呵护这绿荫葱葱的地球。 </w:t>
      </w:r>
      <w:r>
        <w:rPr>
          <w:spacing w:val="-2"/>
        </w:rPr>
        <w:t>注：鼓励公司结合行业特点，主动披露积极履行社会责任的工作情况，包括但不限于公司履行社会责任的宗旨和理念，股东</w:t>
      </w:r>
      <w:r>
        <w:rPr>
          <w:spacing w:val="-66"/>
        </w:rPr>
        <w:t> </w:t>
      </w:r>
      <w:r>
        <w:rPr>
          <w:spacing w:val="-66"/>
        </w:rPr>
      </w:r>
      <w:r>
        <w:rPr>
          <w:spacing w:val="-2"/>
        </w:rPr>
        <w:t>和债权人权益保护、职工权益保护、供应商、客户和消费者权益保护、环境保护与可持续发展、公共关系、社会公益事业等</w:t>
      </w:r>
    </w:p>
    <w:p>
      <w:pPr>
        <w:pStyle w:val="BodyText"/>
        <w:spacing w:line="240" w:lineRule="auto" w:before="4"/>
        <w:ind w:right="1122"/>
        <w:jc w:val="left"/>
      </w:pPr>
      <w:r>
        <w:rPr/>
        <w:t>方面情况。公司已披露社会责任报告全文的，仅需提供相关的查询索引。</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712"/>
        <w:jc w:val="left"/>
      </w:pPr>
      <w:r>
        <w:rPr/>
        <w:pict>
          <v:group style="position:absolute;margin-left:320.380005pt;margin-top:87.371727pt;width:69.9pt;height:17.650pt;mso-position-horizontal-relative:page;mso-position-vertical-relative:paragraph;z-index:-1592944" coordorigin="6408,1747" coordsize="1398,353">
            <v:shape style="position:absolute;left:6408;top:1747;width:1398;height:353" coordorigin="6408,1747" coordsize="1398,353" path="m6408,2100l7806,2100,7806,1747,6408,1747,6408,2100xe" filled="true" fillcolor="#ffffff" stroked="false">
              <v:path arrowok="t"/>
              <v:fill type="solid"/>
            </v:shape>
            <w10:wrap type="none"/>
          </v:group>
        </w:pict>
      </w:r>
      <w:r>
        <w:rPr/>
        <w:pict>
          <v:group style="position:absolute;margin-left:320.380005pt;margin-top:120.611725pt;width:69.9pt;height:15.6pt;mso-position-horizontal-relative:page;mso-position-vertical-relative:paragraph;z-index:-1592920" coordorigin="6408,2412" coordsize="1398,312">
            <v:shape style="position:absolute;left:6408;top:2412;width:1398;height:312" coordorigin="6408,2412" coordsize="1398,312" path="m6408,2724l7806,2724,7806,2412,6408,2412,6408,2724xe" filled="true" fillcolor="#ffffff" stroked="false">
              <v:path arrowok="t"/>
              <v:fill type="solid"/>
            </v:shape>
            <w10:wrap type="none"/>
          </v:group>
        </w:pict>
      </w:r>
      <w:r>
        <w:rPr/>
        <w:t>上市公司及其子公司是否属于环境保护部门公布的重点排污单位 是</w:t>
      </w:r>
    </w:p>
    <w:tbl>
      <w:tblPr>
        <w:tblW w:w="0" w:type="auto"/>
        <w:jc w:val="left"/>
        <w:tblInd w:w="149" w:type="dxa"/>
        <w:tblLayout w:type="fixed"/>
        <w:tblCellMar>
          <w:top w:w="0" w:type="dxa"/>
          <w:left w:w="0" w:type="dxa"/>
          <w:bottom w:w="0" w:type="dxa"/>
          <w:right w:w="0" w:type="dxa"/>
        </w:tblCellMar>
        <w:tblLook w:val="01E0"/>
      </w:tblPr>
      <w:tblGrid>
        <w:gridCol w:w="851"/>
        <w:gridCol w:w="1066"/>
        <w:gridCol w:w="493"/>
        <w:gridCol w:w="852"/>
        <w:gridCol w:w="850"/>
        <w:gridCol w:w="1145"/>
        <w:gridCol w:w="1443"/>
        <w:gridCol w:w="957"/>
        <w:gridCol w:w="1133"/>
        <w:gridCol w:w="781"/>
      </w:tblGrid>
      <w:tr>
        <w:trPr>
          <w:trHeight w:val="1025"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公司或子 公司名称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7"/>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0"/>
              <w:jc w:val="left"/>
              <w:rPr>
                <w:rFonts w:ascii="宋体" w:hAnsi="宋体" w:cs="宋体" w:eastAsia="宋体" w:hint="default"/>
                <w:sz w:val="18"/>
                <w:szCs w:val="18"/>
              </w:rPr>
            </w:pPr>
            <w:r>
              <w:rPr>
                <w:rFonts w:ascii="宋体" w:hAnsi="宋体" w:cs="宋体" w:eastAsia="宋体" w:hint="default"/>
                <w:sz w:val="18"/>
                <w:szCs w:val="18"/>
              </w:rPr>
              <w:t>排放 方式</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1" w:right="59" w:hanging="270"/>
              <w:jc w:val="left"/>
              <w:rPr>
                <w:rFonts w:ascii="宋体" w:hAnsi="宋体" w:cs="宋体" w:eastAsia="宋体" w:hint="default"/>
                <w:sz w:val="18"/>
                <w:szCs w:val="18"/>
              </w:rPr>
            </w:pPr>
            <w:r>
              <w:rPr>
                <w:rFonts w:ascii="宋体" w:hAnsi="宋体" w:cs="宋体" w:eastAsia="宋体" w:hint="default"/>
                <w:sz w:val="18"/>
                <w:szCs w:val="18"/>
              </w:rPr>
              <w:t>排放口数 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49" w:right="58" w:hanging="90"/>
              <w:jc w:val="left"/>
              <w:rPr>
                <w:rFonts w:ascii="宋体" w:hAnsi="宋体" w:cs="宋体" w:eastAsia="宋体" w:hint="default"/>
                <w:sz w:val="18"/>
                <w:szCs w:val="18"/>
              </w:rPr>
            </w:pPr>
            <w:r>
              <w:rPr>
                <w:rFonts w:ascii="宋体" w:hAnsi="宋体" w:cs="宋体" w:eastAsia="宋体" w:hint="default"/>
                <w:sz w:val="18"/>
                <w:szCs w:val="18"/>
              </w:rPr>
              <w:t>排放口分 布情况</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1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9" w:right="91" w:hanging="360"/>
              <w:jc w:val="left"/>
              <w:rPr>
                <w:rFonts w:ascii="宋体" w:hAnsi="宋体" w:cs="宋体" w:eastAsia="宋体" w:hint="default"/>
                <w:sz w:val="18"/>
                <w:szCs w:val="18"/>
              </w:rPr>
            </w:pPr>
            <w:r>
              <w:rPr>
                <w:rFonts w:ascii="宋体" w:hAnsi="宋体" w:cs="宋体" w:eastAsia="宋体" w:hint="default"/>
                <w:sz w:val="18"/>
                <w:szCs w:val="18"/>
              </w:rPr>
              <w:t>执行的污染物排 放标准</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81" w:right="109" w:hanging="270"/>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5" w:right="24" w:hanging="180"/>
              <w:jc w:val="left"/>
              <w:rPr>
                <w:rFonts w:ascii="宋体" w:hAnsi="宋体" w:cs="宋体" w:eastAsia="宋体" w:hint="default"/>
                <w:sz w:val="18"/>
                <w:szCs w:val="18"/>
              </w:rPr>
            </w:pPr>
            <w:r>
              <w:rPr>
                <w:rFonts w:ascii="宋体" w:hAnsi="宋体" w:cs="宋体" w:eastAsia="宋体" w:hint="default"/>
                <w:sz w:val="18"/>
                <w:szCs w:val="18"/>
              </w:rPr>
              <w:t>超标排放 情况</w:t>
            </w:r>
          </w:p>
        </w:tc>
      </w:tr>
      <w:tr>
        <w:trPr>
          <w:trHeight w:val="258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2" w:right="96"/>
              <w:jc w:val="both"/>
              <w:rPr>
                <w:rFonts w:ascii="宋体" w:hAnsi="宋体" w:cs="宋体" w:eastAsia="宋体" w:hint="default"/>
                <w:sz w:val="18"/>
                <w:szCs w:val="18"/>
              </w:rPr>
            </w:pPr>
            <w:r>
              <w:rPr>
                <w:rFonts w:ascii="宋体" w:hAnsi="宋体" w:cs="宋体" w:eastAsia="宋体" w:hint="default"/>
                <w:sz w:val="18"/>
                <w:szCs w:val="18"/>
              </w:rPr>
              <w:t>苏州爱康 光电科技 有限公司</w:t>
            </w:r>
          </w:p>
        </w:tc>
        <w:tc>
          <w:tcPr>
            <w:tcW w:w="106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22" w:right="-54"/>
              <w:jc w:val="left"/>
              <w:rPr>
                <w:rFonts w:ascii="宋体" w:hAnsi="宋体" w:cs="宋体" w:eastAsia="宋体" w:hint="default"/>
                <w:sz w:val="18"/>
                <w:szCs w:val="18"/>
              </w:rPr>
            </w:pPr>
            <w:r>
              <w:rPr>
                <w:rFonts w:ascii="宋体" w:hAnsi="宋体" w:cs="宋体" w:eastAsia="宋体" w:hint="default"/>
                <w:sz w:val="18"/>
                <w:szCs w:val="18"/>
              </w:rPr>
              <w:t>废水中的主 </w:t>
            </w:r>
            <w:r>
              <w:rPr>
                <w:rFonts w:ascii="宋体" w:hAnsi="宋体" w:cs="宋体" w:eastAsia="宋体" w:hint="default"/>
                <w:spacing w:val="-12"/>
                <w:sz w:val="18"/>
                <w:szCs w:val="18"/>
              </w:rPr>
              <w:t>要污染物：一</w:t>
            </w:r>
            <w:r>
              <w:rPr>
                <w:rFonts w:ascii="宋体" w:hAnsi="宋体" w:cs="宋体" w:eastAsia="宋体" w:hint="default"/>
                <w:sz w:val="18"/>
                <w:szCs w:val="18"/>
              </w:rPr>
              <w:t> 般污染物： </w:t>
            </w:r>
            <w:r>
              <w:rPr>
                <w:rFonts w:ascii="Times New Roman" w:hAnsi="Times New Roman" w:cs="Times New Roman" w:eastAsia="Times New Roman" w:hint="default"/>
                <w:spacing w:val="-6"/>
                <w:sz w:val="18"/>
                <w:szCs w:val="18"/>
              </w:rPr>
              <w:t>COD</w:t>
            </w:r>
            <w:r>
              <w:rPr>
                <w:rFonts w:ascii="宋体" w:hAnsi="宋体" w:cs="宋体" w:eastAsia="宋体" w:hint="default"/>
                <w:spacing w:val="-6"/>
                <w:sz w:val="18"/>
                <w:szCs w:val="18"/>
              </w:rPr>
              <w:t>、氨氮、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pH</w:t>
            </w:r>
            <w:r>
              <w:rPr>
                <w:rFonts w:ascii="宋体" w:hAnsi="宋体" w:cs="宋体" w:eastAsia="宋体" w:hint="default"/>
                <w:sz w:val="18"/>
                <w:szCs w:val="18"/>
              </w:rPr>
              <w:t>、</w:t>
            </w:r>
            <w:r>
              <w:rPr>
                <w:rFonts w:ascii="Times New Roman" w:hAnsi="Times New Roman" w:cs="Times New Roman" w:eastAsia="Times New Roman" w:hint="default"/>
                <w:sz w:val="18"/>
                <w:szCs w:val="18"/>
              </w:rPr>
              <w:t>SS</w:t>
            </w:r>
            <w:r>
              <w:rPr>
                <w:rFonts w:ascii="宋体" w:hAnsi="宋体" w:cs="宋体" w:eastAsia="宋体" w:hint="default"/>
                <w:sz w:val="18"/>
                <w:szCs w:val="18"/>
              </w:rPr>
              <w:t>；特 </w:t>
            </w:r>
            <w:r>
              <w:rPr>
                <w:rFonts w:ascii="宋体" w:hAnsi="宋体" w:cs="宋体" w:eastAsia="宋体" w:hint="default"/>
                <w:spacing w:val="-12"/>
                <w:sz w:val="18"/>
                <w:szCs w:val="18"/>
              </w:rPr>
              <w:t>征污染物：氟</w:t>
            </w:r>
            <w:r>
              <w:rPr>
                <w:rFonts w:ascii="宋体" w:hAnsi="宋体" w:cs="宋体" w:eastAsia="宋体" w:hint="default"/>
                <w:sz w:val="18"/>
                <w:szCs w:val="18"/>
              </w:rPr>
              <w:t> 化物、总氮。</w:t>
            </w:r>
          </w:p>
        </w:tc>
        <w:tc>
          <w:tcPr>
            <w:tcW w:w="49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16" w:right="98"/>
              <w:jc w:val="both"/>
              <w:rPr>
                <w:rFonts w:ascii="宋体" w:hAnsi="宋体" w:cs="宋体" w:eastAsia="宋体" w:hint="default"/>
                <w:sz w:val="18"/>
                <w:szCs w:val="18"/>
              </w:rPr>
            </w:pPr>
            <w:r>
              <w:rPr>
                <w:rFonts w:ascii="宋体" w:hAnsi="宋体" w:cs="宋体" w:eastAsia="宋体" w:hint="default"/>
                <w:sz w:val="18"/>
                <w:szCs w:val="18"/>
              </w:rPr>
              <w:t>连续 稳定 排放</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8" w:lineRule="auto" w:before="126"/>
              <w:ind w:left="23"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总排放口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个，编号</w:t>
            </w:r>
            <w:r>
              <w:rPr>
                <w:rFonts w:ascii="宋体" w:hAnsi="宋体" w:cs="宋体" w:eastAsia="宋体" w:hint="default"/>
                <w:sz w:val="18"/>
                <w:szCs w:val="18"/>
              </w:rPr>
              <w:t> </w:t>
            </w:r>
            <w:r>
              <w:rPr>
                <w:rFonts w:ascii="Times New Roman" w:hAnsi="Times New Roman" w:cs="Times New Roman" w:eastAsia="Times New Roman" w:hint="default"/>
                <w:sz w:val="18"/>
                <w:szCs w:val="18"/>
              </w:rPr>
              <w:t>WS-01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位于公司 东大门处</w:t>
            </w:r>
          </w:p>
        </w:tc>
        <w:tc>
          <w:tcPr>
            <w:tcW w:w="1145" w:type="dxa"/>
            <w:tcBorders>
              <w:top w:val="single" w:sz="4" w:space="0" w:color="000000"/>
              <w:left w:val="single" w:sz="4" w:space="0" w:color="000000"/>
              <w:bottom w:val="single" w:sz="4" w:space="0" w:color="000000"/>
              <w:right w:val="single" w:sz="9" w:space="0" w:color="FFFFFF"/>
            </w:tcBorders>
          </w:tcPr>
          <w:p>
            <w:pPr>
              <w:pStyle w:val="TableParagraph"/>
              <w:spacing w:line="304" w:lineRule="auto" w:before="52"/>
              <w:ind w:left="22" w:right="-28"/>
              <w:jc w:val="left"/>
              <w:rPr>
                <w:rFonts w:ascii="宋体" w:hAnsi="宋体" w:cs="宋体" w:eastAsia="宋体" w:hint="default"/>
                <w:sz w:val="18"/>
                <w:szCs w:val="18"/>
              </w:rPr>
            </w:pPr>
            <w:r>
              <w:rPr>
                <w:rFonts w:ascii="Times New Roman" w:hAnsi="Times New Roman" w:cs="Times New Roman" w:eastAsia="Times New Roman" w:hint="default"/>
                <w:spacing w:val="-11"/>
                <w:w w:val="99"/>
                <w:sz w:val="18"/>
                <w:szCs w:val="18"/>
              </w:rPr>
              <w:t>COD</w:t>
            </w:r>
            <w:r>
              <w:rPr>
                <w:rFonts w:ascii="宋体" w:hAnsi="宋体" w:cs="宋体" w:eastAsia="宋体" w:hint="default"/>
                <w:spacing w:val="-11"/>
                <w:w w:val="99"/>
                <w:sz w:val="18"/>
                <w:szCs w:val="18"/>
              </w:rPr>
              <w:t>：</w:t>
            </w:r>
            <w:r>
              <w:rPr>
                <w:rFonts w:ascii="Times New Roman" w:hAnsi="Times New Roman" w:cs="Times New Roman" w:eastAsia="Times New Roman" w:hint="default"/>
                <w:spacing w:val="-11"/>
                <w:w w:val="99"/>
                <w:sz w:val="18"/>
                <w:szCs w:val="18"/>
              </w:rPr>
              <w:t>12mg/l</w:t>
            </w:r>
            <w:r>
              <w:rPr>
                <w:rFonts w:ascii="宋体" w:hAnsi="宋体" w:cs="宋体" w:eastAsia="宋体" w:hint="default"/>
                <w:spacing w:val="-11"/>
                <w:w w:val="99"/>
                <w:sz w:val="18"/>
                <w:szCs w:val="18"/>
              </w:rPr>
              <w:t>；</w:t>
            </w:r>
            <w:r>
              <w:rPr>
                <w:rFonts w:ascii="宋体" w:hAnsi="宋体" w:cs="宋体" w:eastAsia="宋体" w:hint="default"/>
                <w:spacing w:val="-87"/>
                <w:w w:val="99"/>
                <w:sz w:val="18"/>
                <w:szCs w:val="18"/>
              </w:rPr>
              <w:t> </w:t>
            </w:r>
            <w:r>
              <w:rPr>
                <w:rFonts w:ascii="宋体" w:hAnsi="宋体" w:cs="宋体" w:eastAsia="宋体" w:hint="default"/>
                <w:sz w:val="18"/>
                <w:szCs w:val="18"/>
              </w:rPr>
              <w:t>氨氮：</w:t>
            </w:r>
            <w:r>
              <w:rPr>
                <w:rFonts w:ascii="宋体" w:hAnsi="宋体" w:cs="宋体" w:eastAsia="宋体" w:hint="default"/>
                <w:sz w:val="18"/>
                <w:szCs w:val="18"/>
              </w:rPr>
              <w:t> </w:t>
            </w:r>
            <w:r>
              <w:rPr>
                <w:rFonts w:ascii="Times New Roman" w:hAnsi="Times New Roman" w:cs="Times New Roman" w:eastAsia="Times New Roman" w:hint="default"/>
                <w:spacing w:val="-8"/>
                <w:sz w:val="18"/>
                <w:szCs w:val="18"/>
              </w:rPr>
              <w:t>1.63mg/l</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pH</w:t>
            </w:r>
            <w:r>
              <w:rPr>
                <w:rFonts w:ascii="宋体" w:hAnsi="宋体" w:cs="宋体" w:eastAsia="宋体" w:hint="default"/>
                <w:spacing w:val="-8"/>
                <w:sz w:val="18"/>
                <w:szCs w:val="18"/>
              </w:rPr>
              <w:t>：</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7.29</w:t>
            </w:r>
            <w:r>
              <w:rPr>
                <w:rFonts w:ascii="宋体" w:hAnsi="宋体" w:cs="宋体" w:eastAsia="宋体" w:hint="default"/>
                <w:sz w:val="18"/>
                <w:szCs w:val="18"/>
              </w:rPr>
              <w:t>；</w:t>
            </w:r>
            <w:r>
              <w:rPr>
                <w:rFonts w:ascii="Times New Roman" w:hAnsi="Times New Roman" w:cs="Times New Roman" w:eastAsia="Times New Roman" w:hint="default"/>
                <w:sz w:val="18"/>
                <w:szCs w:val="18"/>
              </w:rPr>
              <w:t>SS</w:t>
            </w:r>
            <w:r>
              <w:rPr>
                <w:rFonts w:ascii="宋体" w:hAnsi="宋体" w:cs="宋体" w:eastAsia="宋体" w:hint="default"/>
                <w:sz w:val="18"/>
                <w:szCs w:val="18"/>
              </w:rPr>
              <w:t>：</w:t>
            </w:r>
          </w:p>
          <w:p>
            <w:pPr>
              <w:pStyle w:val="TableParagraph"/>
              <w:spacing w:line="307" w:lineRule="auto" w:before="9"/>
              <w:ind w:left="22" w:right="-28"/>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15mg/l</w:t>
            </w:r>
            <w:r>
              <w:rPr>
                <w:rFonts w:ascii="宋体" w:hAnsi="宋体" w:cs="宋体" w:eastAsia="宋体" w:hint="default"/>
                <w:spacing w:val="-10"/>
                <w:sz w:val="18"/>
                <w:szCs w:val="18"/>
              </w:rPr>
              <w:t>；总氮：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5.14mg/l</w:t>
            </w:r>
            <w:r>
              <w:rPr>
                <w:rFonts w:ascii="宋体" w:hAnsi="宋体" w:cs="宋体" w:eastAsia="宋体" w:hint="default"/>
                <w:sz w:val="18"/>
                <w:szCs w:val="18"/>
              </w:rPr>
              <w:t>；氟 化物： </w:t>
            </w:r>
            <w:r>
              <w:rPr>
                <w:rFonts w:ascii="Times New Roman" w:hAnsi="Times New Roman" w:cs="Times New Roman" w:eastAsia="Times New Roman" w:hint="default"/>
                <w:sz w:val="18"/>
                <w:szCs w:val="18"/>
              </w:rPr>
              <w:t>3.75mg/l</w:t>
            </w:r>
            <w:r>
              <w:rPr>
                <w:rFonts w:ascii="宋体" w:hAnsi="宋体" w:cs="宋体" w:eastAsia="宋体" w:hint="default"/>
                <w:sz w:val="18"/>
                <w:szCs w:val="18"/>
              </w:rPr>
              <w:t>。</w:t>
            </w:r>
          </w:p>
        </w:tc>
        <w:tc>
          <w:tcPr>
            <w:tcW w:w="1443"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71"/>
              <w:ind w:left="4" w:right="120"/>
              <w:jc w:val="left"/>
              <w:rPr>
                <w:rFonts w:ascii="宋体" w:hAnsi="宋体" w:cs="宋体" w:eastAsia="宋体" w:hint="default"/>
                <w:sz w:val="18"/>
                <w:szCs w:val="18"/>
              </w:rPr>
            </w:pPr>
            <w:r>
              <w:rPr>
                <w:rFonts w:ascii="宋体" w:hAnsi="宋体" w:cs="宋体" w:eastAsia="宋体" w:hint="default"/>
                <w:sz w:val="18"/>
                <w:szCs w:val="18"/>
              </w:rPr>
              <w:t>《电池工业污染 物排放标准》 </w:t>
            </w:r>
            <w:r>
              <w:rPr>
                <w:rFonts w:ascii="Times New Roman" w:hAnsi="Times New Roman" w:cs="Times New Roman" w:eastAsia="Times New Roman" w:hint="default"/>
                <w:sz w:val="18"/>
                <w:szCs w:val="18"/>
              </w:rPr>
              <w:t>GB30484-2013</w:t>
            </w:r>
            <w:r>
              <w:rPr>
                <w:rFonts w:ascii="宋体" w:hAnsi="宋体" w:cs="宋体" w:eastAsia="宋体" w:hint="default"/>
                <w:sz w:val="18"/>
                <w:szCs w:val="18"/>
              </w:rPr>
              <w:t>，</w:t>
            </w:r>
          </w:p>
          <w:p>
            <w:pPr>
              <w:pStyle w:val="TableParagraph"/>
              <w:spacing w:line="300" w:lineRule="auto"/>
              <w:ind w:left="4" w:right="2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COD</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pacing w:val="-7"/>
                <w:sz w:val="18"/>
                <w:szCs w:val="18"/>
              </w:rPr>
              <w:t>150mg/l</w:t>
            </w:r>
            <w:r>
              <w:rPr>
                <w:rFonts w:ascii="宋体" w:hAnsi="宋体" w:cs="宋体" w:eastAsia="宋体" w:hint="default"/>
                <w:spacing w:val="-7"/>
                <w:sz w:val="18"/>
                <w:szCs w:val="18"/>
              </w:rPr>
              <w:t>；氨</w:t>
            </w:r>
            <w:r>
              <w:rPr>
                <w:rFonts w:ascii="宋体" w:hAnsi="宋体" w:cs="宋体" w:eastAsia="宋体" w:hint="default"/>
                <w:spacing w:val="-83"/>
                <w:sz w:val="18"/>
                <w:szCs w:val="18"/>
              </w:rPr>
              <w:t> </w:t>
            </w:r>
            <w:r>
              <w:rPr>
                <w:rFonts w:ascii="宋体" w:hAnsi="宋体" w:cs="宋体" w:eastAsia="宋体" w:hint="default"/>
                <w:sz w:val="18"/>
                <w:szCs w:val="18"/>
              </w:rPr>
              <w:t>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30mg/l</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pH</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 </w:t>
            </w:r>
            <w:r>
              <w:rPr>
                <w:rFonts w:ascii="Times New Roman" w:hAnsi="Times New Roman" w:cs="Times New Roman" w:eastAsia="Times New Roman" w:hint="default"/>
                <w:spacing w:val="-4"/>
                <w:sz w:val="18"/>
                <w:szCs w:val="18"/>
              </w:rPr>
              <w:t>SS</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
                <w:sz w:val="18"/>
                <w:szCs w:val="18"/>
              </w:rPr>
              <w:t>140mg/l</w:t>
            </w:r>
            <w:r>
              <w:rPr>
                <w:rFonts w:ascii="宋体" w:hAnsi="宋体" w:cs="宋体" w:eastAsia="宋体" w:hint="default"/>
                <w:spacing w:val="-4"/>
                <w:sz w:val="18"/>
                <w:szCs w:val="18"/>
              </w:rPr>
              <w:t>；总氮</w:t>
            </w:r>
          </w:p>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40mg/l</w:t>
            </w:r>
            <w:r>
              <w:rPr>
                <w:rFonts w:ascii="宋体" w:hAnsi="宋体" w:cs="宋体" w:eastAsia="宋体" w:hint="default"/>
                <w:sz w:val="18"/>
                <w:szCs w:val="18"/>
              </w:rPr>
              <w:t>；氟化物</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 </w:t>
            </w:r>
            <w:r>
              <w:rPr>
                <w:rFonts w:ascii="Times New Roman" w:hAnsi="Times New Roman" w:cs="Times New Roman" w:eastAsia="Times New Roman" w:hint="default"/>
                <w:sz w:val="18"/>
                <w:szCs w:val="18"/>
              </w:rPr>
              <w:t>7.7146 </w:t>
            </w:r>
            <w:r>
              <w:rPr>
                <w:rFonts w:ascii="宋体" w:hAnsi="宋体" w:cs="宋体" w:eastAsia="宋体" w:hint="default"/>
                <w:sz w:val="18"/>
                <w:szCs w:val="18"/>
              </w:rPr>
              <w:t>吨；</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氨氮：</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0.1023 </w:t>
            </w:r>
            <w:r>
              <w:rPr>
                <w:rFonts w:ascii="宋体" w:hAnsi="宋体" w:cs="宋体" w:eastAsia="宋体" w:hint="default"/>
                <w:sz w:val="18"/>
                <w:szCs w:val="18"/>
              </w:rPr>
              <w:t>吨；</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氟化物：</w:t>
            </w:r>
          </w:p>
          <w:p>
            <w:pPr>
              <w:pStyle w:val="TableParagraph"/>
              <w:spacing w:line="309" w:lineRule="auto" w:before="76"/>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0.364 </w:t>
            </w:r>
            <w:r>
              <w:rPr>
                <w:rFonts w:ascii="宋体" w:hAnsi="宋体" w:cs="宋体" w:eastAsia="宋体" w:hint="default"/>
                <w:spacing w:val="-30"/>
                <w:sz w:val="18"/>
                <w:szCs w:val="18"/>
              </w:rPr>
              <w:t>吨（按</w:t>
            </w:r>
            <w:r>
              <w:rPr>
                <w:rFonts w:ascii="宋体" w:hAnsi="宋体" w:cs="宋体" w:eastAsia="宋体" w:hint="default"/>
                <w:sz w:val="18"/>
                <w:szCs w:val="18"/>
              </w:rPr>
              <w:t> 照检测报告 </w:t>
            </w:r>
            <w:r>
              <w:rPr>
                <w:rFonts w:ascii="宋体" w:hAnsi="宋体" w:cs="宋体" w:eastAsia="宋体" w:hint="default"/>
                <w:spacing w:val="-23"/>
                <w:sz w:val="18"/>
                <w:szCs w:val="18"/>
              </w:rPr>
              <w:t>核算）。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20.62</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年；氨氮</w:t>
            </w:r>
          </w:p>
          <w:p>
            <w:pPr>
              <w:pStyle w:val="TableParagraph"/>
              <w:spacing w:line="302" w:lineRule="auto" w:before="63"/>
              <w:ind w:left="22" w:right="54"/>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0.479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r>
              <w:rPr>
                <w:rFonts w:ascii="宋体" w:hAnsi="宋体" w:cs="宋体" w:eastAsia="宋体" w:hint="default"/>
                <w:sz w:val="18"/>
                <w:szCs w:val="18"/>
              </w:rPr>
              <w:t>氟化物</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0.371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2" w:right="26"/>
              <w:jc w:val="both"/>
              <w:rPr>
                <w:rFonts w:ascii="宋体" w:hAnsi="宋体" w:cs="宋体" w:eastAsia="宋体" w:hint="default"/>
                <w:sz w:val="18"/>
                <w:szCs w:val="18"/>
              </w:rPr>
            </w:pPr>
            <w:r>
              <w:rPr>
                <w:rFonts w:ascii="宋体" w:hAnsi="宋体" w:cs="宋体" w:eastAsia="宋体" w:hint="default"/>
                <w:sz w:val="18"/>
                <w:szCs w:val="18"/>
              </w:rPr>
              <w:t>均符合环 保排放标 准。</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319.239990pt;margin-top:90.599983pt;width:72.2pt;height:15.6pt;mso-position-horizontal-relative:page;mso-position-vertical-relative:page;z-index:-1592872" coordorigin="6385,1812" coordsize="1444,312">
            <v:shape style="position:absolute;left:6385;top:1812;width:1444;height:312" coordorigin="6385,1812" coordsize="1444,312" path="m6385,2124l7828,2124,7828,1812,6385,1812,6385,212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851"/>
        <w:gridCol w:w="1066"/>
        <w:gridCol w:w="493"/>
        <w:gridCol w:w="852"/>
        <w:gridCol w:w="850"/>
        <w:gridCol w:w="1134"/>
        <w:gridCol w:w="1454"/>
        <w:gridCol w:w="957"/>
        <w:gridCol w:w="1133"/>
        <w:gridCol w:w="781"/>
      </w:tblGrid>
      <w:tr>
        <w:trPr>
          <w:trHeight w:val="362" w:hRule="exact"/>
        </w:trPr>
        <w:tc>
          <w:tcPr>
            <w:tcW w:w="8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8mg/l</w:t>
            </w:r>
            <w:r>
              <w:rPr>
                <w:rFonts w:ascii="宋体" w:hAnsi="宋体" w:cs="宋体" w:eastAsia="宋体" w:hint="default"/>
                <w:sz w:val="18"/>
                <w:szCs w:val="18"/>
              </w:rPr>
              <w:t>。</w:t>
            </w:r>
          </w:p>
        </w:tc>
        <w:tc>
          <w:tcPr>
            <w:tcW w:w="95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96"/>
              <w:jc w:val="both"/>
              <w:rPr>
                <w:rFonts w:ascii="宋体" w:hAnsi="宋体" w:cs="宋体" w:eastAsia="宋体" w:hint="default"/>
                <w:sz w:val="18"/>
                <w:szCs w:val="18"/>
              </w:rPr>
            </w:pPr>
            <w:r>
              <w:rPr>
                <w:rFonts w:ascii="宋体" w:hAnsi="宋体" w:cs="宋体" w:eastAsia="宋体" w:hint="default"/>
                <w:sz w:val="18"/>
                <w:szCs w:val="18"/>
              </w:rPr>
              <w:t>苏州爱康 光电科技 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21"/>
              <w:jc w:val="left"/>
              <w:rPr>
                <w:rFonts w:ascii="宋体" w:hAnsi="宋体" w:cs="宋体" w:eastAsia="宋体" w:hint="default"/>
                <w:sz w:val="18"/>
                <w:szCs w:val="18"/>
              </w:rPr>
            </w:pPr>
            <w:r>
              <w:rPr>
                <w:rFonts w:ascii="宋体" w:hAnsi="宋体" w:cs="宋体" w:eastAsia="宋体" w:hint="default"/>
                <w:sz w:val="18"/>
                <w:szCs w:val="18"/>
              </w:rPr>
              <w:t>废气中主要 </w:t>
            </w:r>
            <w:r>
              <w:rPr>
                <w:rFonts w:ascii="宋体" w:hAnsi="宋体" w:cs="宋体" w:eastAsia="宋体" w:hint="default"/>
                <w:spacing w:val="-12"/>
                <w:sz w:val="18"/>
                <w:szCs w:val="18"/>
              </w:rPr>
              <w:t>污染物：氟化</w:t>
            </w:r>
            <w:r>
              <w:rPr>
                <w:rFonts w:ascii="宋体" w:hAnsi="宋体" w:cs="宋体" w:eastAsia="宋体" w:hint="default"/>
                <w:sz w:val="18"/>
                <w:szCs w:val="18"/>
              </w:rPr>
              <w:t> </w:t>
            </w:r>
            <w:r>
              <w:rPr>
                <w:rFonts w:ascii="宋体" w:hAnsi="宋体" w:cs="宋体" w:eastAsia="宋体" w:hint="default"/>
                <w:spacing w:val="-12"/>
                <w:sz w:val="18"/>
                <w:szCs w:val="18"/>
              </w:rPr>
              <w:t>物、氯气、颗</w:t>
            </w:r>
            <w:r>
              <w:rPr>
                <w:rFonts w:ascii="宋体" w:hAnsi="宋体" w:cs="宋体" w:eastAsia="宋体" w:hint="default"/>
                <w:sz w:val="18"/>
                <w:szCs w:val="18"/>
              </w:rPr>
              <w:t> </w:t>
            </w:r>
            <w:r>
              <w:rPr>
                <w:rFonts w:ascii="宋体" w:hAnsi="宋体" w:cs="宋体" w:eastAsia="宋体" w:hint="default"/>
                <w:spacing w:val="-12"/>
                <w:sz w:val="18"/>
                <w:szCs w:val="18"/>
              </w:rPr>
              <w:t>粒物、氮氧化</w:t>
            </w:r>
            <w:r>
              <w:rPr>
                <w:rFonts w:ascii="宋体" w:hAnsi="宋体" w:cs="宋体" w:eastAsia="宋体" w:hint="default"/>
                <w:sz w:val="18"/>
                <w:szCs w:val="18"/>
              </w:rPr>
              <w:t> 物和挥发性 有机物</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98"/>
              <w:jc w:val="both"/>
              <w:rPr>
                <w:rFonts w:ascii="宋体" w:hAnsi="宋体" w:cs="宋体" w:eastAsia="宋体" w:hint="default"/>
                <w:sz w:val="18"/>
                <w:szCs w:val="18"/>
              </w:rPr>
            </w:pPr>
            <w:r>
              <w:rPr>
                <w:rFonts w:ascii="宋体" w:hAnsi="宋体" w:cs="宋体" w:eastAsia="宋体" w:hint="default"/>
                <w:sz w:val="18"/>
                <w:szCs w:val="18"/>
              </w:rPr>
              <w:t>连续 稳定 排放</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总排放口</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一厂车间 顶楼、食 堂北侧、 二厂厂房 楼顶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氟化物：</w:t>
            </w:r>
            <w:r>
              <w:rPr>
                <w:rFonts w:ascii="Times New Roman" w:hAnsi="Times New Roman" w:cs="Times New Roman" w:eastAsia="Times New Roman" w:hint="default"/>
                <w:sz w:val="18"/>
                <w:szCs w:val="18"/>
              </w:rPr>
              <w:t>ND</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氯气： </w:t>
            </w:r>
            <w:r>
              <w:rPr>
                <w:rFonts w:ascii="Times New Roman" w:hAnsi="Times New Roman" w:cs="Times New Roman" w:eastAsia="Times New Roman" w:hint="default"/>
                <w:spacing w:val="-14"/>
                <w:sz w:val="18"/>
                <w:szCs w:val="18"/>
              </w:rPr>
              <w:t>0.48mg/m³</w:t>
            </w:r>
            <w:r>
              <w:rPr>
                <w:rFonts w:ascii="宋体" w:hAnsi="宋体" w:cs="宋体" w:eastAsia="宋体" w:hint="default"/>
                <w:spacing w:val="-14"/>
                <w:sz w:val="18"/>
                <w:szCs w:val="18"/>
              </w:rPr>
              <w:t>；颗</w:t>
            </w:r>
            <w:r>
              <w:rPr>
                <w:rFonts w:ascii="宋体" w:hAnsi="宋体" w:cs="宋体" w:eastAsia="宋体" w:hint="default"/>
                <w:spacing w:val="-80"/>
                <w:sz w:val="18"/>
                <w:szCs w:val="18"/>
              </w:rPr>
              <w:t> </w:t>
            </w:r>
            <w:r>
              <w:rPr>
                <w:rFonts w:ascii="宋体" w:hAnsi="宋体" w:cs="宋体" w:eastAsia="宋体" w:hint="default"/>
                <w:sz w:val="18"/>
                <w:szCs w:val="18"/>
              </w:rPr>
              <w:t>粒物：</w:t>
            </w:r>
            <w:r>
              <w:rPr>
                <w:rFonts w:ascii="宋体" w:hAnsi="宋体" w:cs="宋体" w:eastAsia="宋体" w:hint="default"/>
                <w:sz w:val="18"/>
                <w:szCs w:val="18"/>
              </w:rPr>
              <w:t> </w:t>
            </w:r>
            <w:r>
              <w:rPr>
                <w:rFonts w:ascii="Times New Roman" w:hAnsi="Times New Roman" w:cs="Times New Roman" w:eastAsia="Times New Roman" w:hint="default"/>
                <w:spacing w:val="-4"/>
                <w:sz w:val="18"/>
                <w:szCs w:val="18"/>
              </w:rPr>
              <w:t>3.5mg/m3</w:t>
            </w:r>
            <w:r>
              <w:rPr>
                <w:rFonts w:ascii="宋体" w:hAnsi="宋体" w:cs="宋体" w:eastAsia="宋体" w:hint="default"/>
                <w:spacing w:val="-4"/>
                <w:sz w:val="18"/>
                <w:szCs w:val="18"/>
              </w:rPr>
              <w:t>；氮</w:t>
            </w:r>
            <w:r>
              <w:rPr>
                <w:rFonts w:ascii="宋体" w:hAnsi="宋体" w:cs="宋体" w:eastAsia="宋体" w:hint="default"/>
                <w:spacing w:val="-86"/>
                <w:sz w:val="18"/>
                <w:szCs w:val="18"/>
              </w:rPr>
              <w:t> </w:t>
            </w:r>
            <w:r>
              <w:rPr>
                <w:rFonts w:ascii="宋体" w:hAnsi="宋体" w:cs="宋体" w:eastAsia="宋体" w:hint="default"/>
                <w:sz w:val="18"/>
                <w:szCs w:val="18"/>
              </w:rPr>
              <w:t>氧化物：</w:t>
            </w:r>
            <w:r>
              <w:rPr>
                <w:rFonts w:ascii="宋体" w:hAnsi="宋体" w:cs="宋体" w:eastAsia="宋体" w:hint="default"/>
                <w:sz w:val="18"/>
                <w:szCs w:val="18"/>
              </w:rPr>
              <w:t> </w:t>
            </w:r>
            <w:r>
              <w:rPr>
                <w:rFonts w:ascii="Times New Roman" w:hAnsi="Times New Roman" w:cs="Times New Roman" w:eastAsia="Times New Roman" w:hint="default"/>
                <w:sz w:val="18"/>
                <w:szCs w:val="18"/>
              </w:rPr>
              <w:t>25mg/m³</w:t>
            </w:r>
            <w:r>
              <w:rPr>
                <w:rFonts w:ascii="宋体" w:hAnsi="宋体" w:cs="宋体" w:eastAsia="宋体" w:hint="default"/>
                <w:sz w:val="18"/>
                <w:szCs w:val="18"/>
              </w:rPr>
              <w:t>；挥 发性有机物： </w:t>
            </w:r>
            <w:r>
              <w:rPr>
                <w:rFonts w:ascii="Times New Roman" w:hAnsi="Times New Roman" w:cs="Times New Roman" w:eastAsia="Times New Roman" w:hint="default"/>
                <w:spacing w:val="-14"/>
                <w:sz w:val="18"/>
                <w:szCs w:val="18"/>
              </w:rPr>
              <w:t>1.63mg/m³</w:t>
            </w:r>
            <w:r>
              <w:rPr>
                <w:rFonts w:ascii="宋体" w:hAnsi="宋体" w:cs="宋体" w:eastAsia="宋体" w:hint="default"/>
                <w:spacing w:val="-14"/>
                <w:sz w:val="18"/>
                <w:szCs w:val="18"/>
              </w:rPr>
              <w:t>。均</w:t>
            </w:r>
            <w:r>
              <w:rPr>
                <w:rFonts w:ascii="宋体" w:hAnsi="宋体" w:cs="宋体" w:eastAsia="宋体" w:hint="default"/>
                <w:spacing w:val="-80"/>
                <w:sz w:val="18"/>
                <w:szCs w:val="18"/>
              </w:rPr>
              <w:t> </w:t>
            </w:r>
            <w:r>
              <w:rPr>
                <w:rFonts w:ascii="宋体" w:hAnsi="宋体" w:cs="宋体" w:eastAsia="宋体" w:hint="default"/>
                <w:sz w:val="18"/>
                <w:szCs w:val="18"/>
              </w:rPr>
              <w:t>符合环保排</w:t>
            </w:r>
            <w:r>
              <w:rPr>
                <w:rFonts w:ascii="宋体" w:hAnsi="宋体" w:cs="宋体" w:eastAsia="宋体" w:hint="default"/>
                <w:sz w:val="18"/>
                <w:szCs w:val="18"/>
              </w:rPr>
              <w:t> 放标准。</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316" w:lineRule="auto" w:before="76"/>
              <w:ind w:left="22" w:right="103"/>
              <w:jc w:val="left"/>
              <w:rPr>
                <w:rFonts w:ascii="宋体" w:hAnsi="宋体" w:cs="宋体" w:eastAsia="宋体" w:hint="default"/>
                <w:sz w:val="18"/>
                <w:szCs w:val="18"/>
              </w:rPr>
            </w:pPr>
            <w:r>
              <w:rPr>
                <w:rFonts w:ascii="宋体" w:hAnsi="宋体" w:cs="宋体" w:eastAsia="宋体" w:hint="default"/>
                <w:sz w:val="18"/>
                <w:szCs w:val="18"/>
              </w:rPr>
              <w:t>《电池工业污染 物排放标准》 </w:t>
            </w:r>
            <w:r>
              <w:rPr>
                <w:rFonts w:ascii="Times New Roman" w:hAnsi="Times New Roman" w:cs="Times New Roman" w:eastAsia="Times New Roman" w:hint="default"/>
                <w:spacing w:val="-12"/>
                <w:sz w:val="18"/>
                <w:szCs w:val="18"/>
              </w:rPr>
              <w:t>GB30484-2013</w:t>
            </w:r>
            <w:r>
              <w:rPr>
                <w:rFonts w:ascii="宋体" w:hAnsi="宋体" w:cs="宋体" w:eastAsia="宋体" w:hint="default"/>
                <w:spacing w:val="-12"/>
                <w:sz w:val="18"/>
                <w:szCs w:val="18"/>
              </w:rPr>
              <w:t>；氟</w:t>
            </w:r>
            <w:r>
              <w:rPr>
                <w:rFonts w:ascii="宋体" w:hAnsi="宋体" w:cs="宋体" w:eastAsia="宋体" w:hint="default"/>
                <w:sz w:val="18"/>
                <w:szCs w:val="18"/>
              </w:rPr>
            </w:r>
          </w:p>
          <w:p>
            <w:pPr>
              <w:pStyle w:val="TableParagraph"/>
              <w:spacing w:line="300"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化物</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
                <w:sz w:val="18"/>
                <w:szCs w:val="18"/>
              </w:rPr>
              <w:t>3mg/m3</w:t>
            </w:r>
            <w:r>
              <w:rPr>
                <w:rFonts w:ascii="宋体" w:hAnsi="宋体" w:cs="宋体" w:eastAsia="宋体" w:hint="default"/>
                <w:spacing w:val="-4"/>
                <w:sz w:val="18"/>
                <w:szCs w:val="18"/>
              </w:rPr>
              <w:t>；氯</w:t>
            </w:r>
            <w:r>
              <w:rPr>
                <w:rFonts w:ascii="宋体" w:hAnsi="宋体" w:cs="宋体" w:eastAsia="宋体" w:hint="default"/>
                <w:spacing w:val="-20"/>
                <w:sz w:val="18"/>
                <w:szCs w:val="18"/>
              </w:rPr>
              <w:t> </w:t>
            </w:r>
            <w:r>
              <w:rPr>
                <w:rFonts w:ascii="宋体" w:hAnsi="宋体" w:cs="宋体" w:eastAsia="宋体" w:hint="default"/>
                <w:sz w:val="18"/>
                <w:szCs w:val="18"/>
              </w:rPr>
              <w:t>气</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5mg/m³</w:t>
            </w:r>
            <w:r>
              <w:rPr>
                <w:rFonts w:ascii="宋体" w:hAnsi="宋体" w:cs="宋体" w:eastAsia="宋体" w:hint="default"/>
                <w:sz w:val="18"/>
                <w:szCs w:val="18"/>
              </w:rPr>
              <w:t>；颗粒 </w:t>
            </w:r>
            <w:r>
              <w:rPr>
                <w:rFonts w:ascii="宋体" w:hAnsi="宋体" w:cs="宋体" w:eastAsia="宋体" w:hint="default"/>
                <w:spacing w:val="-7"/>
                <w:w w:val="100"/>
                <w:sz w:val="18"/>
                <w:szCs w:val="18"/>
              </w:rPr>
              <w:t>物</w:t>
            </w:r>
            <w:r>
              <w:rPr>
                <w:rFonts w:ascii="Times New Roman" w:hAnsi="Times New Roman" w:cs="Times New Roman" w:eastAsia="Times New Roman" w:hint="default"/>
                <w:spacing w:val="-7"/>
                <w:w w:val="100"/>
                <w:sz w:val="18"/>
                <w:szCs w:val="18"/>
              </w:rPr>
              <w:t>≤</w:t>
            </w:r>
            <w:r>
              <w:rPr>
                <w:rFonts w:ascii="Times New Roman" w:hAnsi="Times New Roman" w:cs="Times New Roman" w:eastAsia="Times New Roman" w:hint="default"/>
                <w:spacing w:val="-7"/>
                <w:w w:val="100"/>
                <w:sz w:val="18"/>
                <w:szCs w:val="18"/>
              </w:rPr>
              <w:t>30mg/m³</w:t>
            </w:r>
            <w:r>
              <w:rPr>
                <w:rFonts w:ascii="宋体" w:hAnsi="宋体" w:cs="宋体" w:eastAsia="宋体" w:hint="default"/>
                <w:spacing w:val="-7"/>
                <w:w w:val="100"/>
                <w:sz w:val="18"/>
                <w:szCs w:val="18"/>
              </w:rPr>
              <w:t>；氮氧</w:t>
            </w:r>
            <w:r>
              <w:rPr>
                <w:rFonts w:ascii="宋体" w:hAnsi="宋体" w:cs="宋体" w:eastAsia="宋体" w:hint="default"/>
                <w:spacing w:val="-84"/>
                <w:w w:val="100"/>
                <w:sz w:val="18"/>
                <w:szCs w:val="18"/>
              </w:rPr>
              <w:t> </w:t>
            </w:r>
            <w:r>
              <w:rPr>
                <w:rFonts w:ascii="宋体" w:hAnsi="宋体" w:cs="宋体" w:eastAsia="宋体" w:hint="default"/>
                <w:spacing w:val="-84"/>
                <w:w w:val="100"/>
                <w:sz w:val="18"/>
                <w:szCs w:val="18"/>
              </w:rPr>
            </w:r>
            <w:r>
              <w:rPr>
                <w:rFonts w:ascii="宋体" w:hAnsi="宋体" w:cs="宋体" w:eastAsia="宋体" w:hint="default"/>
                <w:spacing w:val="-13"/>
                <w:w w:val="100"/>
                <w:sz w:val="18"/>
                <w:szCs w:val="18"/>
              </w:rPr>
              <w:t>化物</w:t>
            </w:r>
            <w:r>
              <w:rPr>
                <w:rFonts w:ascii="Times New Roman" w:hAnsi="Times New Roman" w:cs="Times New Roman" w:eastAsia="Times New Roman" w:hint="default"/>
                <w:spacing w:val="-13"/>
                <w:w w:val="100"/>
                <w:sz w:val="18"/>
                <w:szCs w:val="18"/>
              </w:rPr>
              <w:t>≤</w:t>
            </w:r>
            <w:r>
              <w:rPr>
                <w:rFonts w:ascii="Times New Roman" w:hAnsi="Times New Roman" w:cs="Times New Roman" w:eastAsia="Times New Roman" w:hint="default"/>
                <w:spacing w:val="-13"/>
                <w:w w:val="100"/>
                <w:sz w:val="18"/>
                <w:szCs w:val="18"/>
              </w:rPr>
              <w:t>30mg/m³</w:t>
            </w:r>
            <w:r>
              <w:rPr>
                <w:rFonts w:ascii="宋体" w:hAnsi="宋体" w:cs="宋体" w:eastAsia="宋体" w:hint="default"/>
                <w:spacing w:val="-13"/>
                <w:w w:val="100"/>
                <w:sz w:val="18"/>
                <w:szCs w:val="18"/>
              </w:rPr>
              <w:t>；挥</w:t>
            </w:r>
            <w:r>
              <w:rPr>
                <w:rFonts w:ascii="宋体" w:hAnsi="宋体" w:cs="宋体" w:eastAsia="宋体" w:hint="default"/>
                <w:spacing w:val="-86"/>
                <w:w w:val="100"/>
                <w:sz w:val="18"/>
                <w:szCs w:val="18"/>
              </w:rPr>
              <w:t> </w:t>
            </w:r>
            <w:r>
              <w:rPr>
                <w:rFonts w:ascii="宋体" w:hAnsi="宋体" w:cs="宋体" w:eastAsia="宋体" w:hint="default"/>
                <w:sz w:val="18"/>
                <w:szCs w:val="18"/>
              </w:rPr>
              <w:t>发性有机物</w:t>
            </w:r>
          </w:p>
          <w:p>
            <w:pPr>
              <w:pStyle w:val="TableParagraph"/>
              <w:spacing w:line="240" w:lineRule="auto" w:before="3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50mg/m³</w:t>
            </w:r>
            <w:r>
              <w:rPr>
                <w:rFonts w:ascii="宋体" w:hAnsi="宋体" w:cs="宋体" w:eastAsia="宋体" w:hint="default"/>
                <w:sz w:val="18"/>
                <w:szCs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9" w:lineRule="auto"/>
              <w:ind w:left="22" w:right="21"/>
              <w:jc w:val="both"/>
              <w:rPr>
                <w:rFonts w:ascii="Times New Roman" w:hAnsi="Times New Roman" w:cs="Times New Roman" w:eastAsia="Times New Roman" w:hint="default"/>
                <w:sz w:val="18"/>
                <w:szCs w:val="18"/>
              </w:rPr>
            </w:pPr>
            <w:r>
              <w:rPr>
                <w:rFonts w:ascii="宋体" w:hAnsi="宋体" w:cs="宋体" w:eastAsia="宋体" w:hint="default"/>
                <w:spacing w:val="-6"/>
                <w:sz w:val="18"/>
                <w:szCs w:val="18"/>
              </w:rPr>
              <w:t>氯气：</w:t>
            </w:r>
            <w:r>
              <w:rPr>
                <w:rFonts w:ascii="Times New Roman" w:hAnsi="Times New Roman" w:cs="Times New Roman" w:eastAsia="Times New Roman" w:hint="default"/>
                <w:spacing w:val="-6"/>
                <w:sz w:val="18"/>
                <w:szCs w:val="18"/>
              </w:rPr>
              <w:t>17.28</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千克；颗粒 物：</w:t>
            </w:r>
            <w:r>
              <w:rPr>
                <w:rFonts w:ascii="Times New Roman" w:hAnsi="Times New Roman" w:cs="Times New Roman" w:eastAsia="Times New Roman" w:hint="default"/>
                <w:sz w:val="18"/>
                <w:szCs w:val="18"/>
              </w:rPr>
              <w:t>0.108</w:t>
            </w:r>
          </w:p>
          <w:p>
            <w:pPr>
              <w:pStyle w:val="TableParagraph"/>
              <w:spacing w:line="316" w:lineRule="auto" w:before="5"/>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吨；氮氧化 物：</w:t>
            </w:r>
            <w:r>
              <w:rPr>
                <w:rFonts w:ascii="Times New Roman" w:hAnsi="Times New Roman" w:cs="Times New Roman" w:eastAsia="Times New Roman" w:hint="default"/>
                <w:sz w:val="18"/>
                <w:szCs w:val="18"/>
              </w:rPr>
              <w:t>1.6429</w:t>
            </w: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吨；挥发性 有机物： </w:t>
            </w:r>
            <w:r>
              <w:rPr>
                <w:rFonts w:ascii="Times New Roman" w:hAnsi="Times New Roman" w:cs="Times New Roman" w:eastAsia="Times New Roman" w:hint="default"/>
                <w:sz w:val="18"/>
                <w:szCs w:val="18"/>
              </w:rPr>
              <w:t>0.1029 </w:t>
            </w:r>
            <w:r>
              <w:rPr>
                <w:rFonts w:ascii="宋体" w:hAnsi="宋体" w:cs="宋体" w:eastAsia="宋体" w:hint="default"/>
                <w:sz w:val="18"/>
                <w:szCs w:val="18"/>
              </w:rPr>
              <w:t>吨。</w:t>
            </w:r>
          </w:p>
        </w:tc>
        <w:tc>
          <w:tcPr>
            <w:tcW w:w="1133"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氮氧化物</w:t>
            </w:r>
          </w:p>
          <w:p>
            <w:pPr>
              <w:pStyle w:val="TableParagraph"/>
              <w:spacing w:line="300" w:lineRule="auto" w:before="75"/>
              <w:ind w:left="22" w:right="22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12.913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 </w:t>
            </w:r>
            <w:r>
              <w:rPr>
                <w:rFonts w:ascii="宋体" w:hAnsi="宋体" w:cs="宋体" w:eastAsia="宋体" w:hint="default"/>
                <w:sz w:val="18"/>
                <w:szCs w:val="18"/>
              </w:rPr>
              <w:t>年；氯气</w:t>
            </w:r>
          </w:p>
          <w:p>
            <w:pPr>
              <w:pStyle w:val="TableParagraph"/>
              <w:spacing w:line="300" w:lineRule="auto" w:before="3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 颗粒物</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0.895 </w:t>
            </w:r>
            <w:r>
              <w:rPr>
                <w:rFonts w:ascii="宋体" w:hAnsi="宋体" w:cs="宋体" w:eastAsia="宋体" w:hint="default"/>
                <w:spacing w:val="-8"/>
                <w:sz w:val="18"/>
                <w:szCs w:val="18"/>
              </w:rPr>
              <w:t>吨</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年；挥发性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有机物</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1.033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c>
          <w:tcPr>
            <w:tcW w:w="78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6" w:right="26"/>
              <w:jc w:val="both"/>
              <w:rPr>
                <w:rFonts w:ascii="宋体" w:hAnsi="宋体" w:cs="宋体" w:eastAsia="宋体" w:hint="default"/>
                <w:sz w:val="18"/>
                <w:szCs w:val="18"/>
              </w:rPr>
            </w:pPr>
            <w:r>
              <w:rPr>
                <w:rFonts w:ascii="宋体" w:hAnsi="宋体" w:cs="宋体" w:eastAsia="宋体" w:hint="default"/>
                <w:sz w:val="18"/>
                <w:szCs w:val="18"/>
              </w:rPr>
              <w:t>均符合环 保排放标 准</w:t>
            </w:r>
          </w:p>
        </w:tc>
      </w:tr>
    </w:tbl>
    <w:p>
      <w:pPr>
        <w:spacing w:line="360" w:lineRule="auto" w:before="51"/>
        <w:ind w:left="514" w:right="1752" w:hanging="360"/>
        <w:jc w:val="left"/>
        <w:rPr>
          <w:rFonts w:ascii="宋体" w:hAnsi="宋体" w:cs="宋体" w:eastAsia="宋体" w:hint="default"/>
          <w:sz w:val="18"/>
          <w:szCs w:val="18"/>
        </w:rPr>
      </w:pPr>
      <w:r>
        <w:rPr>
          <w:rFonts w:ascii="宋体" w:hAnsi="宋体" w:cs="宋体" w:eastAsia="宋体" w:hint="default"/>
          <w:b/>
          <w:bCs/>
          <w:sz w:val="18"/>
          <w:szCs w:val="18"/>
        </w:rPr>
        <w:t>防治污染设施的建设和运行情况</w:t>
      </w:r>
      <w:r>
        <w:rPr>
          <w:rFonts w:ascii="宋体" w:hAnsi="宋体" w:cs="宋体" w:eastAsia="宋体" w:hint="default"/>
          <w:b/>
          <w:bCs/>
          <w:w w:val="99"/>
          <w:sz w:val="18"/>
          <w:szCs w:val="18"/>
        </w:rPr>
        <w:t> </w:t>
      </w:r>
      <w:r>
        <w:rPr>
          <w:rFonts w:ascii="宋体" w:hAnsi="宋体" w:cs="宋体" w:eastAsia="宋体" w:hint="default"/>
          <w:sz w:val="18"/>
          <w:szCs w:val="18"/>
        </w:rPr>
        <w:t>建立建全了防治污染的设施，目前各环保设施均运行正常，能够满足环保管理的要求，保证污染物达标排放。</w:t>
      </w:r>
    </w:p>
    <w:p>
      <w:pPr>
        <w:pStyle w:val="BodyText"/>
        <w:spacing w:line="240" w:lineRule="auto" w:before="26"/>
        <w:ind w:right="1122"/>
        <w:jc w:val="left"/>
      </w:pPr>
      <w:r>
        <w:rPr/>
        <w:t>建设项目环境影响评价及其他环境保护行政许可情况。</w:t>
      </w:r>
    </w:p>
    <w:p>
      <w:pPr>
        <w:pStyle w:val="BodyText"/>
        <w:spacing w:line="316" w:lineRule="auto" w:before="115"/>
        <w:ind w:right="1132" w:firstLine="360"/>
        <w:jc w:val="both"/>
      </w:pPr>
      <w:r>
        <w:rPr/>
        <w:t>苏州爱康光电科技有限公司现有项目包括“年产</w:t>
      </w:r>
      <w:r>
        <w:rPr>
          <w:spacing w:val="-49"/>
        </w:rPr>
        <w:t> </w:t>
      </w:r>
      <w:r>
        <w:rPr>
          <w:rFonts w:ascii="宋体" w:hAnsi="宋体" w:cs="宋体" w:eastAsia="宋体" w:hint="default"/>
        </w:rPr>
        <w:t>300MW</w:t>
      </w:r>
      <w:r>
        <w:rPr>
          <w:rFonts w:ascii="宋体" w:hAnsi="宋体" w:cs="宋体" w:eastAsia="宋体" w:hint="default"/>
          <w:spacing w:val="-48"/>
        </w:rPr>
        <w:t> </w:t>
      </w:r>
      <w:r>
        <w:rPr/>
        <w:t>太阳能电池片及</w:t>
      </w:r>
      <w:r>
        <w:rPr>
          <w:spacing w:val="-49"/>
        </w:rPr>
        <w:t> </w:t>
      </w:r>
      <w:r>
        <w:rPr>
          <w:rFonts w:ascii="宋体" w:hAnsi="宋体" w:cs="宋体" w:eastAsia="宋体" w:hint="default"/>
        </w:rPr>
        <w:t>300MW</w:t>
      </w:r>
      <w:r>
        <w:rPr>
          <w:rFonts w:ascii="宋体" w:hAnsi="宋体" w:cs="宋体" w:eastAsia="宋体" w:hint="default"/>
          <w:spacing w:val="-49"/>
        </w:rPr>
        <w:t> </w:t>
      </w:r>
      <w:r>
        <w:rPr>
          <w:spacing w:val="-5"/>
        </w:rPr>
        <w:t>电池组件生产项目”、“年产</w:t>
      </w:r>
      <w:r>
        <w:rPr>
          <w:spacing w:val="-49"/>
        </w:rPr>
        <w:t> </w:t>
      </w:r>
      <w:r>
        <w:rPr>
          <w:rFonts w:ascii="宋体" w:hAnsi="宋体" w:cs="宋体" w:eastAsia="宋体" w:hint="default"/>
        </w:rPr>
        <w:t>300MW</w:t>
      </w:r>
      <w:r>
        <w:rPr>
          <w:rFonts w:ascii="宋体" w:hAnsi="宋体" w:cs="宋体" w:eastAsia="宋体" w:hint="default"/>
          <w:spacing w:val="-49"/>
        </w:rPr>
        <w:t> </w:t>
      </w:r>
      <w:r>
        <w:rPr/>
        <w:t>太阳 能电池片及</w:t>
      </w:r>
      <w:r>
        <w:rPr>
          <w:spacing w:val="-46"/>
        </w:rPr>
        <w:t> </w:t>
      </w:r>
      <w:r>
        <w:rPr>
          <w:rFonts w:ascii="宋体" w:hAnsi="宋体" w:cs="宋体" w:eastAsia="宋体" w:hint="default"/>
        </w:rPr>
        <w:t>300MW</w:t>
      </w:r>
      <w:r>
        <w:rPr>
          <w:rFonts w:ascii="宋体" w:hAnsi="宋体" w:cs="宋体" w:eastAsia="宋体" w:hint="default"/>
          <w:spacing w:val="-46"/>
        </w:rPr>
        <w:t> </w:t>
      </w:r>
      <w:r>
        <w:rPr/>
        <w:t>电池组件生产项目（废水处理工艺）修编”、“年产</w:t>
      </w:r>
      <w:r>
        <w:rPr>
          <w:spacing w:val="-46"/>
        </w:rPr>
        <w:t> </w:t>
      </w:r>
      <w:r>
        <w:rPr>
          <w:rFonts w:ascii="宋体" w:hAnsi="宋体" w:cs="宋体" w:eastAsia="宋体" w:hint="default"/>
        </w:rPr>
        <w:t>300M</w:t>
      </w:r>
      <w:r>
        <w:rPr>
          <w:rFonts w:ascii="宋体" w:hAnsi="宋体" w:cs="宋体" w:eastAsia="宋体" w:hint="default"/>
          <w:spacing w:val="-46"/>
        </w:rPr>
        <w:t> </w:t>
      </w:r>
      <w:r>
        <w:rPr/>
        <w:t>太阳能电池组件扩建项目”、“太阳能晶硅电 </w:t>
      </w:r>
      <w:r>
        <w:rPr>
          <w:spacing w:val="-10"/>
        </w:rPr>
        <w:t>池片技改项目”。“年产</w:t>
      </w:r>
      <w:r>
        <w:rPr>
          <w:spacing w:val="-43"/>
        </w:rPr>
        <w:t> </w:t>
      </w:r>
      <w:r>
        <w:rPr>
          <w:rFonts w:ascii="宋体" w:hAnsi="宋体" w:cs="宋体" w:eastAsia="宋体" w:hint="default"/>
        </w:rPr>
        <w:t>300MW</w:t>
      </w:r>
      <w:r>
        <w:rPr>
          <w:rFonts w:ascii="宋体" w:hAnsi="宋体" w:cs="宋体" w:eastAsia="宋体" w:hint="default"/>
          <w:spacing w:val="-42"/>
        </w:rPr>
        <w:t> </w:t>
      </w:r>
      <w:r>
        <w:rPr/>
        <w:t>太阳能电池片及</w:t>
      </w:r>
      <w:r>
        <w:rPr>
          <w:spacing w:val="-43"/>
        </w:rPr>
        <w:t> </w:t>
      </w:r>
      <w:r>
        <w:rPr>
          <w:rFonts w:ascii="宋体" w:hAnsi="宋体" w:cs="宋体" w:eastAsia="宋体" w:hint="default"/>
        </w:rPr>
        <w:t>300MW</w:t>
      </w:r>
      <w:r>
        <w:rPr>
          <w:rFonts w:ascii="宋体" w:hAnsi="宋体" w:cs="宋体" w:eastAsia="宋体" w:hint="default"/>
          <w:spacing w:val="-43"/>
        </w:rPr>
        <w:t> </w:t>
      </w:r>
      <w:r>
        <w:rPr>
          <w:spacing w:val="-4"/>
        </w:rPr>
        <w:t>电池组件生产项目”于</w:t>
      </w:r>
      <w:r>
        <w:rPr>
          <w:spacing w:val="-43"/>
        </w:rPr>
        <w:t> </w:t>
      </w:r>
      <w:r>
        <w:rPr>
          <w:rFonts w:ascii="宋体" w:hAnsi="宋体" w:cs="宋体" w:eastAsia="宋体" w:hint="default"/>
        </w:rPr>
        <w:t>2011</w:t>
      </w:r>
      <w:r>
        <w:rPr>
          <w:rFonts w:ascii="宋体" w:hAnsi="宋体" w:cs="宋体" w:eastAsia="宋体" w:hint="default"/>
          <w:spacing w:val="-43"/>
        </w:rPr>
        <w:t> </w:t>
      </w:r>
      <w:r>
        <w:rPr/>
        <w:t>年</w:t>
      </w:r>
      <w:r>
        <w:rPr>
          <w:spacing w:val="-42"/>
        </w:rPr>
        <w:t> </w:t>
      </w:r>
      <w:r>
        <w:rPr>
          <w:rFonts w:ascii="宋体" w:hAnsi="宋体" w:cs="宋体" w:eastAsia="宋体" w:hint="default"/>
        </w:rPr>
        <w:t>4</w:t>
      </w:r>
      <w:r>
        <w:rPr>
          <w:rFonts w:ascii="宋体" w:hAnsi="宋体" w:cs="宋体" w:eastAsia="宋体" w:hint="default"/>
          <w:spacing w:val="-43"/>
        </w:rPr>
        <w:t> </w:t>
      </w:r>
      <w:r>
        <w:rPr>
          <w:spacing w:val="-3"/>
        </w:rPr>
        <w:t>月获得张家港市环境保护局批复（张</w:t>
      </w:r>
      <w:r>
        <w:rPr/>
        <w:t> 环发</w:t>
      </w:r>
      <w:r>
        <w:rPr>
          <w:rFonts w:ascii="宋体" w:hAnsi="宋体" w:cs="宋体" w:eastAsia="宋体" w:hint="default"/>
        </w:rPr>
        <w:t>[2011]85</w:t>
      </w:r>
      <w:r>
        <w:rPr>
          <w:rFonts w:ascii="宋体" w:hAnsi="宋体" w:cs="宋体" w:eastAsia="宋体" w:hint="default"/>
          <w:spacing w:val="-46"/>
        </w:rPr>
        <w:t> </w:t>
      </w:r>
      <w:r>
        <w:rPr/>
        <w:t>号），“年产</w:t>
      </w:r>
      <w:r>
        <w:rPr>
          <w:spacing w:val="-46"/>
        </w:rPr>
        <w:t> </w:t>
      </w:r>
      <w:r>
        <w:rPr>
          <w:rFonts w:ascii="宋体" w:hAnsi="宋体" w:cs="宋体" w:eastAsia="宋体" w:hint="default"/>
        </w:rPr>
        <w:t>300MW</w:t>
      </w:r>
      <w:r>
        <w:rPr>
          <w:rFonts w:ascii="宋体" w:hAnsi="宋体" w:cs="宋体" w:eastAsia="宋体" w:hint="default"/>
          <w:spacing w:val="-46"/>
        </w:rPr>
        <w:t> </w:t>
      </w:r>
      <w:r>
        <w:rPr/>
        <w:t>太阳能电池片及</w:t>
      </w:r>
      <w:r>
        <w:rPr>
          <w:spacing w:val="-46"/>
        </w:rPr>
        <w:t> </w:t>
      </w:r>
      <w:r>
        <w:rPr>
          <w:rFonts w:ascii="宋体" w:hAnsi="宋体" w:cs="宋体" w:eastAsia="宋体" w:hint="default"/>
        </w:rPr>
        <w:t>300MW</w:t>
      </w:r>
      <w:r>
        <w:rPr>
          <w:rFonts w:ascii="宋体" w:hAnsi="宋体" w:cs="宋体" w:eastAsia="宋体" w:hint="default"/>
          <w:spacing w:val="-45"/>
        </w:rPr>
        <w:t> </w:t>
      </w:r>
      <w:r>
        <w:rPr/>
        <w:t>电池组件生产项目（废水处理工艺）修编”于</w:t>
      </w:r>
      <w:r>
        <w:rPr>
          <w:spacing w:val="-46"/>
        </w:rPr>
        <w:t> </w:t>
      </w:r>
      <w:r>
        <w:rPr>
          <w:rFonts w:ascii="宋体" w:hAnsi="宋体" w:cs="宋体" w:eastAsia="宋体" w:hint="default"/>
        </w:rPr>
        <w:t>2012</w:t>
      </w:r>
      <w:r>
        <w:rPr>
          <w:rFonts w:ascii="宋体" w:hAnsi="宋体" w:cs="宋体" w:eastAsia="宋体" w:hint="default"/>
          <w:spacing w:val="-46"/>
        </w:rPr>
        <w:t> </w:t>
      </w:r>
      <w:r>
        <w:rPr/>
        <w:t>年</w:t>
      </w:r>
      <w:r>
        <w:rPr>
          <w:spacing w:val="-45"/>
        </w:rPr>
        <w:t> </w:t>
      </w:r>
      <w:r>
        <w:rPr>
          <w:rFonts w:ascii="宋体" w:hAnsi="宋体" w:cs="宋体" w:eastAsia="宋体" w:hint="default"/>
        </w:rPr>
        <w:t>1</w:t>
      </w:r>
      <w:r>
        <w:rPr>
          <w:rFonts w:ascii="宋体" w:hAnsi="宋体" w:cs="宋体" w:eastAsia="宋体" w:hint="default"/>
          <w:spacing w:val="-45"/>
        </w:rPr>
        <w:t> </w:t>
      </w:r>
      <w:r>
        <w:rPr/>
        <w:t>月</w:t>
      </w:r>
      <w:r>
        <w:rPr>
          <w:spacing w:val="-46"/>
        </w:rPr>
        <w:t> </w:t>
      </w:r>
      <w:r>
        <w:rPr>
          <w:rFonts w:ascii="宋体" w:hAnsi="宋体" w:cs="宋体" w:eastAsia="宋体" w:hint="default"/>
        </w:rPr>
        <w:t>16</w:t>
      </w:r>
      <w:r>
        <w:rPr>
          <w:rFonts w:ascii="宋体" w:hAnsi="宋体" w:cs="宋体" w:eastAsia="宋体" w:hint="default"/>
          <w:spacing w:val="-46"/>
        </w:rPr>
        <w:t> </w:t>
      </w:r>
      <w:r>
        <w:rPr/>
        <w:t>日 获得张家港市环境保护局批复（张环发</w:t>
      </w:r>
      <w:r>
        <w:rPr>
          <w:rFonts w:ascii="宋体" w:hAnsi="宋体" w:cs="宋体" w:eastAsia="宋体" w:hint="default"/>
        </w:rPr>
        <w:t>[2012]9</w:t>
      </w:r>
      <w:r>
        <w:rPr>
          <w:rFonts w:ascii="宋体" w:hAnsi="宋体" w:cs="宋体" w:eastAsia="宋体" w:hint="default"/>
          <w:spacing w:val="-46"/>
        </w:rPr>
        <w:t> </w:t>
      </w:r>
      <w:r>
        <w:rPr/>
        <w:t>号）、“年产</w:t>
      </w:r>
      <w:r>
        <w:rPr>
          <w:spacing w:val="-46"/>
        </w:rPr>
        <w:t> </w:t>
      </w:r>
      <w:r>
        <w:rPr>
          <w:rFonts w:ascii="宋体" w:hAnsi="宋体" w:cs="宋体" w:eastAsia="宋体" w:hint="default"/>
        </w:rPr>
        <w:t>300MW</w:t>
      </w:r>
      <w:r>
        <w:rPr>
          <w:rFonts w:ascii="宋体" w:hAnsi="宋体" w:cs="宋体" w:eastAsia="宋体" w:hint="default"/>
          <w:spacing w:val="-46"/>
        </w:rPr>
        <w:t> </w:t>
      </w:r>
      <w:r>
        <w:rPr/>
        <w:t>太阳能电池组件扩建项目”</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10</w:t>
      </w:r>
      <w:r>
        <w:rPr>
          <w:rFonts w:ascii="宋体" w:hAnsi="宋体" w:cs="宋体" w:eastAsia="宋体" w:hint="default"/>
          <w:spacing w:val="-46"/>
        </w:rPr>
        <w:t> </w:t>
      </w:r>
      <w:r>
        <w:rPr/>
        <w:t>月张家港市环境 保护局批复；年产多晶硅太阳能电池片</w:t>
      </w:r>
      <w:r>
        <w:rPr>
          <w:spacing w:val="-46"/>
        </w:rPr>
        <w:t> </w:t>
      </w:r>
      <w:r>
        <w:rPr>
          <w:rFonts w:ascii="宋体" w:hAnsi="宋体" w:cs="宋体" w:eastAsia="宋体" w:hint="default"/>
        </w:rPr>
        <w:t>200MW</w:t>
      </w:r>
      <w:r>
        <w:rPr/>
        <w:t>、多晶硅太阳能电池组件</w:t>
      </w:r>
      <w:r>
        <w:rPr>
          <w:spacing w:val="-46"/>
        </w:rPr>
        <w:t> </w:t>
      </w:r>
      <w:r>
        <w:rPr>
          <w:rFonts w:ascii="宋体" w:hAnsi="宋体" w:cs="宋体" w:eastAsia="宋体" w:hint="default"/>
        </w:rPr>
        <w:t>300MW</w:t>
      </w:r>
      <w:r>
        <w:rPr/>
        <w:t>，于</w:t>
      </w:r>
      <w:r>
        <w:rPr>
          <w:spacing w:val="-46"/>
        </w:rPr>
        <w:t> </w:t>
      </w:r>
      <w:r>
        <w:rPr>
          <w:rFonts w:ascii="宋体" w:hAnsi="宋体" w:cs="宋体" w:eastAsia="宋体" w:hint="default"/>
        </w:rPr>
        <w:t>2016</w:t>
      </w:r>
      <w:r>
        <w:rPr>
          <w:rFonts w:ascii="宋体" w:hAnsi="宋体" w:cs="宋体" w:eastAsia="宋体" w:hint="default"/>
          <w:spacing w:val="-45"/>
        </w:rPr>
        <w:t> </w:t>
      </w:r>
      <w:r>
        <w:rPr/>
        <w:t>年</w:t>
      </w:r>
      <w:r>
        <w:rPr>
          <w:spacing w:val="-46"/>
        </w:rPr>
        <w:t> </w:t>
      </w:r>
      <w:r>
        <w:rPr>
          <w:rFonts w:ascii="宋体" w:hAnsi="宋体" w:cs="宋体" w:eastAsia="宋体" w:hint="default"/>
        </w:rPr>
        <w:t>1</w:t>
      </w:r>
      <w:r>
        <w:rPr>
          <w:rFonts w:ascii="宋体" w:hAnsi="宋体" w:cs="宋体" w:eastAsia="宋体" w:hint="default"/>
          <w:spacing w:val="-46"/>
        </w:rPr>
        <w:t> </w:t>
      </w:r>
      <w:r>
        <w:rPr/>
        <w:t>月</w:t>
      </w:r>
      <w:r>
        <w:rPr>
          <w:spacing w:val="-46"/>
        </w:rPr>
        <w:t> </w:t>
      </w:r>
      <w:r>
        <w:rPr>
          <w:rFonts w:ascii="宋体" w:hAnsi="宋体" w:cs="宋体" w:eastAsia="宋体" w:hint="default"/>
        </w:rPr>
        <w:t>19</w:t>
      </w:r>
      <w:r>
        <w:rPr>
          <w:rFonts w:ascii="宋体" w:hAnsi="宋体" w:cs="宋体" w:eastAsia="宋体" w:hint="default"/>
          <w:spacing w:val="-46"/>
        </w:rPr>
        <w:t> </w:t>
      </w:r>
      <w:r>
        <w:rPr/>
        <w:t>日通过张家港市环境保护</w:t>
      </w:r>
    </w:p>
    <w:p>
      <w:pPr>
        <w:pStyle w:val="BodyText"/>
        <w:spacing w:line="240" w:lineRule="auto" w:before="19"/>
        <w:ind w:right="0"/>
        <w:jc w:val="left"/>
      </w:pPr>
      <w:r>
        <w:rPr>
          <w:spacing w:val="-3"/>
        </w:rPr>
        <w:t>局“三同时”验收，“太阳能晶硅电池片技改项目”项目环评已于</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6"/>
        </w:rPr>
        <w:t> </w:t>
      </w:r>
      <w:r>
        <w:rPr>
          <w:rFonts w:ascii="宋体" w:hAnsi="宋体" w:cs="宋体" w:eastAsia="宋体" w:hint="default"/>
        </w:rPr>
        <w:t>10</w:t>
      </w:r>
      <w:r>
        <w:rPr>
          <w:rFonts w:ascii="宋体" w:hAnsi="宋体" w:cs="宋体" w:eastAsia="宋体" w:hint="default"/>
          <w:spacing w:val="-46"/>
        </w:rPr>
        <w:t> </w:t>
      </w:r>
      <w:r>
        <w:rPr/>
        <w:t>月报张家港市环境保护局备案注册公示，预计</w:t>
      </w:r>
    </w:p>
    <w:p>
      <w:pPr>
        <w:spacing w:line="360" w:lineRule="auto" w:before="77"/>
        <w:ind w:left="154" w:right="7605" w:firstLine="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月前完成“三同时”验收。 </w:t>
      </w:r>
      <w:r>
        <w:rPr>
          <w:rFonts w:ascii="宋体" w:hAnsi="宋体" w:cs="宋体" w:eastAsia="宋体" w:hint="default"/>
          <w:b/>
          <w:bCs/>
          <w:sz w:val="18"/>
          <w:szCs w:val="18"/>
        </w:rPr>
        <w:t>突发环境事件应急预案</w:t>
      </w:r>
      <w:r>
        <w:rPr>
          <w:rFonts w:ascii="宋体" w:hAnsi="宋体" w:cs="宋体" w:eastAsia="宋体" w:hint="default"/>
          <w:sz w:val="18"/>
          <w:szCs w:val="18"/>
        </w:rPr>
      </w:r>
    </w:p>
    <w:p>
      <w:pPr>
        <w:pStyle w:val="BodyText"/>
        <w:spacing w:line="316" w:lineRule="auto" w:before="25"/>
        <w:ind w:right="1131" w:firstLine="360"/>
        <w:jc w:val="both"/>
      </w:pPr>
      <w:r>
        <w:rPr>
          <w:spacing w:val="-2"/>
        </w:rPr>
        <w:t>为了预防和减少环境污染事故，规范公司突发环境事件应急管理和应急响应程序，建立统一指挥、分级负责、反应迅速</w:t>
      </w:r>
      <w:r>
        <w:rPr/>
        <w:t> </w:t>
      </w:r>
      <w:r>
        <w:rPr>
          <w:spacing w:val="-2"/>
        </w:rPr>
        <w:t>的应急工作机制，及时有效地开展应急救援工作，形成公司防范有力、指挥有序、快速高效和协调一致的环境污染事件应急</w:t>
      </w:r>
      <w:r>
        <w:rPr>
          <w:spacing w:val="-66"/>
        </w:rPr>
        <w:t> </w:t>
      </w:r>
      <w:r>
        <w:rPr>
          <w:spacing w:val="-66"/>
        </w:rPr>
      </w:r>
      <w:r>
        <w:rPr>
          <w:spacing w:val="-2"/>
        </w:rPr>
        <w:t>处置体系，苏州爱康光电科技有限公司制定了突发环境事件应急预案，并报当地环境保护局备案，备案号分别如下：《苏州</w:t>
      </w:r>
      <w:r>
        <w:rPr>
          <w:spacing w:val="-67"/>
        </w:rPr>
        <w:t> </w:t>
      </w:r>
      <w:r>
        <w:rPr>
          <w:spacing w:val="-67"/>
        </w:rPr>
      </w:r>
      <w:r>
        <w:rPr/>
        <w:t>爱康光电科技有限公司突发环境事故应急预案》（备案编号：</w:t>
      </w:r>
      <w:r>
        <w:rPr>
          <w:rFonts w:ascii="宋体" w:hAnsi="宋体" w:cs="宋体" w:eastAsia="宋体" w:hint="default"/>
        </w:rPr>
        <w:t>32058220140020</w:t>
      </w:r>
      <w:r>
        <w:rPr/>
        <w:t>）。</w:t>
      </w:r>
    </w:p>
    <w:p>
      <w:pPr>
        <w:pStyle w:val="BodyText"/>
        <w:spacing w:line="357" w:lineRule="auto" w:before="59"/>
        <w:ind w:left="514" w:right="1122" w:hanging="360"/>
        <w:jc w:val="left"/>
      </w:pPr>
      <w:r>
        <w:rPr>
          <w:rFonts w:ascii="宋体" w:hAnsi="宋体" w:cs="宋体" w:eastAsia="宋体" w:hint="default"/>
          <w:b/>
          <w:bCs/>
        </w:rPr>
        <w:t>环境自行监测方案</w:t>
      </w:r>
      <w:r>
        <w:rPr>
          <w:rFonts w:ascii="宋体" w:hAnsi="宋体" w:cs="宋体" w:eastAsia="宋体" w:hint="default"/>
          <w:b/>
          <w:bCs/>
          <w:w w:val="99"/>
        </w:rPr>
        <w:t> </w:t>
      </w:r>
      <w:r>
        <w:rPr/>
        <w:t>苏州爱康光电科技有限公司设</w:t>
      </w:r>
      <w:r>
        <w:rPr>
          <w:rFonts w:ascii="宋体" w:hAnsi="宋体" w:cs="宋体" w:eastAsia="宋体" w:hint="default"/>
        </w:rPr>
        <w:t>EHS</w:t>
      </w:r>
      <w:r>
        <w:rPr/>
        <w:t>部对公司环境管理做监督、检查和统计并负责危险废物的合法处置工作，动力设施部</w:t>
      </w:r>
    </w:p>
    <w:p>
      <w:pPr>
        <w:pStyle w:val="BodyText"/>
        <w:spacing w:line="224" w:lineRule="exact"/>
        <w:ind w:right="0"/>
        <w:jc w:val="left"/>
      </w:pPr>
      <w:r>
        <w:rPr/>
        <w:t>负责废水和废气系统的日常运行管理，公司委托第三方监测公司对厂区内废水、废气排放口以及噪声进行每年度一次环境委</w:t>
      </w:r>
    </w:p>
    <w:p>
      <w:pPr>
        <w:pStyle w:val="BodyText"/>
        <w:spacing w:line="316" w:lineRule="auto" w:before="76"/>
        <w:ind w:right="1122"/>
        <w:jc w:val="left"/>
      </w:pPr>
      <w:r>
        <w:rPr>
          <w:spacing w:val="-2"/>
        </w:rPr>
        <w:t>托监测，总排口设有在线监测系统，系统定时将在线监测数据发至环保监察平台。同时公司配备相应技术人员对公司排放废</w:t>
      </w:r>
      <w:r>
        <w:rPr>
          <w:spacing w:val="-66"/>
        </w:rPr>
        <w:t> </w:t>
      </w:r>
      <w:r>
        <w:rPr>
          <w:spacing w:val="-66"/>
        </w:rPr>
      </w:r>
      <w:r>
        <w:rPr/>
        <w:t>水每周进行内部比对监测以保证各个系统运行稳定，主要监测项目为</w:t>
      </w:r>
      <w:r>
        <w:rPr>
          <w:rFonts w:ascii="宋体" w:hAnsi="宋体" w:cs="宋体" w:eastAsia="宋体" w:hint="default"/>
        </w:rPr>
        <w:t>COD</w:t>
      </w:r>
      <w:r>
        <w:rPr/>
        <w:t>、总氮、氟离子等项目。</w:t>
      </w:r>
    </w:p>
    <w:p>
      <w:pPr>
        <w:pStyle w:val="Heading5"/>
        <w:spacing w:line="357" w:lineRule="auto" w:before="59"/>
        <w:ind w:left="514" w:right="8764" w:hanging="360"/>
        <w:jc w:val="left"/>
        <w:rPr>
          <w:rFonts w:ascii="宋体" w:hAnsi="宋体" w:cs="宋体" w:eastAsia="宋体" w:hint="default"/>
          <w:b w:val="0"/>
          <w:bCs w:val="0"/>
        </w:rPr>
      </w:pPr>
      <w:r>
        <w:rPr/>
        <w:t>其他应当公开的环境信息</w:t>
      </w:r>
      <w:r>
        <w:rPr>
          <w:w w:val="99"/>
        </w:rPr>
        <w:t> </w:t>
      </w:r>
      <w:r>
        <w:rPr>
          <w:rFonts w:ascii="宋体" w:hAnsi="宋体" w:cs="宋体" w:eastAsia="宋体" w:hint="default"/>
          <w:b w:val="0"/>
          <w:bCs w:val="0"/>
        </w:rPr>
        <w:t>无</w:t>
      </w:r>
    </w:p>
    <w:p>
      <w:pPr>
        <w:spacing w:line="357" w:lineRule="auto" w:before="29"/>
        <w:ind w:left="514" w:right="8952" w:hanging="360"/>
        <w:jc w:val="left"/>
        <w:rPr>
          <w:rFonts w:ascii="宋体" w:hAnsi="宋体" w:cs="宋体" w:eastAsia="宋体" w:hint="default"/>
          <w:sz w:val="18"/>
          <w:szCs w:val="18"/>
        </w:rPr>
      </w:pPr>
      <w:r>
        <w:rPr>
          <w:rFonts w:ascii="宋体" w:hAnsi="宋体" w:cs="宋体" w:eastAsia="宋体" w:hint="default"/>
          <w:b/>
          <w:bCs/>
          <w:sz w:val="18"/>
          <w:szCs w:val="18"/>
        </w:rPr>
        <w:t>其他环保相关信息</w:t>
      </w:r>
      <w:r>
        <w:rPr>
          <w:rFonts w:ascii="宋体" w:hAnsi="宋体" w:cs="宋体" w:eastAsia="宋体" w:hint="default"/>
          <w:b/>
          <w:bCs/>
          <w:w w:val="99"/>
          <w:sz w:val="18"/>
          <w:szCs w:val="18"/>
        </w:rPr>
        <w:t> </w:t>
      </w:r>
      <w:r>
        <w:rPr>
          <w:rFonts w:ascii="宋体" w:hAnsi="宋体" w:cs="宋体" w:eastAsia="宋体" w:hint="default"/>
          <w:sz w:val="18"/>
          <w:szCs w:val="18"/>
        </w:rPr>
        <w:t>危废的处置情况：</w:t>
      </w:r>
    </w:p>
    <w:p>
      <w:pPr>
        <w:pStyle w:val="BodyText"/>
        <w:spacing w:line="224" w:lineRule="exact"/>
        <w:ind w:left="514" w:right="1122"/>
        <w:jc w:val="left"/>
      </w:pPr>
      <w:r>
        <w:rPr/>
        <w:t>公司严格按照《固废法》规定，定期识别和申报公司产生的危险废物信息，制定相应管理计划，确保危废合法处置。</w:t>
      </w:r>
    </w:p>
    <w:p>
      <w:pPr>
        <w:spacing w:line="240" w:lineRule="auto" w:before="2"/>
        <w:rPr>
          <w:rFonts w:ascii="宋体" w:hAnsi="宋体" w:cs="宋体" w:eastAsia="宋体" w:hint="default"/>
          <w:sz w:val="25"/>
          <w:szCs w:val="25"/>
        </w:rPr>
      </w:pPr>
    </w:p>
    <w:p>
      <w:pPr>
        <w:pStyle w:val="Heading2"/>
        <w:spacing w:line="240" w:lineRule="auto"/>
        <w:ind w:right="1122"/>
        <w:jc w:val="left"/>
        <w:rPr>
          <w:b w:val="0"/>
          <w:bCs w:val="0"/>
        </w:rPr>
      </w:pPr>
      <w:bookmarkStart w:name="十九、其他重大事项的说明" w:id="103"/>
      <w:bookmarkEnd w:id="103"/>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514" w:right="1122" w:firstLine="1"/>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一、关于与浙能集团战略合作的事项</w:t>
      </w:r>
      <w:r>
        <w:rPr>
          <w:rFonts w:ascii="宋体" w:hAnsi="宋体" w:cs="宋体" w:eastAsia="宋体" w:hint="default"/>
          <w:b/>
          <w:bCs/>
          <w:w w:val="99"/>
          <w:sz w:val="18"/>
          <w:szCs w:val="18"/>
        </w:rPr>
        <w:t> </w:t>
      </w:r>
      <w:r>
        <w:rPr>
          <w:rFonts w:ascii="宋体" w:hAnsi="宋体" w:cs="宋体" w:eastAsia="宋体" w:hint="default"/>
          <w:sz w:val="18"/>
          <w:szCs w:val="18"/>
        </w:rPr>
        <w:t>公司及控股股东江苏爱康实业集团有限公司与浙江省能源集团有限公司或其指定方（以下简称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浙能集团</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p>
    <w:p>
      <w:pPr>
        <w:pStyle w:val="BodyText"/>
        <w:spacing w:line="307" w:lineRule="auto"/>
        <w:ind w:right="1129"/>
        <w:jc w:val="both"/>
      </w:pPr>
      <w:r>
        <w:rPr>
          <w:spacing w:val="-2"/>
        </w:rPr>
        <w:t>月</w:t>
      </w:r>
      <w:r>
        <w:rPr>
          <w:rFonts w:ascii="Times New Roman" w:hAnsi="Times New Roman" w:cs="Times New Roman" w:eastAsia="Times New Roman" w:hint="default"/>
          <w:spacing w:val="-2"/>
        </w:rPr>
        <w:t>11</w:t>
      </w:r>
      <w:r>
        <w:rPr>
          <w:spacing w:val="-2"/>
        </w:rPr>
        <w:t>日签署了《战略合作意向框架协议》，协议中主要合作内容包含三个方面：第一，浙能集团或其指定方收购公司部分光</w:t>
      </w:r>
      <w:r>
        <w:rPr>
          <w:spacing w:val="-63"/>
        </w:rPr>
        <w:t> </w:t>
      </w:r>
      <w:r>
        <w:rPr>
          <w:spacing w:val="-63"/>
        </w:rPr>
      </w:r>
      <w:r>
        <w:rPr>
          <w:spacing w:val="-2"/>
        </w:rPr>
        <w:t>伏电站股权；第二、浙能集团有意参与公司在长兴绿色制造产业园投资的新一代光伏设备制造项目；第三、浙能集团在不影</w:t>
      </w:r>
      <w:r>
        <w:rPr>
          <w:spacing w:val="-66"/>
        </w:rPr>
        <w:t> </w:t>
      </w:r>
      <w:r>
        <w:rPr>
          <w:spacing w:val="-66"/>
        </w:rPr>
      </w:r>
      <w:r>
        <w:rPr/>
        <w:t>响爱康科技控制权的情况下，有意向通过法律法规允许的方式持有爱康科技的股权。详见公司于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日披露的相关</w:t>
      </w:r>
      <w:r>
        <w:rPr>
          <w:spacing w:val="-82"/>
        </w:rPr>
        <w:t> </w:t>
      </w:r>
      <w:r>
        <w:rPr>
          <w:spacing w:val="-82"/>
        </w:rPr>
      </w:r>
      <w:r>
        <w:rPr/>
        <w:t>公告。</w:t>
      </w:r>
    </w:p>
    <w:p>
      <w:pPr>
        <w:pStyle w:val="BodyText"/>
        <w:spacing w:line="240" w:lineRule="auto" w:before="26"/>
        <w:ind w:left="514" w:right="1122"/>
        <w:jc w:val="left"/>
      </w:pPr>
      <w:r>
        <w:rPr/>
        <w:t>①光伏电站股权转让进展</w:t>
      </w:r>
    </w:p>
    <w:p>
      <w:pPr>
        <w:pStyle w:val="BodyText"/>
        <w:spacing w:line="240" w:lineRule="auto" w:before="76"/>
        <w:ind w:left="514" w:right="1122"/>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日，公司与浙能集团签订了《股权合作协议》。</w:t>
      </w:r>
    </w:p>
    <w:p>
      <w:pPr>
        <w:pStyle w:val="BodyText"/>
        <w:spacing w:line="300" w:lineRule="auto" w:before="63"/>
        <w:ind w:right="1068" w:firstLine="36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27</w:t>
      </w:r>
      <w:r>
        <w:rPr>
          <w:spacing w:val="-3"/>
        </w:rPr>
        <w:t>日，公司全资子公司苏州中康电力开发有限公司（以下简称</w:t>
      </w:r>
      <w:r>
        <w:rPr>
          <w:rFonts w:ascii="Times New Roman" w:hAnsi="Times New Roman" w:cs="Times New Roman" w:eastAsia="Times New Roman" w:hint="default"/>
          <w:spacing w:val="-3"/>
        </w:rPr>
        <w:t>“</w:t>
      </w:r>
      <w:r>
        <w:rPr>
          <w:spacing w:val="-3"/>
        </w:rPr>
        <w:t>中康电力</w:t>
      </w:r>
      <w:r>
        <w:rPr>
          <w:rFonts w:ascii="Times New Roman" w:hAnsi="Times New Roman" w:cs="Times New Roman" w:eastAsia="Times New Roman" w:hint="default"/>
          <w:spacing w:val="-3"/>
        </w:rPr>
        <w:t>”</w:t>
      </w:r>
      <w:r>
        <w:rPr>
          <w:spacing w:val="-3"/>
        </w:rPr>
        <w:t>）、浙江清能能源发展有限公司（以</w:t>
      </w:r>
      <w:r>
        <w:rPr/>
        <w:t> </w:t>
      </w:r>
      <w:r>
        <w:rPr>
          <w:spacing w:val="-2"/>
        </w:rPr>
        <w:t>下简称</w:t>
      </w:r>
      <w:r>
        <w:rPr>
          <w:rFonts w:ascii="Times New Roman" w:hAnsi="Times New Roman" w:cs="Times New Roman" w:eastAsia="Times New Roman" w:hint="default"/>
          <w:spacing w:val="-2"/>
        </w:rPr>
        <w:t>“</w:t>
      </w:r>
      <w:r>
        <w:rPr>
          <w:spacing w:val="-2"/>
        </w:rPr>
        <w:t>浙江清能</w:t>
      </w:r>
      <w:r>
        <w:rPr>
          <w:rFonts w:ascii="Times New Roman" w:hAnsi="Times New Roman" w:cs="Times New Roman" w:eastAsia="Times New Roman" w:hint="default"/>
          <w:spacing w:val="-2"/>
        </w:rPr>
        <w:t>”</w:t>
      </w:r>
      <w:r>
        <w:rPr>
          <w:spacing w:val="-2"/>
        </w:rPr>
        <w:t>）与浙江瑞旭投资有限公司等标的公司分别签订了《股权转让协议》，中康电力、公司的全资子公司苏州</w:t>
      </w:r>
      <w:r>
        <w:rPr>
          <w:spacing w:val="-48"/>
        </w:rPr>
        <w:t> </w:t>
      </w:r>
      <w:r>
        <w:rPr>
          <w:spacing w:val="-48"/>
        </w:rPr>
      </w:r>
      <w:r>
        <w:rPr/>
        <w:t>中康电力运营有限公司（以下简称</w:t>
      </w:r>
      <w:r>
        <w:rPr>
          <w:rFonts w:ascii="Times New Roman" w:hAnsi="Times New Roman" w:cs="Times New Roman" w:eastAsia="Times New Roman" w:hint="default"/>
        </w:rPr>
        <w:t>“</w:t>
      </w:r>
      <w:r>
        <w:rPr/>
        <w:t>苏州中康运营</w:t>
      </w:r>
      <w:r>
        <w:rPr>
          <w:rFonts w:ascii="Times New Roman" w:hAnsi="Times New Roman" w:cs="Times New Roman" w:eastAsia="Times New Roman" w:hint="default"/>
        </w:rPr>
        <w:t>”</w:t>
      </w:r>
      <w:r>
        <w:rPr/>
        <w:t>）与浙江清能根据《股权转让协议》签订了《委托运行维护框架协议》。</w:t>
      </w:r>
    </w:p>
    <w:p>
      <w:pPr>
        <w:pStyle w:val="BodyText"/>
        <w:spacing w:line="240" w:lineRule="auto" w:before="13"/>
        <w:ind w:left="514" w:right="1122"/>
        <w:jc w:val="left"/>
      </w:pPr>
      <w:r>
        <w:rPr/>
        <w:t>截止本公告披露日，中康电力与浙江清能根据《股权转让协议》已完成标的公司的工商变更手续。</w:t>
      </w:r>
    </w:p>
    <w:p>
      <w:pPr>
        <w:pStyle w:val="BodyText"/>
        <w:spacing w:line="240" w:lineRule="auto" w:before="76"/>
        <w:ind w:left="514" w:right="1122"/>
        <w:jc w:val="left"/>
      </w:pPr>
      <w:r>
        <w:rPr/>
        <w:t>②投资高效光伏电池及组件项目进展</w:t>
      </w:r>
    </w:p>
    <w:p>
      <w:pPr>
        <w:pStyle w:val="BodyText"/>
        <w:spacing w:line="300" w:lineRule="auto" w:before="76"/>
        <w:ind w:right="1130"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日，爱康实业与浙江省长兴县人民政府、浙江省长兴县煤山镇人民政府和浙能智慧能源科技产业园管理委 </w:t>
      </w:r>
      <w:r>
        <w:rPr>
          <w:spacing w:val="-2"/>
        </w:rPr>
        <w:t>员会签订了《爱康高效太阳能电池及组件项目投资协议》。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日，公司的全资子公司浙江爱康光电科技有限公司</w:t>
      </w:r>
      <w:r>
        <w:rPr>
          <w:spacing w:val="-57"/>
        </w:rPr>
        <w:t> </w:t>
      </w:r>
      <w:r>
        <w:rPr>
          <w:spacing w:val="-57"/>
        </w:rPr>
      </w:r>
      <w:r>
        <w:rPr/>
        <w:t>收到了根据长兴县煤山镇人民政府文件《关于浙江爱康光电科技有限公司的奖励说明》下发的补助资金</w:t>
      </w:r>
      <w:r>
        <w:rPr>
          <w:rFonts w:ascii="Times New Roman" w:hAnsi="Times New Roman" w:cs="Times New Roman" w:eastAsia="Times New Roman" w:hint="default"/>
        </w:rPr>
        <w:t>7,874.00</w:t>
      </w:r>
      <w:r>
        <w:rPr/>
        <w:t>万元，高效</w:t>
      </w:r>
      <w:r>
        <w:rPr>
          <w:spacing w:val="-83"/>
        </w:rPr>
        <w:t> </w:t>
      </w:r>
      <w:r>
        <w:rPr/>
        <w:t>光伏电池及组件项目建设正在推进。</w:t>
      </w:r>
    </w:p>
    <w:p>
      <w:pPr>
        <w:pStyle w:val="BodyText"/>
        <w:spacing w:line="316" w:lineRule="auto" w:before="31"/>
        <w:ind w:left="514" w:right="3012"/>
        <w:jc w:val="left"/>
      </w:pPr>
      <w:r>
        <w:rPr/>
        <w:t>③股权合作进展 根据《战略合作意向框架协议》，浙能集团与爱康实业、公司拟在资本层面展开深层次合作。</w:t>
      </w:r>
    </w:p>
    <w:p>
      <w:pPr>
        <w:spacing w:line="240" w:lineRule="auto" w:before="4"/>
        <w:rPr>
          <w:rFonts w:ascii="宋体" w:hAnsi="宋体" w:cs="宋体" w:eastAsia="宋体" w:hint="default"/>
          <w:sz w:val="25"/>
          <w:szCs w:val="25"/>
        </w:rPr>
      </w:pPr>
    </w:p>
    <w:p>
      <w:pPr>
        <w:pStyle w:val="Heading5"/>
        <w:spacing w:line="240" w:lineRule="auto"/>
        <w:ind w:right="1122"/>
        <w:jc w:val="left"/>
        <w:rPr>
          <w:b w:val="0"/>
          <w:bCs w:val="0"/>
        </w:rPr>
      </w:pPr>
      <w:r>
        <w:rPr/>
        <w:t>二、关于回购公司股份事项</w:t>
      </w:r>
      <w:r>
        <w:rPr>
          <w:b w:val="0"/>
          <w:bCs w:val="0"/>
        </w:rPr>
      </w:r>
    </w:p>
    <w:p>
      <w:pPr>
        <w:pStyle w:val="BodyText"/>
        <w:spacing w:line="316" w:lineRule="auto" w:before="76"/>
        <w:ind w:right="1042" w:firstLine="360"/>
        <w:jc w:val="both"/>
      </w:pPr>
      <w:r>
        <w:rPr/>
        <w:t>公司</w:t>
      </w:r>
      <w:r>
        <w:rPr>
          <w:rFonts w:ascii="宋体" w:hAnsi="宋体" w:cs="宋体" w:eastAsia="宋体" w:hint="default"/>
        </w:rPr>
        <w:t>2018 </w:t>
      </w:r>
      <w:r>
        <w:rPr/>
        <w:t>年 </w:t>
      </w:r>
      <w:r>
        <w:rPr>
          <w:rFonts w:ascii="宋体" w:hAnsi="宋体" w:cs="宋体" w:eastAsia="宋体" w:hint="default"/>
        </w:rPr>
        <w:t>10 </w:t>
      </w:r>
      <w:r>
        <w:rPr/>
        <w:t>月 </w:t>
      </w:r>
      <w:r>
        <w:rPr>
          <w:rFonts w:ascii="宋体" w:hAnsi="宋体" w:cs="宋体" w:eastAsia="宋体" w:hint="default"/>
        </w:rPr>
        <w:t>7</w:t>
      </w:r>
      <w:r>
        <w:rPr>
          <w:rFonts w:ascii="宋体" w:hAnsi="宋体" w:cs="宋体" w:eastAsia="宋体" w:hint="default"/>
          <w:spacing w:val="8"/>
        </w:rPr>
        <w:t> </w:t>
      </w:r>
      <w:r>
        <w:rPr>
          <w:spacing w:val="-2"/>
        </w:rPr>
        <w:t>日召开的第三届董事会第四十七次临时会议、第三届监事会第二十四次临时会议及</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24</w:t>
      </w:r>
      <w:r>
        <w:rPr>
          <w:rFonts w:ascii="宋体" w:hAnsi="宋体" w:cs="宋体" w:eastAsia="宋体" w:hint="default"/>
        </w:rPr>
        <w:t> </w:t>
      </w:r>
      <w:r>
        <w:rPr/>
        <w:t>日召开的公司</w:t>
      </w:r>
      <w:r>
        <w:rPr>
          <w:rFonts w:ascii="宋体" w:hAnsi="宋体" w:cs="宋体" w:eastAsia="宋体" w:hint="default"/>
        </w:rPr>
        <w:t>2018</w:t>
      </w:r>
      <w:r>
        <w:rPr/>
        <w:t>年第十二次临时股东大会审议通过了《关于回购公司股份的预案》，公司</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18</w:t>
      </w:r>
      <w:r>
        <w:rPr/>
        <w:t>日召开的第三届董</w:t>
      </w:r>
      <w:r>
        <w:rPr>
          <w:spacing w:val="-82"/>
        </w:rPr>
        <w:t> </w:t>
      </w:r>
      <w:r>
        <w:rPr>
          <w:spacing w:val="-82"/>
        </w:rPr>
      </w:r>
      <w:r>
        <w:rPr>
          <w:spacing w:val="-2"/>
        </w:rPr>
        <w:t>事会第五十七次临时会议审议通过了《关于调整回购公司股票预案的议案》。公司拟使用自有资金回购公司部分股份，本次</w:t>
      </w:r>
      <w:r>
        <w:rPr>
          <w:spacing w:val="-66"/>
        </w:rPr>
        <w:t> </w:t>
      </w:r>
      <w:r>
        <w:rPr>
          <w:spacing w:val="-66"/>
        </w:rPr>
      </w:r>
      <w:r>
        <w:rPr/>
        <w:t>拟回购的不超过回购总数的</w:t>
      </w:r>
      <w:r>
        <w:rPr>
          <w:rFonts w:ascii="宋体" w:hAnsi="宋体" w:cs="宋体" w:eastAsia="宋体" w:hint="default"/>
        </w:rPr>
        <w:t>50%</w:t>
      </w:r>
      <w:r>
        <w:rPr/>
        <w:t>的股份数量将用于公司股权激励计划或员工持股计划，剩余部分用于转换上市公司发行的可</w:t>
      </w:r>
      <w:r>
        <w:rPr>
          <w:spacing w:val="-83"/>
        </w:rPr>
        <w:t> </w:t>
      </w:r>
      <w:r>
        <w:rPr>
          <w:spacing w:val="-83"/>
        </w:rPr>
      </w:r>
      <w:r>
        <w:rPr>
          <w:spacing w:val="-2"/>
        </w:rPr>
        <w:t>转换为股票的公司债券。公司董事会决定此次回购总金额不少于人民币</w:t>
      </w:r>
      <w:r>
        <w:rPr>
          <w:rFonts w:ascii="宋体" w:hAnsi="宋体" w:cs="宋体" w:eastAsia="宋体" w:hint="default"/>
          <w:spacing w:val="-2"/>
        </w:rPr>
        <w:t>15,000</w:t>
      </w:r>
      <w:r>
        <w:rPr>
          <w:spacing w:val="-2"/>
        </w:rPr>
        <w:t>万元，不高于</w:t>
      </w:r>
      <w:r>
        <w:rPr>
          <w:rFonts w:ascii="宋体" w:hAnsi="宋体" w:cs="宋体" w:eastAsia="宋体" w:hint="default"/>
          <w:spacing w:val="-2"/>
        </w:rPr>
        <w:t>30,000</w:t>
      </w:r>
      <w:r>
        <w:rPr>
          <w:spacing w:val="-2"/>
        </w:rPr>
        <w:t>万元，其中用于股权激励</w:t>
      </w:r>
      <w:r>
        <w:rPr>
          <w:spacing w:val="-54"/>
        </w:rPr>
        <w:t> </w:t>
      </w:r>
      <w:r>
        <w:rPr>
          <w:spacing w:val="-54"/>
        </w:rPr>
      </w:r>
      <w:r>
        <w:rPr>
          <w:spacing w:val="-2"/>
        </w:rPr>
        <w:t>计划或员工持股计划的金额为人民币</w:t>
      </w:r>
      <w:r>
        <w:rPr>
          <w:rFonts w:ascii="宋体" w:hAnsi="宋体" w:cs="宋体" w:eastAsia="宋体" w:hint="default"/>
          <w:spacing w:val="-2"/>
        </w:rPr>
        <w:t>0</w:t>
      </w:r>
      <w:r>
        <w:rPr>
          <w:spacing w:val="-2"/>
        </w:rPr>
        <w:t>万元</w:t>
      </w:r>
      <w:r>
        <w:rPr>
          <w:rFonts w:ascii="宋体" w:hAnsi="宋体" w:cs="宋体" w:eastAsia="宋体" w:hint="default"/>
          <w:spacing w:val="-2"/>
        </w:rPr>
        <w:t>-15,000</w:t>
      </w:r>
      <w:r>
        <w:rPr>
          <w:spacing w:val="-2"/>
        </w:rPr>
        <w:t>万元，用于转换上市公司发行的可转换为股票的公司债券的金额为人民币</w:t>
      </w:r>
      <w:r>
        <w:rPr>
          <w:spacing w:val="-56"/>
        </w:rPr>
        <w:t> </w:t>
      </w:r>
      <w:r>
        <w:rPr>
          <w:spacing w:val="-56"/>
        </w:rPr>
      </w:r>
      <w:r>
        <w:rPr>
          <w:rFonts w:ascii="宋体" w:hAnsi="宋体" w:cs="宋体" w:eastAsia="宋体" w:hint="default"/>
          <w:spacing w:val="-3"/>
        </w:rPr>
        <w:t>7,500</w:t>
      </w:r>
      <w:r>
        <w:rPr>
          <w:spacing w:val="-3"/>
        </w:rPr>
        <w:t>万元</w:t>
      </w:r>
      <w:r>
        <w:rPr>
          <w:rFonts w:ascii="宋体" w:hAnsi="宋体" w:cs="宋体" w:eastAsia="宋体" w:hint="default"/>
          <w:spacing w:val="-3"/>
        </w:rPr>
        <w:t>-30,000</w:t>
      </w:r>
      <w:r>
        <w:rPr>
          <w:spacing w:val="-3"/>
        </w:rPr>
        <w:t>万元。回购价格不超过</w:t>
      </w:r>
      <w:r>
        <w:rPr>
          <w:rFonts w:ascii="宋体" w:hAnsi="宋体" w:cs="宋体" w:eastAsia="宋体" w:hint="default"/>
          <w:spacing w:val="-3"/>
        </w:rPr>
        <w:t>3.00</w:t>
      </w:r>
      <w:r>
        <w:rPr>
          <w:spacing w:val="-3"/>
        </w:rPr>
        <w:t>元</w:t>
      </w:r>
      <w:r>
        <w:rPr>
          <w:rFonts w:ascii="宋体" w:hAnsi="宋体" w:cs="宋体" w:eastAsia="宋体" w:hint="default"/>
          <w:spacing w:val="-3"/>
        </w:rPr>
        <w:t>/</w:t>
      </w:r>
      <w:r>
        <w:rPr>
          <w:spacing w:val="-3"/>
        </w:rPr>
        <w:t>股（含</w:t>
      </w:r>
      <w:r>
        <w:rPr>
          <w:rFonts w:ascii="宋体" w:hAnsi="宋体" w:cs="宋体" w:eastAsia="宋体" w:hint="default"/>
          <w:spacing w:val="-3"/>
        </w:rPr>
        <w:t>3.00</w:t>
      </w:r>
      <w:r>
        <w:rPr>
          <w:spacing w:val="-3"/>
        </w:rPr>
        <w:t>元</w:t>
      </w:r>
      <w:r>
        <w:rPr>
          <w:rFonts w:ascii="宋体" w:hAnsi="宋体" w:cs="宋体" w:eastAsia="宋体" w:hint="default"/>
          <w:spacing w:val="-3"/>
        </w:rPr>
        <w:t>/</w:t>
      </w:r>
      <w:r>
        <w:rPr>
          <w:spacing w:val="-3"/>
        </w:rPr>
        <w:t>股），回购股份期限为自股东大会审议通过起不超过</w:t>
      </w:r>
      <w:r>
        <w:rPr>
          <w:rFonts w:ascii="宋体" w:hAnsi="宋体" w:cs="宋体" w:eastAsia="宋体" w:hint="default"/>
          <w:spacing w:val="-3"/>
        </w:rPr>
        <w:t>12</w:t>
      </w:r>
      <w:r>
        <w:rPr>
          <w:spacing w:val="-3"/>
        </w:rPr>
        <w:t>个月。</w:t>
      </w:r>
    </w:p>
    <w:p>
      <w:pPr>
        <w:spacing w:line="240" w:lineRule="auto" w:before="4"/>
        <w:rPr>
          <w:rFonts w:ascii="宋体" w:hAnsi="宋体" w:cs="宋体" w:eastAsia="宋体" w:hint="default"/>
          <w:sz w:val="25"/>
          <w:szCs w:val="25"/>
        </w:rPr>
      </w:pPr>
    </w:p>
    <w:p>
      <w:pPr>
        <w:spacing w:line="300" w:lineRule="auto" w:before="0"/>
        <w:ind w:left="514" w:right="1122" w:firstLine="1"/>
        <w:jc w:val="left"/>
        <w:rPr>
          <w:rFonts w:ascii="宋体" w:hAnsi="宋体" w:cs="宋体" w:eastAsia="宋体" w:hint="default"/>
          <w:sz w:val="18"/>
          <w:szCs w:val="18"/>
        </w:rPr>
      </w:pPr>
      <w:r>
        <w:rPr>
          <w:rFonts w:ascii="宋体" w:hAnsi="宋体" w:cs="宋体" w:eastAsia="宋体" w:hint="default"/>
          <w:b/>
          <w:bCs/>
          <w:sz w:val="18"/>
          <w:szCs w:val="18"/>
        </w:rPr>
        <w:t>三、</w:t>
      </w: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年面向合格投资者公开发行公司债券</w:t>
      </w:r>
      <w:r>
        <w:rPr>
          <w:rFonts w:ascii="宋体" w:hAnsi="宋体" w:cs="宋体" w:eastAsia="宋体" w:hint="default"/>
          <w:b/>
          <w:bCs/>
          <w:w w:val="99"/>
          <w:sz w:val="18"/>
          <w:szCs w:val="18"/>
        </w:rPr>
        <w:t> </w:t>
      </w:r>
      <w:r>
        <w:rPr>
          <w:rFonts w:ascii="宋体" w:hAnsi="宋体" w:cs="宋体" w:eastAsia="宋体" w:hint="default"/>
          <w:spacing w:val="-2"/>
          <w:sz w:val="18"/>
          <w:szCs w:val="18"/>
        </w:rPr>
        <w:t>公司已于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年年初取得了中国证券监督管理委员会出具的《中国证监会关于核准江苏爱康科技股份有限公司向合格投</w:t>
      </w:r>
    </w:p>
    <w:p>
      <w:pPr>
        <w:pStyle w:val="BodyText"/>
        <w:spacing w:line="300" w:lineRule="auto" w:before="13"/>
        <w:ind w:right="1132"/>
        <w:jc w:val="both"/>
      </w:pPr>
      <w:r>
        <w:rPr>
          <w:spacing w:val="-2"/>
        </w:rPr>
        <w:t>资者公开发行公司债券的批复》（证监许可〔</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50</w:t>
      </w:r>
      <w:r>
        <w:rPr>
          <w:spacing w:val="-2"/>
        </w:rPr>
        <w:t>号）。</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日公开发行《江苏爱康科技股份</w:t>
      </w:r>
      <w:r>
        <w:rPr>
          <w:spacing w:val="-48"/>
        </w:rPr>
        <w:t> </w:t>
      </w:r>
      <w:r>
        <w:rPr>
          <w:spacing w:val="-48"/>
        </w:rPr>
      </w:r>
      <w:r>
        <w:rPr/>
        <w:t>有限公司</w:t>
      </w:r>
      <w:r>
        <w:rPr>
          <w:rFonts w:ascii="Times New Roman" w:hAnsi="Times New Roman" w:cs="Times New Roman" w:eastAsia="Times New Roman" w:hint="default"/>
        </w:rPr>
        <w:t>2018</w:t>
      </w:r>
      <w:r>
        <w:rPr/>
        <w:t>年面向合格投资者公开发行公司债券（第一期）》，金额为</w:t>
      </w:r>
      <w:r>
        <w:rPr>
          <w:rFonts w:ascii="Times New Roman" w:hAnsi="Times New Roman" w:cs="Times New Roman" w:eastAsia="Times New Roman" w:hint="default"/>
        </w:rPr>
        <w:t>3</w:t>
      </w:r>
      <w:r>
        <w:rPr/>
        <w:t>亿元，本期债券期限为</w:t>
      </w:r>
      <w:r>
        <w:rPr>
          <w:rFonts w:ascii="Times New Roman" w:hAnsi="Times New Roman" w:cs="Times New Roman" w:eastAsia="Times New Roman" w:hint="default"/>
        </w:rPr>
        <w:t>3</w:t>
      </w:r>
      <w:r>
        <w:rPr/>
        <w:t>年。</w:t>
      </w:r>
    </w:p>
    <w:p>
      <w:pPr>
        <w:spacing w:line="240" w:lineRule="auto" w:before="11"/>
        <w:rPr>
          <w:rFonts w:ascii="宋体" w:hAnsi="宋体" w:cs="宋体" w:eastAsia="宋体" w:hint="default"/>
          <w:sz w:val="24"/>
          <w:szCs w:val="24"/>
        </w:rPr>
      </w:pPr>
    </w:p>
    <w:p>
      <w:pPr>
        <w:pStyle w:val="Heading5"/>
        <w:spacing w:line="240" w:lineRule="auto"/>
        <w:ind w:right="1122"/>
        <w:jc w:val="left"/>
        <w:rPr>
          <w:b w:val="0"/>
          <w:bCs w:val="0"/>
        </w:rPr>
      </w:pPr>
      <w:r>
        <w:rPr/>
        <w:t>四、终止筹划发行股份购买资产事项</w:t>
      </w:r>
      <w:r>
        <w:rPr>
          <w:b w:val="0"/>
          <w:bCs w:val="0"/>
        </w:rPr>
      </w:r>
    </w:p>
    <w:p>
      <w:pPr>
        <w:pStyle w:val="BodyText"/>
        <w:spacing w:line="300" w:lineRule="auto" w:before="76"/>
        <w:ind w:right="112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日，经公司第三届董事会第四十三次临时会议审议通过了《关于</w:t>
      </w:r>
      <w:r>
        <w:rPr>
          <w:rFonts w:ascii="Times New Roman" w:hAnsi="Times New Roman" w:cs="Times New Roman" w:eastAsia="Times New Roman" w:hint="default"/>
        </w:rPr>
        <w:t>&lt;</w:t>
      </w:r>
      <w:r>
        <w:rPr/>
        <w:t>江苏爱康科技股份有限公司发行股份购买 资产预案</w:t>
      </w:r>
      <w:r>
        <w:rPr>
          <w:rFonts w:ascii="Times New Roman" w:hAnsi="Times New Roman" w:cs="Times New Roman" w:eastAsia="Times New Roman" w:hint="default"/>
        </w:rPr>
        <w:t>&gt;</w:t>
      </w:r>
      <w:r>
        <w:rPr/>
        <w:t>的议案》等议案，同意公司本次发行股份购买资产方案。公司于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日披露了《关于筹划发行股份购买</w:t>
      </w:r>
      <w:r>
        <w:rPr>
          <w:spacing w:val="-16"/>
        </w:rPr>
        <w:t> </w:t>
      </w:r>
      <w:r>
        <w:rPr>
          <w:spacing w:val="-16"/>
        </w:rPr>
      </w:r>
      <w:r>
        <w:rPr/>
        <w:t>资产事项进展暨延期回复深交所问询函并继续停牌公告》（公告编号：</w:t>
      </w:r>
      <w:r>
        <w:rPr>
          <w:rFonts w:ascii="Times New Roman" w:hAnsi="Times New Roman" w:cs="Times New Roman" w:eastAsia="Times New Roman" w:hint="default"/>
        </w:rPr>
        <w:t>2018-149</w:t>
      </w:r>
      <w:r>
        <w:rPr/>
        <w:t>），并于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日披露了《问询函》</w:t>
      </w:r>
      <w:r>
        <w:rPr>
          <w:spacing w:val="-55"/>
        </w:rPr>
        <w:t> </w:t>
      </w:r>
      <w:r>
        <w:rPr>
          <w:spacing w:val="-55"/>
        </w:rPr>
      </w:r>
      <w:r>
        <w:rPr/>
        <w:t>的回复、复牌提示性公告以及发行股份购买资产预案（修订稿），根据相关规定，经公司申请，公司股票于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w:t>
      </w:r>
      <w:r>
        <w:rPr>
          <w:spacing w:val="-83"/>
        </w:rPr>
        <w:t> </w:t>
      </w:r>
      <w:r>
        <w:rPr/>
        <w:t>开市起复牌。</w:t>
      </w:r>
    </w:p>
    <w:p>
      <w:pPr>
        <w:pStyle w:val="BodyText"/>
        <w:spacing w:line="309" w:lineRule="auto" w:before="32"/>
        <w:ind w:right="1130"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w:t>
      </w:r>
      <w:r>
        <w:rPr>
          <w:spacing w:val="-2"/>
        </w:rPr>
        <w:t>日召开第三届董事会第五十五次临时会议，审议通过了《关于终止发行股份购买资产事项的议案》，因交易</w:t>
      </w:r>
      <w:r>
        <w:rPr/>
        <w:t> </w:t>
      </w:r>
      <w:r>
        <w:rPr>
          <w:spacing w:val="-2"/>
        </w:rPr>
        <w:t>双方在谈判过程中对于协议部分条款无法达成一致，经认真听取相关各方意见并与交易对方协商一致，为切实维护公司及全</w:t>
      </w:r>
      <w:r>
        <w:rPr>
          <w:spacing w:val="-64"/>
        </w:rPr>
        <w:t> </w:t>
      </w:r>
      <w:r>
        <w:rPr>
          <w:spacing w:val="-64"/>
        </w:rPr>
      </w:r>
      <w:r>
        <w:rPr/>
        <w:t>体股东的利益，公司决定终止了本次发行股份购买资产事项。</w:t>
      </w:r>
    </w:p>
    <w:p>
      <w:pPr>
        <w:spacing w:after="0" w:line="309"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22"/>
        <w:jc w:val="left"/>
        <w:rPr>
          <w:b w:val="0"/>
          <w:bCs w:val="0"/>
        </w:rPr>
      </w:pPr>
      <w:bookmarkStart w:name="二十、公司子公司重大事项" w:id="104"/>
      <w:bookmarkEnd w:id="104"/>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spacing w:line="338" w:lineRule="auto" w:before="0"/>
        <w:ind w:left="515" w:right="7588" w:hanging="362"/>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1</w:t>
      </w:r>
      <w:r>
        <w:rPr>
          <w:rFonts w:ascii="宋体" w:hAnsi="宋体" w:cs="宋体" w:eastAsia="宋体" w:hint="default"/>
          <w:b/>
          <w:bCs/>
          <w:sz w:val="18"/>
          <w:szCs w:val="18"/>
        </w:rPr>
        <w:t>、转让日本爱康株式会社</w:t>
      </w:r>
      <w:r>
        <w:rPr>
          <w:rFonts w:ascii="宋体" w:hAnsi="宋体" w:cs="宋体" w:eastAsia="宋体" w:hint="default"/>
          <w:b/>
          <w:bCs/>
          <w:sz w:val="18"/>
          <w:szCs w:val="18"/>
        </w:rPr>
        <w:t>100%</w:t>
      </w:r>
      <w:r>
        <w:rPr>
          <w:rFonts w:ascii="宋体" w:hAnsi="宋体" w:cs="宋体" w:eastAsia="宋体" w:hint="default"/>
          <w:b/>
          <w:bCs/>
          <w:sz w:val="18"/>
          <w:szCs w:val="18"/>
        </w:rPr>
        <w:t>股权</w:t>
      </w:r>
      <w:r>
        <w:rPr>
          <w:rFonts w:ascii="宋体" w:hAnsi="宋体" w:cs="宋体" w:eastAsia="宋体" w:hint="default"/>
          <w:sz w:val="18"/>
          <w:szCs w:val="18"/>
        </w:rPr>
      </w:r>
    </w:p>
    <w:p>
      <w:pPr>
        <w:pStyle w:val="BodyText"/>
        <w:spacing w:line="316" w:lineRule="auto" w:before="3"/>
        <w:ind w:right="1139" w:firstLine="360"/>
        <w:jc w:val="left"/>
      </w:pPr>
      <w:r>
        <w:rPr/>
        <w:t>公司于</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11</w:t>
      </w:r>
      <w:r>
        <w:rPr/>
        <w:t>日召开第三届董事会第二十九次临时会议，审议通过了《关于转让日本全资孙公司的议案》，同意 公司全资子公司香港爱康电力控股有限公司将其持有的日本爱康株式会社</w:t>
      </w:r>
      <w:r>
        <w:rPr>
          <w:rFonts w:ascii="宋体" w:hAnsi="宋体" w:cs="宋体" w:eastAsia="宋体" w:hint="default"/>
        </w:rPr>
        <w:t>100%</w:t>
      </w:r>
      <w:r>
        <w:rPr/>
        <w:t>股权转让给爱康能源株式会社，交易金额为 </w:t>
      </w:r>
      <w:r>
        <w:rPr>
          <w:rFonts w:ascii="宋体" w:hAnsi="宋体" w:cs="宋体" w:eastAsia="宋体" w:hint="default"/>
        </w:rPr>
        <w:t>86,210</w:t>
      </w:r>
      <w:r>
        <w:rPr/>
        <w:t>万日元。（详见公司于</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12</w:t>
      </w:r>
      <w:r>
        <w:rPr/>
        <w:t>日刊登在《证券时报》、《中国证券报》和巨潮资讯网（</w:t>
      </w:r>
      <w:r>
        <w:rPr>
          <w:rFonts w:ascii="宋体" w:hAnsi="宋体" w:cs="宋体" w:eastAsia="宋体" w:hint="default"/>
        </w:rPr>
        <w:t>www.cninfo.com.cn)</w:t>
      </w:r>
      <w:r>
        <w:rPr/>
        <w:t>上 的公告“关于转让日本全资孙公司暨关联交易的公告”，公告编号：</w:t>
      </w:r>
      <w:r>
        <w:rPr>
          <w:rFonts w:ascii="宋体" w:hAnsi="宋体" w:cs="宋体" w:eastAsia="宋体" w:hint="default"/>
        </w:rPr>
        <w:t>2018-27</w:t>
      </w:r>
      <w:r>
        <w:rPr/>
        <w:t>）</w:t>
      </w:r>
    </w:p>
    <w:p>
      <w:pPr>
        <w:pStyle w:val="BodyText"/>
        <w:spacing w:line="316" w:lineRule="auto" w:before="19"/>
        <w:ind w:left="514" w:right="1122" w:firstLine="1"/>
        <w:jc w:val="left"/>
      </w:pPr>
      <w:r>
        <w:rPr>
          <w:rFonts w:ascii="宋体" w:hAnsi="宋体" w:cs="宋体" w:eastAsia="宋体" w:hint="default"/>
          <w:b/>
          <w:bCs/>
        </w:rPr>
        <w:t>2</w:t>
      </w:r>
      <w:r>
        <w:rPr>
          <w:rFonts w:ascii="宋体" w:hAnsi="宋体" w:cs="宋体" w:eastAsia="宋体" w:hint="default"/>
          <w:b/>
          <w:bCs/>
        </w:rPr>
        <w:t>、出售光伏电站资产包</w:t>
      </w:r>
      <w:r>
        <w:rPr>
          <w:rFonts w:ascii="宋体" w:hAnsi="宋体" w:cs="宋体" w:eastAsia="宋体" w:hint="default"/>
          <w:b/>
          <w:bCs/>
          <w:w w:val="99"/>
        </w:rPr>
        <w:t> </w:t>
      </w:r>
      <w:r>
        <w:rPr>
          <w:spacing w:val="-2"/>
        </w:rPr>
        <w:t>公司将其子公司苏州中康电力开发有限公司持有的浙江瑞旭投资有限公司、无锡中康电力开发有限公司、丹阳中康电力</w:t>
      </w:r>
    </w:p>
    <w:p>
      <w:pPr>
        <w:pStyle w:val="BodyText"/>
        <w:spacing w:line="316" w:lineRule="auto" w:before="19"/>
        <w:ind w:right="1039"/>
        <w:jc w:val="left"/>
      </w:pPr>
      <w:r>
        <w:rPr>
          <w:spacing w:val="-2"/>
        </w:rPr>
        <w:t>开发有限公司、宿州恒康新能源有限公司、内蒙古四子王旗神光能源发展有限公司、徐州统联新能源有限公司、泰州中康新</w:t>
      </w:r>
      <w:r>
        <w:rPr>
          <w:spacing w:val="-66"/>
        </w:rPr>
        <w:t> </w:t>
      </w:r>
      <w:r>
        <w:rPr>
          <w:spacing w:val="-66"/>
        </w:rPr>
      </w:r>
      <w:r>
        <w:rPr>
          <w:spacing w:val="-2"/>
        </w:rPr>
        <w:t>能源有限公司、南康爱康新能源科技有限公司、济南统联新能源有限公司、特克斯昱辉太阳能开发有限公司、九州方园博州</w:t>
      </w:r>
      <w:r>
        <w:rPr>
          <w:spacing w:val="-66"/>
        </w:rPr>
        <w:t> </w:t>
      </w:r>
      <w:r>
        <w:rPr>
          <w:spacing w:val="-66"/>
        </w:rPr>
      </w:r>
      <w:r>
        <w:rPr>
          <w:spacing w:val="-2"/>
        </w:rPr>
        <w:t>新能源有限公司、新疆伊阳能源科技有限公司、新疆聚阳能源科技有限公司和九州方园博乐市新能源有限公司的全部或者部</w:t>
      </w:r>
      <w:r>
        <w:rPr>
          <w:spacing w:val="-64"/>
        </w:rPr>
        <w:t> </w:t>
      </w:r>
      <w:r>
        <w:rPr>
          <w:spacing w:val="-64"/>
        </w:rPr>
      </w:r>
      <w:r>
        <w:rPr/>
        <w:t>分股权，以现金方式转让给浙江清能，并于</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w:t>
      </w:r>
      <w:r>
        <w:rPr/>
        <w:t>日披露了《江苏爱康科技股份有限公司关于与浙能集团签订</w:t>
      </w:r>
      <w:r>
        <w:rPr>
          <w:rFonts w:ascii="宋体" w:hAnsi="宋体" w:cs="宋体" w:eastAsia="宋体" w:hint="default"/>
        </w:rPr>
        <w:t>&lt;</w:t>
      </w:r>
      <w:r>
        <w:rPr/>
        <w:t>股权合 作协议</w:t>
      </w:r>
      <w:r>
        <w:rPr>
          <w:rFonts w:ascii="宋体" w:hAnsi="宋体" w:cs="宋体" w:eastAsia="宋体" w:hint="default"/>
        </w:rPr>
        <w:t>&gt;</w:t>
      </w:r>
      <w:r>
        <w:rPr/>
        <w:t>暨出售光伏电站资产包推进双方战略合作事宜的提示性公告》（公告编号：</w:t>
      </w:r>
      <w:r>
        <w:rPr>
          <w:rFonts w:ascii="宋体" w:hAnsi="宋体" w:cs="宋体" w:eastAsia="宋体" w:hint="default"/>
        </w:rPr>
        <w:t>2018-138</w:t>
      </w:r>
      <w:r>
        <w:rPr/>
        <w:t>）。公司</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6</w:t>
      </w:r>
      <w:r>
        <w:rPr/>
        <w:t>日、</w:t>
      </w:r>
      <w:r>
        <w:rPr>
          <w:rFonts w:ascii="宋体" w:hAnsi="宋体" w:cs="宋体" w:eastAsia="宋体" w:hint="default"/>
        </w:rPr>
        <w:t>2018 </w:t>
      </w:r>
      <w:r>
        <w:rPr/>
        <w:t>年</w:t>
      </w:r>
      <w:r>
        <w:rPr>
          <w:rFonts w:ascii="宋体" w:hAnsi="宋体" w:cs="宋体" w:eastAsia="宋体" w:hint="default"/>
        </w:rPr>
        <w:t>9</w:t>
      </w:r>
      <w:r>
        <w:rPr/>
        <w:t>月</w:t>
      </w:r>
      <w:r>
        <w:rPr>
          <w:rFonts w:ascii="宋体" w:hAnsi="宋体" w:cs="宋体" w:eastAsia="宋体" w:hint="default"/>
        </w:rPr>
        <w:t>25</w:t>
      </w:r>
      <w:r>
        <w:rPr/>
        <w:t>日公司分别召开了第三届董事会第四十四次临时会议和</w:t>
      </w:r>
      <w:r>
        <w:rPr>
          <w:rFonts w:ascii="宋体" w:hAnsi="宋体" w:cs="宋体" w:eastAsia="宋体" w:hint="default"/>
        </w:rPr>
        <w:t>2018</w:t>
      </w:r>
      <w:r>
        <w:rPr/>
        <w:t>年第十次临时股东大会，审议通过了《关于公司出售光 </w:t>
      </w:r>
      <w:r>
        <w:rPr>
          <w:spacing w:val="-2"/>
        </w:rPr>
        <w:t>伏电站资产包暨推进与浙能集团战略合作事宜的议案》。根据以上审议及表决结果，苏州中康电力、浙江清能与浙江瑞旭投</w:t>
      </w:r>
      <w:r>
        <w:rPr>
          <w:spacing w:val="-66"/>
        </w:rPr>
        <w:t> </w:t>
      </w:r>
      <w:r>
        <w:rPr>
          <w:spacing w:val="-66"/>
        </w:rPr>
      </w:r>
      <w:r>
        <w:rPr/>
        <w:t>资有限公司等标的公司在杭州市分别签订了《股权转让协议》。（详见公司于</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8</w:t>
      </w:r>
      <w:r>
        <w:rPr/>
        <w:t>日刊登在《证券时报》、《中国 </w:t>
      </w:r>
      <w:r>
        <w:rPr>
          <w:spacing w:val="-6"/>
        </w:rPr>
        <w:t>证券报》和巨潮资讯网（</w:t>
      </w:r>
      <w:r>
        <w:rPr>
          <w:rFonts w:ascii="宋体" w:hAnsi="宋体" w:cs="宋体" w:eastAsia="宋体" w:hint="default"/>
          <w:spacing w:val="-6"/>
        </w:rPr>
        <w:t>www.cninfo.com.cn)</w:t>
      </w:r>
      <w:r>
        <w:rPr>
          <w:spacing w:val="-6"/>
        </w:rPr>
        <w:t>上的公告“关于公司全资子公司签订股权转让协议与运营维护框架协议的公告”，</w:t>
      </w:r>
      <w:r>
        <w:rPr>
          <w:spacing w:val="-52"/>
        </w:rPr>
        <w:t> </w:t>
      </w:r>
      <w:r>
        <w:rPr>
          <w:spacing w:val="-52"/>
        </w:rPr>
      </w:r>
      <w:r>
        <w:rPr/>
        <w:t>公告编号：</w:t>
      </w:r>
      <w:r>
        <w:rPr>
          <w:rFonts w:ascii="宋体" w:hAnsi="宋体" w:cs="宋体" w:eastAsia="宋体" w:hint="default"/>
        </w:rPr>
        <w:t>2018-162</w:t>
      </w:r>
      <w:r>
        <w:rPr/>
        <w:t>）</w:t>
      </w:r>
    </w:p>
    <w:p>
      <w:pPr>
        <w:spacing w:line="316" w:lineRule="auto" w:before="19"/>
        <w:ind w:left="514" w:right="1122" w:firstLine="1"/>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、关于收购苏州爱康能源工程技术股份有限公司</w:t>
      </w:r>
      <w:r>
        <w:rPr>
          <w:rFonts w:ascii="宋体" w:hAnsi="宋体" w:cs="宋体" w:eastAsia="宋体" w:hint="default"/>
          <w:b/>
          <w:bCs/>
          <w:sz w:val="18"/>
          <w:szCs w:val="18"/>
        </w:rPr>
        <w:t>9%</w:t>
      </w:r>
      <w:r>
        <w:rPr>
          <w:rFonts w:ascii="宋体" w:hAnsi="宋体" w:cs="宋体" w:eastAsia="宋体" w:hint="default"/>
          <w:b/>
          <w:bCs/>
          <w:sz w:val="18"/>
          <w:szCs w:val="18"/>
        </w:rPr>
        <w:t>股权</w:t>
      </w:r>
      <w:r>
        <w:rPr>
          <w:rFonts w:ascii="宋体" w:hAnsi="宋体" w:cs="宋体" w:eastAsia="宋体" w:hint="default"/>
          <w:b/>
          <w:bCs/>
          <w:spacing w:val="1"/>
          <w:w w:val="99"/>
          <w:sz w:val="18"/>
          <w:szCs w:val="18"/>
        </w:rPr>
        <w:t> </w:t>
      </w:r>
      <w:r>
        <w:rPr>
          <w:rFonts w:ascii="宋体" w:hAnsi="宋体" w:cs="宋体" w:eastAsia="宋体" w:hint="default"/>
          <w:sz w:val="18"/>
          <w:szCs w:val="18"/>
        </w:rPr>
        <w:t>公司于</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日召开第三届董事会第四十一次临时会议，审议通过了《关于收购苏州爱康能源工程技术股份有限</w:t>
      </w:r>
    </w:p>
    <w:p>
      <w:pPr>
        <w:pStyle w:val="BodyText"/>
        <w:spacing w:line="316" w:lineRule="auto" w:before="19"/>
        <w:ind w:right="1042"/>
        <w:jc w:val="left"/>
      </w:pPr>
      <w:r>
        <w:rPr/>
        <w:t>公司部分股权暨关联交易的议案》，以自有或自筹资金</w:t>
      </w:r>
      <w:r>
        <w:rPr>
          <w:rFonts w:ascii="宋体" w:hAnsi="宋体" w:cs="宋体" w:eastAsia="宋体" w:hint="default"/>
        </w:rPr>
        <w:t>18,900.00</w:t>
      </w:r>
      <w:r>
        <w:rPr/>
        <w:t>万元人民币收购张家港爱康新能源产业并购基金（有限合 </w:t>
      </w:r>
      <w:r>
        <w:rPr>
          <w:spacing w:val="-2"/>
        </w:rPr>
        <w:t>伙）持有的苏州爱康能源工程技术股份有限公司（以下简称“爱康能源工程”或“标的公司”）</w:t>
      </w:r>
      <w:r>
        <w:rPr>
          <w:rFonts w:ascii="宋体" w:hAnsi="宋体" w:cs="宋体" w:eastAsia="宋体" w:hint="default"/>
          <w:spacing w:val="-2"/>
        </w:rPr>
        <w:t>9.00%</w:t>
      </w:r>
      <w:r>
        <w:rPr>
          <w:spacing w:val="-2"/>
        </w:rPr>
        <w:t>的股权，收购完成后，</w:t>
      </w:r>
      <w:r>
        <w:rPr>
          <w:spacing w:val="-60"/>
        </w:rPr>
        <w:t> </w:t>
      </w:r>
      <w:r>
        <w:rPr>
          <w:spacing w:val="-60"/>
        </w:rPr>
      </w:r>
      <w:r>
        <w:rPr/>
        <w:t>本公司在爱康能源工程的持股比例由</w:t>
      </w:r>
      <w:r>
        <w:rPr>
          <w:rFonts w:ascii="宋体" w:hAnsi="宋体" w:cs="宋体" w:eastAsia="宋体" w:hint="default"/>
        </w:rPr>
        <w:t>38.40%</w:t>
      </w:r>
      <w:r>
        <w:rPr/>
        <w:t>上升至</w:t>
      </w:r>
      <w:r>
        <w:rPr>
          <w:rFonts w:ascii="宋体" w:hAnsi="宋体" w:cs="宋体" w:eastAsia="宋体" w:hint="default"/>
        </w:rPr>
        <w:t>47.40%</w:t>
      </w:r>
      <w:r>
        <w:rPr/>
        <w:t>。（详见公司于</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21</w:t>
      </w:r>
      <w:r>
        <w:rPr/>
        <w:t>日刊登在《证券时报》、《中国证券 </w:t>
      </w:r>
      <w:r>
        <w:rPr>
          <w:spacing w:val="-2"/>
        </w:rPr>
        <w:t>报》和巨潮资讯网（</w:t>
      </w:r>
      <w:r>
        <w:rPr>
          <w:rFonts w:ascii="宋体" w:hAnsi="宋体" w:cs="宋体" w:eastAsia="宋体" w:hint="default"/>
          <w:spacing w:val="-2"/>
        </w:rPr>
        <w:t>www.cninfo.com.cn)</w:t>
      </w:r>
      <w:r>
        <w:rPr>
          <w:spacing w:val="-2"/>
        </w:rPr>
        <w:t>上的公告“关于收购苏州爱康能源工程技术股份有限公司部分股权暨关联交易的公</w:t>
      </w:r>
      <w:r>
        <w:rPr>
          <w:spacing w:val="-48"/>
        </w:rPr>
        <w:t> </w:t>
      </w:r>
      <w:r>
        <w:rPr>
          <w:spacing w:val="-48"/>
        </w:rPr>
      </w:r>
      <w:r>
        <w:rPr/>
        <w:t>告”，公告编号：</w:t>
      </w:r>
      <w:r>
        <w:rPr>
          <w:rFonts w:ascii="宋体" w:hAnsi="宋体" w:cs="宋体" w:eastAsia="宋体" w:hint="default"/>
        </w:rPr>
        <w:t>2018-131</w:t>
      </w:r>
      <w:r>
        <w:rPr/>
        <w:t>）</w:t>
      </w:r>
    </w:p>
    <w:p>
      <w:pPr>
        <w:spacing w:line="316" w:lineRule="auto" w:before="19"/>
        <w:ind w:left="514" w:right="1212" w:firstLine="1"/>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、关于收购江西省金控融资租赁股份有限公司</w:t>
      </w:r>
      <w:r>
        <w:rPr>
          <w:rFonts w:ascii="宋体" w:hAnsi="宋体" w:cs="宋体" w:eastAsia="宋体" w:hint="default"/>
          <w:b/>
          <w:bCs/>
          <w:sz w:val="18"/>
          <w:szCs w:val="18"/>
        </w:rPr>
        <w:t>30%</w:t>
      </w:r>
      <w:r>
        <w:rPr>
          <w:rFonts w:ascii="宋体" w:hAnsi="宋体" w:cs="宋体" w:eastAsia="宋体" w:hint="default"/>
          <w:b/>
          <w:bCs/>
          <w:sz w:val="18"/>
          <w:szCs w:val="18"/>
        </w:rPr>
        <w:t>股权</w:t>
      </w:r>
      <w:r>
        <w:rPr>
          <w:rFonts w:ascii="宋体" w:hAnsi="宋体" w:cs="宋体" w:eastAsia="宋体" w:hint="default"/>
          <w:b/>
          <w:bCs/>
          <w:spacing w:val="1"/>
          <w:w w:val="99"/>
          <w:sz w:val="18"/>
          <w:szCs w:val="18"/>
        </w:rPr>
        <w:t> </w:t>
      </w:r>
      <w:r>
        <w:rPr>
          <w:rFonts w:ascii="宋体" w:hAnsi="宋体" w:cs="宋体" w:eastAsia="宋体" w:hint="default"/>
          <w:sz w:val="18"/>
          <w:szCs w:val="18"/>
        </w:rPr>
        <w:t>第三届董事会第四十五次临时会议审议通过了《关于收购江西省金控融资租赁股份有限公司部分股权暨关联交易的议</w:t>
      </w:r>
    </w:p>
    <w:p>
      <w:pPr>
        <w:pStyle w:val="BodyText"/>
        <w:spacing w:line="316" w:lineRule="auto" w:before="19"/>
        <w:ind w:right="1042"/>
        <w:jc w:val="left"/>
      </w:pPr>
      <w:r>
        <w:rPr/>
        <w:t>案》公司拟以自筹现金方式向江苏爱康实业集团有限公司收购其持有的江西省金控融资租赁股份有限公司</w:t>
      </w:r>
      <w:r>
        <w:rPr>
          <w:rFonts w:ascii="宋体" w:hAnsi="宋体" w:cs="宋体" w:eastAsia="宋体" w:hint="default"/>
        </w:rPr>
        <w:t>30%</w:t>
      </w:r>
      <w:r>
        <w:rPr/>
        <w:t>的股权，本次 交易以江西省金控融资租赁股份有限公司近期经审计的净资产为作价依据，即交易标的</w:t>
      </w:r>
      <w:r>
        <w:rPr>
          <w:rFonts w:ascii="宋体" w:hAnsi="宋体" w:cs="宋体" w:eastAsia="宋体" w:hint="default"/>
        </w:rPr>
        <w:t>100%</w:t>
      </w:r>
      <w:r>
        <w:rPr/>
        <w:t>股权作价</w:t>
      </w:r>
      <w:r>
        <w:rPr>
          <w:rFonts w:ascii="宋体" w:hAnsi="宋体" w:cs="宋体" w:eastAsia="宋体" w:hint="default"/>
        </w:rPr>
        <w:t>55,963.18</w:t>
      </w:r>
      <w:r>
        <w:rPr/>
        <w:t>万元，本次 </w:t>
      </w:r>
      <w:r>
        <w:rPr>
          <w:spacing w:val="-2"/>
        </w:rPr>
        <w:t>转让的</w:t>
      </w:r>
      <w:r>
        <w:rPr>
          <w:rFonts w:ascii="宋体" w:hAnsi="宋体" w:cs="宋体" w:eastAsia="宋体" w:hint="default"/>
          <w:spacing w:val="-2"/>
        </w:rPr>
        <w:t>30.00%</w:t>
      </w:r>
      <w:r>
        <w:rPr>
          <w:spacing w:val="-2"/>
        </w:rPr>
        <w:t>股权交易价格为</w:t>
      </w:r>
      <w:r>
        <w:rPr>
          <w:rFonts w:ascii="宋体" w:hAnsi="宋体" w:cs="宋体" w:eastAsia="宋体" w:hint="default"/>
          <w:spacing w:val="-2"/>
        </w:rPr>
        <w:t>16,788.95</w:t>
      </w:r>
      <w:r>
        <w:rPr>
          <w:spacing w:val="-2"/>
        </w:rPr>
        <w:t>万元。（详见公司于</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22</w:t>
      </w:r>
      <w:r>
        <w:rPr>
          <w:spacing w:val="-2"/>
        </w:rPr>
        <w:t>日刊登在《证券时报》、《中国证券报》和巨潮资</w:t>
      </w:r>
      <w:r>
        <w:rPr>
          <w:spacing w:val="-46"/>
        </w:rPr>
        <w:t> </w:t>
      </w:r>
      <w:r>
        <w:rPr>
          <w:spacing w:val="-46"/>
        </w:rPr>
      </w:r>
      <w:r>
        <w:rPr>
          <w:spacing w:val="-3"/>
        </w:rPr>
        <w:t>讯网（</w:t>
      </w:r>
      <w:r>
        <w:rPr>
          <w:rFonts w:ascii="宋体" w:hAnsi="宋体" w:cs="宋体" w:eastAsia="宋体" w:hint="default"/>
          <w:spacing w:val="-3"/>
        </w:rPr>
        <w:t>www.cninfo.com.cn)</w:t>
      </w:r>
      <w:r>
        <w:rPr>
          <w:spacing w:val="-3"/>
        </w:rPr>
        <w:t>上的公告“关于收购江西省金控融资租赁股份有限公司部分股权暨关联交易的公告”，公告编号：</w:t>
      </w:r>
      <w:r>
        <w:rPr>
          <w:spacing w:val="-74"/>
        </w:rPr>
        <w:t> </w:t>
      </w:r>
      <w:r>
        <w:rPr>
          <w:spacing w:val="-74"/>
        </w:rPr>
      </w:r>
      <w:r>
        <w:rPr>
          <w:rFonts w:ascii="宋体" w:hAnsi="宋体" w:cs="宋体" w:eastAsia="宋体" w:hint="default"/>
        </w:rPr>
        <w:t>2018-151</w:t>
      </w:r>
      <w:r>
        <w:rPr/>
        <w:t>）</w:t>
      </w:r>
    </w:p>
    <w:p>
      <w:pPr>
        <w:spacing w:line="316" w:lineRule="auto" w:before="19"/>
        <w:ind w:left="514" w:right="1122" w:firstLine="1"/>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、关于收购上海爱康富罗纳融资租赁有限公司</w:t>
      </w:r>
      <w:r>
        <w:rPr>
          <w:rFonts w:ascii="宋体" w:hAnsi="宋体" w:cs="宋体" w:eastAsia="宋体" w:hint="default"/>
          <w:b/>
          <w:bCs/>
          <w:sz w:val="18"/>
          <w:szCs w:val="18"/>
        </w:rPr>
        <w:t>26%</w:t>
      </w:r>
      <w:r>
        <w:rPr>
          <w:rFonts w:ascii="宋体" w:hAnsi="宋体" w:cs="宋体" w:eastAsia="宋体" w:hint="default"/>
          <w:b/>
          <w:bCs/>
          <w:sz w:val="18"/>
          <w:szCs w:val="18"/>
        </w:rPr>
        <w:t>股权</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公司第三届董事会第五十二次临时会议审议通过了《关于收购上海爱康富罗纳融资租赁有限公司部分股权暨关联交易的</w:t>
      </w:r>
    </w:p>
    <w:p>
      <w:pPr>
        <w:pStyle w:val="BodyText"/>
        <w:spacing w:line="316" w:lineRule="auto" w:before="19"/>
        <w:ind w:right="1049"/>
        <w:jc w:val="left"/>
      </w:pPr>
      <w:r>
        <w:rPr/>
        <w:t>的议案》，本次交易以截至</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30</w:t>
      </w:r>
      <w:r>
        <w:rPr/>
        <w:t>日富罗纳融资租赁的净资产为作价依据，交易标的</w:t>
      </w:r>
      <w:r>
        <w:rPr>
          <w:rFonts w:ascii="宋体" w:hAnsi="宋体" w:cs="宋体" w:eastAsia="宋体" w:hint="default"/>
        </w:rPr>
        <w:t>100%</w:t>
      </w:r>
      <w:r>
        <w:rPr/>
        <w:t>股权作价</w:t>
      </w:r>
      <w:r>
        <w:rPr>
          <w:rFonts w:ascii="宋体" w:hAnsi="宋体" w:cs="宋体" w:eastAsia="宋体" w:hint="default"/>
        </w:rPr>
        <w:t>100,612.39</w:t>
      </w:r>
      <w:r>
        <w:rPr/>
        <w:t>万元， 本次转让的</w:t>
      </w:r>
      <w:r>
        <w:rPr>
          <w:rFonts w:ascii="宋体" w:hAnsi="宋体" w:cs="宋体" w:eastAsia="宋体" w:hint="default"/>
        </w:rPr>
        <w:t>26.00%</w:t>
      </w:r>
      <w:r>
        <w:rPr/>
        <w:t>股权交易价格为</w:t>
      </w:r>
      <w:r>
        <w:rPr>
          <w:rFonts w:ascii="宋体" w:hAnsi="宋体" w:cs="宋体" w:eastAsia="宋体" w:hint="default"/>
        </w:rPr>
        <w:t>26,159.22</w:t>
      </w:r>
      <w:r>
        <w:rPr/>
        <w:t>万元。（详见公司于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25</w:t>
      </w:r>
      <w:r>
        <w:rPr/>
        <w:t>日刊登在《证券时报》、《中国证券报》和 </w:t>
      </w:r>
      <w:r>
        <w:rPr>
          <w:spacing w:val="-2"/>
        </w:rPr>
        <w:t>巨潮资讯网（</w:t>
      </w:r>
      <w:r>
        <w:rPr>
          <w:rFonts w:ascii="宋体" w:hAnsi="宋体" w:cs="宋体" w:eastAsia="宋体" w:hint="default"/>
          <w:spacing w:val="-2"/>
        </w:rPr>
        <w:t>www.cninfo.com.cn)</w:t>
      </w:r>
      <w:r>
        <w:rPr>
          <w:spacing w:val="-2"/>
        </w:rPr>
        <w:t>上的公告“关于收购上海爱康富罗纳融资租赁有限公司部分股权暨关联交易的公告”，公</w:t>
      </w:r>
      <w:r>
        <w:rPr>
          <w:spacing w:val="-69"/>
        </w:rPr>
        <w:t> </w:t>
      </w:r>
      <w:r>
        <w:rPr>
          <w:spacing w:val="-69"/>
        </w:rPr>
      </w:r>
      <w:r>
        <w:rPr/>
        <w:t>告编号：</w:t>
      </w:r>
      <w:r>
        <w:rPr>
          <w:rFonts w:ascii="宋体" w:hAnsi="宋体" w:cs="宋体" w:eastAsia="宋体" w:hint="default"/>
        </w:rPr>
        <w:t>2018-204</w:t>
      </w:r>
      <w:r>
        <w:rPr/>
        <w:t>）</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1122"/>
        <w:jc w:val="left"/>
        <w:rPr>
          <w:b w:val="0"/>
          <w:bCs w:val="0"/>
        </w:rPr>
      </w:pPr>
      <w:bookmarkStart w:name="第六节 股份变动及股东情况" w:id="105"/>
      <w:bookmarkEnd w:id="105"/>
      <w:r>
        <w:rPr>
          <w:b w:val="0"/>
          <w:bCs w:val="0"/>
        </w:rPr>
      </w:r>
      <w:bookmarkStart w:name="_bookmark5" w:id="106"/>
      <w:bookmarkEnd w:id="10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22"/>
        <w:jc w:val="left"/>
        <w:rPr>
          <w:b w:val="0"/>
          <w:bCs w:val="0"/>
        </w:rPr>
      </w:pPr>
      <w:bookmarkStart w:name="一、股份变动情况" w:id="107"/>
      <w:bookmarkEnd w:id="107"/>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921"/>
        <w:gridCol w:w="1153"/>
        <w:gridCol w:w="736"/>
        <w:gridCol w:w="812"/>
        <w:gridCol w:w="436"/>
        <w:gridCol w:w="1000"/>
        <w:gridCol w:w="875"/>
        <w:gridCol w:w="876"/>
        <w:gridCol w:w="1141"/>
        <w:gridCol w:w="733"/>
      </w:tblGrid>
      <w:tr>
        <w:trPr>
          <w:trHeight w:val="206" w:hRule="exact"/>
        </w:trPr>
        <w:tc>
          <w:tcPr>
            <w:tcW w:w="19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6" w:hRule="exact"/>
        </w:trPr>
        <w:tc>
          <w:tcPr>
            <w:tcW w:w="1921" w:type="dxa"/>
            <w:vMerge w:val="restart"/>
            <w:tcBorders>
              <w:top w:val="nil" w:sz="6" w:space="0" w:color="auto"/>
              <w:left w:val="single" w:sz="4" w:space="0" w:color="000000"/>
              <w:right w:val="single" w:sz="4" w:space="0" w:color="000000"/>
            </w:tcBorders>
            <w:shd w:val="clear" w:color="auto" w:fill="D2D2D2"/>
          </w:tcPr>
          <w:p>
            <w:pPr/>
          </w:p>
        </w:tc>
        <w:tc>
          <w:tcPr>
            <w:tcW w:w="1889" w:type="dxa"/>
            <w:gridSpan w:val="2"/>
            <w:vMerge/>
            <w:tcBorders>
              <w:left w:val="single" w:sz="4" w:space="0" w:color="000000"/>
              <w:bottom w:val="single" w:sz="4" w:space="0" w:color="000000"/>
              <w:right w:val="single" w:sz="4" w:space="0" w:color="000000"/>
            </w:tcBorders>
            <w:shd w:val="clear" w:color="auto" w:fill="D2D2D2"/>
          </w:tcPr>
          <w:p>
            <w:pPr/>
          </w:p>
        </w:tc>
        <w:tc>
          <w:tcPr>
            <w:tcW w:w="3999" w:type="dxa"/>
            <w:gridSpan w:val="5"/>
            <w:vMerge/>
            <w:tcBorders>
              <w:left w:val="single" w:sz="4" w:space="0" w:color="000000"/>
              <w:bottom w:val="single" w:sz="4" w:space="0" w:color="000000"/>
              <w:right w:val="single" w:sz="4" w:space="0" w:color="000000"/>
            </w:tcBorders>
            <w:shd w:val="clear" w:color="auto" w:fill="D2D2D2"/>
          </w:tcPr>
          <w:p>
            <w:pPr/>
          </w:p>
        </w:tc>
        <w:tc>
          <w:tcPr>
            <w:tcW w:w="1874"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21" w:type="dxa"/>
            <w:vMerge/>
            <w:tcBorders>
              <w:left w:val="single" w:sz="4" w:space="0" w:color="000000"/>
              <w:bottom w:val="nil" w:sz="6" w:space="0" w:color="auto"/>
              <w:right w:val="single" w:sz="4" w:space="0" w:color="000000"/>
            </w:tcBorders>
            <w:shd w:val="clear" w:color="auto" w:fill="D2D2D2"/>
          </w:tcPr>
          <w:p>
            <w:pPr/>
          </w:p>
        </w:tc>
        <w:tc>
          <w:tcPr>
            <w:tcW w:w="11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8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736" w:type="dxa"/>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single" w:sz="4" w:space="0" w:color="000000"/>
              <w:right w:val="single" w:sz="4" w:space="0" w:color="000000"/>
            </w:tcBorders>
            <w:shd w:val="clear" w:color="auto" w:fill="D2D2D2"/>
          </w:tcPr>
          <w:p>
            <w:pPr/>
          </w:p>
        </w:tc>
        <w:tc>
          <w:tcPr>
            <w:tcW w:w="436" w:type="dxa"/>
            <w:vMerge/>
            <w:tcBorders>
              <w:left w:val="single" w:sz="4" w:space="0" w:color="000000"/>
              <w:bottom w:val="single" w:sz="4" w:space="0" w:color="000000"/>
              <w:right w:val="single" w:sz="4" w:space="0" w:color="000000"/>
            </w:tcBorders>
            <w:shd w:val="clear" w:color="auto" w:fill="D2D2D2"/>
          </w:tcPr>
          <w:p>
            <w:pPr/>
          </w:p>
        </w:tc>
        <w:tc>
          <w:tcPr>
            <w:tcW w:w="1000" w:type="dxa"/>
            <w:vMerge/>
            <w:tcBorders>
              <w:left w:val="single" w:sz="4" w:space="0" w:color="000000"/>
              <w:bottom w:val="single" w:sz="4" w:space="0" w:color="000000"/>
              <w:right w:val="single" w:sz="4" w:space="0" w:color="000000"/>
            </w:tcBorders>
            <w:shd w:val="clear" w:color="auto" w:fill="D2D2D2"/>
          </w:tcPr>
          <w:p>
            <w:pPr/>
          </w:p>
        </w:tc>
        <w:tc>
          <w:tcPr>
            <w:tcW w:w="875" w:type="dxa"/>
            <w:vMerge/>
            <w:tcBorders>
              <w:left w:val="single" w:sz="4" w:space="0" w:color="000000"/>
              <w:bottom w:val="single" w:sz="4" w:space="0" w:color="000000"/>
              <w:right w:val="single" w:sz="4" w:space="0" w:color="000000"/>
            </w:tcBorders>
            <w:shd w:val="clear" w:color="auto" w:fill="D2D2D2"/>
          </w:tcPr>
          <w:p>
            <w:pPr/>
          </w:p>
        </w:tc>
        <w:tc>
          <w:tcPr>
            <w:tcW w:w="876" w:type="dxa"/>
            <w:vMerge/>
            <w:tcBorders>
              <w:left w:val="single" w:sz="4" w:space="0" w:color="000000"/>
              <w:bottom w:val="single" w:sz="4" w:space="0" w:color="000000"/>
              <w:right w:val="single" w:sz="4" w:space="0" w:color="000000"/>
            </w:tcBorders>
            <w:shd w:val="clear" w:color="auto" w:fill="D2D2D2"/>
          </w:tcPr>
          <w:p>
            <w:pPr/>
          </w:p>
        </w:tc>
        <w:tc>
          <w:tcPr>
            <w:tcW w:w="1141" w:type="dxa"/>
            <w:vMerge/>
            <w:tcBorders>
              <w:left w:val="single" w:sz="4" w:space="0" w:color="000000"/>
              <w:bottom w:val="single" w:sz="4" w:space="0" w:color="000000"/>
              <w:right w:val="single" w:sz="4" w:space="0" w:color="000000"/>
            </w:tcBorders>
            <w:shd w:val="clear" w:color="auto" w:fill="D2D2D2"/>
          </w:tcPr>
          <w:p>
            <w:pPr/>
          </w:p>
        </w:tc>
        <w:tc>
          <w:tcPr>
            <w:tcW w:w="73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263,461,000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3,461,262</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3,461,262</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266,922,262</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5.94%</w:t>
            </w:r>
          </w:p>
        </w:tc>
      </w:tr>
      <w:tr>
        <w:trPr>
          <w:trHeight w:val="402" w:hRule="exact"/>
        </w:trPr>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263,461,000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3,042,955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3,042,955</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266,503,955</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5.94%</w:t>
            </w:r>
          </w:p>
        </w:tc>
      </w:tr>
      <w:tr>
        <w:trPr>
          <w:trHeight w:val="402" w:hRule="exact"/>
        </w:trPr>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159,086,000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159,086,000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w:t>
            </w:r>
          </w:p>
        </w:tc>
      </w:tr>
      <w:tr>
        <w:trPr>
          <w:trHeight w:val="402" w:hRule="exact"/>
        </w:trPr>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104,375,000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3,042,955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3,042,955</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107,417,955</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w:t>
            </w:r>
          </w:p>
        </w:tc>
      </w:tr>
      <w:tr>
        <w:trPr>
          <w:trHeight w:val="402" w:hRule="exact"/>
        </w:trPr>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418,307</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418,307</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418,307</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418,307</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418,307</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418,307</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4,227,400,600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-4,353,850</w:t>
            </w:r>
            <w:r>
              <w:rPr>
                <w:rFonts w:ascii="Times New Roman"/>
                <w:sz w:val="18"/>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-4,353,850</w:t>
            </w:r>
            <w:r>
              <w:rPr>
                <w:rFonts w:ascii="Times New Roman"/>
                <w:sz w:val="18"/>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4,223,046,750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94.06%</w:t>
            </w:r>
          </w:p>
        </w:tc>
      </w:tr>
      <w:tr>
        <w:trPr>
          <w:trHeight w:val="402" w:hRule="exact"/>
        </w:trPr>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4,227,400,600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-4,353,850</w:t>
            </w:r>
            <w:r>
              <w:rPr>
                <w:rFonts w:ascii="Times New Roman"/>
                <w:sz w:val="18"/>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-4,353,850</w:t>
            </w:r>
            <w:r>
              <w:rPr>
                <w:rFonts w:ascii="Times New Roman"/>
                <w:sz w:val="18"/>
              </w:rPr>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4,223,046,750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94.06%</w:t>
            </w:r>
          </w:p>
        </w:tc>
      </w:tr>
      <w:tr>
        <w:trPr>
          <w:trHeight w:val="402" w:hRule="exact"/>
        </w:trPr>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4,490,861,600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-892,588</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-892,588</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4,489,969,012</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both"/>
      </w:pPr>
      <w:r>
        <w:rPr/>
        <w:t>股份变动的原因</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4" w:right="1122"/>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19</w:t>
      </w:r>
      <w:r>
        <w:rPr/>
        <w:t>日，公司发布了《关于</w:t>
      </w:r>
      <w:r>
        <w:rPr>
          <w:rFonts w:ascii="Times New Roman" w:hAnsi="Times New Roman" w:cs="Times New Roman" w:eastAsia="Times New Roman" w:hint="default"/>
        </w:rPr>
        <w:t>2018</w:t>
      </w:r>
      <w:r>
        <w:rPr/>
        <w:t>年限制性股票授予完成公告》，授予的限制性股票的授予日为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01</w:t>
      </w:r>
    </w:p>
    <w:p>
      <w:pPr>
        <w:pStyle w:val="BodyText"/>
        <w:spacing w:line="240" w:lineRule="auto" w:before="63"/>
        <w:ind w:right="0"/>
        <w:jc w:val="both"/>
      </w:pPr>
      <w:r>
        <w:rPr/>
        <w:t>日，授予股份的上市日期为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20</w:t>
      </w:r>
      <w:r>
        <w:rPr/>
        <w:t>日。</w:t>
      </w:r>
    </w:p>
    <w:p>
      <w:pPr>
        <w:pStyle w:val="BodyText"/>
        <w:spacing w:line="300" w:lineRule="auto" w:before="63"/>
        <w:ind w:right="1122"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日，公司发布了《关于部分已回购股票注销完成的公告》，根据公司股权激励计划相关规定，对本次已回 购但并未授予的股票共计</w:t>
      </w:r>
      <w:r>
        <w:rPr>
          <w:rFonts w:ascii="Times New Roman" w:hAnsi="Times New Roman" w:cs="Times New Roman" w:eastAsia="Times New Roman" w:hint="default"/>
        </w:rPr>
        <w:t>475,419</w:t>
      </w:r>
      <w:r>
        <w:rPr>
          <w:rFonts w:ascii="Times New Roman" w:hAnsi="Times New Roman" w:cs="Times New Roman" w:eastAsia="Times New Roman" w:hint="default"/>
          <w:spacing w:val="23"/>
        </w:rPr>
        <w:t> </w:t>
      </w:r>
      <w:r>
        <w:rPr/>
        <w:t>股进行注销处理，注销股份占公司目前总股本的</w:t>
      </w:r>
      <w:r>
        <w:rPr>
          <w:rFonts w:ascii="Times New Roman" w:hAnsi="Times New Roman" w:cs="Times New Roman" w:eastAsia="Times New Roman" w:hint="default"/>
        </w:rPr>
        <w:t>0.01%</w:t>
      </w:r>
      <w:r>
        <w:rPr/>
        <w:t>。</w:t>
      </w:r>
    </w:p>
    <w:p>
      <w:pPr>
        <w:pStyle w:val="BodyText"/>
        <w:spacing w:line="300" w:lineRule="auto" w:before="13"/>
        <w:ind w:right="1122"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日，公司发布了《关于部分已回购股票注销完成的公告》，根据公司股权激励计划相关规定，对本次已回</w:t>
      </w:r>
      <w:r>
        <w:rPr/>
        <w:t> 购并授予后离职员工持有的股票共计</w:t>
      </w:r>
      <w:r>
        <w:rPr>
          <w:rFonts w:ascii="Times New Roman" w:hAnsi="Times New Roman" w:cs="Times New Roman" w:eastAsia="Times New Roman" w:hint="default"/>
        </w:rPr>
        <w:t>417,169</w:t>
      </w:r>
      <w:r>
        <w:rPr/>
        <w:t>股进行注销处理，注销股份占公司目前总股本的</w:t>
      </w:r>
      <w:r>
        <w:rPr>
          <w:rFonts w:ascii="Times New Roman" w:hAnsi="Times New Roman" w:cs="Times New Roman" w:eastAsia="Times New Roman" w:hint="default"/>
        </w:rPr>
        <w:t>0.01%</w:t>
      </w:r>
      <w:r>
        <w:rPr/>
        <w:t>。</w:t>
      </w:r>
    </w:p>
    <w:p>
      <w:pPr>
        <w:pStyle w:val="BodyText"/>
        <w:spacing w:line="240" w:lineRule="auto" w:before="53"/>
        <w:ind w:right="0"/>
        <w:jc w:val="both"/>
      </w:pPr>
      <w:r>
        <w:rPr/>
        <w:t>股份变动的批准情况</w:t>
      </w:r>
    </w:p>
    <w:p>
      <w:pPr>
        <w:pStyle w:val="BodyText"/>
        <w:spacing w:line="338" w:lineRule="auto" w:before="117"/>
        <w:ind w:left="514"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11</w:t>
      </w:r>
      <w:r>
        <w:rPr>
          <w:spacing w:val="-2"/>
        </w:rPr>
        <w:t>日召开第三届董事会第二十九次临时会议、第三届监事会第十六次临时会议和</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27</w:t>
      </w:r>
      <w:r>
        <w:rPr>
          <w:spacing w:val="-2"/>
        </w:rPr>
        <w:t>日召开的</w:t>
      </w:r>
    </w:p>
    <w:p>
      <w:pPr>
        <w:pStyle w:val="BodyText"/>
        <w:spacing w:line="230" w:lineRule="exact"/>
        <w:ind w:right="0"/>
        <w:jc w:val="both"/>
      </w:pPr>
      <w:r>
        <w:rPr>
          <w:rFonts w:ascii="Times New Roman" w:hAnsi="Times New Roman" w:cs="Times New Roman" w:eastAsia="Times New Roman" w:hint="default"/>
        </w:rPr>
        <w:t>2018</w:t>
      </w:r>
      <w:r>
        <w:rPr/>
        <w:t>年第四次临时股东大会审议通过了《关于</w:t>
      </w:r>
      <w:r>
        <w:rPr>
          <w:rFonts w:ascii="Times New Roman" w:hAnsi="Times New Roman" w:cs="Times New Roman" w:eastAsia="Times New Roman" w:hint="default"/>
        </w:rPr>
        <w:t>&lt;</w:t>
      </w:r>
      <w:r>
        <w:rPr/>
        <w:t>江苏爱康科技股份有限公司</w:t>
      </w:r>
      <w:r>
        <w:rPr>
          <w:rFonts w:ascii="Times New Roman" w:hAnsi="Times New Roman" w:cs="Times New Roman" w:eastAsia="Times New Roman" w:hint="default"/>
        </w:rPr>
        <w:t>2018</w:t>
      </w:r>
      <w:r>
        <w:rPr/>
        <w:t>年限制性股票激励计划（草案）</w:t>
      </w:r>
      <w:r>
        <w:rPr>
          <w:rFonts w:ascii="Times New Roman" w:hAnsi="Times New Roman" w:cs="Times New Roman" w:eastAsia="Times New Roman" w:hint="default"/>
        </w:rPr>
        <w:t>&gt;</w:t>
      </w:r>
      <w:r>
        <w:rPr/>
        <w:t>及其摘要</w:t>
      </w:r>
    </w:p>
    <w:p>
      <w:pPr>
        <w:pStyle w:val="BodyText"/>
        <w:spacing w:line="300" w:lineRule="auto" w:before="63"/>
        <w:ind w:right="1130"/>
        <w:jc w:val="both"/>
      </w:pPr>
      <w:r>
        <w:rPr>
          <w:spacing w:val="-2"/>
        </w:rPr>
        <w:t>的议案》等议案，并于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w:t>
      </w:r>
      <w:r>
        <w:rPr>
          <w:spacing w:val="-2"/>
        </w:rPr>
        <w:t>日，公司召开的三届董事会第三十次临时会议、第三届监事会第十八次临时会议审议通过</w:t>
      </w:r>
      <w:r>
        <w:rPr>
          <w:spacing w:val="-60"/>
        </w:rPr>
        <w:t> </w:t>
      </w:r>
      <w:r>
        <w:rPr>
          <w:spacing w:val="-60"/>
        </w:rPr>
      </w:r>
      <w:r>
        <w:rPr>
          <w:spacing w:val="-2"/>
        </w:rPr>
        <w:t>了《关于调整</w:t>
      </w:r>
      <w:r>
        <w:rPr>
          <w:rFonts w:ascii="Times New Roman" w:hAnsi="Times New Roman" w:cs="Times New Roman" w:eastAsia="Times New Roman" w:hint="default"/>
          <w:spacing w:val="-2"/>
        </w:rPr>
        <w:t>2018</w:t>
      </w:r>
      <w:r>
        <w:rPr>
          <w:spacing w:val="-2"/>
        </w:rPr>
        <w:t>年限制性股票激励计划激励对象及授予数量的议案》、《关于向激励对象授予限制性股票的议案》。公司</w:t>
      </w:r>
      <w:r>
        <w:rPr>
          <w:spacing w:val="-63"/>
        </w:rPr>
        <w:t> </w:t>
      </w:r>
      <w:r>
        <w:rPr>
          <w:spacing w:val="-63"/>
        </w:rPr>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月完成了向</w:t>
      </w:r>
      <w:r>
        <w:rPr>
          <w:rFonts w:ascii="Times New Roman" w:hAnsi="Times New Roman" w:cs="Times New Roman" w:eastAsia="Times New Roman" w:hint="default"/>
        </w:rPr>
        <w:t>170</w:t>
      </w:r>
      <w:r>
        <w:rPr/>
        <w:t>名激励对象授予</w:t>
      </w:r>
      <w:r>
        <w:rPr>
          <w:rFonts w:ascii="Times New Roman" w:hAnsi="Times New Roman" w:cs="Times New Roman" w:eastAsia="Times New Roman" w:hint="default"/>
        </w:rPr>
        <w:t>1,642.4581</w:t>
      </w:r>
      <w:r>
        <w:rPr/>
        <w:t>万股限制性股票。（详见公司刊登在《证券时报》、《中国证券报》和</w:t>
      </w:r>
      <w:r>
        <w:rPr>
          <w:spacing w:val="-85"/>
        </w:rPr>
        <w:t> </w:t>
      </w:r>
      <w:r>
        <w:rPr>
          <w:spacing w:val="-85"/>
        </w:rPr>
      </w:r>
      <w:r>
        <w:rPr/>
        <w:t>巨潮资讯网（</w:t>
      </w:r>
      <w:hyperlink r:id="rId11">
        <w:r>
          <w:rPr>
            <w:rFonts w:ascii="Times New Roman" w:hAnsi="Times New Roman" w:cs="Times New Roman" w:eastAsia="Times New Roman" w:hint="default"/>
          </w:rPr>
          <w:t>www.cninfo.com.cn</w:t>
        </w:r>
      </w:hyperlink>
      <w:r>
        <w:rPr/>
        <w:t>）上的公告，公告编号：</w:t>
      </w:r>
      <w:r>
        <w:rPr>
          <w:rFonts w:ascii="Times New Roman" w:hAnsi="Times New Roman" w:cs="Times New Roman" w:eastAsia="Times New Roman" w:hint="default"/>
        </w:rPr>
        <w:t>2018-25</w:t>
      </w:r>
      <w:r>
        <w:rPr/>
        <w:t>、</w:t>
      </w:r>
      <w:r>
        <w:rPr>
          <w:rFonts w:ascii="Times New Roman" w:hAnsi="Times New Roman" w:cs="Times New Roman" w:eastAsia="Times New Roman" w:hint="default"/>
        </w:rPr>
        <w:t>2018-36</w:t>
      </w:r>
      <w:r>
        <w:rPr/>
        <w:t>、</w:t>
      </w:r>
      <w:r>
        <w:rPr>
          <w:rFonts w:ascii="Times New Roman" w:hAnsi="Times New Roman" w:cs="Times New Roman" w:eastAsia="Times New Roman" w:hint="default"/>
        </w:rPr>
        <w:t>2018-37</w:t>
      </w:r>
      <w:r>
        <w:rPr/>
        <w:t>）</w:t>
      </w:r>
    </w:p>
    <w:p>
      <w:pPr>
        <w:pStyle w:val="BodyText"/>
        <w:spacing w:line="240" w:lineRule="auto" w:before="53"/>
        <w:ind w:left="514" w:right="1122"/>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19</w:t>
      </w:r>
      <w:r>
        <w:rPr/>
        <w:t>日，公司发布了《关于</w:t>
      </w:r>
      <w:r>
        <w:rPr>
          <w:rFonts w:ascii="Times New Roman" w:hAnsi="Times New Roman" w:cs="Times New Roman" w:eastAsia="Times New Roman" w:hint="default"/>
        </w:rPr>
        <w:t>2018</w:t>
      </w:r>
      <w:r>
        <w:rPr/>
        <w:t>年限制性股票授予完成公告》，授予的限制性股票的授予日为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01</w:t>
      </w:r>
    </w:p>
    <w:p>
      <w:pPr>
        <w:pStyle w:val="BodyText"/>
        <w:spacing w:line="240" w:lineRule="auto" w:before="64"/>
        <w:ind w:right="0"/>
        <w:jc w:val="both"/>
      </w:pPr>
      <w:r>
        <w:rPr/>
        <w:t>日，授予股份的上市日期为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20</w:t>
      </w:r>
      <w:r>
        <w:rPr/>
        <w:t>日。</w:t>
      </w:r>
    </w:p>
    <w:p>
      <w:pPr>
        <w:pStyle w:val="BodyText"/>
        <w:spacing w:line="302" w:lineRule="auto" w:before="101"/>
        <w:ind w:right="1122"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日，公司发布了《关于部分已回购股票注销完成的公告》，根据公司股权激励计划相关规定，对本次已回 购但并未授予的股票共计</w:t>
      </w:r>
      <w:r>
        <w:rPr>
          <w:rFonts w:ascii="Times New Roman" w:hAnsi="Times New Roman" w:cs="Times New Roman" w:eastAsia="Times New Roman" w:hint="default"/>
        </w:rPr>
        <w:t>475,419</w:t>
      </w:r>
      <w:r>
        <w:rPr>
          <w:rFonts w:ascii="Times New Roman" w:hAnsi="Times New Roman" w:cs="Times New Roman" w:eastAsia="Times New Roman" w:hint="default"/>
          <w:spacing w:val="23"/>
        </w:rPr>
        <w:t> </w:t>
      </w:r>
      <w:r>
        <w:rPr/>
        <w:t>股进行注销处理，注销股份占公司目前总股本的</w:t>
      </w:r>
      <w:r>
        <w:rPr>
          <w:rFonts w:ascii="Times New Roman" w:hAnsi="Times New Roman" w:cs="Times New Roman" w:eastAsia="Times New Roman" w:hint="default"/>
        </w:rPr>
        <w:t>0.01%</w:t>
      </w:r>
      <w:r>
        <w:rPr/>
        <w:t>。</w:t>
      </w:r>
    </w:p>
    <w:p>
      <w:pPr>
        <w:spacing w:after="0" w:line="30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22"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日，公司发布了《关于部分已回购股票注销完成的公告》，根据公司股权激励计划相关规定，对本次已回</w:t>
      </w:r>
      <w:r>
        <w:rPr/>
        <w:t> 购并授予后离职员工持有的股票共计</w:t>
      </w:r>
      <w:r>
        <w:rPr>
          <w:rFonts w:ascii="Times New Roman" w:hAnsi="Times New Roman" w:cs="Times New Roman" w:eastAsia="Times New Roman" w:hint="default"/>
        </w:rPr>
        <w:t>417,169</w:t>
      </w:r>
      <w:r>
        <w:rPr/>
        <w:t>股进行注销处理，注销股份占公司目前总股本的</w:t>
      </w:r>
      <w:r>
        <w:rPr>
          <w:rFonts w:ascii="Times New Roman" w:hAnsi="Times New Roman" w:cs="Times New Roman" w:eastAsia="Times New Roman" w:hint="default"/>
        </w:rPr>
        <w:t>0.01%</w:t>
      </w:r>
      <w:r>
        <w:rPr/>
        <w:t>。</w:t>
      </w:r>
    </w:p>
    <w:p>
      <w:pPr>
        <w:pStyle w:val="BodyText"/>
        <w:spacing w:line="240" w:lineRule="auto" w:before="50"/>
        <w:ind w:right="1122"/>
        <w:jc w:val="left"/>
      </w:pPr>
      <w:r>
        <w:rPr/>
        <w:t>股份变动的过户情况</w:t>
      </w:r>
    </w:p>
    <w:p>
      <w:pPr>
        <w:pStyle w:val="BodyText"/>
        <w:spacing w:line="338" w:lineRule="auto" w:before="117"/>
        <w:ind w:left="514"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月完成了向</w:t>
      </w:r>
      <w:r>
        <w:rPr>
          <w:rFonts w:ascii="Times New Roman" w:hAnsi="Times New Roman" w:cs="Times New Roman" w:eastAsia="Times New Roman" w:hint="default"/>
        </w:rPr>
        <w:t>170</w:t>
      </w:r>
      <w:r>
        <w:rPr/>
        <w:t>名激励对象授予</w:t>
      </w:r>
      <w:r>
        <w:rPr>
          <w:rFonts w:ascii="Times New Roman" w:hAnsi="Times New Roman" w:cs="Times New Roman" w:eastAsia="Times New Roman" w:hint="default"/>
        </w:rPr>
        <w:t>1,642.4581</w:t>
      </w:r>
      <w:r>
        <w:rPr/>
        <w:t>万股限制性股票。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19</w:t>
      </w:r>
      <w:r>
        <w:rPr/>
        <w:t>日，公司发布了《关于</w:t>
      </w:r>
      <w:r>
        <w:rPr>
          <w:rFonts w:ascii="Times New Roman" w:hAnsi="Times New Roman" w:cs="Times New Roman" w:eastAsia="Times New Roman" w:hint="default"/>
        </w:rPr>
        <w:t>2018</w:t>
      </w:r>
      <w:r>
        <w:rPr/>
        <w:t>年</w:t>
      </w:r>
    </w:p>
    <w:p>
      <w:pPr>
        <w:pStyle w:val="BodyText"/>
        <w:spacing w:line="230" w:lineRule="exact"/>
        <w:ind w:right="1122"/>
        <w:jc w:val="left"/>
      </w:pPr>
      <w:r>
        <w:rPr/>
        <w:t>限制性股票授予完成公告》，授予的限制性股票的授予日为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01</w:t>
      </w:r>
      <w:r>
        <w:rPr/>
        <w:t>日，授予股份的上市日期为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20</w:t>
      </w:r>
      <w:r>
        <w:rPr/>
        <w:t>日。</w:t>
      </w:r>
    </w:p>
    <w:p>
      <w:pPr>
        <w:pStyle w:val="BodyText"/>
        <w:spacing w:line="240" w:lineRule="auto" w:before="103"/>
        <w:ind w:right="1122"/>
        <w:jc w:val="left"/>
      </w:pPr>
      <w:r>
        <w:rPr/>
        <w:t>股份回购的实施进展情况</w:t>
      </w:r>
    </w:p>
    <w:p>
      <w:pPr>
        <w:pStyle w:val="BodyText"/>
        <w:spacing w:line="338" w:lineRule="auto" w:before="117"/>
        <w:ind w:left="514" w:right="247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公司已完成回购专用证券账户开立等事项，但由于回购交易窗口期等限制，公司尚未开始实施回购。</w:t>
      </w:r>
    </w:p>
    <w:p>
      <w:pPr>
        <w:pStyle w:val="BodyText"/>
        <w:spacing w:line="240" w:lineRule="auto" w:before="43"/>
        <w:ind w:right="1122"/>
        <w:jc w:val="left"/>
      </w:pPr>
      <w:r>
        <w:rPr/>
        <w:t>采用集中竞价方式减持回购股份的实施进展情况</w:t>
      </w:r>
    </w:p>
    <w:p>
      <w:pPr>
        <w:pStyle w:val="BodyText"/>
        <w:spacing w:line="338" w:lineRule="auto" w:before="117"/>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40" w:lineRule="auto" w:before="42"/>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0"/>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2"/>
        <w:gridCol w:w="1019"/>
        <w:gridCol w:w="1087"/>
        <w:gridCol w:w="1088"/>
        <w:gridCol w:w="1019"/>
        <w:gridCol w:w="1315"/>
        <w:gridCol w:w="2728"/>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3" w:right="53"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7" w:right="89"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8" w:right="88" w:hanging="181"/>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4" w:right="53"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8"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104,120,000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12,735,350</w:t>
            </w:r>
          </w:p>
        </w:tc>
        <w:tc>
          <w:tcPr>
            <w:tcW w:w="1088"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91,384,650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0"/>
              <w:jc w:val="left"/>
              <w:rPr>
                <w:rFonts w:ascii="宋体" w:hAnsi="宋体" w:cs="宋体" w:eastAsia="宋体" w:hint="default"/>
                <w:sz w:val="18"/>
                <w:szCs w:val="18"/>
              </w:rPr>
            </w:pPr>
            <w:r>
              <w:rPr>
                <w:rFonts w:ascii="宋体" w:hAnsi="宋体" w:cs="宋体" w:eastAsia="宋体" w:hint="default"/>
                <w:sz w:val="18"/>
                <w:szCs w:val="18"/>
              </w:rPr>
              <w:t>按董监高股份 相关规定锁定</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按董监高股份相关规定处理</w:t>
            </w:r>
          </w:p>
        </w:tc>
      </w:tr>
      <w:tr>
        <w:trPr>
          <w:trHeight w:val="1026"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1,407,921</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1,407,921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56"/>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 股票激励计划 激励授予</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
              <w:jc w:val="both"/>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日披露 在巨潮资讯网的公告（公告编号： </w:t>
            </w:r>
            <w:r>
              <w:rPr>
                <w:rFonts w:ascii="Times New Roman" w:hAnsi="Times New Roman" w:cs="Times New Roman" w:eastAsia="Times New Roman" w:hint="default"/>
                <w:sz w:val="18"/>
                <w:szCs w:val="18"/>
              </w:rPr>
              <w:t>2018-47</w:t>
            </w:r>
            <w:r>
              <w:rPr>
                <w:rFonts w:ascii="宋体" w:hAnsi="宋体" w:cs="宋体" w:eastAsia="宋体" w:hint="default"/>
                <w:sz w:val="18"/>
                <w:szCs w:val="18"/>
              </w:rPr>
              <w:t>）</w:t>
            </w:r>
          </w:p>
        </w:tc>
      </w:tr>
      <w:tr>
        <w:trPr>
          <w:trHeight w:val="1026"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1,435,122</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1,435,122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56"/>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 股票激励计划 激励授予</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
              <w:jc w:val="both"/>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日披露 在巨潮资讯网的公告（公告编号： </w:t>
            </w:r>
            <w:r>
              <w:rPr>
                <w:rFonts w:ascii="Times New Roman" w:hAnsi="Times New Roman" w:cs="Times New Roman" w:eastAsia="Times New Roman" w:hint="default"/>
                <w:sz w:val="18"/>
                <w:szCs w:val="18"/>
              </w:rPr>
              <w:t>2018-47</w:t>
            </w:r>
            <w:r>
              <w:rPr>
                <w:rFonts w:ascii="宋体" w:hAnsi="宋体" w:cs="宋体" w:eastAsia="宋体" w:hint="default"/>
                <w:sz w:val="18"/>
                <w:szCs w:val="18"/>
              </w:rPr>
              <w:t>）</w:t>
            </w:r>
          </w:p>
        </w:tc>
      </w:tr>
      <w:tr>
        <w:trPr>
          <w:trHeight w:val="1026"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1,161,095</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1,161,095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56"/>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 股票激励计划 激励授予</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
              <w:jc w:val="both"/>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日披露 在巨潮资讯网的公告（公告编号： </w:t>
            </w:r>
            <w:r>
              <w:rPr>
                <w:rFonts w:ascii="Times New Roman" w:hAnsi="Times New Roman" w:cs="Times New Roman" w:eastAsia="Times New Roman" w:hint="default"/>
                <w:sz w:val="18"/>
                <w:szCs w:val="18"/>
              </w:rPr>
              <w:t>2018-47</w:t>
            </w:r>
            <w:r>
              <w:rPr>
                <w:rFonts w:ascii="宋体" w:hAnsi="宋体" w:cs="宋体" w:eastAsia="宋体" w:hint="default"/>
                <w:sz w:val="18"/>
                <w:szCs w:val="18"/>
              </w:rPr>
              <w:t>）</w:t>
            </w:r>
          </w:p>
        </w:tc>
      </w:tr>
      <w:tr>
        <w:trPr>
          <w:trHeight w:val="1026"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267,176</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267,176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56"/>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 股票激励计划 激励授予</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
              <w:jc w:val="both"/>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日披露 在巨潮资讯网的公告（公告编号： </w:t>
            </w:r>
            <w:r>
              <w:rPr>
                <w:rFonts w:ascii="Times New Roman" w:hAnsi="Times New Roman" w:cs="Times New Roman" w:eastAsia="Times New Roman" w:hint="default"/>
                <w:sz w:val="18"/>
                <w:szCs w:val="18"/>
              </w:rPr>
              <w:t>2018-47</w:t>
            </w:r>
            <w:r>
              <w:rPr>
                <w:rFonts w:ascii="宋体" w:hAnsi="宋体" w:cs="宋体" w:eastAsia="宋体" w:hint="default"/>
                <w:sz w:val="18"/>
                <w:szCs w:val="18"/>
              </w:rPr>
              <w:t>）</w:t>
            </w:r>
          </w:p>
        </w:tc>
      </w:tr>
      <w:tr>
        <w:trPr>
          <w:trHeight w:val="1026"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ZHANG</w:t>
            </w:r>
            <w:r>
              <w:rPr>
                <w:rFonts w:ascii="Times New Roman"/>
                <w:spacing w:val="-2"/>
                <w:sz w:val="18"/>
              </w:rPr>
              <w:t> </w:t>
            </w:r>
            <w:r>
              <w:rPr>
                <w:rFonts w:ascii="Times New Roman"/>
                <w:sz w:val="18"/>
              </w:rPr>
              <w:t>JING</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418,307</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418,307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56"/>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 股票激励计划 激励授予</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
              <w:jc w:val="both"/>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日披露 在巨潮资讯网的公告（公告编号： </w:t>
            </w:r>
            <w:r>
              <w:rPr>
                <w:rFonts w:ascii="Times New Roman" w:hAnsi="Times New Roman" w:cs="Times New Roman" w:eastAsia="Times New Roman" w:hint="default"/>
                <w:sz w:val="18"/>
                <w:szCs w:val="18"/>
              </w:rPr>
              <w:t>2018-47</w:t>
            </w:r>
            <w:r>
              <w:rPr>
                <w:rFonts w:ascii="宋体" w:hAnsi="宋体" w:cs="宋体" w:eastAsia="宋体" w:hint="default"/>
                <w:sz w:val="18"/>
                <w:szCs w:val="18"/>
              </w:rPr>
              <w:t>）</w:t>
            </w:r>
          </w:p>
        </w:tc>
      </w:tr>
      <w:tr>
        <w:trPr>
          <w:trHeight w:val="402"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378,834</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378,834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日披露</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2"/>
        <w:gridCol w:w="1019"/>
        <w:gridCol w:w="1087"/>
        <w:gridCol w:w="1088"/>
        <w:gridCol w:w="1019"/>
        <w:gridCol w:w="1315"/>
        <w:gridCol w:w="2728"/>
      </w:tblGrid>
      <w:tr>
        <w:trPr>
          <w:trHeight w:val="674" w:hRule="exact"/>
        </w:trPr>
        <w:tc>
          <w:tcPr>
            <w:tcW w:w="1412"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0"/>
              <w:jc w:val="left"/>
              <w:rPr>
                <w:rFonts w:ascii="宋体" w:hAnsi="宋体" w:cs="宋体" w:eastAsia="宋体" w:hint="default"/>
                <w:sz w:val="18"/>
                <w:szCs w:val="18"/>
              </w:rPr>
            </w:pPr>
            <w:r>
              <w:rPr>
                <w:rFonts w:ascii="宋体" w:hAnsi="宋体" w:cs="宋体" w:eastAsia="宋体" w:hint="default"/>
                <w:sz w:val="18"/>
                <w:szCs w:val="18"/>
              </w:rPr>
              <w:t>股票激励计划 激励授予</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在巨潮资讯网的公告（公告编号：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2018-47</w:t>
            </w:r>
            <w:r>
              <w:rPr>
                <w:rFonts w:ascii="宋体" w:hAnsi="宋体" w:cs="宋体" w:eastAsia="宋体" w:hint="default"/>
                <w:sz w:val="18"/>
                <w:szCs w:val="18"/>
              </w:rPr>
              <w:t>）</w:t>
            </w: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李光华</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0"/>
              <w:jc w:val="left"/>
              <w:rPr>
                <w:rFonts w:ascii="宋体" w:hAnsi="宋体" w:cs="宋体" w:eastAsia="宋体" w:hint="default"/>
                <w:sz w:val="18"/>
                <w:szCs w:val="18"/>
              </w:rPr>
            </w:pPr>
            <w:r>
              <w:rPr>
                <w:rFonts w:ascii="宋体" w:hAnsi="宋体" w:cs="宋体" w:eastAsia="宋体" w:hint="default"/>
                <w:sz w:val="18"/>
                <w:szCs w:val="18"/>
              </w:rPr>
              <w:t>按董监高股份 相关规定锁定</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按董监高股份相关规定处理</w:t>
            </w: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官彦萍</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109,200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109,200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0"/>
              <w:jc w:val="left"/>
              <w:rPr>
                <w:rFonts w:ascii="宋体" w:hAnsi="宋体" w:cs="宋体" w:eastAsia="宋体" w:hint="default"/>
                <w:sz w:val="18"/>
                <w:szCs w:val="18"/>
              </w:rPr>
            </w:pPr>
            <w:r>
              <w:rPr>
                <w:rFonts w:ascii="宋体" w:hAnsi="宋体" w:cs="宋体" w:eastAsia="宋体" w:hint="default"/>
                <w:sz w:val="18"/>
                <w:szCs w:val="18"/>
              </w:rPr>
              <w:t>按董监高股份 相关规定锁定</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按董监高股份相关规定处理</w:t>
            </w:r>
          </w:p>
        </w:tc>
      </w:tr>
      <w:tr>
        <w:trPr>
          <w:trHeight w:val="1026"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6"/>
              <w:jc w:val="left"/>
              <w:rPr>
                <w:rFonts w:ascii="宋体" w:hAnsi="宋体" w:cs="宋体" w:eastAsia="宋体" w:hint="default"/>
                <w:sz w:val="18"/>
                <w:szCs w:val="18"/>
              </w:rPr>
            </w:pPr>
            <w:r>
              <w:rPr>
                <w:rFonts w:ascii="宋体" w:hAnsi="宋体" w:cs="宋体" w:eastAsia="宋体" w:hint="default"/>
                <w:sz w:val="18"/>
                <w:szCs w:val="18"/>
              </w:rPr>
              <w:t>核心管理、技术 业务人员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164 </w:t>
            </w:r>
            <w:r>
              <w:rPr>
                <w:rFonts w:ascii="宋体" w:hAnsi="宋体" w:cs="宋体" w:eastAsia="宋体" w:hint="default"/>
                <w:sz w:val="18"/>
                <w:szCs w:val="18"/>
              </w:rPr>
              <w:t>人</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16" w:lineRule="exact"/>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10,938,957</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10,938,957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56"/>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 股票激励计划 激励授予</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
              <w:jc w:val="both"/>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日披露 在巨潮资讯网的公告（公告编号： </w:t>
            </w:r>
            <w:r>
              <w:rPr>
                <w:rFonts w:ascii="Times New Roman" w:hAnsi="Times New Roman" w:cs="Times New Roman" w:eastAsia="Times New Roman" w:hint="default"/>
                <w:sz w:val="18"/>
                <w:szCs w:val="18"/>
              </w:rPr>
              <w:t>2018-47</w:t>
            </w:r>
            <w:r>
              <w:rPr>
                <w:rFonts w:ascii="宋体" w:hAnsi="宋体" w:cs="宋体" w:eastAsia="宋体" w:hint="default"/>
                <w:sz w:val="18"/>
                <w:szCs w:val="18"/>
              </w:rPr>
              <w:t>）</w:t>
            </w:r>
          </w:p>
        </w:tc>
      </w:tr>
      <w:tr>
        <w:trPr>
          <w:trHeight w:val="402"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104,360,000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12,735,350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16,196,612</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107,821,262</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1122"/>
        <w:jc w:val="left"/>
        <w:rPr>
          <w:b w:val="0"/>
          <w:bCs w:val="0"/>
        </w:rPr>
      </w:pPr>
      <w:r>
        <w:rPr/>
        <w:pict>
          <v:group style="position:absolute;margin-left:127.519997pt;margin-top:-83.264404pt;width:50.5pt;height:35.8pt;mso-position-horizontal-relative:page;mso-position-vertical-relative:paragraph;z-index:-1592848" coordorigin="2550,-1665" coordsize="1010,716">
            <v:group style="position:absolute;left:2550;top:-1665;width:1010;height:312" coordorigin="2550,-1665" coordsize="1010,312">
              <v:shape style="position:absolute;left:2550;top:-1665;width:1010;height:312" coordorigin="2550,-1665" coordsize="1010,312" path="m2550,-1353l3560,-1353,3560,-1665,2550,-1665,2550,-1353xe" filled="true" fillcolor="#ffffff" stroked="false">
                <v:path arrowok="t"/>
                <v:fill type="solid"/>
              </v:shape>
            </v:group>
            <v:group style="position:absolute;left:2562;top:-1353;width:2;height:393" coordorigin="2562,-1353" coordsize="2,393">
              <v:shape style="position:absolute;left:2562;top:-1353;width:2;height:393" coordorigin="2562,-1353" coordsize="0,393" path="m2562,-1353l2562,-961e" filled="false" stroked="true" strokeweight="1.140pt" strokecolor="#ffffff">
                <v:path arrowok="t"/>
              </v:shape>
            </v:group>
            <v:group style="position:absolute;left:2573;top:-1353;width:964;height:393" coordorigin="2573,-1353" coordsize="964,393">
              <v:shape style="position:absolute;left:2573;top:-1353;width:964;height:393" coordorigin="2573,-1353" coordsize="964,393" path="m2573,-961l3537,-961,3537,-1353,2573,-1353,2573,-961xe" filled="true" fillcolor="#ffffff" stroked="false">
                <v:path arrowok="t"/>
                <v:fill type="solid"/>
              </v:shape>
            </v:group>
            <w10:wrap type="none"/>
          </v:group>
        </w:pict>
      </w:r>
      <w:bookmarkStart w:name="二、证券发行与上市情况" w:id="110"/>
      <w:bookmarkEnd w:id="110"/>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公司股份总数由</w:t>
      </w:r>
      <w:r>
        <w:rPr>
          <w:rFonts w:ascii="Times New Roman" w:hAnsi="Times New Roman" w:cs="Times New Roman" w:eastAsia="Times New Roman" w:hint="default"/>
          <w:spacing w:val="-2"/>
        </w:rPr>
        <w:t>4,490,861,600</w:t>
      </w:r>
      <w:r>
        <w:rPr>
          <w:spacing w:val="-2"/>
        </w:rPr>
        <w:t>股减少为</w:t>
      </w:r>
      <w:r>
        <w:rPr>
          <w:rFonts w:ascii="Times New Roman" w:hAnsi="Times New Roman" w:cs="Times New Roman" w:eastAsia="Times New Roman" w:hint="default"/>
          <w:spacing w:val="-2"/>
        </w:rPr>
        <w:t>4,489,969,012</w:t>
      </w:r>
      <w:r>
        <w:rPr>
          <w:spacing w:val="-2"/>
        </w:rPr>
        <w:t>股，原因为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30</w:t>
      </w:r>
      <w:r>
        <w:rPr>
          <w:spacing w:val="-2"/>
        </w:rPr>
        <w:t>日，公司发布了《关于部分已回购股票注销</w:t>
      </w:r>
    </w:p>
    <w:p>
      <w:pPr>
        <w:pStyle w:val="BodyText"/>
        <w:spacing w:line="231" w:lineRule="exact"/>
        <w:ind w:right="0"/>
        <w:jc w:val="left"/>
      </w:pPr>
      <w:r>
        <w:rPr/>
        <w:t>完成的公告》，根据公司股权激励计划相关规定，对本次已回购但并未授予的股票共计</w:t>
      </w:r>
      <w:r>
        <w:rPr>
          <w:rFonts w:ascii="Times New Roman" w:hAnsi="Times New Roman" w:cs="Times New Roman" w:eastAsia="Times New Roman" w:hint="default"/>
        </w:rPr>
        <w:t>475,419</w:t>
      </w:r>
      <w:r>
        <w:rPr>
          <w:rFonts w:ascii="Times New Roman" w:hAnsi="Times New Roman" w:cs="Times New Roman" w:eastAsia="Times New Roman" w:hint="default"/>
          <w:spacing w:val="6"/>
        </w:rPr>
        <w:t> </w:t>
      </w:r>
      <w:r>
        <w:rPr/>
        <w:t>股进行注销处理，注销股份</w:t>
      </w:r>
    </w:p>
    <w:p>
      <w:pPr>
        <w:pStyle w:val="BodyText"/>
        <w:spacing w:line="300" w:lineRule="auto" w:before="63"/>
        <w:ind w:right="0"/>
        <w:jc w:val="left"/>
      </w:pPr>
      <w:r>
        <w:rPr/>
        <w:t>占公司目前总股本的</w:t>
      </w:r>
      <w:r>
        <w:rPr>
          <w:rFonts w:ascii="Times New Roman" w:hAnsi="Times New Roman" w:cs="Times New Roman" w:eastAsia="Times New Roman" w:hint="default"/>
        </w:rPr>
        <w:t>0.01%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日，公司发布了《关于部分已回购股票注销完成的公告》，根据公司股权激励计 </w:t>
      </w:r>
      <w:r>
        <w:rPr>
          <w:spacing w:val="-3"/>
        </w:rPr>
        <w:t>划相关规定，对本次已回购并授予后离职员工持有的股票共计</w:t>
      </w:r>
      <w:r>
        <w:rPr>
          <w:rFonts w:ascii="Times New Roman" w:hAnsi="Times New Roman" w:cs="Times New Roman" w:eastAsia="Times New Roman" w:hint="default"/>
          <w:spacing w:val="-3"/>
        </w:rPr>
        <w:t>417,169</w:t>
      </w:r>
      <w:r>
        <w:rPr>
          <w:spacing w:val="-3"/>
        </w:rPr>
        <w:t>股进行注销处理，注销股份占公司目前总股本的</w:t>
      </w:r>
      <w:r>
        <w:rPr>
          <w:rFonts w:ascii="Times New Roman" w:hAnsi="Times New Roman" w:cs="Times New Roman" w:eastAsia="Times New Roman" w:hint="default"/>
          <w:spacing w:val="-3"/>
        </w:rPr>
        <w:t>0.01%</w:t>
      </w:r>
      <w:r>
        <w:rPr>
          <w:spacing w:val="-3"/>
        </w:rPr>
        <w:t>。</w:t>
      </w:r>
    </w:p>
    <w:p>
      <w:pPr>
        <w:spacing w:line="240" w:lineRule="auto" w:before="1"/>
        <w:rPr>
          <w:rFonts w:ascii="宋体" w:hAnsi="宋体" w:cs="宋体" w:eastAsia="宋体" w:hint="default"/>
          <w:sz w:val="22"/>
          <w:szCs w:val="22"/>
        </w:rPr>
      </w:pPr>
    </w:p>
    <w:p>
      <w:pPr>
        <w:pStyle w:val="Heading3"/>
        <w:spacing w:line="240" w:lineRule="auto"/>
        <w:ind w:right="1122"/>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before="44"/>
        <w:ind w:left="0" w:right="1141"/>
        <w:jc w:val="right"/>
      </w:pPr>
      <w:r>
        <w:rPr/>
        <w:pict>
          <v:shape style="position:absolute;margin-left:56.459999pt;margin-top:-87.848312pt;width:479.2pt;height:154.4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24"/>
                    <w:gridCol w:w="3797"/>
                    <w:gridCol w:w="3148"/>
                  </w:tblGrid>
                  <w:tr>
                    <w:trPr>
                      <w:trHeight w:val="402"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5" w:right="0"/>
                          <w:jc w:val="left"/>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8"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3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r>
                    <w:trPr>
                      <w:trHeight w:val="402"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16,424,581</w:t>
                        </w:r>
                      </w:p>
                    </w:tc>
                  </w:tr>
                  <w:tr>
                    <w:trPr>
                      <w:trHeight w:val="2274"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现存的内部职工股情况的说明</w:t>
                        </w:r>
                      </w:p>
                    </w:tc>
                    <w:tc>
                      <w:tcPr>
                        <w:tcW w:w="6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日在二级市场回购公司股份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1,690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万股，占公司总股本</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0.38%</w:t>
                        </w:r>
                        <w:r>
                          <w:rPr>
                            <w:rFonts w:ascii="宋体" w:hAnsi="宋体" w:cs="宋体" w:eastAsia="宋体" w:hint="default"/>
                            <w:spacing w:val="-8"/>
                            <w:sz w:val="18"/>
                            <w:szCs w:val="18"/>
                          </w:rPr>
                          <w:t>。公</w:t>
                        </w:r>
                        <w:r>
                          <w:rPr>
                            <w:rFonts w:ascii="宋体" w:hAnsi="宋体" w:cs="宋体" w:eastAsia="宋体" w:hint="default"/>
                            <w:sz w:val="18"/>
                            <w:szCs w:val="18"/>
                          </w:rPr>
                        </w:r>
                      </w:p>
                      <w:p>
                        <w:pPr>
                          <w:pStyle w:val="TableParagraph"/>
                          <w:spacing w:line="307" w:lineRule="auto" w:before="63"/>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年限制性股票激励计划实际授予的总人数为</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170</w:t>
                        </w:r>
                        <w:r>
                          <w:rPr>
                            <w:rFonts w:ascii="Times New Roman" w:hAnsi="Times New Roman" w:cs="Times New Roman" w:eastAsia="Times New Roman" w:hint="default"/>
                            <w:spacing w:val="-17"/>
                            <w:sz w:val="18"/>
                            <w:szCs w:val="18"/>
                          </w:rPr>
                          <w:t> </w:t>
                        </w:r>
                        <w:r>
                          <w:rPr>
                            <w:rFonts w:ascii="宋体" w:hAnsi="宋体" w:cs="宋体" w:eastAsia="宋体" w:hint="default"/>
                            <w:spacing w:val="-9"/>
                            <w:sz w:val="18"/>
                            <w:szCs w:val="18"/>
                          </w:rPr>
                          <w:t>人，授予的股票总数为</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1,642.4581 </w:t>
                        </w:r>
                        <w:r>
                          <w:rPr>
                            <w:rFonts w:ascii="宋体" w:hAnsi="宋体" w:cs="宋体" w:eastAsia="宋体" w:hint="default"/>
                            <w:sz w:val="18"/>
                            <w:szCs w:val="18"/>
                          </w:rPr>
                          <w:t>万股，占本次股票授予登记前公司总股本的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0.37%</w:t>
                        </w:r>
                        <w:r>
                          <w:rPr>
                            <w:rFonts w:ascii="宋体" w:hAnsi="宋体" w:cs="宋体" w:eastAsia="宋体" w:hint="default"/>
                            <w:sz w:val="18"/>
                            <w:szCs w:val="18"/>
                          </w:rPr>
                          <w:t>。根据《公司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年限制性股票激励 计划》的有关规定，董事会同意对已离职的限制性股票激励对象李慧、陈徐冬、刘云清 </w:t>
                        </w:r>
                        <w:r>
                          <w:rPr>
                            <w:rFonts w:ascii="宋体" w:hAnsi="宋体" w:cs="宋体" w:eastAsia="宋体" w:hint="default"/>
                            <w:spacing w:val="-7"/>
                            <w:sz w:val="18"/>
                            <w:szCs w:val="18"/>
                          </w:rPr>
                          <w:t>张红、钱凯、吴伟、吴小翠现持有的已获授但尚未解除限售的全部限制性股票合计</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417,169</w:t>
                        </w:r>
                      </w:p>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股进行回购注销。本次回购注销已经完成，公司股份总数将由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4,490,386,181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股减少为</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4,489,969,012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22"/>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149"/>
        <w:gridCol w:w="850"/>
        <w:gridCol w:w="175"/>
        <w:gridCol w:w="879"/>
        <w:gridCol w:w="339"/>
        <w:gridCol w:w="449"/>
        <w:gridCol w:w="724"/>
        <w:gridCol w:w="270"/>
        <w:gridCol w:w="972"/>
        <w:gridCol w:w="1011"/>
        <w:gridCol w:w="140"/>
        <w:gridCol w:w="1207"/>
      </w:tblGrid>
      <w:tr>
        <w:trPr>
          <w:trHeight w:val="16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226,060</w:t>
            </w:r>
          </w:p>
        </w:tc>
        <w:tc>
          <w:tcPr>
            <w:tcW w:w="1174" w:type="dxa"/>
            <w:gridSpan w:val="3"/>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82" w:right="0"/>
              <w:jc w:val="left"/>
              <w:rPr>
                <w:rFonts w:ascii="Times New Roman" w:hAnsi="Times New Roman" w:cs="Times New Roman" w:eastAsia="Times New Roman" w:hint="default"/>
                <w:sz w:val="18"/>
                <w:szCs w:val="18"/>
              </w:rPr>
            </w:pPr>
            <w:r>
              <w:rPr>
                <w:rFonts w:ascii="Times New Roman"/>
                <w:sz w:val="18"/>
              </w:rPr>
              <w:t>252,693</w:t>
            </w:r>
          </w:p>
        </w:tc>
        <w:tc>
          <w:tcPr>
            <w:tcW w:w="117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41"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0</w:t>
            </w:r>
          </w:p>
        </w:tc>
        <w:tc>
          <w:tcPr>
            <w:tcW w:w="11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10"/>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41" w:type="dxa"/>
            <w:gridSpan w:val="2"/>
            <w:vMerge/>
            <w:tcBorders>
              <w:left w:val="single" w:sz="9" w:space="0" w:color="D2D2D2"/>
              <w:right w:val="single" w:sz="9" w:space="0" w:color="D2D2D2"/>
            </w:tcBorders>
          </w:tcPr>
          <w:p>
            <w:pPr/>
          </w:p>
        </w:tc>
        <w:tc>
          <w:tcPr>
            <w:tcW w:w="1152"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41" w:type="dxa"/>
            <w:gridSpan w:val="2"/>
            <w:vMerge/>
            <w:tcBorders>
              <w:left w:val="single" w:sz="9" w:space="0" w:color="D2D2D2"/>
              <w:right w:val="single" w:sz="9" w:space="0" w:color="D2D2D2"/>
            </w:tcBorders>
          </w:tcPr>
          <w:p>
            <w:pPr/>
          </w:p>
        </w:tc>
        <w:tc>
          <w:tcPr>
            <w:tcW w:w="1152"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41" w:type="dxa"/>
            <w:gridSpan w:val="2"/>
            <w:vMerge/>
            <w:tcBorders>
              <w:left w:val="single" w:sz="9" w:space="0" w:color="D2D2D2"/>
              <w:right w:val="single" w:sz="9" w:space="0" w:color="D2D2D2"/>
            </w:tcBorders>
          </w:tcPr>
          <w:p>
            <w:pPr/>
          </w:p>
        </w:tc>
        <w:tc>
          <w:tcPr>
            <w:tcW w:w="1152"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41" w:type="dxa"/>
            <w:gridSpan w:val="2"/>
            <w:vMerge/>
            <w:tcBorders>
              <w:left w:val="single" w:sz="9" w:space="0" w:color="D2D2D2"/>
              <w:right w:val="single" w:sz="9" w:space="0" w:color="D2D2D2"/>
            </w:tcBorders>
          </w:tcPr>
          <w:p>
            <w:pPr/>
          </w:p>
        </w:tc>
        <w:tc>
          <w:tcPr>
            <w:tcW w:w="1152"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bottom w:val="nil" w:sz="6" w:space="0" w:color="auto"/>
              <w:right w:val="single" w:sz="4" w:space="0" w:color="000000"/>
            </w:tcBorders>
            <w:shd w:val="clear" w:color="auto" w:fill="D2D2D2"/>
          </w:tcPr>
          <w:p>
            <w:pPr/>
          </w:p>
        </w:tc>
        <w:tc>
          <w:tcPr>
            <w:tcW w:w="1241" w:type="dxa"/>
            <w:gridSpan w:val="2"/>
            <w:vMerge/>
            <w:tcBorders>
              <w:left w:val="single" w:sz="9" w:space="0" w:color="D2D2D2"/>
              <w:right w:val="single" w:sz="9" w:space="0" w:color="D2D2D2"/>
            </w:tcBorders>
          </w:tcPr>
          <w:p>
            <w:pPr/>
          </w:p>
        </w:tc>
        <w:tc>
          <w:tcPr>
            <w:tcW w:w="1152"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7"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3"/>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17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41" w:type="dxa"/>
            <w:gridSpan w:val="2"/>
            <w:vMerge/>
            <w:tcBorders>
              <w:left w:val="single" w:sz="9" w:space="0" w:color="D2D2D2"/>
              <w:bottom w:val="single" w:sz="4" w:space="0" w:color="000000"/>
              <w:right w:val="single" w:sz="9" w:space="0" w:color="D2D2D2"/>
            </w:tcBorders>
          </w:tcPr>
          <w:p>
            <w:pPr/>
          </w:p>
        </w:tc>
        <w:tc>
          <w:tcPr>
            <w:tcW w:w="1152"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084" w:type="dxa"/>
            <w:gridSpan w:val="2"/>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05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40" w:right="1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35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55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084"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05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50" w:right="7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788"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72" w:type="dxa"/>
            <w:vMerge/>
            <w:tcBorders>
              <w:left w:val="single" w:sz="4" w:space="0" w:color="000000"/>
              <w:right w:val="single" w:sz="4" w:space="0" w:color="000000"/>
            </w:tcBorders>
            <w:shd w:val="clear" w:color="auto" w:fill="D2D2D2"/>
          </w:tcPr>
          <w:p>
            <w:pPr/>
          </w:p>
        </w:tc>
        <w:tc>
          <w:tcPr>
            <w:tcW w:w="2359" w:type="dxa"/>
            <w:gridSpan w:val="3"/>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4" w:type="dxa"/>
            <w:gridSpan w:val="2"/>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72" w:type="dxa"/>
            <w:vMerge/>
            <w:tcBorders>
              <w:left w:val="single" w:sz="4" w:space="0" w:color="000000"/>
              <w:right w:val="single" w:sz="4" w:space="0" w:color="000000"/>
            </w:tcBorders>
            <w:shd w:val="clear" w:color="auto" w:fill="D2D2D2"/>
          </w:tcPr>
          <w:p>
            <w:pPr/>
          </w:p>
        </w:tc>
        <w:tc>
          <w:tcPr>
            <w:tcW w:w="2359"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084"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054" w:type="dxa"/>
            <w:gridSpan w:val="2"/>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72" w:type="dxa"/>
            <w:vMerge/>
            <w:tcBorders>
              <w:left w:val="single" w:sz="4" w:space="0" w:color="000000"/>
              <w:right w:val="single" w:sz="4" w:space="0" w:color="000000"/>
            </w:tcBorders>
            <w:shd w:val="clear" w:color="auto" w:fill="D2D2D2"/>
          </w:tcPr>
          <w:p>
            <w:pP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15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084" w:type="dxa"/>
            <w:gridSpan w:val="2"/>
            <w:vMerge w:val="restart"/>
            <w:tcBorders>
              <w:top w:val="nil" w:sz="6" w:space="0" w:color="auto"/>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1054"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72" w:type="dxa"/>
            <w:vMerge/>
            <w:tcBorders>
              <w:left w:val="single" w:sz="4" w:space="0" w:color="000000"/>
              <w:right w:val="single" w:sz="4" w:space="0" w:color="000000"/>
            </w:tcBorders>
            <w:shd w:val="clear" w:color="auto" w:fill="D2D2D2"/>
          </w:tcPr>
          <w:p>
            <w:pPr/>
          </w:p>
        </w:tc>
        <w:tc>
          <w:tcPr>
            <w:tcW w:w="1011" w:type="dxa"/>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084"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05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972"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江</w:t>
            </w:r>
            <w:r>
              <w:rPr>
                <w:rFonts w:ascii="宋体" w:hAnsi="宋体" w:cs="宋体" w:eastAsia="宋体" w:hint="default"/>
                <w:spacing w:val="-65"/>
                <w:sz w:val="18"/>
                <w:szCs w:val="18"/>
              </w:rPr>
              <w:t> </w:t>
            </w:r>
            <w:r>
              <w:rPr>
                <w:rFonts w:ascii="宋体" w:hAnsi="宋体" w:cs="宋体" w:eastAsia="宋体" w:hint="default"/>
                <w:sz w:val="18"/>
                <w:szCs w:val="18"/>
              </w:rPr>
              <w:t>苏</w:t>
            </w:r>
            <w:r>
              <w:rPr>
                <w:rFonts w:ascii="宋体" w:hAnsi="宋体" w:cs="宋体" w:eastAsia="宋体" w:hint="default"/>
                <w:spacing w:val="-65"/>
                <w:sz w:val="18"/>
                <w:szCs w:val="18"/>
              </w:rPr>
              <w:t> </w:t>
            </w:r>
            <w:r>
              <w:rPr>
                <w:rFonts w:ascii="宋体" w:hAnsi="宋体" w:cs="宋体" w:eastAsia="宋体" w:hint="default"/>
                <w:sz w:val="18"/>
                <w:szCs w:val="18"/>
              </w:rPr>
              <w:t>爱</w:t>
            </w:r>
            <w:r>
              <w:rPr>
                <w:rFonts w:ascii="宋体" w:hAnsi="宋体" w:cs="宋体" w:eastAsia="宋体" w:hint="default"/>
                <w:spacing w:val="-65"/>
                <w:sz w:val="18"/>
                <w:szCs w:val="18"/>
              </w:rPr>
              <w:t> </w:t>
            </w:r>
            <w:r>
              <w:rPr>
                <w:rFonts w:ascii="宋体" w:hAnsi="宋体" w:cs="宋体" w:eastAsia="宋体" w:hint="default"/>
                <w:sz w:val="18"/>
                <w:szCs w:val="18"/>
              </w:rPr>
              <w:t>康</w:t>
            </w:r>
            <w:r>
              <w:rPr>
                <w:rFonts w:ascii="宋体" w:hAnsi="宋体" w:cs="宋体" w:eastAsia="宋体" w:hint="default"/>
                <w:spacing w:val="-65"/>
                <w:sz w:val="18"/>
                <w:szCs w:val="18"/>
              </w:rPr>
              <w:t> </w:t>
            </w:r>
            <w:r>
              <w:rPr>
                <w:rFonts w:ascii="宋体" w:hAnsi="宋体" w:cs="宋体" w:eastAsia="宋体" w:hint="default"/>
                <w:sz w:val="18"/>
                <w:szCs w:val="18"/>
              </w:rPr>
              <w:t>实</w:t>
            </w:r>
            <w:r>
              <w:rPr>
                <w:rFonts w:ascii="宋体" w:hAnsi="宋体" w:cs="宋体" w:eastAsia="宋体" w:hint="default"/>
                <w:spacing w:val="-64"/>
                <w:sz w:val="18"/>
                <w:szCs w:val="18"/>
              </w:rPr>
              <w:t> </w:t>
            </w:r>
            <w:r>
              <w:rPr>
                <w:rFonts w:ascii="宋体" w:hAnsi="宋体" w:cs="宋体" w:eastAsia="宋体" w:hint="default"/>
                <w:sz w:val="18"/>
                <w:szCs w:val="18"/>
              </w:rPr>
              <w:t>业</w:t>
            </w:r>
            <w:r>
              <w:rPr>
                <w:rFonts w:ascii="宋体" w:hAnsi="宋体" w:cs="宋体" w:eastAsia="宋体" w:hint="default"/>
                <w:spacing w:val="-65"/>
                <w:sz w:val="18"/>
                <w:szCs w:val="18"/>
              </w:rPr>
              <w:t> </w:t>
            </w:r>
            <w:r>
              <w:rPr>
                <w:rFonts w:ascii="宋体" w:hAnsi="宋体" w:cs="宋体" w:eastAsia="宋体" w:hint="default"/>
                <w:sz w:val="18"/>
                <w:szCs w:val="18"/>
              </w:rPr>
              <w:t>集</w:t>
            </w:r>
            <w:r>
              <w:rPr>
                <w:rFonts w:ascii="宋体" w:hAnsi="宋体" w:cs="宋体" w:eastAsia="宋体" w:hint="default"/>
                <w:sz w:val="18"/>
                <w:szCs w:val="18"/>
              </w:rPr>
              <w:t> 团有限公司</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4"/>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60"/>
                <w:sz w:val="18"/>
                <w:szCs w:val="18"/>
              </w:rPr>
              <w:t> </w:t>
            </w:r>
            <w:r>
              <w:rPr>
                <w:rFonts w:ascii="宋体" w:hAnsi="宋体" w:cs="宋体" w:eastAsia="宋体" w:hint="default"/>
                <w:sz w:val="18"/>
                <w:szCs w:val="18"/>
              </w:rPr>
              <w:t>内</w:t>
            </w:r>
            <w:r>
              <w:rPr>
                <w:rFonts w:ascii="宋体" w:hAnsi="宋体" w:cs="宋体" w:eastAsia="宋体" w:hint="default"/>
                <w:spacing w:val="-60"/>
                <w:sz w:val="18"/>
                <w:szCs w:val="18"/>
              </w:rPr>
              <w:t> </w:t>
            </w:r>
            <w:r>
              <w:rPr>
                <w:rFonts w:ascii="宋体" w:hAnsi="宋体" w:cs="宋体" w:eastAsia="宋体" w:hint="default"/>
                <w:sz w:val="18"/>
                <w:szCs w:val="18"/>
              </w:rPr>
              <w:t>非</w:t>
            </w:r>
            <w:r>
              <w:rPr>
                <w:rFonts w:ascii="宋体" w:hAnsi="宋体" w:cs="宋体" w:eastAsia="宋体" w:hint="default"/>
                <w:spacing w:val="-58"/>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z w:val="18"/>
                <w:szCs w:val="18"/>
              </w:rPr>
              <w:t>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15.66%</w:t>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703,082,000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159,086,000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543,996,000</w:t>
            </w:r>
          </w:p>
        </w:tc>
        <w:tc>
          <w:tcPr>
            <w:tcW w:w="1011"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158"/>
              <w:ind w:left="20"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533,551,666</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爱</w:t>
            </w:r>
            <w:r>
              <w:rPr>
                <w:rFonts w:ascii="宋体" w:hAnsi="宋体" w:cs="宋体" w:eastAsia="宋体" w:hint="default"/>
                <w:spacing w:val="-65"/>
                <w:sz w:val="18"/>
                <w:szCs w:val="18"/>
              </w:rPr>
              <w:t> </w:t>
            </w:r>
            <w:r>
              <w:rPr>
                <w:rFonts w:ascii="宋体" w:hAnsi="宋体" w:cs="宋体" w:eastAsia="宋体" w:hint="default"/>
                <w:sz w:val="18"/>
                <w:szCs w:val="18"/>
              </w:rPr>
              <w:t>康</w:t>
            </w:r>
            <w:r>
              <w:rPr>
                <w:rFonts w:ascii="宋体" w:hAnsi="宋体" w:cs="宋体" w:eastAsia="宋体" w:hint="default"/>
                <w:spacing w:val="-65"/>
                <w:sz w:val="18"/>
                <w:szCs w:val="18"/>
              </w:rPr>
              <w:t> </w:t>
            </w:r>
            <w:r>
              <w:rPr>
                <w:rFonts w:ascii="宋体" w:hAnsi="宋体" w:cs="宋体" w:eastAsia="宋体" w:hint="default"/>
                <w:sz w:val="18"/>
                <w:szCs w:val="18"/>
              </w:rPr>
              <w:t>国</w:t>
            </w:r>
            <w:r>
              <w:rPr>
                <w:rFonts w:ascii="宋体" w:hAnsi="宋体" w:cs="宋体" w:eastAsia="宋体" w:hint="default"/>
                <w:spacing w:val="-65"/>
                <w:sz w:val="18"/>
                <w:szCs w:val="18"/>
              </w:rPr>
              <w:t> </w:t>
            </w:r>
            <w:r>
              <w:rPr>
                <w:rFonts w:ascii="宋体" w:hAnsi="宋体" w:cs="宋体" w:eastAsia="宋体" w:hint="default"/>
                <w:sz w:val="18"/>
                <w:szCs w:val="18"/>
              </w:rPr>
              <w:t>际</w:t>
            </w:r>
            <w:r>
              <w:rPr>
                <w:rFonts w:ascii="宋体" w:hAnsi="宋体" w:cs="宋体" w:eastAsia="宋体" w:hint="default"/>
                <w:spacing w:val="-65"/>
                <w:sz w:val="18"/>
                <w:szCs w:val="18"/>
              </w:rPr>
              <w:t> </w:t>
            </w:r>
            <w:r>
              <w:rPr>
                <w:rFonts w:ascii="宋体" w:hAnsi="宋体" w:cs="宋体" w:eastAsia="宋体" w:hint="default"/>
                <w:sz w:val="18"/>
                <w:szCs w:val="18"/>
              </w:rPr>
              <w:t>控</w:t>
            </w:r>
            <w:r>
              <w:rPr>
                <w:rFonts w:ascii="宋体" w:hAnsi="宋体" w:cs="宋体" w:eastAsia="宋体" w:hint="default"/>
                <w:spacing w:val="-64"/>
                <w:sz w:val="18"/>
                <w:szCs w:val="18"/>
              </w:rPr>
              <w:t> </w:t>
            </w:r>
            <w:r>
              <w:rPr>
                <w:rFonts w:ascii="宋体" w:hAnsi="宋体" w:cs="宋体" w:eastAsia="宋体" w:hint="default"/>
                <w:sz w:val="18"/>
                <w:szCs w:val="18"/>
              </w:rPr>
              <w:t>股</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5.25%</w:t>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235,920,200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235,920,200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235,920,000</w:t>
            </w:r>
          </w:p>
        </w:tc>
      </w:tr>
      <w:tr>
        <w:trPr>
          <w:trHeight w:val="196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国</w:t>
            </w:r>
            <w:r>
              <w:rPr>
                <w:rFonts w:ascii="宋体" w:hAnsi="宋体" w:cs="宋体" w:eastAsia="宋体" w:hint="default"/>
                <w:spacing w:val="-65"/>
                <w:sz w:val="18"/>
                <w:szCs w:val="18"/>
              </w:rPr>
              <w:t> </w:t>
            </w:r>
            <w:r>
              <w:rPr>
                <w:rFonts w:ascii="宋体" w:hAnsi="宋体" w:cs="宋体" w:eastAsia="宋体" w:hint="default"/>
                <w:sz w:val="18"/>
                <w:szCs w:val="18"/>
              </w:rPr>
              <w:t>寿</w:t>
            </w:r>
            <w:r>
              <w:rPr>
                <w:rFonts w:ascii="宋体" w:hAnsi="宋体" w:cs="宋体" w:eastAsia="宋体" w:hint="default"/>
                <w:spacing w:val="-65"/>
                <w:sz w:val="18"/>
                <w:szCs w:val="18"/>
              </w:rPr>
              <w:t> </w:t>
            </w:r>
            <w:r>
              <w:rPr>
                <w:rFonts w:ascii="宋体" w:hAnsi="宋体" w:cs="宋体" w:eastAsia="宋体" w:hint="default"/>
                <w:sz w:val="18"/>
                <w:szCs w:val="18"/>
              </w:rPr>
              <w:t>安</w:t>
            </w:r>
            <w:r>
              <w:rPr>
                <w:rFonts w:ascii="宋体" w:hAnsi="宋体" w:cs="宋体" w:eastAsia="宋体" w:hint="default"/>
                <w:spacing w:val="-65"/>
                <w:sz w:val="18"/>
                <w:szCs w:val="18"/>
              </w:rPr>
              <w:t> </w:t>
            </w:r>
            <w:r>
              <w:rPr>
                <w:rFonts w:ascii="宋体" w:hAnsi="宋体" w:cs="宋体" w:eastAsia="宋体" w:hint="default"/>
                <w:sz w:val="18"/>
                <w:szCs w:val="18"/>
              </w:rPr>
              <w:t>保</w:t>
            </w:r>
            <w:r>
              <w:rPr>
                <w:rFonts w:ascii="宋体" w:hAnsi="宋体" w:cs="宋体" w:eastAsia="宋体" w:hint="default"/>
                <w:spacing w:val="-65"/>
                <w:sz w:val="18"/>
                <w:szCs w:val="18"/>
              </w:rPr>
              <w:t> </w:t>
            </w:r>
            <w:r>
              <w:rPr>
                <w:rFonts w:ascii="宋体" w:hAnsi="宋体" w:cs="宋体" w:eastAsia="宋体" w:hint="default"/>
                <w:sz w:val="18"/>
                <w:szCs w:val="18"/>
              </w:rPr>
              <w:t>基</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5"/>
                <w:sz w:val="18"/>
                <w:szCs w:val="18"/>
              </w:rPr>
              <w:t> </w:t>
            </w:r>
            <w:r>
              <w:rPr>
                <w:rFonts w:ascii="宋体" w:hAnsi="宋体" w:cs="宋体" w:eastAsia="宋体" w:hint="default"/>
                <w:sz w:val="18"/>
                <w:szCs w:val="18"/>
              </w:rPr>
              <w:t>－</w:t>
            </w:r>
            <w:r>
              <w:rPr>
                <w:rFonts w:ascii="宋体" w:hAnsi="宋体" w:cs="宋体" w:eastAsia="宋体" w:hint="default"/>
                <w:sz w:val="18"/>
                <w:szCs w:val="18"/>
              </w:rPr>
              <w:t> 渤</w:t>
            </w:r>
            <w:r>
              <w:rPr>
                <w:rFonts w:ascii="宋体" w:hAnsi="宋体" w:cs="宋体" w:eastAsia="宋体" w:hint="default"/>
                <w:spacing w:val="-65"/>
                <w:sz w:val="18"/>
                <w:szCs w:val="18"/>
              </w:rPr>
              <w:t> </w:t>
            </w:r>
            <w:r>
              <w:rPr>
                <w:rFonts w:ascii="宋体" w:hAnsi="宋体" w:cs="宋体" w:eastAsia="宋体" w:hint="default"/>
                <w:sz w:val="18"/>
                <w:szCs w:val="18"/>
              </w:rPr>
              <w:t>海</w:t>
            </w:r>
            <w:r>
              <w:rPr>
                <w:rFonts w:ascii="宋体" w:hAnsi="宋体" w:cs="宋体" w:eastAsia="宋体" w:hint="default"/>
                <w:spacing w:val="-65"/>
                <w:sz w:val="18"/>
                <w:szCs w:val="18"/>
              </w:rPr>
              <w:t> </w:t>
            </w:r>
            <w:r>
              <w:rPr>
                <w:rFonts w:ascii="宋体" w:hAnsi="宋体" w:cs="宋体" w:eastAsia="宋体" w:hint="default"/>
                <w:sz w:val="18"/>
                <w:szCs w:val="18"/>
              </w:rPr>
              <w:t>银</w:t>
            </w:r>
            <w:r>
              <w:rPr>
                <w:rFonts w:ascii="宋体" w:hAnsi="宋体" w:cs="宋体" w:eastAsia="宋体" w:hint="default"/>
                <w:spacing w:val="-65"/>
                <w:sz w:val="18"/>
                <w:szCs w:val="18"/>
              </w:rPr>
              <w:t> </w:t>
            </w:r>
            <w:r>
              <w:rPr>
                <w:rFonts w:ascii="宋体" w:hAnsi="宋体" w:cs="宋体" w:eastAsia="宋体" w:hint="default"/>
                <w:sz w:val="18"/>
                <w:szCs w:val="18"/>
              </w:rPr>
              <w:t>行</w:t>
            </w:r>
            <w:r>
              <w:rPr>
                <w:rFonts w:ascii="宋体" w:hAnsi="宋体" w:cs="宋体" w:eastAsia="宋体" w:hint="default"/>
                <w:spacing w:val="-65"/>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华</w:t>
            </w:r>
            <w:r>
              <w:rPr>
                <w:rFonts w:ascii="宋体" w:hAnsi="宋体" w:cs="宋体" w:eastAsia="宋体" w:hint="default"/>
                <w:spacing w:val="-65"/>
                <w:sz w:val="18"/>
                <w:szCs w:val="18"/>
              </w:rPr>
              <w:t> </w:t>
            </w:r>
            <w:r>
              <w:rPr>
                <w:rFonts w:ascii="宋体" w:hAnsi="宋体" w:cs="宋体" w:eastAsia="宋体" w:hint="default"/>
                <w:sz w:val="18"/>
                <w:szCs w:val="18"/>
              </w:rPr>
              <w:t>鑫</w:t>
            </w:r>
            <w:r>
              <w:rPr>
                <w:rFonts w:ascii="宋体" w:hAnsi="宋体" w:cs="宋体" w:eastAsia="宋体" w:hint="default"/>
                <w:sz w:val="18"/>
                <w:szCs w:val="18"/>
              </w:rPr>
              <w:t> 国</w:t>
            </w:r>
            <w:r>
              <w:rPr>
                <w:rFonts w:ascii="宋体" w:hAnsi="宋体" w:cs="宋体" w:eastAsia="宋体" w:hint="default"/>
                <w:spacing w:val="-65"/>
                <w:sz w:val="18"/>
                <w:szCs w:val="18"/>
              </w:rPr>
              <w:t> </w:t>
            </w:r>
            <w:r>
              <w:rPr>
                <w:rFonts w:ascii="宋体" w:hAnsi="宋体" w:cs="宋体" w:eastAsia="宋体" w:hint="default"/>
                <w:sz w:val="18"/>
                <w:szCs w:val="18"/>
              </w:rPr>
              <w:t>际</w:t>
            </w:r>
            <w:r>
              <w:rPr>
                <w:rFonts w:ascii="宋体" w:hAnsi="宋体" w:cs="宋体" w:eastAsia="宋体" w:hint="default"/>
                <w:spacing w:val="-65"/>
                <w:sz w:val="18"/>
                <w:szCs w:val="18"/>
              </w:rPr>
              <w:t> </w:t>
            </w:r>
            <w:r>
              <w:rPr>
                <w:rFonts w:ascii="宋体" w:hAnsi="宋体" w:cs="宋体" w:eastAsia="宋体" w:hint="default"/>
                <w:sz w:val="18"/>
                <w:szCs w:val="18"/>
              </w:rPr>
              <w:t>信</w:t>
            </w:r>
            <w:r>
              <w:rPr>
                <w:rFonts w:ascii="宋体" w:hAnsi="宋体" w:cs="宋体" w:eastAsia="宋体" w:hint="default"/>
                <w:spacing w:val="-65"/>
                <w:sz w:val="18"/>
                <w:szCs w:val="18"/>
              </w:rPr>
              <w:t> </w:t>
            </w:r>
            <w:r>
              <w:rPr>
                <w:rFonts w:ascii="宋体" w:hAnsi="宋体" w:cs="宋体" w:eastAsia="宋体" w:hint="default"/>
                <w:sz w:val="18"/>
                <w:szCs w:val="18"/>
              </w:rPr>
              <w:t>托</w:t>
            </w:r>
            <w:r>
              <w:rPr>
                <w:rFonts w:ascii="宋体" w:hAnsi="宋体" w:cs="宋体" w:eastAsia="宋体" w:hint="default"/>
                <w:spacing w:val="-65"/>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华</w:t>
            </w:r>
            <w:r>
              <w:rPr>
                <w:rFonts w:ascii="宋体" w:hAnsi="宋体" w:cs="宋体" w:eastAsia="宋体" w:hint="default"/>
                <w:spacing w:val="-65"/>
                <w:sz w:val="18"/>
                <w:szCs w:val="18"/>
              </w:rPr>
              <w:t> </w:t>
            </w:r>
            <w:r>
              <w:rPr>
                <w:rFonts w:ascii="宋体" w:hAnsi="宋体" w:cs="宋体" w:eastAsia="宋体" w:hint="default"/>
                <w:sz w:val="18"/>
                <w:szCs w:val="18"/>
              </w:rPr>
              <w:t>鑫</w:t>
            </w:r>
            <w:r>
              <w:rPr>
                <w:rFonts w:ascii="宋体" w:hAnsi="宋体" w:cs="宋体" w:eastAsia="宋体" w:hint="default"/>
                <w:sz w:val="18"/>
                <w:szCs w:val="18"/>
              </w:rPr>
              <w:t> 信托</w:t>
            </w:r>
            <w:r>
              <w:rPr>
                <w:rFonts w:ascii="Times New Roman" w:hAnsi="Times New Roman" w:cs="Times New Roman" w:eastAsia="Times New Roman" w:hint="default"/>
                <w:sz w:val="18"/>
                <w:szCs w:val="18"/>
              </w:rPr>
              <w:t>·</w:t>
            </w:r>
            <w:r>
              <w:rPr>
                <w:rFonts w:ascii="宋体" w:hAnsi="宋体" w:cs="宋体" w:eastAsia="宋体" w:hint="default"/>
                <w:sz w:val="18"/>
                <w:szCs w:val="18"/>
              </w:rPr>
              <w:t>慧智投资 </w:t>
            </w:r>
            <w:r>
              <w:rPr>
                <w:rFonts w:ascii="Times New Roman" w:hAnsi="Times New Roman" w:cs="Times New Roman" w:eastAsia="Times New Roman" w:hint="default"/>
                <w:sz w:val="18"/>
                <w:szCs w:val="18"/>
              </w:rPr>
              <w:t>60 </w:t>
            </w:r>
            <w:r>
              <w:rPr>
                <w:rFonts w:ascii="宋体" w:hAnsi="宋体" w:cs="宋体" w:eastAsia="宋体" w:hint="default"/>
                <w:sz w:val="18"/>
                <w:szCs w:val="18"/>
              </w:rPr>
              <w:t>号</w:t>
            </w:r>
            <w:r>
              <w:rPr>
                <w:rFonts w:ascii="宋体" w:hAnsi="宋体" w:cs="宋体" w:eastAsia="宋体" w:hint="default"/>
                <w:spacing w:val="-65"/>
                <w:sz w:val="18"/>
                <w:szCs w:val="18"/>
              </w:rPr>
              <w:t> </w:t>
            </w:r>
            <w:r>
              <w:rPr>
                <w:rFonts w:ascii="宋体" w:hAnsi="宋体" w:cs="宋体" w:eastAsia="宋体" w:hint="default"/>
                <w:sz w:val="18"/>
                <w:szCs w:val="18"/>
              </w:rPr>
              <w:t>结</w:t>
            </w:r>
            <w:r>
              <w:rPr>
                <w:rFonts w:ascii="宋体" w:hAnsi="宋体" w:cs="宋体" w:eastAsia="宋体" w:hint="default"/>
                <w:spacing w:val="-65"/>
                <w:sz w:val="18"/>
                <w:szCs w:val="18"/>
              </w:rPr>
              <w:t> </w:t>
            </w:r>
            <w:r>
              <w:rPr>
                <w:rFonts w:ascii="宋体" w:hAnsi="宋体" w:cs="宋体" w:eastAsia="宋体" w:hint="default"/>
                <w:sz w:val="18"/>
                <w:szCs w:val="18"/>
              </w:rPr>
              <w:t>构</w:t>
            </w:r>
            <w:r>
              <w:rPr>
                <w:rFonts w:ascii="宋体" w:hAnsi="宋体" w:cs="宋体" w:eastAsia="宋体" w:hint="default"/>
                <w:spacing w:val="-65"/>
                <w:sz w:val="18"/>
                <w:szCs w:val="18"/>
              </w:rPr>
              <w:t> </w:t>
            </w:r>
            <w:r>
              <w:rPr>
                <w:rFonts w:ascii="宋体" w:hAnsi="宋体" w:cs="宋体" w:eastAsia="宋体" w:hint="default"/>
                <w:sz w:val="18"/>
                <w:szCs w:val="18"/>
              </w:rPr>
              <w:t>化</w:t>
            </w:r>
            <w:r>
              <w:rPr>
                <w:rFonts w:ascii="宋体" w:hAnsi="宋体" w:cs="宋体" w:eastAsia="宋体" w:hint="default"/>
                <w:spacing w:val="-65"/>
                <w:sz w:val="18"/>
                <w:szCs w:val="18"/>
              </w:rPr>
              <w:t> </w:t>
            </w:r>
            <w:r>
              <w:rPr>
                <w:rFonts w:ascii="宋体" w:hAnsi="宋体" w:cs="宋体" w:eastAsia="宋体" w:hint="default"/>
                <w:sz w:val="18"/>
                <w:szCs w:val="18"/>
              </w:rPr>
              <w:t>集</w:t>
            </w:r>
            <w:r>
              <w:rPr>
                <w:rFonts w:ascii="宋体" w:hAnsi="宋体" w:cs="宋体" w:eastAsia="宋体" w:hint="default"/>
                <w:spacing w:val="-64"/>
                <w:sz w:val="18"/>
                <w:szCs w:val="18"/>
              </w:rPr>
              <w:t> </w:t>
            </w:r>
            <w:r>
              <w:rPr>
                <w:rFonts w:ascii="宋体" w:hAnsi="宋体" w:cs="宋体" w:eastAsia="宋体" w:hint="default"/>
                <w:sz w:val="18"/>
                <w:szCs w:val="18"/>
              </w:rPr>
              <w:t>合</w:t>
            </w:r>
            <w:r>
              <w:rPr>
                <w:rFonts w:ascii="宋体" w:hAnsi="宋体" w:cs="宋体" w:eastAsia="宋体" w:hint="default"/>
                <w:spacing w:val="-65"/>
                <w:sz w:val="18"/>
                <w:szCs w:val="18"/>
              </w:rPr>
              <w:t> </w:t>
            </w:r>
            <w:r>
              <w:rPr>
                <w:rFonts w:ascii="宋体" w:hAnsi="宋体" w:cs="宋体" w:eastAsia="宋体" w:hint="default"/>
                <w:sz w:val="18"/>
                <w:szCs w:val="18"/>
              </w:rPr>
              <w:t>资</w:t>
            </w:r>
            <w:r>
              <w:rPr>
                <w:rFonts w:ascii="宋体" w:hAnsi="宋体" w:cs="宋体" w:eastAsia="宋体" w:hint="default"/>
                <w:sz w:val="18"/>
                <w:szCs w:val="18"/>
              </w:rPr>
              <w:t> 金信托计划</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3.24%</w:t>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145,488,100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145,488,100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建</w:t>
            </w:r>
            <w:r>
              <w:rPr>
                <w:rFonts w:ascii="宋体" w:hAnsi="宋体" w:cs="宋体" w:eastAsia="宋体" w:hint="default"/>
                <w:spacing w:val="-65"/>
                <w:sz w:val="18"/>
                <w:szCs w:val="18"/>
              </w:rPr>
              <w:t> </w:t>
            </w:r>
            <w:r>
              <w:rPr>
                <w:rFonts w:ascii="宋体" w:hAnsi="宋体" w:cs="宋体" w:eastAsia="宋体" w:hint="default"/>
                <w:sz w:val="18"/>
                <w:szCs w:val="18"/>
              </w:rPr>
              <w:t>信</w:t>
            </w:r>
            <w:r>
              <w:rPr>
                <w:rFonts w:ascii="宋体" w:hAnsi="宋体" w:cs="宋体" w:eastAsia="宋体" w:hint="default"/>
                <w:spacing w:val="-65"/>
                <w:sz w:val="18"/>
                <w:szCs w:val="18"/>
              </w:rPr>
              <w:t> </w:t>
            </w:r>
            <w:r>
              <w:rPr>
                <w:rFonts w:ascii="宋体" w:hAnsi="宋体" w:cs="宋体" w:eastAsia="宋体" w:hint="default"/>
                <w:sz w:val="18"/>
                <w:szCs w:val="18"/>
              </w:rPr>
              <w:t>基</w:t>
            </w:r>
            <w:r>
              <w:rPr>
                <w:rFonts w:ascii="宋体" w:hAnsi="宋体" w:cs="宋体" w:eastAsia="宋体" w:hint="default"/>
                <w:spacing w:val="-65"/>
                <w:sz w:val="18"/>
                <w:szCs w:val="18"/>
              </w:rPr>
              <w:t> </w:t>
            </w:r>
            <w:r>
              <w:rPr>
                <w:rFonts w:ascii="宋体" w:hAnsi="宋体" w:cs="宋体" w:eastAsia="宋体" w:hint="default"/>
                <w:sz w:val="18"/>
                <w:szCs w:val="18"/>
              </w:rPr>
              <w:t>金</w:t>
            </w:r>
            <w:r>
              <w:rPr>
                <w:rFonts w:ascii="宋体" w:hAnsi="宋体" w:cs="宋体" w:eastAsia="宋体" w:hint="default"/>
                <w:spacing w:val="-65"/>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兴</w:t>
            </w:r>
            <w:r>
              <w:rPr>
                <w:rFonts w:ascii="宋体" w:hAnsi="宋体" w:cs="宋体" w:eastAsia="宋体" w:hint="default"/>
                <w:spacing w:val="-65"/>
                <w:sz w:val="18"/>
                <w:szCs w:val="18"/>
              </w:rPr>
              <w:t> </w:t>
            </w:r>
            <w:r>
              <w:rPr>
                <w:rFonts w:ascii="宋体" w:hAnsi="宋体" w:cs="宋体" w:eastAsia="宋体" w:hint="default"/>
                <w:sz w:val="18"/>
                <w:szCs w:val="18"/>
              </w:rPr>
              <w:t>业</w:t>
            </w:r>
            <w:r>
              <w:rPr>
                <w:rFonts w:ascii="宋体" w:hAnsi="宋体" w:cs="宋体" w:eastAsia="宋体" w:hint="default"/>
                <w:sz w:val="18"/>
                <w:szCs w:val="18"/>
              </w:rPr>
              <w:t> 银</w:t>
            </w:r>
            <w:r>
              <w:rPr>
                <w:rFonts w:ascii="宋体" w:hAnsi="宋体" w:cs="宋体" w:eastAsia="宋体" w:hint="default"/>
                <w:spacing w:val="-65"/>
                <w:sz w:val="18"/>
                <w:szCs w:val="18"/>
              </w:rPr>
              <w:t> </w:t>
            </w:r>
            <w:r>
              <w:rPr>
                <w:rFonts w:ascii="宋体" w:hAnsi="宋体" w:cs="宋体" w:eastAsia="宋体" w:hint="default"/>
                <w:sz w:val="18"/>
                <w:szCs w:val="18"/>
              </w:rPr>
              <w:t>行</w:t>
            </w:r>
            <w:r>
              <w:rPr>
                <w:rFonts w:ascii="宋体" w:hAnsi="宋体" w:cs="宋体" w:eastAsia="宋体" w:hint="default"/>
                <w:spacing w:val="-65"/>
                <w:sz w:val="18"/>
                <w:szCs w:val="18"/>
              </w:rPr>
              <w:t> </w:t>
            </w:r>
            <w:r>
              <w:rPr>
                <w:rFonts w:ascii="宋体" w:hAnsi="宋体" w:cs="宋体" w:eastAsia="宋体" w:hint="default"/>
                <w:sz w:val="18"/>
                <w:szCs w:val="18"/>
              </w:rPr>
              <w:t>－</w:t>
            </w:r>
            <w:r>
              <w:rPr>
                <w:rFonts w:ascii="宋体" w:hAnsi="宋体" w:cs="宋体" w:eastAsia="宋体" w:hint="default"/>
                <w:spacing w:val="-65"/>
                <w:sz w:val="18"/>
                <w:szCs w:val="18"/>
              </w:rPr>
              <w:t> </w:t>
            </w:r>
            <w:r>
              <w:rPr>
                <w:rFonts w:ascii="宋体" w:hAnsi="宋体" w:cs="宋体" w:eastAsia="宋体" w:hint="default"/>
                <w:sz w:val="18"/>
                <w:szCs w:val="18"/>
              </w:rPr>
              <w:t>华</w:t>
            </w:r>
            <w:r>
              <w:rPr>
                <w:rFonts w:ascii="宋体" w:hAnsi="宋体" w:cs="宋体" w:eastAsia="宋体" w:hint="default"/>
                <w:spacing w:val="-65"/>
                <w:sz w:val="18"/>
                <w:szCs w:val="18"/>
              </w:rPr>
              <w:t> </w:t>
            </w:r>
            <w:r>
              <w:rPr>
                <w:rFonts w:ascii="宋体" w:hAnsi="宋体" w:cs="宋体" w:eastAsia="宋体" w:hint="default"/>
                <w:sz w:val="18"/>
                <w:szCs w:val="18"/>
              </w:rPr>
              <w:t>鑫</w:t>
            </w:r>
            <w:r>
              <w:rPr>
                <w:rFonts w:ascii="宋体" w:hAnsi="宋体" w:cs="宋体" w:eastAsia="宋体" w:hint="default"/>
                <w:spacing w:val="-64"/>
                <w:sz w:val="18"/>
                <w:szCs w:val="18"/>
              </w:rPr>
              <w:t> </w:t>
            </w:r>
            <w:r>
              <w:rPr>
                <w:rFonts w:ascii="宋体" w:hAnsi="宋体" w:cs="宋体" w:eastAsia="宋体" w:hint="default"/>
                <w:sz w:val="18"/>
                <w:szCs w:val="18"/>
              </w:rPr>
              <w:t>国</w:t>
            </w:r>
            <w:r>
              <w:rPr>
                <w:rFonts w:ascii="宋体" w:hAnsi="宋体" w:cs="宋体" w:eastAsia="宋体" w:hint="default"/>
                <w:spacing w:val="-65"/>
                <w:sz w:val="18"/>
                <w:szCs w:val="18"/>
              </w:rPr>
              <w:t> </w:t>
            </w:r>
            <w:r>
              <w:rPr>
                <w:rFonts w:ascii="宋体" w:hAnsi="宋体" w:cs="宋体" w:eastAsia="宋体" w:hint="default"/>
                <w:sz w:val="18"/>
                <w:szCs w:val="18"/>
              </w:rPr>
              <w:t>际</w:t>
            </w:r>
            <w:r>
              <w:rPr>
                <w:rFonts w:ascii="宋体" w:hAnsi="宋体" w:cs="宋体" w:eastAsia="宋体" w:hint="default"/>
                <w:sz w:val="18"/>
                <w:szCs w:val="18"/>
              </w:rPr>
              <w:t> 信</w:t>
            </w:r>
            <w:r>
              <w:rPr>
                <w:rFonts w:ascii="宋体" w:hAnsi="宋体" w:cs="宋体" w:eastAsia="宋体" w:hint="default"/>
                <w:spacing w:val="-25"/>
                <w:sz w:val="18"/>
                <w:szCs w:val="18"/>
              </w:rPr>
              <w:t> </w:t>
            </w:r>
            <w:r>
              <w:rPr>
                <w:rFonts w:ascii="宋体" w:hAnsi="宋体" w:cs="宋体" w:eastAsia="宋体" w:hint="default"/>
                <w:sz w:val="18"/>
                <w:szCs w:val="18"/>
              </w:rPr>
              <w:t>托</w:t>
            </w:r>
            <w:r>
              <w:rPr>
                <w:rFonts w:ascii="宋体" w:hAnsi="宋体" w:cs="宋体" w:eastAsia="宋体" w:hint="default"/>
                <w:spacing w:val="-25"/>
                <w:sz w:val="18"/>
                <w:szCs w:val="18"/>
              </w:rPr>
              <w:t> </w:t>
            </w:r>
            <w:r>
              <w:rPr>
                <w:rFonts w:ascii="宋体" w:hAnsi="宋体" w:cs="宋体" w:eastAsia="宋体" w:hint="default"/>
                <w:sz w:val="18"/>
                <w:szCs w:val="18"/>
              </w:rPr>
              <w:t>－</w:t>
            </w:r>
            <w:r>
              <w:rPr>
                <w:rFonts w:ascii="宋体" w:hAnsi="宋体" w:cs="宋体" w:eastAsia="宋体" w:hint="default"/>
                <w:spacing w:val="-24"/>
                <w:sz w:val="18"/>
                <w:szCs w:val="18"/>
              </w:rPr>
              <w:t> </w:t>
            </w:r>
            <w:r>
              <w:rPr>
                <w:rFonts w:ascii="宋体" w:hAnsi="宋体" w:cs="宋体" w:eastAsia="宋体" w:hint="default"/>
                <w:sz w:val="18"/>
                <w:szCs w:val="18"/>
              </w:rPr>
              <w:t>华</w:t>
            </w:r>
            <w:r>
              <w:rPr>
                <w:rFonts w:ascii="宋体" w:hAnsi="宋体" w:cs="宋体" w:eastAsia="宋体" w:hint="default"/>
                <w:spacing w:val="-24"/>
                <w:sz w:val="18"/>
                <w:szCs w:val="18"/>
              </w:rPr>
              <w:t> </w:t>
            </w:r>
            <w:r>
              <w:rPr>
                <w:rFonts w:ascii="宋体" w:hAnsi="宋体" w:cs="宋体" w:eastAsia="宋体" w:hint="default"/>
                <w:sz w:val="18"/>
                <w:szCs w:val="18"/>
              </w:rPr>
              <w:t>鑫</w:t>
            </w:r>
            <w:r>
              <w:rPr>
                <w:rFonts w:ascii="宋体" w:hAnsi="宋体" w:cs="宋体" w:eastAsia="宋体" w:hint="default"/>
                <w:spacing w:val="-25"/>
                <w:sz w:val="18"/>
                <w:szCs w:val="18"/>
              </w:rPr>
              <w:t> </w:t>
            </w:r>
            <w:r>
              <w:rPr>
                <w:rFonts w:ascii="宋体" w:hAnsi="宋体" w:cs="宋体" w:eastAsia="宋体" w:hint="default"/>
                <w:sz w:val="18"/>
                <w:szCs w:val="18"/>
              </w:rPr>
              <w:t>信</w:t>
            </w:r>
            <w:r>
              <w:rPr>
                <w:rFonts w:ascii="宋体" w:hAnsi="宋体" w:cs="宋体" w:eastAsia="宋体" w:hint="default"/>
                <w:sz w:val="18"/>
                <w:szCs w:val="18"/>
              </w:rPr>
              <w:t> 托</w:t>
            </w:r>
            <w:r>
              <w:rPr>
                <w:rFonts w:ascii="Times New Roman" w:hAnsi="Times New Roman" w:cs="Times New Roman" w:eastAsia="Times New Roman" w:hint="default"/>
                <w:sz w:val="18"/>
                <w:szCs w:val="18"/>
              </w:rPr>
              <w:t>·</w:t>
            </w:r>
            <w:r>
              <w:rPr>
                <w:rFonts w:ascii="宋体" w:hAnsi="宋体" w:cs="宋体" w:eastAsia="宋体" w:hint="default"/>
                <w:sz w:val="18"/>
                <w:szCs w:val="18"/>
              </w:rPr>
              <w:t>慧智投资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58 </w:t>
            </w:r>
            <w:r>
              <w:rPr>
                <w:rFonts w:ascii="宋体" w:hAnsi="宋体" w:cs="宋体" w:eastAsia="宋体" w:hint="default"/>
                <w:sz w:val="18"/>
                <w:szCs w:val="18"/>
              </w:rPr>
              <w:t>号 结</w:t>
            </w:r>
            <w:r>
              <w:rPr>
                <w:rFonts w:ascii="宋体" w:hAnsi="宋体" w:cs="宋体" w:eastAsia="宋体" w:hint="default"/>
                <w:spacing w:val="-65"/>
                <w:sz w:val="18"/>
                <w:szCs w:val="18"/>
              </w:rPr>
              <w:t> </w:t>
            </w:r>
            <w:r>
              <w:rPr>
                <w:rFonts w:ascii="宋体" w:hAnsi="宋体" w:cs="宋体" w:eastAsia="宋体" w:hint="default"/>
                <w:sz w:val="18"/>
                <w:szCs w:val="18"/>
              </w:rPr>
              <w:t>构</w:t>
            </w:r>
            <w:r>
              <w:rPr>
                <w:rFonts w:ascii="宋体" w:hAnsi="宋体" w:cs="宋体" w:eastAsia="宋体" w:hint="default"/>
                <w:spacing w:val="-65"/>
                <w:sz w:val="18"/>
                <w:szCs w:val="18"/>
              </w:rPr>
              <w:t> </w:t>
            </w:r>
            <w:r>
              <w:rPr>
                <w:rFonts w:ascii="宋体" w:hAnsi="宋体" w:cs="宋体" w:eastAsia="宋体" w:hint="default"/>
                <w:sz w:val="18"/>
                <w:szCs w:val="18"/>
              </w:rPr>
              <w:t>化</w:t>
            </w:r>
            <w:r>
              <w:rPr>
                <w:rFonts w:ascii="宋体" w:hAnsi="宋体" w:cs="宋体" w:eastAsia="宋体" w:hint="default"/>
                <w:spacing w:val="-65"/>
                <w:sz w:val="18"/>
                <w:szCs w:val="18"/>
              </w:rPr>
              <w:t> </w:t>
            </w:r>
            <w:r>
              <w:rPr>
                <w:rFonts w:ascii="宋体" w:hAnsi="宋体" w:cs="宋体" w:eastAsia="宋体" w:hint="default"/>
                <w:sz w:val="18"/>
                <w:szCs w:val="18"/>
              </w:rPr>
              <w:t>集</w:t>
            </w:r>
            <w:r>
              <w:rPr>
                <w:rFonts w:ascii="宋体" w:hAnsi="宋体" w:cs="宋体" w:eastAsia="宋体" w:hint="default"/>
                <w:spacing w:val="-65"/>
                <w:sz w:val="18"/>
                <w:szCs w:val="18"/>
              </w:rPr>
              <w:t> </w:t>
            </w:r>
            <w:r>
              <w:rPr>
                <w:rFonts w:ascii="宋体" w:hAnsi="宋体" w:cs="宋体" w:eastAsia="宋体" w:hint="default"/>
                <w:sz w:val="18"/>
                <w:szCs w:val="18"/>
              </w:rPr>
              <w:t>合</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5"/>
                <w:sz w:val="18"/>
                <w:szCs w:val="18"/>
              </w:rPr>
              <w:t> </w:t>
            </w:r>
            <w:r>
              <w:rPr>
                <w:rFonts w:ascii="宋体" w:hAnsi="宋体" w:cs="宋体" w:eastAsia="宋体" w:hint="default"/>
                <w:sz w:val="18"/>
                <w:szCs w:val="18"/>
              </w:rPr>
              <w:t>金</w:t>
            </w:r>
            <w:r>
              <w:rPr>
                <w:rFonts w:ascii="宋体" w:hAnsi="宋体" w:cs="宋体" w:eastAsia="宋体" w:hint="default"/>
                <w:sz w:val="18"/>
                <w:szCs w:val="18"/>
              </w:rPr>
              <w:t> 信托计划</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w:t>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139,086,000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139,086,000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5"/>
                <w:sz w:val="18"/>
                <w:szCs w:val="18"/>
              </w:rPr>
              <w:t> </w:t>
            </w:r>
            <w:r>
              <w:rPr>
                <w:rFonts w:ascii="宋体" w:hAnsi="宋体" w:cs="宋体" w:eastAsia="宋体" w:hint="default"/>
                <w:sz w:val="18"/>
                <w:szCs w:val="18"/>
              </w:rPr>
              <w:t>信</w:t>
            </w:r>
            <w:r>
              <w:rPr>
                <w:rFonts w:ascii="宋体" w:hAnsi="宋体" w:cs="宋体" w:eastAsia="宋体" w:hint="default"/>
                <w:spacing w:val="-65"/>
                <w:sz w:val="18"/>
                <w:szCs w:val="18"/>
              </w:rPr>
              <w:t> </w:t>
            </w:r>
            <w:r>
              <w:rPr>
                <w:rFonts w:ascii="宋体" w:hAnsi="宋体" w:cs="宋体" w:eastAsia="宋体" w:hint="default"/>
                <w:sz w:val="18"/>
                <w:szCs w:val="18"/>
              </w:rPr>
              <w:t>瑞</w:t>
            </w:r>
            <w:r>
              <w:rPr>
                <w:rFonts w:ascii="宋体" w:hAnsi="宋体" w:cs="宋体" w:eastAsia="宋体" w:hint="default"/>
                <w:spacing w:val="-65"/>
                <w:sz w:val="18"/>
                <w:szCs w:val="18"/>
              </w:rPr>
              <w:t> </w:t>
            </w:r>
            <w:r>
              <w:rPr>
                <w:rFonts w:ascii="宋体" w:hAnsi="宋体" w:cs="宋体" w:eastAsia="宋体" w:hint="default"/>
                <w:sz w:val="18"/>
                <w:szCs w:val="18"/>
              </w:rPr>
              <w:t>丰</w:t>
            </w:r>
            <w:r>
              <w:rPr>
                <w:rFonts w:ascii="宋体" w:hAnsi="宋体" w:cs="宋体" w:eastAsia="宋体" w:hint="default"/>
                <w:spacing w:val="-65"/>
                <w:sz w:val="18"/>
                <w:szCs w:val="18"/>
              </w:rPr>
              <w:t> </w:t>
            </w:r>
            <w:r>
              <w:rPr>
                <w:rFonts w:ascii="宋体" w:hAnsi="宋体" w:cs="宋体" w:eastAsia="宋体" w:hint="default"/>
                <w:sz w:val="18"/>
                <w:szCs w:val="18"/>
              </w:rPr>
              <w:t>基</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5"/>
                <w:sz w:val="18"/>
                <w:szCs w:val="18"/>
              </w:rPr>
              <w:t> </w:t>
            </w:r>
            <w:r>
              <w:rPr>
                <w:rFonts w:ascii="宋体" w:hAnsi="宋体" w:cs="宋体" w:eastAsia="宋体" w:hint="default"/>
                <w:sz w:val="18"/>
                <w:szCs w:val="18"/>
              </w:rPr>
              <w:t>－</w:t>
            </w:r>
            <w:r>
              <w:rPr>
                <w:rFonts w:ascii="宋体" w:hAnsi="宋体" w:cs="宋体" w:eastAsia="宋体" w:hint="default"/>
                <w:sz w:val="18"/>
                <w:szCs w:val="18"/>
              </w:rPr>
              <w:t> 宁</w:t>
            </w:r>
            <w:r>
              <w:rPr>
                <w:rFonts w:ascii="宋体" w:hAnsi="宋体" w:cs="宋体" w:eastAsia="宋体" w:hint="default"/>
                <w:spacing w:val="-65"/>
                <w:sz w:val="18"/>
                <w:szCs w:val="18"/>
              </w:rPr>
              <w:t> </w:t>
            </w:r>
            <w:r>
              <w:rPr>
                <w:rFonts w:ascii="宋体" w:hAnsi="宋体" w:cs="宋体" w:eastAsia="宋体" w:hint="default"/>
                <w:sz w:val="18"/>
                <w:szCs w:val="18"/>
              </w:rPr>
              <w:t>波</w:t>
            </w:r>
            <w:r>
              <w:rPr>
                <w:rFonts w:ascii="宋体" w:hAnsi="宋体" w:cs="宋体" w:eastAsia="宋体" w:hint="default"/>
                <w:spacing w:val="-65"/>
                <w:sz w:val="18"/>
                <w:szCs w:val="18"/>
              </w:rPr>
              <w:t> </w:t>
            </w:r>
            <w:r>
              <w:rPr>
                <w:rFonts w:ascii="宋体" w:hAnsi="宋体" w:cs="宋体" w:eastAsia="宋体" w:hint="default"/>
                <w:sz w:val="18"/>
                <w:szCs w:val="18"/>
              </w:rPr>
              <w:t>银</w:t>
            </w:r>
            <w:r>
              <w:rPr>
                <w:rFonts w:ascii="宋体" w:hAnsi="宋体" w:cs="宋体" w:eastAsia="宋体" w:hint="default"/>
                <w:spacing w:val="-65"/>
                <w:sz w:val="18"/>
                <w:szCs w:val="18"/>
              </w:rPr>
              <w:t> </w:t>
            </w:r>
            <w:r>
              <w:rPr>
                <w:rFonts w:ascii="宋体" w:hAnsi="宋体" w:cs="宋体" w:eastAsia="宋体" w:hint="default"/>
                <w:sz w:val="18"/>
                <w:szCs w:val="18"/>
              </w:rPr>
              <w:t>行</w:t>
            </w:r>
            <w:r>
              <w:rPr>
                <w:rFonts w:ascii="宋体" w:hAnsi="宋体" w:cs="宋体" w:eastAsia="宋体" w:hint="default"/>
                <w:spacing w:val="-65"/>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华</w:t>
            </w:r>
            <w:r>
              <w:rPr>
                <w:rFonts w:ascii="宋体" w:hAnsi="宋体" w:cs="宋体" w:eastAsia="宋体" w:hint="default"/>
                <w:spacing w:val="-65"/>
                <w:sz w:val="18"/>
                <w:szCs w:val="18"/>
              </w:rPr>
              <w:t> </w:t>
            </w:r>
            <w:r>
              <w:rPr>
                <w:rFonts w:ascii="宋体" w:hAnsi="宋体" w:cs="宋体" w:eastAsia="宋体" w:hint="default"/>
                <w:sz w:val="18"/>
                <w:szCs w:val="18"/>
              </w:rPr>
              <w:t>鑫</w:t>
            </w:r>
            <w:r>
              <w:rPr>
                <w:rFonts w:ascii="宋体" w:hAnsi="宋体" w:cs="宋体" w:eastAsia="宋体" w:hint="default"/>
                <w:sz w:val="18"/>
                <w:szCs w:val="18"/>
              </w:rPr>
              <w:t> 国</w:t>
            </w:r>
            <w:r>
              <w:rPr>
                <w:rFonts w:ascii="宋体" w:hAnsi="宋体" w:cs="宋体" w:eastAsia="宋体" w:hint="default"/>
                <w:spacing w:val="-65"/>
                <w:sz w:val="18"/>
                <w:szCs w:val="18"/>
              </w:rPr>
              <w:t> </w:t>
            </w:r>
            <w:r>
              <w:rPr>
                <w:rFonts w:ascii="宋体" w:hAnsi="宋体" w:cs="宋体" w:eastAsia="宋体" w:hint="default"/>
                <w:sz w:val="18"/>
                <w:szCs w:val="18"/>
              </w:rPr>
              <w:t>际</w:t>
            </w:r>
            <w:r>
              <w:rPr>
                <w:rFonts w:ascii="宋体" w:hAnsi="宋体" w:cs="宋体" w:eastAsia="宋体" w:hint="default"/>
                <w:spacing w:val="-65"/>
                <w:sz w:val="18"/>
                <w:szCs w:val="18"/>
              </w:rPr>
              <w:t> </w:t>
            </w:r>
            <w:r>
              <w:rPr>
                <w:rFonts w:ascii="宋体" w:hAnsi="宋体" w:cs="宋体" w:eastAsia="宋体" w:hint="default"/>
                <w:sz w:val="18"/>
                <w:szCs w:val="18"/>
              </w:rPr>
              <w:t>信</w:t>
            </w:r>
            <w:r>
              <w:rPr>
                <w:rFonts w:ascii="宋体" w:hAnsi="宋体" w:cs="宋体" w:eastAsia="宋体" w:hint="default"/>
                <w:spacing w:val="-65"/>
                <w:sz w:val="18"/>
                <w:szCs w:val="18"/>
              </w:rPr>
              <w:t> </w:t>
            </w:r>
            <w:r>
              <w:rPr>
                <w:rFonts w:ascii="宋体" w:hAnsi="宋体" w:cs="宋体" w:eastAsia="宋体" w:hint="default"/>
                <w:sz w:val="18"/>
                <w:szCs w:val="18"/>
              </w:rPr>
              <w:t>托</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4"/>
                <w:sz w:val="18"/>
                <w:szCs w:val="18"/>
              </w:rPr>
              <w:t> </w:t>
            </w:r>
            <w:r>
              <w:rPr>
                <w:rFonts w:ascii="宋体" w:hAnsi="宋体" w:cs="宋体" w:eastAsia="宋体" w:hint="default"/>
                <w:sz w:val="18"/>
                <w:szCs w:val="18"/>
              </w:rPr>
              <w:t>限</w:t>
            </w:r>
            <w:r>
              <w:rPr>
                <w:rFonts w:ascii="宋体" w:hAnsi="宋体" w:cs="宋体" w:eastAsia="宋体" w:hint="default"/>
                <w:spacing w:val="-65"/>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w:t>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139,086,000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139,086,000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w:t>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0" w:right="0"/>
              <w:jc w:val="left"/>
              <w:rPr>
                <w:rFonts w:ascii="Times New Roman" w:hAnsi="Times New Roman" w:cs="Times New Roman" w:eastAsia="Times New Roman" w:hint="default"/>
                <w:sz w:val="18"/>
                <w:szCs w:val="18"/>
              </w:rPr>
            </w:pPr>
            <w:r>
              <w:rPr>
                <w:rFonts w:ascii="Times New Roman"/>
                <w:sz w:val="18"/>
              </w:rPr>
              <w:t>121,846,200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9" w:right="0"/>
              <w:jc w:val="left"/>
              <w:rPr>
                <w:rFonts w:ascii="Times New Roman" w:hAnsi="Times New Roman" w:cs="Times New Roman" w:eastAsia="Times New Roman" w:hint="default"/>
                <w:sz w:val="18"/>
                <w:szCs w:val="18"/>
              </w:rPr>
            </w:pPr>
            <w:r>
              <w:rPr>
                <w:rFonts w:ascii="Times New Roman"/>
                <w:sz w:val="18"/>
              </w:rPr>
              <w:t>91,384,650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z w:val="18"/>
              </w:rPr>
              <w:t>30,461,550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5" w:right="0"/>
              <w:jc w:val="left"/>
              <w:rPr>
                <w:rFonts w:ascii="Times New Roman" w:hAnsi="Times New Roman" w:cs="Times New Roman" w:eastAsia="Times New Roman" w:hint="default"/>
                <w:sz w:val="18"/>
                <w:szCs w:val="18"/>
              </w:rPr>
            </w:pPr>
            <w:r>
              <w:rPr>
                <w:rFonts w:ascii="Times New Roman"/>
                <w:sz w:val="18"/>
              </w:rPr>
              <w:t>121,846,200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江</w:t>
            </w:r>
            <w:r>
              <w:rPr>
                <w:rFonts w:ascii="宋体" w:hAnsi="宋体" w:cs="宋体" w:eastAsia="宋体" w:hint="default"/>
                <w:spacing w:val="-65"/>
                <w:sz w:val="18"/>
                <w:szCs w:val="18"/>
              </w:rPr>
              <w:t> </w:t>
            </w:r>
            <w:r>
              <w:rPr>
                <w:rFonts w:ascii="宋体" w:hAnsi="宋体" w:cs="宋体" w:eastAsia="宋体" w:hint="default"/>
                <w:sz w:val="18"/>
                <w:szCs w:val="18"/>
              </w:rPr>
              <w:t>阴</w:t>
            </w:r>
            <w:r>
              <w:rPr>
                <w:rFonts w:ascii="宋体" w:hAnsi="宋体" w:cs="宋体" w:eastAsia="宋体" w:hint="default"/>
                <w:spacing w:val="-65"/>
                <w:sz w:val="18"/>
                <w:szCs w:val="18"/>
              </w:rPr>
              <w:t> </w:t>
            </w:r>
            <w:r>
              <w:rPr>
                <w:rFonts w:ascii="宋体" w:hAnsi="宋体" w:cs="宋体" w:eastAsia="宋体" w:hint="default"/>
                <w:sz w:val="18"/>
                <w:szCs w:val="18"/>
              </w:rPr>
              <w:t>爱</w:t>
            </w:r>
            <w:r>
              <w:rPr>
                <w:rFonts w:ascii="宋体" w:hAnsi="宋体" w:cs="宋体" w:eastAsia="宋体" w:hint="default"/>
                <w:spacing w:val="-65"/>
                <w:sz w:val="18"/>
                <w:szCs w:val="18"/>
              </w:rPr>
              <w:t> </w:t>
            </w:r>
            <w:r>
              <w:rPr>
                <w:rFonts w:ascii="宋体" w:hAnsi="宋体" w:cs="宋体" w:eastAsia="宋体" w:hint="default"/>
                <w:sz w:val="18"/>
                <w:szCs w:val="18"/>
              </w:rPr>
              <w:t>康</w:t>
            </w:r>
            <w:r>
              <w:rPr>
                <w:rFonts w:ascii="宋体" w:hAnsi="宋体" w:cs="宋体" w:eastAsia="宋体" w:hint="default"/>
                <w:spacing w:val="-65"/>
                <w:sz w:val="18"/>
                <w:szCs w:val="18"/>
              </w:rPr>
              <w:t> </w:t>
            </w:r>
            <w:r>
              <w:rPr>
                <w:rFonts w:ascii="宋体" w:hAnsi="宋体" w:cs="宋体" w:eastAsia="宋体" w:hint="default"/>
                <w:sz w:val="18"/>
                <w:szCs w:val="18"/>
              </w:rPr>
              <w:t>投</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4"/>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60"/>
                <w:sz w:val="18"/>
                <w:szCs w:val="18"/>
              </w:rPr>
              <w:t> </w:t>
            </w:r>
            <w:r>
              <w:rPr>
                <w:rFonts w:ascii="宋体" w:hAnsi="宋体" w:cs="宋体" w:eastAsia="宋体" w:hint="default"/>
                <w:sz w:val="18"/>
                <w:szCs w:val="18"/>
              </w:rPr>
              <w:t>内</w:t>
            </w:r>
            <w:r>
              <w:rPr>
                <w:rFonts w:ascii="宋体" w:hAnsi="宋体" w:cs="宋体" w:eastAsia="宋体" w:hint="default"/>
                <w:spacing w:val="-60"/>
                <w:sz w:val="18"/>
                <w:szCs w:val="18"/>
              </w:rPr>
              <w:t> </w:t>
            </w:r>
            <w:r>
              <w:rPr>
                <w:rFonts w:ascii="宋体" w:hAnsi="宋体" w:cs="宋体" w:eastAsia="宋体" w:hint="default"/>
                <w:sz w:val="18"/>
                <w:szCs w:val="18"/>
              </w:rPr>
              <w:t>非</w:t>
            </w:r>
            <w:r>
              <w:rPr>
                <w:rFonts w:ascii="宋体" w:hAnsi="宋体" w:cs="宋体" w:eastAsia="宋体" w:hint="default"/>
                <w:spacing w:val="-58"/>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z w:val="18"/>
                <w:szCs w:val="18"/>
              </w:rPr>
              <w:t>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w:t>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46,980,000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46,980,000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5"/>
                <w:sz w:val="18"/>
                <w:szCs w:val="18"/>
              </w:rPr>
              <w:t> </w:t>
            </w:r>
            <w:r>
              <w:rPr>
                <w:rFonts w:ascii="宋体" w:hAnsi="宋体" w:cs="宋体" w:eastAsia="宋体" w:hint="default"/>
                <w:sz w:val="18"/>
                <w:szCs w:val="18"/>
              </w:rPr>
              <w:t>元</w:t>
            </w:r>
            <w:r>
              <w:rPr>
                <w:rFonts w:ascii="宋体" w:hAnsi="宋体" w:cs="宋体" w:eastAsia="宋体" w:hint="default"/>
                <w:spacing w:val="-65"/>
                <w:sz w:val="18"/>
                <w:szCs w:val="18"/>
              </w:rPr>
              <w:t> </w:t>
            </w:r>
            <w:r>
              <w:rPr>
                <w:rFonts w:ascii="宋体" w:hAnsi="宋体" w:cs="宋体" w:eastAsia="宋体" w:hint="default"/>
                <w:sz w:val="18"/>
                <w:szCs w:val="18"/>
              </w:rPr>
              <w:t>百</w:t>
            </w:r>
            <w:r>
              <w:rPr>
                <w:rFonts w:ascii="宋体" w:hAnsi="宋体" w:cs="宋体" w:eastAsia="宋体" w:hint="default"/>
                <w:spacing w:val="-65"/>
                <w:sz w:val="18"/>
                <w:szCs w:val="18"/>
              </w:rPr>
              <w:t> </w:t>
            </w:r>
            <w:r>
              <w:rPr>
                <w:rFonts w:ascii="宋体" w:hAnsi="宋体" w:cs="宋体" w:eastAsia="宋体" w:hint="default"/>
                <w:sz w:val="18"/>
                <w:szCs w:val="18"/>
              </w:rPr>
              <w:t>利</w:t>
            </w:r>
            <w:r>
              <w:rPr>
                <w:rFonts w:ascii="宋体" w:hAnsi="宋体" w:cs="宋体" w:eastAsia="宋体" w:hint="default"/>
                <w:spacing w:val="-65"/>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产</w:t>
            </w:r>
            <w:r>
              <w:rPr>
                <w:rFonts w:ascii="宋体" w:hAnsi="宋体" w:cs="宋体" w:eastAsia="宋体" w:hint="default"/>
                <w:spacing w:val="-65"/>
                <w:sz w:val="18"/>
                <w:szCs w:val="18"/>
              </w:rPr>
              <w:t> </w:t>
            </w:r>
            <w:r>
              <w:rPr>
                <w:rFonts w:ascii="宋体" w:hAnsi="宋体" w:cs="宋体" w:eastAsia="宋体" w:hint="default"/>
                <w:sz w:val="18"/>
                <w:szCs w:val="18"/>
              </w:rPr>
              <w:t>－</w:t>
            </w:r>
            <w:r>
              <w:rPr>
                <w:rFonts w:ascii="宋体" w:hAnsi="宋体" w:cs="宋体" w:eastAsia="宋体" w:hint="default"/>
                <w:sz w:val="18"/>
                <w:szCs w:val="18"/>
              </w:rPr>
              <w:t> 宁</w:t>
            </w:r>
            <w:r>
              <w:rPr>
                <w:rFonts w:ascii="宋体" w:hAnsi="宋体" w:cs="宋体" w:eastAsia="宋体" w:hint="default"/>
                <w:spacing w:val="-65"/>
                <w:sz w:val="18"/>
                <w:szCs w:val="18"/>
              </w:rPr>
              <w:t> </w:t>
            </w:r>
            <w:r>
              <w:rPr>
                <w:rFonts w:ascii="宋体" w:hAnsi="宋体" w:cs="宋体" w:eastAsia="宋体" w:hint="default"/>
                <w:sz w:val="18"/>
                <w:szCs w:val="18"/>
              </w:rPr>
              <w:t>波</w:t>
            </w:r>
            <w:r>
              <w:rPr>
                <w:rFonts w:ascii="宋体" w:hAnsi="宋体" w:cs="宋体" w:eastAsia="宋体" w:hint="default"/>
                <w:spacing w:val="-65"/>
                <w:sz w:val="18"/>
                <w:szCs w:val="18"/>
              </w:rPr>
              <w:t> </w:t>
            </w:r>
            <w:r>
              <w:rPr>
                <w:rFonts w:ascii="宋体" w:hAnsi="宋体" w:cs="宋体" w:eastAsia="宋体" w:hint="default"/>
                <w:sz w:val="18"/>
                <w:szCs w:val="18"/>
              </w:rPr>
              <w:t>银</w:t>
            </w:r>
            <w:r>
              <w:rPr>
                <w:rFonts w:ascii="宋体" w:hAnsi="宋体" w:cs="宋体" w:eastAsia="宋体" w:hint="default"/>
                <w:spacing w:val="-65"/>
                <w:sz w:val="18"/>
                <w:szCs w:val="18"/>
              </w:rPr>
              <w:t> </w:t>
            </w:r>
            <w:r>
              <w:rPr>
                <w:rFonts w:ascii="宋体" w:hAnsi="宋体" w:cs="宋体" w:eastAsia="宋体" w:hint="default"/>
                <w:sz w:val="18"/>
                <w:szCs w:val="18"/>
              </w:rPr>
              <w:t>行</w:t>
            </w:r>
            <w:r>
              <w:rPr>
                <w:rFonts w:ascii="宋体" w:hAnsi="宋体" w:cs="宋体" w:eastAsia="宋体" w:hint="default"/>
                <w:spacing w:val="-65"/>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5"/>
                <w:sz w:val="18"/>
                <w:szCs w:val="18"/>
              </w:rPr>
              <w:t> </w:t>
            </w:r>
            <w:r>
              <w:rPr>
                <w:rFonts w:ascii="宋体" w:hAnsi="宋体" w:cs="宋体" w:eastAsia="宋体" w:hint="default"/>
                <w:sz w:val="18"/>
                <w:szCs w:val="18"/>
              </w:rPr>
              <w:t>元</w:t>
            </w:r>
            <w:r>
              <w:rPr>
                <w:rFonts w:ascii="宋体" w:hAnsi="宋体" w:cs="宋体" w:eastAsia="宋体" w:hint="default"/>
                <w:sz w:val="18"/>
                <w:szCs w:val="18"/>
              </w:rPr>
              <w:t> 百利爱康定增</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1.00%</w:t>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10" w:right="0"/>
              <w:jc w:val="left"/>
              <w:rPr>
                <w:rFonts w:ascii="Times New Roman" w:hAnsi="Times New Roman" w:cs="Times New Roman" w:eastAsia="Times New Roman" w:hint="default"/>
                <w:sz w:val="18"/>
                <w:szCs w:val="18"/>
              </w:rPr>
            </w:pPr>
            <w:r>
              <w:rPr>
                <w:rFonts w:ascii="Times New Roman"/>
                <w:sz w:val="18"/>
              </w:rPr>
              <w:t>45,082,241</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
              <w:jc w:val="right"/>
              <w:rPr>
                <w:rFonts w:ascii="Times New Roman" w:hAnsi="Times New Roman" w:cs="Times New Roman" w:eastAsia="Times New Roman" w:hint="default"/>
                <w:sz w:val="18"/>
                <w:szCs w:val="18"/>
              </w:rPr>
            </w:pPr>
            <w:r>
              <w:rPr>
                <w:rFonts w:ascii="Times New Roman"/>
                <w:sz w:val="18"/>
              </w:rPr>
              <w:t>45,082,241</w:t>
            </w:r>
          </w:p>
        </w:tc>
        <w:tc>
          <w:tcPr>
            <w:tcW w:w="1011" w:type="dxa"/>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9"/>
        <w:gridCol w:w="1084"/>
        <w:gridCol w:w="329"/>
        <w:gridCol w:w="521"/>
        <w:gridCol w:w="1054"/>
        <w:gridCol w:w="788"/>
        <w:gridCol w:w="994"/>
        <w:gridCol w:w="634"/>
        <w:gridCol w:w="359"/>
        <w:gridCol w:w="990"/>
        <w:gridCol w:w="1348"/>
      </w:tblGrid>
      <w:tr>
        <w:trPr>
          <w:trHeight w:val="67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专</w:t>
            </w:r>
            <w:r>
              <w:rPr>
                <w:rFonts w:ascii="宋体" w:hAnsi="宋体" w:cs="宋体" w:eastAsia="宋体" w:hint="default"/>
                <w:spacing w:val="-65"/>
                <w:sz w:val="18"/>
                <w:szCs w:val="18"/>
              </w:rPr>
              <w:t> </w:t>
            </w:r>
            <w:r>
              <w:rPr>
                <w:rFonts w:ascii="宋体" w:hAnsi="宋体" w:cs="宋体" w:eastAsia="宋体" w:hint="default"/>
                <w:sz w:val="18"/>
                <w:szCs w:val="18"/>
              </w:rPr>
              <w:t>项</w:t>
            </w:r>
            <w:r>
              <w:rPr>
                <w:rFonts w:ascii="宋体" w:hAnsi="宋体" w:cs="宋体" w:eastAsia="宋体" w:hint="default"/>
                <w:spacing w:val="-65"/>
                <w:sz w:val="18"/>
                <w:szCs w:val="18"/>
              </w:rPr>
              <w:t> </w:t>
            </w:r>
            <w:r>
              <w:rPr>
                <w:rFonts w:ascii="宋体" w:hAnsi="宋体" w:cs="宋体" w:eastAsia="宋体" w:hint="default"/>
                <w:sz w:val="18"/>
                <w:szCs w:val="18"/>
              </w:rPr>
              <w:t>资</w:t>
            </w:r>
            <w:r>
              <w:rPr>
                <w:rFonts w:ascii="宋体" w:hAnsi="宋体" w:cs="宋体" w:eastAsia="宋体" w:hint="default"/>
                <w:spacing w:val="-65"/>
                <w:sz w:val="18"/>
                <w:szCs w:val="18"/>
              </w:rPr>
              <w:t> </w:t>
            </w:r>
            <w:r>
              <w:rPr>
                <w:rFonts w:ascii="宋体" w:hAnsi="宋体" w:cs="宋体" w:eastAsia="宋体" w:hint="default"/>
                <w:sz w:val="18"/>
                <w:szCs w:val="18"/>
              </w:rPr>
              <w:t>产</w:t>
            </w:r>
            <w:r>
              <w:rPr>
                <w:rFonts w:ascii="宋体" w:hAnsi="宋体" w:cs="宋体" w:eastAsia="宋体" w:hint="default"/>
                <w:spacing w:val="-65"/>
                <w:sz w:val="18"/>
                <w:szCs w:val="18"/>
              </w:rPr>
              <w:t> </w:t>
            </w:r>
            <w:r>
              <w:rPr>
                <w:rFonts w:ascii="宋体" w:hAnsi="宋体" w:cs="宋体" w:eastAsia="宋体" w:hint="default"/>
                <w:sz w:val="18"/>
                <w:szCs w:val="18"/>
              </w:rPr>
              <w:t>管</w:t>
            </w:r>
            <w:r>
              <w:rPr>
                <w:rFonts w:ascii="宋体" w:hAnsi="宋体" w:cs="宋体" w:eastAsia="宋体" w:hint="default"/>
                <w:spacing w:val="-64"/>
                <w:sz w:val="18"/>
                <w:szCs w:val="18"/>
              </w:rPr>
              <w:t> </w:t>
            </w:r>
            <w:r>
              <w:rPr>
                <w:rFonts w:ascii="宋体" w:hAnsi="宋体" w:cs="宋体" w:eastAsia="宋体" w:hint="default"/>
                <w:sz w:val="18"/>
                <w:szCs w:val="18"/>
              </w:rPr>
              <w:t>理</w:t>
            </w:r>
            <w:r>
              <w:rPr>
                <w:rFonts w:ascii="宋体" w:hAnsi="宋体" w:cs="宋体" w:eastAsia="宋体" w:hint="default"/>
                <w:spacing w:val="-65"/>
                <w:sz w:val="18"/>
                <w:szCs w:val="18"/>
              </w:rPr>
              <w:t> </w:t>
            </w:r>
            <w:r>
              <w:rPr>
                <w:rFonts w:ascii="宋体" w:hAnsi="宋体" w:cs="宋体" w:eastAsia="宋体" w:hint="default"/>
                <w:sz w:val="18"/>
                <w:szCs w:val="18"/>
              </w:rPr>
              <w:t>计</w:t>
            </w:r>
            <w:r>
              <w:rPr>
                <w:rFonts w:ascii="宋体" w:hAnsi="宋体" w:cs="宋体" w:eastAsia="宋体" w:hint="default"/>
                <w:sz w:val="18"/>
                <w:szCs w:val="18"/>
              </w:rPr>
              <w:t> 划</w:t>
            </w:r>
          </w:p>
        </w:tc>
        <w:tc>
          <w:tcPr>
            <w:tcW w:w="1084"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季晓萍</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0.31%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13,832,800</w:t>
            </w:r>
          </w:p>
        </w:tc>
        <w:tc>
          <w:tcPr>
            <w:tcW w:w="7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13,832,800</w:t>
            </w:r>
          </w:p>
        </w:tc>
        <w:tc>
          <w:tcPr>
            <w:tcW w:w="99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易</w:t>
            </w:r>
            <w:r>
              <w:rPr>
                <w:rFonts w:ascii="宋体" w:hAnsi="宋体" w:cs="宋体" w:eastAsia="宋体" w:hint="default"/>
                <w:spacing w:val="-65"/>
                <w:sz w:val="18"/>
                <w:szCs w:val="18"/>
              </w:rPr>
              <w:t> </w:t>
            </w:r>
            <w:r>
              <w:rPr>
                <w:rFonts w:ascii="宋体" w:hAnsi="宋体" w:cs="宋体" w:eastAsia="宋体" w:hint="default"/>
                <w:sz w:val="18"/>
                <w:szCs w:val="18"/>
              </w:rPr>
              <w:t>方</w:t>
            </w:r>
            <w:r>
              <w:rPr>
                <w:rFonts w:ascii="宋体" w:hAnsi="宋体" w:cs="宋体" w:eastAsia="宋体" w:hint="default"/>
                <w:spacing w:val="-65"/>
                <w:sz w:val="18"/>
                <w:szCs w:val="18"/>
              </w:rPr>
              <w:t> </w:t>
            </w:r>
            <w:r>
              <w:rPr>
                <w:rFonts w:ascii="宋体" w:hAnsi="宋体" w:cs="宋体" w:eastAsia="宋体" w:hint="default"/>
                <w:sz w:val="18"/>
                <w:szCs w:val="18"/>
              </w:rPr>
              <w:t>达</w:t>
            </w:r>
            <w:r>
              <w:rPr>
                <w:rFonts w:ascii="宋体" w:hAnsi="宋体" w:cs="宋体" w:eastAsia="宋体" w:hint="default"/>
                <w:spacing w:val="-65"/>
                <w:sz w:val="18"/>
                <w:szCs w:val="18"/>
              </w:rPr>
              <w:t> </w:t>
            </w:r>
            <w:r>
              <w:rPr>
                <w:rFonts w:ascii="宋体" w:hAnsi="宋体" w:cs="宋体" w:eastAsia="宋体" w:hint="default"/>
                <w:sz w:val="18"/>
                <w:szCs w:val="18"/>
              </w:rPr>
              <w:t>基</w:t>
            </w:r>
            <w:r>
              <w:rPr>
                <w:rFonts w:ascii="宋体" w:hAnsi="宋体" w:cs="宋体" w:eastAsia="宋体" w:hint="default"/>
                <w:spacing w:val="-65"/>
                <w:sz w:val="18"/>
                <w:szCs w:val="18"/>
              </w:rPr>
              <w:t> </w:t>
            </w:r>
            <w:r>
              <w:rPr>
                <w:rFonts w:ascii="宋体" w:hAnsi="宋体" w:cs="宋体" w:eastAsia="宋体" w:hint="default"/>
                <w:sz w:val="18"/>
                <w:szCs w:val="18"/>
              </w:rPr>
              <w:t>金</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5"/>
                <w:sz w:val="18"/>
                <w:szCs w:val="18"/>
              </w:rPr>
              <w:t> </w:t>
            </w:r>
            <w:r>
              <w:rPr>
                <w:rFonts w:ascii="宋体" w:hAnsi="宋体" w:cs="宋体" w:eastAsia="宋体" w:hint="default"/>
                <w:sz w:val="18"/>
                <w:szCs w:val="18"/>
              </w:rPr>
              <w:t>工</w:t>
            </w:r>
            <w:r>
              <w:rPr>
                <w:rFonts w:ascii="宋体" w:hAnsi="宋体" w:cs="宋体" w:eastAsia="宋体" w:hint="default"/>
                <w:sz w:val="18"/>
                <w:szCs w:val="18"/>
              </w:rPr>
              <w:t> 商</w:t>
            </w:r>
            <w:r>
              <w:rPr>
                <w:rFonts w:ascii="宋体" w:hAnsi="宋体" w:cs="宋体" w:eastAsia="宋体" w:hint="default"/>
                <w:spacing w:val="-65"/>
                <w:sz w:val="18"/>
                <w:szCs w:val="18"/>
              </w:rPr>
              <w:t> </w:t>
            </w:r>
            <w:r>
              <w:rPr>
                <w:rFonts w:ascii="宋体" w:hAnsi="宋体" w:cs="宋体" w:eastAsia="宋体" w:hint="default"/>
                <w:sz w:val="18"/>
                <w:szCs w:val="18"/>
              </w:rPr>
              <w:t>银</w:t>
            </w:r>
            <w:r>
              <w:rPr>
                <w:rFonts w:ascii="宋体" w:hAnsi="宋体" w:cs="宋体" w:eastAsia="宋体" w:hint="default"/>
                <w:spacing w:val="-65"/>
                <w:sz w:val="18"/>
                <w:szCs w:val="18"/>
              </w:rPr>
              <w:t> </w:t>
            </w:r>
            <w:r>
              <w:rPr>
                <w:rFonts w:ascii="宋体" w:hAnsi="宋体" w:cs="宋体" w:eastAsia="宋体" w:hint="default"/>
                <w:sz w:val="18"/>
                <w:szCs w:val="18"/>
              </w:rPr>
              <w:t>行</w:t>
            </w:r>
            <w:r>
              <w:rPr>
                <w:rFonts w:ascii="宋体" w:hAnsi="宋体" w:cs="宋体" w:eastAsia="宋体" w:hint="default"/>
                <w:spacing w:val="-65"/>
                <w:sz w:val="18"/>
                <w:szCs w:val="18"/>
              </w:rPr>
              <w:t> </w:t>
            </w:r>
            <w:r>
              <w:rPr>
                <w:rFonts w:ascii="宋体" w:hAnsi="宋体" w:cs="宋体" w:eastAsia="宋体" w:hint="default"/>
                <w:sz w:val="18"/>
                <w:szCs w:val="18"/>
              </w:rPr>
              <w:t>－</w:t>
            </w:r>
            <w:r>
              <w:rPr>
                <w:rFonts w:ascii="宋体" w:hAnsi="宋体" w:cs="宋体" w:eastAsia="宋体" w:hint="default"/>
                <w:spacing w:val="-65"/>
                <w:sz w:val="18"/>
                <w:szCs w:val="18"/>
              </w:rPr>
              <w:t> </w:t>
            </w:r>
            <w:r>
              <w:rPr>
                <w:rFonts w:ascii="宋体" w:hAnsi="宋体" w:cs="宋体" w:eastAsia="宋体" w:hint="default"/>
                <w:sz w:val="18"/>
                <w:szCs w:val="18"/>
              </w:rPr>
              <w:t>易</w:t>
            </w:r>
            <w:r>
              <w:rPr>
                <w:rFonts w:ascii="宋体" w:hAnsi="宋体" w:cs="宋体" w:eastAsia="宋体" w:hint="default"/>
                <w:spacing w:val="-64"/>
                <w:sz w:val="18"/>
                <w:szCs w:val="18"/>
              </w:rPr>
              <w:t> </w:t>
            </w:r>
            <w:r>
              <w:rPr>
                <w:rFonts w:ascii="宋体" w:hAnsi="宋体" w:cs="宋体" w:eastAsia="宋体" w:hint="default"/>
                <w:sz w:val="18"/>
                <w:szCs w:val="18"/>
              </w:rPr>
              <w:t>方</w:t>
            </w:r>
            <w:r>
              <w:rPr>
                <w:rFonts w:ascii="宋体" w:hAnsi="宋体" w:cs="宋体" w:eastAsia="宋体" w:hint="default"/>
                <w:spacing w:val="-65"/>
                <w:sz w:val="18"/>
                <w:szCs w:val="18"/>
              </w:rPr>
              <w:t> </w:t>
            </w:r>
            <w:r>
              <w:rPr>
                <w:rFonts w:ascii="宋体" w:hAnsi="宋体" w:cs="宋体" w:eastAsia="宋体" w:hint="default"/>
                <w:sz w:val="18"/>
                <w:szCs w:val="18"/>
              </w:rPr>
              <w:t>达</w:t>
            </w:r>
            <w:r>
              <w:rPr>
                <w:rFonts w:ascii="宋体" w:hAnsi="宋体" w:cs="宋体" w:eastAsia="宋体" w:hint="default"/>
                <w:sz w:val="18"/>
                <w:szCs w:val="18"/>
              </w:rPr>
              <w:t> 基金臻选</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号资产 管理计划</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0.29%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13,028,300</w:t>
            </w:r>
          </w:p>
        </w:tc>
        <w:tc>
          <w:tcPr>
            <w:tcW w:w="7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13,028,300</w:t>
            </w:r>
          </w:p>
        </w:tc>
        <w:tc>
          <w:tcPr>
            <w:tcW w:w="99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55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16" w:type="dxa"/>
            <w:gridSpan w:val="9"/>
            <w:vMerge w:val="restart"/>
            <w:tcBorders>
              <w:top w:val="single" w:sz="4" w:space="0" w:color="000000"/>
              <w:left w:val="single" w:sz="10" w:space="0" w:color="D2D2D2"/>
              <w:right w:val="single" w:sz="4" w:space="0" w:color="000000"/>
            </w:tcBorders>
          </w:tcPr>
          <w:p>
            <w:pPr>
              <w:pStyle w:val="TableParagraph"/>
              <w:spacing w:line="316" w:lineRule="auto" w:before="51"/>
              <w:ind w:left="15" w:right="21"/>
              <w:jc w:val="both"/>
              <w:rPr>
                <w:rFonts w:ascii="宋体" w:hAnsi="宋体" w:cs="宋体" w:eastAsia="宋体" w:hint="default"/>
                <w:sz w:val="18"/>
                <w:szCs w:val="18"/>
              </w:rPr>
            </w:pPr>
            <w:r>
              <w:rPr>
                <w:rFonts w:ascii="宋体" w:hAnsi="宋体" w:cs="宋体" w:eastAsia="宋体" w:hint="default"/>
                <w:spacing w:val="-2"/>
                <w:sz w:val="18"/>
                <w:szCs w:val="18"/>
              </w:rPr>
              <w:t>公司前十名股东中，江苏爱康实业集团有限公司、爱康国际控股有限公司、江阴爱康投资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有限公司为同一实际控制人邹承慧控制的关联企业，上述股东为一致行动人。上述其他股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东未知他们之间是否存在关联关系。</w:t>
            </w:r>
          </w:p>
        </w:tc>
      </w:tr>
      <w:tr>
        <w:trPr>
          <w:trHeight w:val="704" w:hRule="exact"/>
        </w:trPr>
        <w:tc>
          <w:tcPr>
            <w:tcW w:w="255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16" w:type="dxa"/>
            <w:gridSpan w:val="9"/>
            <w:vMerge/>
            <w:tcBorders>
              <w:left w:val="single" w:sz="10" w:space="0" w:color="D2D2D2"/>
              <w:right w:val="single" w:sz="4" w:space="0" w:color="000000"/>
            </w:tcBorders>
          </w:tcPr>
          <w:p>
            <w:pPr/>
          </w:p>
        </w:tc>
      </w:tr>
      <w:tr>
        <w:trPr>
          <w:trHeight w:val="161" w:hRule="exact"/>
        </w:trPr>
        <w:tc>
          <w:tcPr>
            <w:tcW w:w="255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16" w:type="dxa"/>
            <w:gridSpan w:val="9"/>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3"/>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543,996,000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543,996,000</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235,920,200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235,920,200</w:t>
            </w:r>
          </w:p>
        </w:tc>
      </w:tr>
      <w:tr>
        <w:trPr>
          <w:trHeight w:val="1026"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国寿安保基金－渤海银行－华鑫国 际信托－华鑫信托</w:t>
            </w:r>
            <w:r>
              <w:rPr>
                <w:rFonts w:ascii="Times New Roman" w:hAnsi="Times New Roman" w:cs="Times New Roman" w:eastAsia="Times New Roman" w:hint="default"/>
                <w:sz w:val="18"/>
                <w:szCs w:val="18"/>
              </w:rPr>
              <w:t>·</w:t>
            </w:r>
            <w:r>
              <w:rPr>
                <w:rFonts w:ascii="宋体" w:hAnsi="宋体" w:cs="宋体" w:eastAsia="宋体" w:hint="default"/>
                <w:sz w:val="18"/>
                <w:szCs w:val="18"/>
              </w:rPr>
              <w:t>慧智投资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号结 构化集合资金信托计划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145,488,100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145,488,100</w:t>
            </w:r>
          </w:p>
        </w:tc>
      </w:tr>
      <w:tr>
        <w:trPr>
          <w:trHeight w:val="1026"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建信基金－兴业银行－华鑫国际信 托－华鑫信托</w:t>
            </w:r>
            <w:r>
              <w:rPr>
                <w:rFonts w:ascii="Times New Roman" w:hAnsi="Times New Roman" w:cs="Times New Roman" w:eastAsia="Times New Roman" w:hint="default"/>
                <w:sz w:val="18"/>
                <w:szCs w:val="18"/>
              </w:rPr>
              <w:t>·</w:t>
            </w:r>
            <w:r>
              <w:rPr>
                <w:rFonts w:ascii="宋体" w:hAnsi="宋体" w:cs="宋体" w:eastAsia="宋体" w:hint="default"/>
                <w:sz w:val="18"/>
                <w:szCs w:val="18"/>
              </w:rPr>
              <w:t>慧智投资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号结构化 集合资金信托计划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139,086,000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139,086,000</w:t>
            </w:r>
          </w:p>
        </w:tc>
      </w:tr>
      <w:tr>
        <w:trPr>
          <w:trHeight w:val="714"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北信瑞丰基金－宁波银行－华鑫国 际信托有限公司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138,975,261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138,975,261</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46,980,000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46,980,000</w:t>
            </w:r>
          </w:p>
        </w:tc>
      </w:tr>
      <w:tr>
        <w:trPr>
          <w:trHeight w:val="714"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金元百利资产－宁波银行－金元百 利爱康定增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号专项资产管理计划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45,082,241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45,082,241</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30,461,550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30,461,550</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季晓萍</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13,832,800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13,832,800</w:t>
            </w:r>
          </w:p>
        </w:tc>
      </w:tr>
      <w:tr>
        <w:trPr>
          <w:trHeight w:val="714"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易方达基金－工商银行－易方达基 金臻选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13,028,300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13,028,300</w:t>
            </w:r>
          </w:p>
        </w:tc>
      </w:tr>
      <w:tr>
        <w:trPr>
          <w:trHeight w:val="1338" w:hRule="exact"/>
        </w:trPr>
        <w:tc>
          <w:tcPr>
            <w:tcW w:w="28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8"/>
            <w:tcBorders>
              <w:top w:val="single" w:sz="4" w:space="0" w:color="000000"/>
              <w:left w:val="single" w:sz="10" w:space="0" w:color="D2D2D2"/>
              <w:bottom w:val="single" w:sz="4" w:space="0" w:color="000000"/>
              <w:right w:val="single" w:sz="4" w:space="0" w:color="000000"/>
            </w:tcBorders>
          </w:tcPr>
          <w:p>
            <w:pPr>
              <w:pStyle w:val="TableParagraph"/>
              <w:spacing w:line="316" w:lineRule="auto" w:before="51"/>
              <w:ind w:left="15" w:right="21"/>
              <w:jc w:val="both"/>
              <w:rPr>
                <w:rFonts w:ascii="宋体" w:hAnsi="宋体" w:cs="宋体" w:eastAsia="宋体" w:hint="default"/>
                <w:sz w:val="18"/>
                <w:szCs w:val="18"/>
              </w:rPr>
            </w:pPr>
            <w:r>
              <w:rPr>
                <w:rFonts w:ascii="宋体" w:hAnsi="宋体" w:cs="宋体" w:eastAsia="宋体" w:hint="default"/>
                <w:spacing w:val="-1"/>
                <w:sz w:val="18"/>
                <w:szCs w:val="18"/>
              </w:rPr>
              <w:t>公司前十名股东中，江苏爱康实业集团有限公司、爱康国际控股有限公司、江阴爱康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投资有限公司为同一实际控制人邹承慧控制的关联企业，上述股东为一致行动人。上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述其他股东未知他们之间是否存在关联关系，也未知是否属于《上市公司持股变动信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息披露管理办法》中规定的一致行动人。</w:t>
            </w:r>
          </w:p>
        </w:tc>
      </w:tr>
    </w:tbl>
    <w:p>
      <w:pPr>
        <w:pStyle w:val="BodyText"/>
        <w:spacing w:line="240" w:lineRule="auto" w:before="51"/>
        <w:ind w:right="112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4"/>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12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2"/>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
              <w:jc w:val="left"/>
              <w:rPr>
                <w:rFonts w:ascii="宋体" w:hAnsi="宋体" w:cs="宋体" w:eastAsia="宋体" w:hint="default"/>
                <w:sz w:val="18"/>
                <w:szCs w:val="18"/>
              </w:rPr>
            </w:pPr>
            <w:r>
              <w:rPr>
                <w:rFonts w:ascii="宋体" w:hAnsi="宋体" w:cs="宋体" w:eastAsia="宋体" w:hint="default"/>
                <w:spacing w:val="15"/>
                <w:sz w:val="18"/>
                <w:szCs w:val="18"/>
              </w:rPr>
              <w:t>江苏爱康实业集团有限 </w:t>
            </w:r>
            <w:r>
              <w:rPr>
                <w:rFonts w:ascii="宋体" w:hAnsi="宋体" w:cs="宋体" w:eastAsia="宋体" w:hint="default"/>
                <w:sz w:val="18"/>
                <w:szCs w:val="18"/>
              </w:rPr>
              <w:t>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邹承慧</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913205827990947056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贸易、投资、制造</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邹承慧</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35660156-000-05-10-4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股权投资</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邹承慧</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913202815537622168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股权投资</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22"/>
        <w:jc w:val="left"/>
      </w:pPr>
      <w:r>
        <w:rPr/>
        <w:t>控股股东报告期内变更</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1122"/>
        <w:jc w:val="left"/>
        <w:rPr>
          <w:b w:val="0"/>
          <w:bCs w:val="0"/>
        </w:rPr>
      </w:pPr>
      <w:bookmarkStart w:name="3、公司实际控制人及其一致行动人" w:id="117"/>
      <w:bookmarkEnd w:id="117"/>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邹承慧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担任公司董事长</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22"/>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980" w:right="0"/>
        </w:sectPr>
      </w:pPr>
    </w:p>
    <w:p>
      <w:pPr>
        <w:spacing w:line="240" w:lineRule="auto" w:before="7"/>
        <w:rPr>
          <w:rFonts w:ascii="宋体" w:hAnsi="宋体" w:cs="宋体" w:eastAsia="宋体" w:hint="default"/>
          <w:sz w:val="28"/>
          <w:szCs w:val="28"/>
        </w:rPr>
      </w:pPr>
    </w:p>
    <w:p>
      <w:pPr>
        <w:spacing w:line="4050" w:lineRule="exact"/>
        <w:ind w:left="1356"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90189" cy="25717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590189" cy="2571750"/>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2"/>
        <w:rPr>
          <w:rFonts w:ascii="宋体" w:hAnsi="宋体" w:cs="宋体" w:eastAsia="宋体" w:hint="default"/>
          <w:sz w:val="13"/>
          <w:szCs w:val="13"/>
        </w:rPr>
      </w:pPr>
    </w:p>
    <w:p>
      <w:pPr>
        <w:pStyle w:val="BodyText"/>
        <w:spacing w:line="240" w:lineRule="auto" w:before="44"/>
        <w:ind w:right="1122"/>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22"/>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22"/>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122"/>
        <w:jc w:val="left"/>
        <w:rPr>
          <w:b w:val="0"/>
          <w:bCs w:val="0"/>
        </w:rPr>
      </w:pPr>
      <w:bookmarkStart w:name="第七节 优先股相关情况" w:id="120"/>
      <w:bookmarkEnd w:id="120"/>
      <w:r>
        <w:rPr>
          <w:b w:val="0"/>
          <w:bCs w:val="0"/>
        </w:rPr>
      </w:r>
      <w:bookmarkStart w:name="_bookmark6" w:id="121"/>
      <w:bookmarkEnd w:id="121"/>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122"/>
        <w:jc w:val="left"/>
        <w:rPr>
          <w:b w:val="0"/>
          <w:bCs w:val="0"/>
        </w:rPr>
      </w:pPr>
      <w:bookmarkStart w:name="第八节 董事、监事、高级管理人员和员工情况" w:id="122"/>
      <w:bookmarkEnd w:id="122"/>
      <w:r>
        <w:rPr>
          <w:b w:val="0"/>
          <w:bCs w:val="0"/>
        </w:rPr>
      </w:r>
      <w:bookmarkStart w:name="_bookmark7" w:id="123"/>
      <w:bookmarkEnd w:id="123"/>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22"/>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1330"/>
        <w:gridCol w:w="566"/>
        <w:gridCol w:w="425"/>
        <w:gridCol w:w="425"/>
        <w:gridCol w:w="993"/>
        <w:gridCol w:w="994"/>
        <w:gridCol w:w="991"/>
        <w:gridCol w:w="568"/>
        <w:gridCol w:w="566"/>
        <w:gridCol w:w="851"/>
        <w:gridCol w:w="1067"/>
      </w:tblGrid>
      <w:tr>
        <w:trPr>
          <w:trHeight w:val="1649"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402" w:right="39" w:hanging="361"/>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9"/>
              <w:jc w:val="both"/>
              <w:rPr>
                <w:rFonts w:ascii="宋体" w:hAnsi="宋体" w:cs="宋体" w:eastAsia="宋体" w:hint="default"/>
                <w:sz w:val="18"/>
                <w:szCs w:val="18"/>
              </w:rPr>
            </w:pPr>
            <w:r>
              <w:rPr>
                <w:rFonts w:ascii="宋体" w:hAnsi="宋体" w:cs="宋体" w:eastAsia="宋体" w:hint="default"/>
                <w:sz w:val="18"/>
                <w:szCs w:val="18"/>
              </w:rPr>
              <w:t>本期 增持 股份 数量</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6"/>
              <w:jc w:val="both"/>
              <w:rPr>
                <w:rFonts w:ascii="宋体" w:hAnsi="宋体" w:cs="宋体" w:eastAsia="宋体" w:hint="default"/>
                <w:sz w:val="18"/>
                <w:szCs w:val="18"/>
              </w:rPr>
            </w:pPr>
            <w:r>
              <w:rPr>
                <w:rFonts w:ascii="宋体" w:hAnsi="宋体" w:cs="宋体" w:eastAsia="宋体" w:hint="default"/>
                <w:sz w:val="18"/>
                <w:szCs w:val="18"/>
              </w:rPr>
              <w:t>本期 减持 股份 数量</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2" w:right="59" w:firstLine="37"/>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4"/>
                <w:sz w:val="18"/>
                <w:szCs w:val="18"/>
              </w:rPr>
              <w:t>变动（股</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tabs>
                <w:tab w:pos="257" w:val="left" w:leader="none"/>
              </w:tabs>
              <w:spacing w:line="240" w:lineRule="auto" w:before="76"/>
              <w:ind w:left="-124" w:right="0"/>
              <w:jc w:val="left"/>
              <w:rPr>
                <w:rFonts w:ascii="宋体" w:hAnsi="宋体" w:cs="宋体" w:eastAsia="宋体" w:hint="default"/>
                <w:sz w:val="18"/>
                <w:szCs w:val="18"/>
              </w:rPr>
            </w:pPr>
            <w:r>
              <w:rPr>
                <w:rFonts w:ascii="宋体" w:hAnsi="宋体" w:cs="宋体" w:eastAsia="宋体" w:hint="default"/>
                <w:sz w:val="18"/>
                <w:szCs w:val="18"/>
              </w:rPr>
              <w:t>）</w:t>
              <w:tab/>
              <w:t>（股）</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2016/9/13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2019/9/13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121,846,200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121,846,200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2016/9/13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2019/9/13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1,407,921</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1,407,921</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2016/9/13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2019/9/13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1,435,122</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1,450,122</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2016/9/13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2019/9/13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1,161,095</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1,161,095</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2018/12/5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2019/9/13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34"/>
              <w:jc w:val="left"/>
              <w:rPr>
                <w:rFonts w:ascii="Times New Roman" w:hAnsi="Times New Roman" w:cs="Times New Roman" w:eastAsia="Times New Roman" w:hint="default"/>
                <w:sz w:val="18"/>
                <w:szCs w:val="18"/>
              </w:rPr>
            </w:pPr>
            <w:r>
              <w:rPr>
                <w:rFonts w:ascii="Times New Roman"/>
                <w:sz w:val="18"/>
              </w:rPr>
              <w:t>ZHANG</w:t>
            </w:r>
            <w:r>
              <w:rPr>
                <w:rFonts w:ascii="Times New Roman"/>
                <w:w w:val="99"/>
                <w:sz w:val="18"/>
              </w:rPr>
              <w:t> </w:t>
            </w:r>
            <w:r>
              <w:rPr>
                <w:rFonts w:ascii="Times New Roman"/>
                <w:sz w:val="18"/>
              </w:rPr>
              <w:t>JING</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董事、董秘</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2016/9/13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2019/9/13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418,307</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418,307</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2016/9/13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2019/9/13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杨胜刚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2018/7/2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2019/9/13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耿乃凡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2018/1/8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2019/9/13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2018/11/16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2019/9/13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350,682</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350,682</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2016/9/13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2019/9/13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官彦萍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2018/12/5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2019/9/13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145,600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145,600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2018/9/29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2019/9/13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133,588</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133,588</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2017/6/25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2019/9/13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378,834</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378,834</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2016/9/13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2018/11/20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2016/9/13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2018/7/1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2016/9/13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2018/1/8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李光华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2016/9/13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2018/11/20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320,000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2017/6/25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2018/9/10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267,176</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267,176</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2016/9/13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2018/11/15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122,331,800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5,552,725</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127,879,525</w:t>
            </w:r>
          </w:p>
        </w:tc>
      </w:tr>
    </w:tbl>
    <w:p>
      <w:pPr>
        <w:spacing w:line="240" w:lineRule="auto" w:before="2"/>
        <w:rPr>
          <w:rFonts w:ascii="宋体" w:hAnsi="宋体" w:cs="宋体" w:eastAsia="宋体" w:hint="default"/>
          <w:b/>
          <w:bCs/>
          <w:sz w:val="18"/>
          <w:szCs w:val="18"/>
        </w:rPr>
      </w:pPr>
    </w:p>
    <w:p>
      <w:pPr>
        <w:pStyle w:val="Heading2"/>
        <w:spacing w:line="240" w:lineRule="auto" w:before="26"/>
        <w:ind w:right="1122"/>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168"/>
        <w:gridCol w:w="1492"/>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因个人原因申请辞去公司独立董事职务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耿乃凡</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被聘任为独立董事</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杨胜刚</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被聘任为独立董事</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因个人原因辞去副总裁职务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被聘任为副总裁</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因个人原因辞去公司董事职务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工作调整原因辞去监事职务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被聘任为公司董事</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官彦萍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被聘任为公司监事</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李光华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因个人原因申请辞去公司监事会主席、监事职务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被聘任为公司监事</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bookmarkStart w:name="三、任职情况" w:id="126"/>
      <w:bookmarkEnd w:id="126"/>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Heading5"/>
        <w:spacing w:line="240" w:lineRule="auto" w:before="116"/>
        <w:ind w:left="154" w:right="0"/>
        <w:jc w:val="both"/>
        <w:rPr>
          <w:b w:val="0"/>
          <w:bCs w:val="0"/>
        </w:rPr>
      </w:pPr>
      <w:r>
        <w:rPr/>
        <w:t>（一）董事会成员简介</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53"/>
        <w:ind w:right="1129"/>
        <w:jc w:val="both"/>
      </w:pPr>
      <w:r>
        <w:rPr>
          <w:rFonts w:ascii="宋体" w:hAnsi="宋体" w:cs="宋体" w:eastAsia="宋体" w:hint="default"/>
          <w:b/>
          <w:bCs/>
          <w:spacing w:val="-2"/>
        </w:rPr>
        <w:t>邹承慧先生，</w:t>
      </w:r>
      <w:r>
        <w:rPr>
          <w:rFonts w:ascii="宋体" w:hAnsi="宋体" w:cs="宋体" w:eastAsia="宋体" w:hint="default"/>
          <w:spacing w:val="-2"/>
        </w:rPr>
        <w:t>1974</w:t>
      </w:r>
      <w:r>
        <w:rPr>
          <w:spacing w:val="-2"/>
        </w:rPr>
        <w:t>年出生，中国国籍，无境外永久居留权。</w:t>
      </w:r>
      <w:r>
        <w:rPr>
          <w:rFonts w:ascii="宋体" w:hAnsi="宋体" w:cs="宋体" w:eastAsia="宋体" w:hint="default"/>
          <w:spacing w:val="-2"/>
        </w:rPr>
        <w:t>EMBA</w:t>
      </w:r>
      <w:r>
        <w:rPr>
          <w:spacing w:val="-2"/>
        </w:rPr>
        <w:t>学历，毕业于长江商学院（</w:t>
      </w:r>
      <w:r>
        <w:rPr>
          <w:rFonts w:ascii="宋体" w:hAnsi="宋体" w:cs="宋体" w:eastAsia="宋体" w:hint="default"/>
          <w:spacing w:val="-2"/>
        </w:rPr>
        <w:t>EMBA</w:t>
      </w:r>
      <w:r>
        <w:rPr>
          <w:spacing w:val="-2"/>
        </w:rPr>
        <w:t>），湖南大学（本科）。目</w:t>
      </w:r>
      <w:r>
        <w:rPr>
          <w:spacing w:val="-66"/>
        </w:rPr>
        <w:t> </w:t>
      </w:r>
      <w:r>
        <w:rPr>
          <w:spacing w:val="-66"/>
        </w:rPr>
      </w:r>
      <w:r>
        <w:rPr/>
        <w:t>前为长江商学院</w:t>
      </w:r>
      <w:r>
        <w:rPr>
          <w:rFonts w:ascii="宋体" w:hAnsi="宋体" w:cs="宋体" w:eastAsia="宋体" w:hint="default"/>
        </w:rPr>
        <w:t>DBA</w:t>
      </w:r>
      <w:r>
        <w:rPr/>
        <w:t>在读。曾任中国农业银行江阴支行信贷主管、江阴利泰装饰材料有限公司常务副总经理。邹承慧先生拥 有丰富的新能源行业经营管理经验，是公司的主要创立者之一、实际控制人，现任本公司董事长。</w:t>
      </w:r>
    </w:p>
    <w:p>
      <w:pPr>
        <w:spacing w:line="240" w:lineRule="auto" w:before="4"/>
        <w:rPr>
          <w:rFonts w:ascii="宋体" w:hAnsi="宋体" w:cs="宋体" w:eastAsia="宋体" w:hint="default"/>
          <w:sz w:val="25"/>
          <w:szCs w:val="25"/>
        </w:rPr>
      </w:pPr>
    </w:p>
    <w:p>
      <w:pPr>
        <w:pStyle w:val="BodyText"/>
        <w:spacing w:line="316" w:lineRule="auto"/>
        <w:ind w:right="1026"/>
        <w:jc w:val="left"/>
      </w:pPr>
      <w:r>
        <w:rPr>
          <w:rFonts w:ascii="宋体" w:hAnsi="宋体" w:cs="宋体" w:eastAsia="宋体" w:hint="default"/>
          <w:b/>
          <w:bCs/>
          <w:spacing w:val="-2"/>
        </w:rPr>
        <w:t>易美怀女士，</w:t>
      </w:r>
      <w:r>
        <w:rPr>
          <w:rFonts w:ascii="宋体" w:hAnsi="宋体" w:cs="宋体" w:eastAsia="宋体" w:hint="default"/>
          <w:spacing w:val="-2"/>
        </w:rPr>
        <w:t>1968</w:t>
      </w:r>
      <w:r>
        <w:rPr>
          <w:spacing w:val="-2"/>
        </w:rPr>
        <w:t>年出生，中国国籍，无境外永久居留权。硕士学历，毕业于上海财经大学</w:t>
      </w:r>
      <w:r>
        <w:rPr>
          <w:rFonts w:ascii="宋体" w:hAnsi="宋体" w:cs="宋体" w:eastAsia="宋体" w:hint="default"/>
          <w:spacing w:val="-2"/>
        </w:rPr>
        <w:t>EMBA</w:t>
      </w:r>
      <w:r>
        <w:rPr>
          <w:spacing w:val="-2"/>
        </w:rPr>
        <w:t>，武汉理工大学。上海交通</w:t>
      </w:r>
      <w:r>
        <w:rPr>
          <w:spacing w:val="-66"/>
        </w:rPr>
        <w:t> </w:t>
      </w:r>
      <w:r>
        <w:rPr>
          <w:spacing w:val="-66"/>
        </w:rPr>
      </w:r>
      <w:r>
        <w:rPr>
          <w:spacing w:val="-3"/>
        </w:rPr>
        <w:t>大学海外教育学院国际财务总监（</w:t>
      </w:r>
      <w:r>
        <w:rPr>
          <w:rFonts w:ascii="宋体" w:hAnsi="宋体" w:cs="宋体" w:eastAsia="宋体" w:hint="default"/>
          <w:spacing w:val="-3"/>
        </w:rPr>
        <w:t>CFO</w:t>
      </w:r>
      <w:r>
        <w:rPr>
          <w:spacing w:val="-3"/>
        </w:rPr>
        <w:t>）和英国资深财务会计师（</w:t>
      </w:r>
      <w:r>
        <w:rPr>
          <w:rFonts w:ascii="宋体" w:hAnsi="宋体" w:cs="宋体" w:eastAsia="宋体" w:hint="default"/>
          <w:spacing w:val="-3"/>
        </w:rPr>
        <w:t>FFA</w:t>
      </w:r>
      <w:r>
        <w:rPr>
          <w:spacing w:val="-3"/>
        </w:rPr>
        <w:t>）。曾先后任重庆通用工业集团有限责任公司财务组长、</w:t>
      </w:r>
      <w:r>
        <w:rPr/>
        <w:t> </w:t>
      </w:r>
      <w:r>
        <w:rPr>
          <w:spacing w:val="-2"/>
        </w:rPr>
        <w:t>江苏双良特灵溴化锂制冷机有限公司会计师、特灵空调系统（江苏）有限公司高级会计师、江苏双良空调设备股份有限公司</w:t>
      </w:r>
      <w:r>
        <w:rPr>
          <w:spacing w:val="-66"/>
        </w:rPr>
        <w:t> </w:t>
      </w:r>
      <w:r>
        <w:rPr>
          <w:spacing w:val="-66"/>
        </w:rPr>
      </w:r>
      <w:r>
        <w:rPr/>
        <w:t>财务主管、浙江晨辉婴宝儿童用品有限公司财务兼公司稽核总负责、爱康科技副总经理、财务总监。现任本公司副董事长、 总裁。</w:t>
      </w:r>
    </w:p>
    <w:p>
      <w:pPr>
        <w:spacing w:line="240" w:lineRule="auto" w:before="4"/>
        <w:rPr>
          <w:rFonts w:ascii="宋体" w:hAnsi="宋体" w:cs="宋体" w:eastAsia="宋体" w:hint="default"/>
          <w:sz w:val="25"/>
          <w:szCs w:val="25"/>
        </w:rPr>
      </w:pPr>
    </w:p>
    <w:p>
      <w:pPr>
        <w:pStyle w:val="BodyText"/>
        <w:spacing w:line="240" w:lineRule="auto"/>
        <w:ind w:right="0"/>
        <w:jc w:val="both"/>
      </w:pPr>
      <w:r>
        <w:rPr>
          <w:rFonts w:ascii="宋体" w:hAnsi="宋体" w:cs="宋体" w:eastAsia="宋体" w:hint="default"/>
          <w:b/>
          <w:bCs/>
        </w:rPr>
        <w:t>袁源女士，</w:t>
      </w:r>
      <w:r>
        <w:rPr>
          <w:rFonts w:ascii="宋体" w:hAnsi="宋体" w:cs="宋体" w:eastAsia="宋体" w:hint="default"/>
        </w:rPr>
        <w:t>1971</w:t>
      </w:r>
      <w:r>
        <w:rPr/>
        <w:t>年出生，中国国籍，无境外永久居留权。硕士学历，毕业于上海交大高级金融学院（</w:t>
      </w:r>
      <w:r>
        <w:rPr>
          <w:rFonts w:ascii="宋体" w:hAnsi="宋体" w:cs="宋体" w:eastAsia="宋体" w:hint="default"/>
        </w:rPr>
        <w:t>EMBA</w:t>
      </w:r>
      <w:r>
        <w:rPr/>
        <w:t>）、上海财经大学</w:t>
      </w:r>
    </w:p>
    <w:p>
      <w:pPr>
        <w:pStyle w:val="BodyText"/>
        <w:spacing w:line="316" w:lineRule="auto" w:before="76"/>
        <w:ind w:right="1039"/>
        <w:jc w:val="both"/>
      </w:pPr>
      <w:r>
        <w:rPr>
          <w:spacing w:val="-2"/>
        </w:rPr>
        <w:t>（本科）。袁源女士曾先后任职于江阴市交通局办公室、江阴华盛期货有限公司总经理、申达集团有限公司资金总监、本公</w:t>
      </w:r>
      <w:r>
        <w:rPr>
          <w:spacing w:val="-66"/>
        </w:rPr>
        <w:t> </w:t>
      </w:r>
      <w:r>
        <w:rPr>
          <w:spacing w:val="-66"/>
        </w:rPr>
      </w:r>
      <w:r>
        <w:rPr/>
        <w:t>司资金总监、副总经理职务。</w:t>
      </w:r>
      <w:r>
        <w:rPr>
          <w:rFonts w:ascii="宋体" w:hAnsi="宋体" w:cs="宋体" w:eastAsia="宋体" w:hint="default"/>
        </w:rPr>
        <w:t>2013</w:t>
      </w:r>
      <w:r>
        <w:rPr/>
        <w:t>年至今于江苏爱康实业集团有限公司担任副总裁、本公司董事。</w:t>
      </w:r>
    </w:p>
    <w:p>
      <w:pPr>
        <w:spacing w:line="240" w:lineRule="auto" w:before="4"/>
        <w:rPr>
          <w:rFonts w:ascii="宋体" w:hAnsi="宋体" w:cs="宋体" w:eastAsia="宋体" w:hint="default"/>
          <w:sz w:val="25"/>
          <w:szCs w:val="25"/>
        </w:rPr>
      </w:pPr>
    </w:p>
    <w:p>
      <w:pPr>
        <w:pStyle w:val="BodyText"/>
        <w:spacing w:line="316" w:lineRule="auto"/>
        <w:ind w:right="1039"/>
        <w:jc w:val="both"/>
      </w:pPr>
      <w:r>
        <w:rPr>
          <w:rFonts w:ascii="宋体" w:hAnsi="宋体" w:cs="宋体" w:eastAsia="宋体" w:hint="default"/>
          <w:b/>
          <w:bCs/>
          <w:spacing w:val="-3"/>
        </w:rPr>
        <w:t>史强先生，</w:t>
      </w:r>
      <w:r>
        <w:rPr>
          <w:rFonts w:ascii="宋体" w:hAnsi="宋体" w:cs="宋体" w:eastAsia="宋体" w:hint="default"/>
          <w:spacing w:val="-3"/>
        </w:rPr>
        <w:t>1983</w:t>
      </w:r>
      <w:r>
        <w:rPr>
          <w:spacing w:val="-3"/>
        </w:rPr>
        <w:t>年出生，中国国籍，无境外永久居留权。</w:t>
      </w:r>
      <w:r>
        <w:rPr>
          <w:rFonts w:ascii="宋体" w:hAnsi="宋体" w:cs="宋体" w:eastAsia="宋体" w:hint="default"/>
          <w:spacing w:val="-3"/>
        </w:rPr>
        <w:t>EMBA</w:t>
      </w:r>
      <w:r>
        <w:rPr>
          <w:spacing w:val="-3"/>
        </w:rPr>
        <w:t>学历，毕业于中欧国际工商学院（</w:t>
      </w:r>
      <w:r>
        <w:rPr>
          <w:rFonts w:ascii="宋体" w:hAnsi="宋体" w:cs="宋体" w:eastAsia="宋体" w:hint="default"/>
          <w:spacing w:val="-3"/>
        </w:rPr>
        <w:t>EMBA)</w:t>
      </w:r>
      <w:r>
        <w:rPr>
          <w:rFonts w:ascii="宋体" w:hAnsi="宋体" w:cs="宋体" w:eastAsia="宋体" w:hint="default"/>
          <w:spacing w:val="28"/>
        </w:rPr>
        <w:t> </w:t>
      </w:r>
      <w:r>
        <w:rPr>
          <w:spacing w:val="-6"/>
        </w:rPr>
        <w:t>，湖南大学（本科）。</w:t>
      </w:r>
      <w:r>
        <w:rPr>
          <w:spacing w:val="-86"/>
        </w:rPr>
        <w:t> </w:t>
      </w:r>
      <w:r>
        <w:rPr>
          <w:spacing w:val="-86"/>
        </w:rPr>
      </w:r>
      <w:r>
        <w:rPr>
          <w:rFonts w:ascii="宋体" w:hAnsi="宋体" w:cs="宋体" w:eastAsia="宋体" w:hint="default"/>
        </w:rPr>
        <w:t>2006</w:t>
      </w:r>
      <w:r>
        <w:rPr/>
        <w:t>年加入公司以来，曾先后担任公司销售员、销售部经理、销售总监，现任本公司董事、副总裁。</w:t>
      </w:r>
    </w:p>
    <w:p>
      <w:pPr>
        <w:spacing w:line="240" w:lineRule="auto" w:before="4"/>
        <w:rPr>
          <w:rFonts w:ascii="宋体" w:hAnsi="宋体" w:cs="宋体" w:eastAsia="宋体" w:hint="default"/>
          <w:sz w:val="25"/>
          <w:szCs w:val="25"/>
        </w:rPr>
      </w:pPr>
    </w:p>
    <w:p>
      <w:pPr>
        <w:pStyle w:val="BodyText"/>
        <w:spacing w:line="316" w:lineRule="auto"/>
        <w:ind w:right="1131"/>
        <w:jc w:val="both"/>
      </w:pPr>
      <w:r>
        <w:rPr>
          <w:rFonts w:ascii="宋体" w:hAnsi="宋体" w:cs="宋体" w:eastAsia="宋体" w:hint="default"/>
          <w:b/>
          <w:bCs/>
        </w:rPr>
        <w:t>赵剑先生，</w:t>
      </w:r>
      <w:r>
        <w:rPr>
          <w:rFonts w:ascii="宋体" w:hAnsi="宋体" w:cs="宋体" w:eastAsia="宋体" w:hint="default"/>
        </w:rPr>
        <w:t>1983</w:t>
      </w:r>
      <w:r>
        <w:rPr/>
        <w:t>年出生，中国国籍，无境外永久居留权。研究生学历，毕业于复旦大学（</w:t>
      </w:r>
      <w:r>
        <w:rPr>
          <w:rFonts w:ascii="宋体" w:hAnsi="宋体" w:cs="宋体" w:eastAsia="宋体" w:hint="default"/>
        </w:rPr>
        <w:t>MBA</w:t>
      </w:r>
      <w:r>
        <w:rPr/>
        <w:t>），湖南大学（本科）。</w:t>
      </w:r>
      <w:r>
        <w:rPr>
          <w:rFonts w:ascii="宋体" w:hAnsi="宋体" w:cs="宋体" w:eastAsia="宋体" w:hint="default"/>
        </w:rPr>
        <w:t>2006 </w:t>
      </w:r>
      <w:r>
        <w:rPr>
          <w:spacing w:val="-2"/>
        </w:rPr>
        <w:t>年加入本公司以来，曾先后担任本公司采购员、采购部经理、南通爱康金属科技有限公司总经理、苏州爱康金属科技有限公</w:t>
      </w:r>
      <w:r>
        <w:rPr>
          <w:spacing w:val="-66"/>
        </w:rPr>
        <w:t> </w:t>
      </w:r>
      <w:r>
        <w:rPr>
          <w:spacing w:val="-66"/>
        </w:rPr>
      </w:r>
      <w:r>
        <w:rPr/>
        <w:t>司总经理等。现任本公司董事。</w:t>
      </w:r>
    </w:p>
    <w:p>
      <w:pPr>
        <w:spacing w:line="240" w:lineRule="auto" w:before="4"/>
        <w:rPr>
          <w:rFonts w:ascii="宋体" w:hAnsi="宋体" w:cs="宋体" w:eastAsia="宋体" w:hint="default"/>
          <w:sz w:val="25"/>
          <w:szCs w:val="25"/>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b/>
          <w:bCs/>
          <w:sz w:val="18"/>
          <w:szCs w:val="18"/>
        </w:rPr>
        <w:t>ZHANG</w:t>
      </w:r>
      <w:r>
        <w:rPr>
          <w:rFonts w:ascii="宋体" w:hAnsi="宋体" w:cs="宋体" w:eastAsia="宋体" w:hint="default"/>
          <w:b/>
          <w:bCs/>
          <w:spacing w:val="-33"/>
          <w:sz w:val="18"/>
          <w:szCs w:val="18"/>
        </w:rPr>
        <w:t> </w:t>
      </w:r>
      <w:r>
        <w:rPr>
          <w:rFonts w:ascii="宋体" w:hAnsi="宋体" w:cs="宋体" w:eastAsia="宋体" w:hint="default"/>
          <w:b/>
          <w:bCs/>
          <w:sz w:val="18"/>
          <w:szCs w:val="18"/>
        </w:rPr>
        <w:t>JING</w:t>
      </w:r>
      <w:r>
        <w:rPr>
          <w:rFonts w:ascii="宋体" w:hAnsi="宋体" w:cs="宋体" w:eastAsia="宋体" w:hint="default"/>
          <w:b/>
          <w:bCs/>
          <w:sz w:val="18"/>
          <w:szCs w:val="18"/>
        </w:rPr>
        <w:t>（张静）女士，</w:t>
      </w:r>
      <w:r>
        <w:rPr>
          <w:rFonts w:ascii="宋体" w:hAnsi="宋体" w:cs="宋体" w:eastAsia="宋体" w:hint="default"/>
          <w:sz w:val="18"/>
          <w:szCs w:val="18"/>
        </w:rPr>
        <w:t>1982</w:t>
      </w:r>
      <w:r>
        <w:rPr>
          <w:rFonts w:ascii="宋体" w:hAnsi="宋体" w:cs="宋体" w:eastAsia="宋体" w:hint="default"/>
          <w:sz w:val="18"/>
          <w:szCs w:val="18"/>
        </w:rPr>
        <w:t>年出生，加拿大国籍。本科学历，毕业于</w:t>
      </w:r>
      <w:r>
        <w:rPr>
          <w:rFonts w:ascii="宋体" w:hAnsi="宋体" w:cs="宋体" w:eastAsia="宋体" w:hint="default"/>
          <w:sz w:val="18"/>
          <w:szCs w:val="18"/>
        </w:rPr>
        <w:t>University</w:t>
      </w:r>
      <w:r>
        <w:rPr>
          <w:rFonts w:ascii="宋体" w:hAnsi="宋体" w:cs="宋体" w:eastAsia="宋体" w:hint="default"/>
          <w:spacing w:val="-34"/>
          <w:sz w:val="18"/>
          <w:szCs w:val="18"/>
        </w:rPr>
        <w:t> </w:t>
      </w:r>
      <w:r>
        <w:rPr>
          <w:rFonts w:ascii="宋体" w:hAnsi="宋体" w:cs="宋体" w:eastAsia="宋体" w:hint="default"/>
          <w:sz w:val="18"/>
          <w:szCs w:val="18"/>
        </w:rPr>
        <w:t>of</w:t>
      </w:r>
      <w:r>
        <w:rPr>
          <w:rFonts w:ascii="宋体" w:hAnsi="宋体" w:cs="宋体" w:eastAsia="宋体" w:hint="default"/>
          <w:spacing w:val="-34"/>
          <w:sz w:val="18"/>
          <w:szCs w:val="18"/>
        </w:rPr>
        <w:t> </w:t>
      </w:r>
      <w:r>
        <w:rPr>
          <w:rFonts w:ascii="宋体" w:hAnsi="宋体" w:cs="宋体" w:eastAsia="宋体" w:hint="default"/>
          <w:sz w:val="18"/>
          <w:szCs w:val="18"/>
        </w:rPr>
        <w:t>Manitoba</w:t>
      </w:r>
      <w:r>
        <w:rPr>
          <w:rFonts w:ascii="宋体" w:hAnsi="宋体" w:cs="宋体" w:eastAsia="宋体" w:hint="default"/>
          <w:sz w:val="18"/>
          <w:szCs w:val="18"/>
        </w:rPr>
        <w:t>，中欧国际工商学院</w:t>
      </w:r>
      <w:r>
        <w:rPr>
          <w:rFonts w:ascii="宋体" w:hAnsi="宋体" w:cs="宋体" w:eastAsia="宋体" w:hint="default"/>
          <w:sz w:val="18"/>
          <w:szCs w:val="18"/>
        </w:rPr>
        <w:t>EMBA</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2"/>
        <w:jc w:val="left"/>
      </w:pPr>
      <w:r>
        <w:rPr/>
        <w:t>在读。曾于</w:t>
      </w:r>
      <w:r>
        <w:rPr>
          <w:rFonts w:ascii="宋体" w:hAnsi="宋体" w:cs="宋体" w:eastAsia="宋体" w:hint="default"/>
        </w:rPr>
        <w:t>InterGroup Consultants Ltd.</w:t>
      </w:r>
      <w:r>
        <w:rPr/>
        <w:t>（加拿大）先后担任研究分析员及经济咨询师、江苏爱康实业集团有限公司先后 担任战略管理经理、董事长助理、投融资中心副总经理。现担任本公司董事、董事会秘书，负责证券事务及投资并购工作。</w:t>
      </w:r>
    </w:p>
    <w:p>
      <w:pPr>
        <w:spacing w:line="240" w:lineRule="auto" w:before="4"/>
        <w:rPr>
          <w:rFonts w:ascii="宋体" w:hAnsi="宋体" w:cs="宋体" w:eastAsia="宋体" w:hint="default"/>
          <w:sz w:val="25"/>
          <w:szCs w:val="25"/>
        </w:rPr>
      </w:pPr>
    </w:p>
    <w:p>
      <w:pPr>
        <w:pStyle w:val="BodyText"/>
        <w:spacing w:line="319" w:lineRule="auto"/>
        <w:ind w:right="1046"/>
        <w:jc w:val="both"/>
      </w:pPr>
      <w:r>
        <w:rPr>
          <w:rFonts w:ascii="宋体" w:hAnsi="宋体" w:cs="宋体" w:eastAsia="宋体" w:hint="default"/>
          <w:b/>
          <w:bCs/>
          <w:spacing w:val="-2"/>
        </w:rPr>
        <w:t>何前女士，</w:t>
      </w:r>
      <w:r>
        <w:rPr>
          <w:rFonts w:ascii="宋体" w:hAnsi="宋体" w:cs="宋体" w:eastAsia="宋体" w:hint="default"/>
          <w:spacing w:val="-2"/>
        </w:rPr>
        <w:t>1972</w:t>
      </w:r>
      <w:r>
        <w:rPr>
          <w:spacing w:val="-2"/>
        </w:rPr>
        <w:t>年出生，中国国籍，无境外永久居留权。研究生学历，毕业于上海交通大学上海高级金融学院；长江商学院</w:t>
      </w:r>
      <w:r>
        <w:rPr>
          <w:spacing w:val="-69"/>
        </w:rPr>
        <w:t> </w:t>
      </w:r>
      <w:r>
        <w:rPr>
          <w:spacing w:val="-69"/>
        </w:rPr>
      </w:r>
      <w:r>
        <w:rPr>
          <w:spacing w:val="-2"/>
        </w:rPr>
        <w:t>高级管理人员硕士。曾先后任中瑞岳华会计师事务所浙江分所合伙人及负责人，瑞华会计师事务所（特殊普通合伙）浙江分</w:t>
      </w:r>
      <w:r>
        <w:rPr>
          <w:spacing w:val="-66"/>
        </w:rPr>
        <w:t> </w:t>
      </w:r>
      <w:r>
        <w:rPr>
          <w:spacing w:val="-66"/>
        </w:rPr>
      </w:r>
      <w:r>
        <w:rPr>
          <w:spacing w:val="-2"/>
        </w:rPr>
        <w:t>所合伙人及负责人。现任浙江岳华会计师事务所有限公司副总经理、苏州兴业材料科技股份有限公司独立董事、灵康药业集</w:t>
      </w:r>
      <w:r>
        <w:rPr>
          <w:spacing w:val="-66"/>
        </w:rPr>
        <w:t> </w:t>
      </w:r>
      <w:r>
        <w:rPr>
          <w:spacing w:val="-66"/>
        </w:rPr>
      </w:r>
      <w:r>
        <w:rPr/>
        <w:t>团股份有限公司独立董事、浙江春晖智能控制股份有限公司独立董事。现任本公司独立董事。</w:t>
      </w:r>
    </w:p>
    <w:p>
      <w:pPr>
        <w:spacing w:line="240" w:lineRule="auto" w:before="2"/>
        <w:rPr>
          <w:rFonts w:ascii="宋体" w:hAnsi="宋体" w:cs="宋体" w:eastAsia="宋体" w:hint="default"/>
          <w:sz w:val="25"/>
          <w:szCs w:val="25"/>
        </w:rPr>
      </w:pPr>
    </w:p>
    <w:p>
      <w:pPr>
        <w:pStyle w:val="BodyText"/>
        <w:spacing w:line="316" w:lineRule="auto"/>
        <w:ind w:right="1028"/>
        <w:jc w:val="left"/>
      </w:pPr>
      <w:r>
        <w:rPr>
          <w:rFonts w:ascii="宋体" w:hAnsi="宋体" w:cs="宋体" w:eastAsia="宋体" w:hint="default"/>
          <w:b/>
          <w:bCs/>
        </w:rPr>
        <w:t>杨胜刚先生，</w:t>
      </w:r>
      <w:r>
        <w:rPr>
          <w:rFonts w:ascii="宋体" w:hAnsi="宋体" w:cs="宋体" w:eastAsia="宋体" w:hint="default"/>
        </w:rPr>
        <w:t>1965</w:t>
      </w:r>
      <w:r>
        <w:rPr/>
        <w:t>年出生，中国国籍，无境外永久居留权。博士研究生学历，毕业于武汉大学，获经济学博士学位，教授， </w:t>
      </w:r>
      <w:r>
        <w:rPr>
          <w:spacing w:val="-2"/>
        </w:rPr>
        <w:t>博士生导师。曾担任湖南理工学院政治系助教、副系主任、讲师；湖南财经学院国际经济系系主任、副教授；湖南大学金融</w:t>
      </w:r>
      <w:r>
        <w:rPr>
          <w:spacing w:val="-69"/>
        </w:rPr>
        <w:t> </w:t>
      </w:r>
      <w:r>
        <w:rPr>
          <w:spacing w:val="-69"/>
        </w:rPr>
      </w:r>
      <w:r>
        <w:rPr/>
        <w:t>学院院长、教授、博士生导师；湖南大学金融与统计学院院长、教授、博士生导师；湖南大学副校长、教授、博士生导师。 现任湖南大学金融与统计学院教授、博士生导师。现任本公司独立董事。</w:t>
      </w:r>
    </w:p>
    <w:p>
      <w:pPr>
        <w:spacing w:line="240" w:lineRule="auto" w:before="4"/>
        <w:rPr>
          <w:rFonts w:ascii="宋体" w:hAnsi="宋体" w:cs="宋体" w:eastAsia="宋体" w:hint="default"/>
          <w:sz w:val="25"/>
          <w:szCs w:val="25"/>
        </w:rPr>
      </w:pPr>
    </w:p>
    <w:p>
      <w:pPr>
        <w:pStyle w:val="BodyText"/>
        <w:spacing w:line="316" w:lineRule="auto"/>
        <w:ind w:right="0"/>
        <w:jc w:val="left"/>
      </w:pPr>
      <w:r>
        <w:rPr>
          <w:rFonts w:ascii="宋体" w:hAnsi="宋体" w:cs="宋体" w:eastAsia="宋体" w:hint="default"/>
          <w:b/>
          <w:bCs/>
          <w:spacing w:val="-4"/>
        </w:rPr>
        <w:t>耿乃凡先生，</w:t>
      </w:r>
      <w:r>
        <w:rPr>
          <w:rFonts w:ascii="宋体" w:hAnsi="宋体" w:cs="宋体" w:eastAsia="宋体" w:hint="default"/>
          <w:spacing w:val="-4"/>
        </w:rPr>
        <w:t>1952</w:t>
      </w:r>
      <w:r>
        <w:rPr>
          <w:spacing w:val="-4"/>
        </w:rPr>
        <w:t>年出生，中国国籍，无境外永久居留权。研究生学历，毕业于东南大学获得管理科学与工程专业博士学位，</w:t>
      </w:r>
      <w:r>
        <w:rPr>
          <w:spacing w:val="-39"/>
        </w:rPr>
        <w:t> </w:t>
      </w:r>
      <w:r>
        <w:rPr>
          <w:spacing w:val="-39"/>
        </w:rPr>
      </w:r>
      <w:r>
        <w:rPr>
          <w:spacing w:val="-4"/>
        </w:rPr>
        <w:t>长江商学院高级管理人员硕士，研究员、高级经济师职称。曾担任南京市石油公司副经理，江苏省凤凰出版传媒公司总经理，</w:t>
      </w:r>
      <w:r>
        <w:rPr>
          <w:spacing w:val="-46"/>
        </w:rPr>
        <w:t> </w:t>
      </w:r>
      <w:r>
        <w:rPr>
          <w:spacing w:val="-46"/>
        </w:rPr>
      </w:r>
      <w:r>
        <w:rPr>
          <w:spacing w:val="-2"/>
        </w:rPr>
        <w:t>南京市投资公司总经理，南京市国际信托投资公司总经理，南京古南多</w:t>
      </w:r>
      <w:r>
        <w:rPr>
          <w:rFonts w:ascii="宋体" w:hAnsi="宋体" w:cs="宋体" w:eastAsia="宋体" w:hint="default"/>
          <w:spacing w:val="-2"/>
        </w:rPr>
        <w:t>(</w:t>
      </w:r>
      <w:r>
        <w:rPr>
          <w:spacing w:val="-2"/>
        </w:rPr>
        <w:t>中日合资</w:t>
      </w:r>
      <w:r>
        <w:rPr>
          <w:rFonts w:ascii="宋体" w:hAnsi="宋体" w:cs="宋体" w:eastAsia="宋体" w:hint="default"/>
          <w:spacing w:val="-2"/>
        </w:rPr>
        <w:t>)</w:t>
      </w:r>
      <w:r>
        <w:rPr>
          <w:spacing w:val="-2"/>
        </w:rPr>
        <w:t>饭店董事长，南京银行董事，南京三宝科</w:t>
      </w:r>
      <w:r>
        <w:rPr>
          <w:spacing w:val="-64"/>
        </w:rPr>
        <w:t> </w:t>
      </w:r>
      <w:r>
        <w:rPr>
          <w:spacing w:val="-64"/>
        </w:rPr>
      </w:r>
      <w:r>
        <w:rPr/>
        <w:t>技股份有限公司独立董事。现任本公司独立董事。</w:t>
      </w:r>
    </w:p>
    <w:p>
      <w:pPr>
        <w:spacing w:line="240" w:lineRule="auto" w:before="4"/>
        <w:rPr>
          <w:rFonts w:ascii="宋体" w:hAnsi="宋体" w:cs="宋体" w:eastAsia="宋体" w:hint="default"/>
          <w:sz w:val="25"/>
          <w:szCs w:val="25"/>
        </w:rPr>
      </w:pPr>
    </w:p>
    <w:p>
      <w:pPr>
        <w:pStyle w:val="Heading5"/>
        <w:spacing w:line="240" w:lineRule="auto"/>
        <w:ind w:left="154" w:right="1122"/>
        <w:jc w:val="left"/>
        <w:rPr>
          <w:b w:val="0"/>
          <w:bCs w:val="0"/>
        </w:rPr>
      </w:pPr>
      <w:r>
        <w:rPr/>
        <w:t>（二）</w:t>
      </w:r>
      <w:r>
        <w:rPr>
          <w:spacing w:val="-17"/>
        </w:rPr>
        <w:t> </w:t>
      </w:r>
      <w:r>
        <w:rPr/>
        <w:t>监事会成员简介</w:t>
      </w:r>
      <w:r>
        <w:rPr>
          <w:b w:val="0"/>
          <w:bCs w:val="0"/>
        </w:rPr>
      </w:r>
    </w:p>
    <w:p>
      <w:pPr>
        <w:spacing w:line="240" w:lineRule="auto" w:before="0"/>
        <w:rPr>
          <w:rFonts w:ascii="宋体" w:hAnsi="宋体" w:cs="宋体" w:eastAsia="宋体" w:hint="default"/>
          <w:b/>
          <w:bCs/>
          <w:sz w:val="18"/>
          <w:szCs w:val="18"/>
        </w:rPr>
      </w:pPr>
    </w:p>
    <w:p>
      <w:pPr>
        <w:pStyle w:val="BodyText"/>
        <w:spacing w:line="319" w:lineRule="auto" w:before="153"/>
        <w:ind w:right="1131"/>
        <w:jc w:val="both"/>
      </w:pPr>
      <w:r>
        <w:rPr>
          <w:rFonts w:ascii="宋体" w:hAnsi="宋体" w:cs="宋体" w:eastAsia="宋体" w:hint="default"/>
          <w:b/>
          <w:bCs/>
          <w:spacing w:val="-2"/>
        </w:rPr>
        <w:t>张金剑先生，</w:t>
      </w:r>
      <w:r>
        <w:rPr>
          <w:rFonts w:ascii="宋体" w:hAnsi="宋体" w:cs="宋体" w:eastAsia="宋体" w:hint="default"/>
          <w:spacing w:val="-2"/>
        </w:rPr>
        <w:t>1983</w:t>
      </w:r>
      <w:r>
        <w:rPr>
          <w:spacing w:val="-2"/>
        </w:rPr>
        <w:t>年出生，中国国籍，无境外永久居留权。大学本科学历，毕业于中南林业科技大学，复旦大学高级经理工</w:t>
      </w:r>
      <w:r>
        <w:rPr>
          <w:spacing w:val="-70"/>
        </w:rPr>
        <w:t> </w:t>
      </w:r>
      <w:r>
        <w:rPr>
          <w:spacing w:val="-70"/>
        </w:rPr>
      </w:r>
      <w:r>
        <w:rPr>
          <w:spacing w:val="-2"/>
        </w:rPr>
        <w:t>商管理核心课程研修班，湖南大学</w:t>
      </w:r>
      <w:r>
        <w:rPr>
          <w:rFonts w:ascii="宋体" w:hAnsi="宋体" w:cs="宋体" w:eastAsia="宋体" w:hint="default"/>
          <w:spacing w:val="-2"/>
        </w:rPr>
        <w:t>EMBA</w:t>
      </w:r>
      <w:r>
        <w:rPr>
          <w:spacing w:val="-2"/>
        </w:rPr>
        <w:t>在读。</w:t>
      </w:r>
      <w:r>
        <w:rPr>
          <w:rFonts w:ascii="宋体" w:hAnsi="宋体" w:cs="宋体" w:eastAsia="宋体" w:hint="default"/>
          <w:spacing w:val="-2"/>
        </w:rPr>
        <w:t>2007</w:t>
      </w:r>
      <w:r>
        <w:rPr>
          <w:spacing w:val="-2"/>
        </w:rPr>
        <w:t>年加入公司，曾先后担任销售专员、销售经理、苏州爱康薄膜材料有限公</w:t>
      </w:r>
      <w:r>
        <w:rPr>
          <w:spacing w:val="-58"/>
        </w:rPr>
        <w:t> </w:t>
      </w:r>
      <w:r>
        <w:rPr>
          <w:spacing w:val="-58"/>
        </w:rPr>
      </w:r>
      <w:r>
        <w:rPr>
          <w:spacing w:val="-2"/>
        </w:rPr>
        <w:t>司营销总监、苏州中康电力开发有限公司副总经理、战略发展部总监，现任苏州爱康金属科技有限公司总经理，本公司监事</w:t>
      </w:r>
      <w:r>
        <w:rPr>
          <w:spacing w:val="-66"/>
        </w:rPr>
        <w:t> </w:t>
      </w:r>
      <w:r>
        <w:rPr>
          <w:spacing w:val="-66"/>
        </w:rPr>
      </w:r>
      <w:r>
        <w:rPr/>
        <w:t>会主席。</w:t>
      </w:r>
    </w:p>
    <w:p>
      <w:pPr>
        <w:spacing w:line="240" w:lineRule="auto" w:before="2"/>
        <w:rPr>
          <w:rFonts w:ascii="宋体" w:hAnsi="宋体" w:cs="宋体" w:eastAsia="宋体" w:hint="default"/>
          <w:sz w:val="25"/>
          <w:szCs w:val="25"/>
        </w:rPr>
      </w:pPr>
    </w:p>
    <w:p>
      <w:pPr>
        <w:pStyle w:val="BodyText"/>
        <w:spacing w:line="316" w:lineRule="auto"/>
        <w:ind w:right="1130"/>
        <w:jc w:val="both"/>
      </w:pPr>
      <w:r>
        <w:rPr>
          <w:rFonts w:ascii="宋体" w:hAnsi="宋体" w:cs="宋体" w:eastAsia="宋体" w:hint="default"/>
          <w:b/>
          <w:bCs/>
          <w:spacing w:val="-2"/>
        </w:rPr>
        <w:t>官彦萍女士，</w:t>
      </w:r>
      <w:r>
        <w:rPr>
          <w:rFonts w:ascii="宋体" w:hAnsi="宋体" w:cs="宋体" w:eastAsia="宋体" w:hint="default"/>
          <w:spacing w:val="-2"/>
        </w:rPr>
        <w:t>1983</w:t>
      </w:r>
      <w:r>
        <w:rPr>
          <w:spacing w:val="-2"/>
        </w:rPr>
        <w:t>年出生，中国国籍，无境外永久居留权。硕士学历，毕业于中山大学。先后担任过江苏爱康实业集团有限</w:t>
      </w:r>
      <w:r>
        <w:rPr>
          <w:spacing w:val="-70"/>
        </w:rPr>
        <w:t> </w:t>
      </w:r>
      <w:r>
        <w:rPr>
          <w:spacing w:val="-70"/>
        </w:rPr>
      </w:r>
      <w:r>
        <w:rPr>
          <w:spacing w:val="-2"/>
        </w:rPr>
        <w:t>公司总裁秘书、总裁办主任、人力资源总监、副总经理，苏州爱康能源工程技术股份有限公司副总经理等职务。现任公司综</w:t>
      </w:r>
      <w:r>
        <w:rPr>
          <w:spacing w:val="-65"/>
        </w:rPr>
        <w:t> </w:t>
      </w:r>
      <w:r>
        <w:rPr>
          <w:spacing w:val="-65"/>
        </w:rPr>
      </w:r>
      <w:r>
        <w:rPr/>
        <w:t>合办公室主任，负责战略管理、对外关系等综合事务。</w:t>
      </w:r>
    </w:p>
    <w:p>
      <w:pPr>
        <w:spacing w:line="240" w:lineRule="auto" w:before="4"/>
        <w:rPr>
          <w:rFonts w:ascii="宋体" w:hAnsi="宋体" w:cs="宋体" w:eastAsia="宋体" w:hint="default"/>
          <w:sz w:val="25"/>
          <w:szCs w:val="25"/>
        </w:rPr>
      </w:pPr>
    </w:p>
    <w:p>
      <w:pPr>
        <w:pStyle w:val="BodyText"/>
        <w:spacing w:line="316" w:lineRule="auto"/>
        <w:ind w:right="0"/>
        <w:jc w:val="left"/>
      </w:pPr>
      <w:r>
        <w:rPr>
          <w:rFonts w:ascii="宋体" w:hAnsi="宋体" w:cs="宋体" w:eastAsia="宋体" w:hint="default"/>
          <w:b/>
          <w:bCs/>
          <w:spacing w:val="-2"/>
        </w:rPr>
        <w:t>丁惠华女士，</w:t>
      </w:r>
      <w:r>
        <w:rPr>
          <w:rFonts w:ascii="宋体" w:hAnsi="宋体" w:cs="宋体" w:eastAsia="宋体" w:hint="default"/>
          <w:spacing w:val="-2"/>
        </w:rPr>
        <w:t>1975</w:t>
      </w:r>
      <w:r>
        <w:rPr>
          <w:spacing w:val="-2"/>
        </w:rPr>
        <w:t>年出生，中国国籍，无境外永久居留权，本科学历。自</w:t>
      </w:r>
      <w:r>
        <w:rPr>
          <w:rFonts w:ascii="宋体" w:hAnsi="宋体" w:cs="宋体" w:eastAsia="宋体" w:hint="default"/>
          <w:spacing w:val="-2"/>
        </w:rPr>
        <w:t>2001</w:t>
      </w:r>
      <w:r>
        <w:rPr>
          <w:spacing w:val="-2"/>
        </w:rPr>
        <w:t>年通过会计从业资格证后，走上会计岗位，并</w:t>
      </w:r>
      <w:r>
        <w:rPr>
          <w:spacing w:val="-67"/>
        </w:rPr>
        <w:t> </w:t>
      </w:r>
      <w:r>
        <w:rPr>
          <w:spacing w:val="-67"/>
        </w:rPr>
      </w:r>
      <w:r>
        <w:rPr>
          <w:spacing w:val="-2"/>
        </w:rPr>
        <w:t>先后取得中级会计师、注册税务师、注册会计师证书。曾先后就职于张家港市经济贸易有限公司、张家港市新世纪税务师事</w:t>
      </w:r>
      <w:r>
        <w:rPr>
          <w:spacing w:val="-66"/>
        </w:rPr>
        <w:t> </w:t>
      </w:r>
      <w:r>
        <w:rPr>
          <w:spacing w:val="-66"/>
        </w:rPr>
      </w:r>
      <w:r>
        <w:rPr>
          <w:spacing w:val="-4"/>
        </w:rPr>
        <w:t>务所、张家港市中天税务师事务所、张家港市钰泰会计师事务所，担任主办会计、项目经理等职务。</w:t>
      </w:r>
      <w:r>
        <w:rPr>
          <w:rFonts w:ascii="宋体" w:hAnsi="宋体" w:cs="宋体" w:eastAsia="宋体" w:hint="default"/>
          <w:spacing w:val="-4"/>
        </w:rPr>
        <w:t>2010</w:t>
      </w:r>
      <w:r>
        <w:rPr>
          <w:spacing w:val="-4"/>
        </w:rPr>
        <w:t>年加入本公司以来，</w:t>
      </w:r>
      <w:r>
        <w:rPr>
          <w:spacing w:val="-35"/>
        </w:rPr>
        <w:t> </w:t>
      </w:r>
      <w:r>
        <w:rPr>
          <w:spacing w:val="-35"/>
        </w:rPr>
      </w:r>
      <w:r>
        <w:rPr/>
        <w:t>担任本公司审计部负责人。</w:t>
      </w:r>
    </w:p>
    <w:p>
      <w:pPr>
        <w:spacing w:line="240" w:lineRule="auto" w:before="4"/>
        <w:rPr>
          <w:rFonts w:ascii="宋体" w:hAnsi="宋体" w:cs="宋体" w:eastAsia="宋体" w:hint="default"/>
          <w:sz w:val="25"/>
          <w:szCs w:val="25"/>
        </w:rPr>
      </w:pPr>
    </w:p>
    <w:p>
      <w:pPr>
        <w:pStyle w:val="Heading5"/>
        <w:spacing w:line="240" w:lineRule="auto"/>
        <w:ind w:left="154" w:right="1122"/>
        <w:jc w:val="left"/>
        <w:rPr>
          <w:b w:val="0"/>
          <w:bCs w:val="0"/>
        </w:rPr>
      </w:pPr>
      <w:r>
        <w:rPr/>
        <w:t>（三）</w:t>
      </w:r>
      <w:r>
        <w:rPr>
          <w:spacing w:val="-16"/>
        </w:rPr>
        <w:t> </w:t>
      </w:r>
      <w:r>
        <w:rPr/>
        <w:t>高级管理人员简介</w:t>
      </w:r>
      <w:r>
        <w:rPr>
          <w:b w:val="0"/>
          <w:bCs w:val="0"/>
        </w:rPr>
      </w: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20"/>
          <w:szCs w:val="20"/>
        </w:rPr>
      </w:pPr>
    </w:p>
    <w:p>
      <w:pPr>
        <w:pStyle w:val="BodyText"/>
        <w:spacing w:line="300" w:lineRule="auto"/>
        <w:ind w:right="1122"/>
        <w:jc w:val="left"/>
      </w:pPr>
      <w:r>
        <w:rPr/>
        <w:t>公司高级管理人员易美怀、史强、</w:t>
      </w:r>
      <w:r>
        <w:rPr>
          <w:rFonts w:ascii="Times New Roman" w:hAnsi="Times New Roman" w:cs="Times New Roman" w:eastAsia="Times New Roman" w:hint="default"/>
        </w:rPr>
        <w:t>ZHANG JING</w:t>
      </w:r>
      <w:r>
        <w:rPr/>
        <w:t>、冯晖、李静。易美怀、史强、</w:t>
      </w:r>
      <w:r>
        <w:rPr>
          <w:rFonts w:ascii="Times New Roman" w:hAnsi="Times New Roman" w:cs="Times New Roman" w:eastAsia="Times New Roman" w:hint="default"/>
        </w:rPr>
        <w:t>ZHANG</w:t>
      </w:r>
      <w:r>
        <w:rPr>
          <w:rFonts w:ascii="Times New Roman" w:hAnsi="Times New Roman" w:cs="Times New Roman" w:eastAsia="Times New Roman" w:hint="default"/>
          <w:spacing w:val="-1"/>
        </w:rPr>
        <w:t> </w:t>
      </w:r>
      <w:r>
        <w:rPr>
          <w:rFonts w:ascii="Times New Roman" w:hAnsi="Times New Roman" w:cs="Times New Roman" w:eastAsia="Times New Roman" w:hint="default"/>
        </w:rPr>
        <w:t>JING</w:t>
      </w:r>
      <w:r>
        <w:rPr/>
        <w:t>的简介 请见本节之</w:t>
      </w:r>
      <w:r>
        <w:rPr>
          <w:rFonts w:ascii="Times New Roman" w:hAnsi="Times New Roman" w:cs="Times New Roman" w:eastAsia="Times New Roman" w:hint="default"/>
        </w:rPr>
        <w:t>“</w:t>
      </w:r>
      <w:r>
        <w:rPr/>
        <w:t>董事会成员简介</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4"/>
          <w:szCs w:val="24"/>
        </w:rPr>
      </w:pPr>
    </w:p>
    <w:p>
      <w:pPr>
        <w:pStyle w:val="BodyText"/>
        <w:spacing w:line="319" w:lineRule="auto"/>
        <w:ind w:right="1122"/>
        <w:jc w:val="left"/>
      </w:pPr>
      <w:r>
        <w:rPr>
          <w:rFonts w:ascii="宋体" w:hAnsi="宋体" w:cs="宋体" w:eastAsia="宋体" w:hint="default"/>
          <w:b/>
          <w:bCs/>
        </w:rPr>
        <w:t>冯晖先生，</w:t>
      </w:r>
      <w:r>
        <w:rPr>
          <w:rFonts w:ascii="宋体" w:hAnsi="宋体" w:cs="宋体" w:eastAsia="宋体" w:hint="default"/>
        </w:rPr>
        <w:t>1974</w:t>
      </w:r>
      <w:r>
        <w:rPr/>
        <w:t>年出生，中国国籍，无境外永久居留权。硕士学历，毕业于华北电力大学。在电网公司调度 系统、神华新能源公司技术和管理岗位先后工作</w:t>
      </w:r>
      <w:r>
        <w:rPr>
          <w:rFonts w:ascii="宋体" w:hAnsi="宋体" w:cs="宋体" w:eastAsia="宋体" w:hint="default"/>
        </w:rPr>
        <w:t>20</w:t>
      </w:r>
      <w:r>
        <w:rPr/>
        <w:t>多年，积累了丰富的电网、新能源、电力市场相关的技术 背景和管理经验，对新能源战略与投资、综合能源服务业务开拓、电力市场化改革有较深入研究，是中电联 </w:t>
      </w:r>
      <w:r>
        <w:rPr>
          <w:spacing w:val="-3"/>
        </w:rPr>
        <w:t>光伏发电技术协作会理事，中国电机工程学会新能源专委会专家。</w:t>
      </w:r>
      <w:r>
        <w:rPr>
          <w:rFonts w:ascii="宋体" w:hAnsi="宋体" w:cs="宋体" w:eastAsia="宋体" w:hint="default"/>
          <w:spacing w:val="-3"/>
        </w:rPr>
        <w:t>2016</w:t>
      </w:r>
      <w:r>
        <w:rPr>
          <w:spacing w:val="-3"/>
        </w:rPr>
        <w:t>年加入公司，分管智慧能源业务板块，</w:t>
      </w:r>
      <w:r>
        <w:rPr>
          <w:spacing w:val="-56"/>
        </w:rPr>
        <w:t> </w:t>
      </w:r>
      <w:r>
        <w:rPr>
          <w:spacing w:val="-56"/>
        </w:rPr>
      </w:r>
      <w:r>
        <w:rPr/>
        <w:t>包含电站运营、售电、检测、碳交易、能源云大数据等业务。</w:t>
      </w:r>
    </w:p>
    <w:p>
      <w:pPr>
        <w:spacing w:after="0" w:line="31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16" w:lineRule="auto" w:before="44"/>
        <w:ind w:right="2306"/>
        <w:jc w:val="both"/>
      </w:pPr>
      <w:r>
        <w:rPr>
          <w:rFonts w:ascii="宋体" w:hAnsi="宋体" w:cs="宋体" w:eastAsia="宋体" w:hint="default"/>
          <w:b/>
          <w:bCs/>
        </w:rPr>
        <w:t>李静先生，</w:t>
      </w:r>
      <w:r>
        <w:rPr>
          <w:rFonts w:ascii="宋体" w:hAnsi="宋体" w:cs="宋体" w:eastAsia="宋体" w:hint="default"/>
        </w:rPr>
        <w:t>1984</w:t>
      </w:r>
      <w:r>
        <w:rPr/>
        <w:t>年出生，中国国籍，无境外永久居留权。大学本科学历，毕业于湖南大学，会计中级职称。 </w:t>
      </w:r>
      <w:r>
        <w:rPr>
          <w:rFonts w:ascii="宋体" w:hAnsi="宋体" w:cs="宋体" w:eastAsia="宋体" w:hint="default"/>
          <w:spacing w:val="-1"/>
        </w:rPr>
        <w:t>2007</w:t>
      </w:r>
      <w:r>
        <w:rPr>
          <w:spacing w:val="-1"/>
        </w:rPr>
        <w:t>年加入公司以来，曾先后担任江苏爱康科技股份有限公司成本会计、成本主管、财务经理。现任公司财</w:t>
      </w:r>
      <w:r>
        <w:rPr>
          <w:spacing w:val="-65"/>
        </w:rPr>
        <w:t> </w:t>
      </w:r>
      <w:r>
        <w:rPr>
          <w:spacing w:val="-65"/>
        </w:rPr>
      </w:r>
      <w:r>
        <w:rPr/>
        <w:t>务总监，负责公司财务管理工作。</w:t>
      </w:r>
    </w:p>
    <w:p>
      <w:pPr>
        <w:spacing w:line="240" w:lineRule="auto" w:before="0"/>
        <w:rPr>
          <w:rFonts w:ascii="宋体" w:hAnsi="宋体" w:cs="宋体" w:eastAsia="宋体" w:hint="default"/>
          <w:sz w:val="18"/>
          <w:szCs w:val="18"/>
        </w:rPr>
      </w:pPr>
    </w:p>
    <w:p>
      <w:pPr>
        <w:pStyle w:val="BodyText"/>
        <w:spacing w:line="240" w:lineRule="auto" w:before="136"/>
        <w:ind w:right="0"/>
        <w:jc w:val="both"/>
      </w:pPr>
      <w:r>
        <w:rPr/>
        <w:t>在股东单位任职情况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2327"/>
        <w:gridCol w:w="1419"/>
        <w:gridCol w:w="1774"/>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7"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4" w:right="72" w:hanging="361"/>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122"/>
        <w:jc w:val="left"/>
      </w:pPr>
      <w:r>
        <w:rPr/>
        <w:t>在其他单位任职情况</w:t>
      </w:r>
    </w:p>
    <w:p>
      <w:pPr>
        <w:pStyle w:val="BodyText"/>
        <w:spacing w:line="240" w:lineRule="auto" w:before="117"/>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020"/>
        <w:gridCol w:w="1702"/>
        <w:gridCol w:w="1559"/>
        <w:gridCol w:w="1276"/>
        <w:gridCol w:w="779"/>
      </w:tblGrid>
      <w:tr>
        <w:trPr>
          <w:trHeight w:val="1338"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6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54" w:right="35" w:hanging="720"/>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3" w:right="23"/>
              <w:jc w:val="center"/>
              <w:rPr>
                <w:rFonts w:ascii="宋体" w:hAnsi="宋体" w:cs="宋体" w:eastAsia="宋体" w:hint="default"/>
                <w:sz w:val="18"/>
                <w:szCs w:val="18"/>
              </w:rPr>
            </w:pPr>
            <w:r>
              <w:rPr>
                <w:rFonts w:ascii="宋体" w:hAnsi="宋体" w:cs="宋体" w:eastAsia="宋体" w:hint="default"/>
                <w:sz w:val="18"/>
                <w:szCs w:val="18"/>
              </w:rPr>
              <w:t>在其他单 位是否领 取报酬津 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江苏爱康能源研究院有限公司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上海爱康富罗纳融资租赁有限公司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上海爱康富罗纳投资管理有限公司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苏州爱康金属科技有限公司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上海爱康富罗纳商业保理有限公司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苏州中康电力开发有限公司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徐州慧兴康新能源科技有限公司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苏州爱康电力开发有限公司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江西省金控融资租赁股份有限公司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无锡慧谷供应链管理有限公司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广东华赣商业保理有限公司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乌海市航天睿思新能源开发有限公司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朝阳爱康电力新能源开发有限公司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总经理</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苏州中康电力开发有限公司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020"/>
        <w:gridCol w:w="1702"/>
        <w:gridCol w:w="1559"/>
        <w:gridCol w:w="1276"/>
        <w:gridCol w:w="779"/>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苏州爱康电力开发有限公司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  </w:t>
            </w:r>
            <w:r>
              <w:rPr>
                <w:rFonts w:ascii="宋体" w:hAnsi="宋体" w:cs="宋体" w:eastAsia="宋体" w:hint="default"/>
                <w:sz w:val="18"/>
                <w:szCs w:val="18"/>
              </w:rPr>
              <w:t>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孝义市太子可再生能源科技有限公司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嘉祥昱辉新能源有限公司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无棣爱康电力开发有限公司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酒泉慧康光伏发电有限公司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无锡爱康电力发展有限公司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凤庆县爱康电力有限公司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上海爱康富罗纳售电有限公司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赣州发展融资租赁有限责任公司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山西慧泉大数据产业发展有限公司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阳泉爱康新能电力有限公司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北京碳诺科技有限公司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苏州爱康光电科技有限公司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泌阳县中康太阳能电力开发有限公司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江阴爱康光伏焊带有限公司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苏州慧诚电力检测有限公司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苏州中康电力运营有限公司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赣州爱康新能电力有限公司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江苏智鸿能源科技发展有限公司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金昌清能电力有限公司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南通爱康金属科技有限公司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江西金诺国际融资租赁有限公司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苏州润德新材料有限公司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苏州中康电力开发有限公司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研创应用材料</w:t>
            </w:r>
            <w:r>
              <w:rPr>
                <w:rFonts w:ascii="Times New Roman" w:hAnsi="Times New Roman" w:cs="Times New Roman" w:eastAsia="Times New Roman" w:hint="default"/>
                <w:sz w:val="18"/>
                <w:szCs w:val="18"/>
              </w:rPr>
              <w:t>(</w:t>
            </w:r>
            <w:r>
              <w:rPr>
                <w:rFonts w:ascii="宋体" w:hAnsi="宋体" w:cs="宋体" w:eastAsia="宋体" w:hint="default"/>
                <w:sz w:val="18"/>
                <w:szCs w:val="18"/>
              </w:rPr>
              <w:t>赣州</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上海爱康富罗纳商业保理有限公司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江苏爱康能源研究院有限公司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江西省金控融资租赁股份有限公司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寻乌爱康房地产开发有限公司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广东华赣商业保理有限公司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020"/>
        <w:gridCol w:w="1702"/>
        <w:gridCol w:w="1559"/>
        <w:gridCol w:w="1276"/>
        <w:gridCol w:w="779"/>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抚州诚投融资租赁有限公司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r>
              <w:rPr>
                <w:rFonts w:ascii="宋体" w:hAnsi="宋体" w:cs="宋体" w:eastAsia="宋体" w:hint="default"/>
                <w:sz w:val="18"/>
                <w:szCs w:val="18"/>
              </w:rPr>
              <w:t>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上海爱康富罗纳融资租赁有限公司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江阴爱康光伏焊带有限公司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江苏爱康能源研究院有限公司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苏州爱康金属科技有限公司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南通爱康金属科技有限公司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阳泉爱康科技有限公司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江西省金控融资租赁股份有限公司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浙江爱康光电科技有限公司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广东华赣融资租赁有限责任公司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ZHANG</w:t>
            </w:r>
            <w:r>
              <w:rPr>
                <w:rFonts w:ascii="Times New Roman"/>
                <w:spacing w:val="-2"/>
                <w:sz w:val="18"/>
              </w:rPr>
              <w:t> </w:t>
            </w:r>
            <w:r>
              <w:rPr>
                <w:rFonts w:ascii="Times New Roman"/>
                <w:sz w:val="18"/>
              </w:rPr>
              <w:t>JING</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无锡慧谷供应链管理有限公司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五家渠爱康电力开发有限公司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新疆利源新辉能源科技有限公司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江苏爱康电力有限公司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苏州中康电力运营有限公司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张北爱康兴业能源有限公司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  </w:t>
            </w:r>
            <w:r>
              <w:rPr>
                <w:rFonts w:ascii="宋体" w:hAnsi="宋体" w:cs="宋体" w:eastAsia="宋体" w:hint="default"/>
                <w:sz w:val="18"/>
                <w:szCs w:val="18"/>
              </w:rPr>
              <w:t>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泌阳县中康太阳能电力开发有限公司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新疆爱康天电能源有限公司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金昌清能电力有限公司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九州方园博乐市新能源有限公司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苏州爱康电力开发有限公司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江西爱康新能源发展有限公司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明光爱康电力开发有限公司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禄劝县爱康能源电力有限公司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泌阳县中康太阳能电力开发有限公司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崇左市爱康能源电力有限公司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  </w:t>
            </w:r>
            <w:r>
              <w:rPr>
                <w:rFonts w:ascii="宋体" w:hAnsi="宋体" w:cs="宋体" w:eastAsia="宋体" w:hint="default"/>
                <w:sz w:val="18"/>
                <w:szCs w:val="18"/>
              </w:rPr>
              <w:t>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镇江日升投资管理有限公司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锦州中康电力开发有限公司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大安市爱康新能源开发有限公司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武安市爱康光伏发电有限公司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经理</w:t>
            </w:r>
            <w:r>
              <w:rPr>
                <w:rFonts w:ascii="Times New Roman" w:hAnsi="Times New Roman" w:cs="Times New Roman" w:eastAsia="Times New Roman" w:hint="default"/>
                <w:sz w:val="18"/>
                <w:szCs w:val="18"/>
              </w:rPr>
              <w:t>,  </w:t>
            </w: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平乡县爱康电力开发有限公司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  </w:t>
            </w:r>
            <w:r>
              <w:rPr>
                <w:rFonts w:ascii="宋体" w:hAnsi="宋体" w:cs="宋体" w:eastAsia="宋体" w:hint="default"/>
                <w:sz w:val="18"/>
                <w:szCs w:val="18"/>
              </w:rPr>
              <w:t>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莒南鑫顺风光电科技有限公司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伊川县佳康电力有限公司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020"/>
        <w:gridCol w:w="1702"/>
        <w:gridCol w:w="1559"/>
        <w:gridCol w:w="1276"/>
        <w:gridCol w:w="779"/>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大城县爱康电力开发有限公司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苏州爱康电力开发有限公司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上海富罗纳企业征信服务有限公司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江苏智鸿能源科技发展有限公司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苏州中康电力开发有限公司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甘肃爱康电力有限公司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青海爱康电力有限公司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赣州爱康光电科技有限公司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山西慧泉大数据产业发展有限公司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内蒙古爱康电力有限公司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杭州岳华天瑞财务服务有限公司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  </w:t>
            </w:r>
            <w:r>
              <w:rPr>
                <w:rFonts w:ascii="宋体" w:hAnsi="宋体" w:cs="宋体" w:eastAsia="宋体" w:hint="default"/>
                <w:sz w:val="18"/>
                <w:szCs w:val="18"/>
              </w:rPr>
              <w:t>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杭州普泽健康管理有限公司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杭州也生信息科技有限公司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浙江赛玺投资管理有限公司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浙江岳佑投资管理有限公司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漫糖文化</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北京玖缘投资管理有限公司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经理</w:t>
            </w:r>
            <w:r>
              <w:rPr>
                <w:rFonts w:ascii="Times New Roman" w:hAnsi="Times New Roman" w:cs="Times New Roman" w:eastAsia="Times New Roman" w:hint="default"/>
                <w:sz w:val="18"/>
                <w:szCs w:val="18"/>
              </w:rPr>
              <w:t>,  </w:t>
            </w: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浙江春晖智能控制股份有限公司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浙江华明投资管理有限公司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安徽汉库诊断技术有限公司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西藏锦运信息科技有限公司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浙江赛领岳佑投资管理有限公司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杭州杭岳投资管理有限公司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浙江赛佑投资管理有限公司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杭州华设岳庭资产管理有限公司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北京袖千秋商贸有限公司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西藏也生食品科技有限公司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1122"/>
        <w:jc w:val="left"/>
      </w:pPr>
      <w:r>
        <w:rPr/>
        <w:t>公司现任及报告期内离任董事、监事和高级管理人员近三年证券监管机构处罚的情况</w:t>
      </w:r>
    </w:p>
    <w:p>
      <w:pPr>
        <w:pStyle w:val="BodyText"/>
        <w:spacing w:line="240" w:lineRule="auto" w:before="117"/>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2"/>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1122" w:hanging="360"/>
        <w:jc w:val="left"/>
      </w:pPr>
      <w:r>
        <w:rPr/>
        <w:t>董事、监事、高级管理人员报酬的决策程序、确定依据、实际支付情况 </w:t>
      </w:r>
      <w:r>
        <w:rPr>
          <w:spacing w:val="-2"/>
        </w:rPr>
        <w:t>公司董事会下设薪酬与考核委员会，负责制定、审查公司董事及高级管理人员的薪酬政策与方案，制定公司董事及高级</w:t>
      </w:r>
    </w:p>
    <w:p>
      <w:pPr>
        <w:pStyle w:val="BodyText"/>
        <w:spacing w:line="224" w:lineRule="exact"/>
        <w:ind w:right="0"/>
        <w:jc w:val="left"/>
      </w:pPr>
      <w:r>
        <w:rPr/>
        <w:t>管理人员的考核标准并进行考核。董事或监事的薪酬方案经董事会或监事会审议通过后由股东大会审议确定，高级管理人员</w:t>
      </w:r>
    </w:p>
    <w:p>
      <w:pPr>
        <w:pStyle w:val="BodyText"/>
        <w:spacing w:line="240" w:lineRule="auto" w:before="76"/>
        <w:ind w:right="1122"/>
        <w:jc w:val="left"/>
      </w:pPr>
      <w:r>
        <w:rPr/>
        <w:t>的薪酬方案经董事会审议确定。</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firstLine="360"/>
        <w:jc w:val="left"/>
      </w:pPr>
      <w:r>
        <w:rPr>
          <w:spacing w:val="-4"/>
        </w:rPr>
        <w:t>公司对在公司领取薪酬的董事（独立董事除外）、监事和高管人员实行绩效考核，并将考核结果与个人收入、奖励挂钩。</w:t>
      </w:r>
      <w:r>
        <w:rPr/>
        <w:t> </w:t>
      </w:r>
      <w:r>
        <w:rPr>
          <w:spacing w:val="-2"/>
        </w:rPr>
        <w:t>公司与上述人员于每年年初签订目标考核责任书，董事会薪酬与考核委员会在年末结合公司经营业绩、上述人员的目标完成</w:t>
      </w:r>
      <w:r>
        <w:rPr>
          <w:spacing w:val="-64"/>
        </w:rPr>
        <w:t> </w:t>
      </w:r>
      <w:r>
        <w:rPr>
          <w:spacing w:val="-64"/>
        </w:rPr>
      </w:r>
      <w:r>
        <w:rPr/>
        <w:t>情况确定奖励方案。</w:t>
      </w:r>
    </w:p>
    <w:p>
      <w:pPr>
        <w:pStyle w:val="BodyText"/>
        <w:spacing w:line="240" w:lineRule="auto" w:before="19"/>
        <w:ind w:left="514" w:right="1122"/>
        <w:jc w:val="left"/>
      </w:pPr>
      <w:r>
        <w:rPr/>
        <w:t>报告期董事、监事和高级管理人员报酬已全部实际支付。</w:t>
      </w:r>
    </w:p>
    <w:p>
      <w:pPr>
        <w:spacing w:line="240" w:lineRule="auto" w:before="6"/>
        <w:rPr>
          <w:rFonts w:ascii="宋体" w:hAnsi="宋体" w:cs="宋体" w:eastAsia="宋体" w:hint="default"/>
          <w:sz w:val="29"/>
          <w:szCs w:val="29"/>
        </w:rPr>
      </w:pPr>
    </w:p>
    <w:p>
      <w:pPr>
        <w:pStyle w:val="BodyText"/>
        <w:spacing w:line="240" w:lineRule="auto" w:before="44"/>
        <w:ind w:right="1122"/>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ZHANG</w:t>
            </w:r>
            <w:r>
              <w:rPr>
                <w:rFonts w:ascii="Times New Roman"/>
                <w:spacing w:val="-2"/>
                <w:sz w:val="18"/>
              </w:rPr>
              <w:t> </w:t>
            </w:r>
            <w:r>
              <w:rPr>
                <w:rFonts w:ascii="Times New Roman"/>
                <w:sz w:val="18"/>
              </w:rPr>
              <w:t>JING</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董事、董秘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耿乃凡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杨胜刚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李光华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官彦萍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512.51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公司董事、高级管理人员报告期内被授予的股权激励情况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单位：股</w:t>
      </w:r>
    </w:p>
    <w:p>
      <w:pPr>
        <w:spacing w:after="0" w:line="240" w:lineRule="auto"/>
        <w:jc w:val="left"/>
        <w:sectPr>
          <w:type w:val="continuous"/>
          <w:pgSz w:w="11910" w:h="16840"/>
          <w:pgMar w:top="1060" w:bottom="1160" w:left="980" w:right="0"/>
          <w:cols w:num="2" w:equalWidth="0">
            <w:col w:w="4655" w:space="426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1262"/>
        <w:gridCol w:w="708"/>
        <w:gridCol w:w="638"/>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6"/>
              <w:jc w:val="right"/>
              <w:rPr>
                <w:rFonts w:ascii="宋体" w:hAnsi="宋体" w:cs="宋体" w:eastAsia="宋体" w:hint="default"/>
                <w:sz w:val="18"/>
                <w:szCs w:val="18"/>
              </w:rPr>
            </w:pPr>
            <w:r>
              <w:rPr>
                <w:rFonts w:ascii="宋体" w:hAnsi="宋体" w:cs="宋体" w:eastAsia="宋体" w:hint="default"/>
                <w:sz w:val="18"/>
                <w:szCs w:val="18"/>
              </w:rPr>
              <w:t>姓名</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7" w:right="78"/>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4" w:right="42"/>
              <w:jc w:val="both"/>
              <w:rPr>
                <w:rFonts w:ascii="宋体" w:hAnsi="宋体" w:cs="宋体" w:eastAsia="宋体" w:hint="default"/>
                <w:sz w:val="18"/>
                <w:szCs w:val="18"/>
              </w:rPr>
            </w:pPr>
            <w:r>
              <w:rPr>
                <w:rFonts w:ascii="宋体" w:hAnsi="宋体" w:cs="宋体" w:eastAsia="宋体" w:hint="default"/>
                <w:sz w:val="18"/>
                <w:szCs w:val="18"/>
              </w:rPr>
              <w:t>报告期 内已行 权股数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1"/>
              <w:jc w:val="right"/>
              <w:rPr>
                <w:rFonts w:ascii="宋体" w:hAnsi="宋体" w:cs="宋体" w:eastAsia="宋体" w:hint="default"/>
                <w:sz w:val="18"/>
                <w:szCs w:val="18"/>
              </w:rPr>
            </w:pPr>
            <w:r>
              <w:rPr>
                <w:rFonts w:ascii="宋体" w:hAnsi="宋体" w:cs="宋体" w:eastAsia="宋体" w:hint="default"/>
                <w:sz w:val="18"/>
                <w:szCs w:val="18"/>
              </w:rPr>
              <w:t>易美怀</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pacing w:val="-8"/>
                <w:sz w:val="18"/>
                <w:szCs w:val="18"/>
              </w:rPr>
              <w:t>副董事长、总裁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0" w:right="0"/>
              <w:jc w:val="left"/>
              <w:rPr>
                <w:rFonts w:ascii="Times New Roman" w:hAnsi="Times New Roman" w:cs="Times New Roman" w:eastAsia="Times New Roman" w:hint="default"/>
                <w:sz w:val="18"/>
                <w:szCs w:val="18"/>
              </w:rPr>
            </w:pPr>
            <w:r>
              <w:rPr>
                <w:rFonts w:ascii="Times New Roman"/>
                <w:sz w:val="18"/>
              </w:rPr>
              <w:t>1.57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2" w:right="0"/>
              <w:jc w:val="left"/>
              <w:rPr>
                <w:rFonts w:ascii="Times New Roman" w:hAnsi="Times New Roman" w:cs="Times New Roman" w:eastAsia="Times New Roman" w:hint="default"/>
                <w:sz w:val="18"/>
                <w:szCs w:val="18"/>
              </w:rPr>
            </w:pPr>
            <w:r>
              <w:rPr>
                <w:rFonts w:ascii="Times New Roman"/>
                <w:sz w:val="18"/>
              </w:rPr>
              <w:t>1.31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1,407,921</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6"/>
        <w:gridCol w:w="1262"/>
        <w:gridCol w:w="708"/>
        <w:gridCol w:w="638"/>
        <w:gridCol w:w="870"/>
        <w:gridCol w:w="869"/>
        <w:gridCol w:w="870"/>
        <w:gridCol w:w="870"/>
        <w:gridCol w:w="870"/>
        <w:gridCol w:w="870"/>
        <w:gridCol w:w="870"/>
      </w:tblGrid>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1,435,122</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1,161,095</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1"/>
              <w:ind w:left="22" w:right="202"/>
              <w:jc w:val="left"/>
              <w:rPr>
                <w:rFonts w:ascii="Times New Roman" w:hAnsi="Times New Roman" w:cs="Times New Roman" w:eastAsia="Times New Roman" w:hint="default"/>
                <w:sz w:val="18"/>
                <w:szCs w:val="18"/>
              </w:rPr>
            </w:pPr>
            <w:r>
              <w:rPr>
                <w:rFonts w:ascii="Times New Roman"/>
                <w:sz w:val="18"/>
              </w:rPr>
              <w:t>ZHANG</w:t>
            </w:r>
            <w:r>
              <w:rPr>
                <w:rFonts w:ascii="Times New Roman"/>
                <w:w w:val="99"/>
                <w:sz w:val="18"/>
              </w:rPr>
              <w:t> </w:t>
            </w:r>
            <w:r>
              <w:rPr>
                <w:rFonts w:ascii="Times New Roman"/>
                <w:sz w:val="18"/>
              </w:rPr>
              <w:t>JING</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董事、董秘</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418,307</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冯晖</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133,588</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378,834</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张金剑</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350,682</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5,285,549</w:t>
            </w:r>
          </w:p>
        </w:tc>
      </w:tr>
    </w:tbl>
    <w:p>
      <w:pPr>
        <w:spacing w:line="240" w:lineRule="auto" w:before="2"/>
        <w:rPr>
          <w:rFonts w:ascii="宋体" w:hAnsi="宋体" w:cs="宋体" w:eastAsia="宋体" w:hint="default"/>
          <w:sz w:val="18"/>
          <w:szCs w:val="18"/>
        </w:rPr>
      </w:pPr>
    </w:p>
    <w:p>
      <w:pPr>
        <w:pStyle w:val="Heading2"/>
        <w:spacing w:line="240" w:lineRule="auto" w:before="26"/>
        <w:ind w:right="1122"/>
        <w:jc w:val="left"/>
        <w:rPr>
          <w:b w:val="0"/>
          <w:bCs w:val="0"/>
        </w:rPr>
      </w:pPr>
      <w:bookmarkStart w:name="五、公司员工情况" w:id="128"/>
      <w:bookmarkEnd w:id="128"/>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2,304</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w:t>
            </w:r>
          </w:p>
        </w:tc>
      </w:tr>
      <w:tr>
        <w:trPr>
          <w:trHeight w:val="401"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w:t>
            </w:r>
          </w:p>
        </w:tc>
      </w:tr>
      <w:tr>
        <w:trPr>
          <w:trHeight w:val="40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2,304</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1,442</w:t>
            </w:r>
          </w:p>
        </w:tc>
      </w:tr>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1122"/>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2" w:firstLine="360"/>
        <w:jc w:val="left"/>
      </w:pPr>
      <w:r>
        <w:rPr/>
        <w:t>本着兼顾外部公平性和内部公平性的原则，公司不断健全和完善薪酬绩效制度，公司的薪酬理念是以绩效导向为核心， </w:t>
      </w:r>
      <w:r>
        <w:rPr>
          <w:spacing w:val="-2"/>
        </w:rPr>
        <w:t>以岗位价值为基础，关注战略，分享成功，向业务层倾斜，吸引、激励和保留符合公司未来发展要求的人才。对于中高层管</w:t>
      </w:r>
      <w:r>
        <w:rPr>
          <w:spacing w:val="-68"/>
        </w:rPr>
        <w:t> </w:t>
      </w:r>
      <w:r>
        <w:rPr>
          <w:spacing w:val="-68"/>
        </w:rPr>
      </w:r>
      <w:r>
        <w:rPr>
          <w:spacing w:val="-2"/>
        </w:rPr>
        <w:t>理人员，核心业务（技术）人员、高绩效高潜力人员，公司还制定了相应的经营合伙计划及股权激励计划，使员工能充分享</w:t>
      </w:r>
      <w:r>
        <w:rPr>
          <w:spacing w:val="-67"/>
        </w:rPr>
        <w:t> </w:t>
      </w:r>
      <w:r>
        <w:rPr>
          <w:spacing w:val="-67"/>
        </w:rPr>
      </w:r>
      <w:r>
        <w:rPr/>
        <w:t>受公司发展的成果，促进公司长期健康发展。</w:t>
      </w:r>
    </w:p>
    <w:p>
      <w:pPr>
        <w:spacing w:line="240" w:lineRule="auto" w:before="5"/>
        <w:rPr>
          <w:rFonts w:ascii="宋体" w:hAnsi="宋体" w:cs="宋体" w:eastAsia="宋体" w:hint="default"/>
          <w:sz w:val="22"/>
          <w:szCs w:val="22"/>
        </w:rPr>
      </w:pPr>
    </w:p>
    <w:p>
      <w:pPr>
        <w:pStyle w:val="Heading3"/>
        <w:spacing w:line="240" w:lineRule="auto"/>
        <w:ind w:right="1122"/>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firstLine="360"/>
        <w:jc w:val="both"/>
      </w:pPr>
      <w:r>
        <w:rPr>
          <w:spacing w:val="-3"/>
        </w:rPr>
        <w:t>爱康一直将员工的成长和发展作为人力资源管理的核心，并内化于企业文化的重要一部分。我们为员工提供</w:t>
      </w:r>
      <w:r>
        <w:rPr>
          <w:rFonts w:ascii="Times New Roman" w:hAnsi="Times New Roman" w:cs="Times New Roman" w:eastAsia="Times New Roman" w:hint="default"/>
          <w:spacing w:val="-3"/>
        </w:rPr>
        <w:t>“</w:t>
      </w:r>
      <w:r>
        <w:rPr>
          <w:spacing w:val="-3"/>
        </w:rPr>
        <w:t>专业</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管</w:t>
      </w:r>
      <w:r>
        <w:rPr/>
        <w:t> 理</w:t>
      </w:r>
      <w:r>
        <w:rPr>
          <w:rFonts w:ascii="Times New Roman" w:hAnsi="Times New Roman" w:cs="Times New Roman" w:eastAsia="Times New Roman" w:hint="default"/>
        </w:rPr>
        <w:t>”</w:t>
      </w:r>
      <w:r>
        <w:rPr/>
        <w:t>双通道职业成长路径，配合七大人才培养项目，借助线上移动学习平台和线下课堂培训，为员工提供多样化、重实战、 促发展的多元学习地图，倡导员工热爱学习，与企业共成长。</w:t>
      </w:r>
    </w:p>
    <w:p>
      <w:pPr>
        <w:spacing w:line="240" w:lineRule="auto" w:before="4"/>
        <w:rPr>
          <w:rFonts w:ascii="宋体" w:hAnsi="宋体" w:cs="宋体" w:eastAsia="宋体" w:hint="default"/>
          <w:sz w:val="23"/>
          <w:szCs w:val="23"/>
        </w:rPr>
      </w:pPr>
    </w:p>
    <w:p>
      <w:pPr>
        <w:pStyle w:val="Heading3"/>
        <w:spacing w:line="240" w:lineRule="auto"/>
        <w:ind w:right="1122"/>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1,305,624.05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24,154,044.91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652"/>
        <w:jc w:val="center"/>
        <w:rPr>
          <w:b w:val="0"/>
          <w:bCs w:val="0"/>
        </w:rPr>
      </w:pPr>
      <w:bookmarkStart w:name="第九节 公司治理" w:id="133"/>
      <w:bookmarkEnd w:id="133"/>
      <w:r>
        <w:rPr>
          <w:b w:val="0"/>
          <w:bCs w:val="0"/>
        </w:rPr>
      </w:r>
      <w:bookmarkStart w:name="_bookmark8" w:id="134"/>
      <w:bookmarkEnd w:id="134"/>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22"/>
        <w:jc w:val="left"/>
        <w:rPr>
          <w:b w:val="0"/>
          <w:bCs w:val="0"/>
        </w:rPr>
      </w:pPr>
      <w:bookmarkStart w:name="一、 公司治理的基本状况" w:id="135"/>
      <w:bookmarkEnd w:id="135"/>
      <w:r>
        <w:rPr>
          <w:b w:val="0"/>
          <w:bCs w:val="0"/>
        </w:rPr>
      </w:r>
      <w:r>
        <w:rPr/>
        <w:t>一、</w:t>
      </w:r>
      <w:r>
        <w:rPr>
          <w:spacing w:val="-102"/>
        </w:rPr>
        <w:t> </w:t>
      </w:r>
      <w:r>
        <w:rPr/>
        <w:t>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4" w:right="0" w:hanging="360"/>
        <w:jc w:val="left"/>
      </w:pPr>
      <w:r>
        <w:rPr/>
        <w:t>公司治理的基本情况 </w:t>
      </w:r>
      <w:r>
        <w:rPr>
          <w:spacing w:val="-16"/>
        </w:rPr>
        <w:t>报告期内，公司根据《公司法》、《证券法》、《上市公司治理准则》、《深圳证券交易所中小企业板上市公司规范运作指引》、</w:t>
      </w:r>
    </w:p>
    <w:p>
      <w:pPr>
        <w:pStyle w:val="BodyText"/>
        <w:spacing w:line="338" w:lineRule="auto" w:before="19"/>
        <w:ind w:right="1122"/>
        <w:jc w:val="left"/>
      </w:pPr>
      <w:r>
        <w:rPr>
          <w:spacing w:val="-2"/>
        </w:rPr>
        <w:t>《深圳证券交易所股票上市规则》及中国证监会有关法律法规的要求，不断完善公司法人治理结构、规范公司运作、不断加</w:t>
      </w:r>
      <w:r>
        <w:rPr>
          <w:spacing w:val="-66"/>
        </w:rPr>
        <w:t> </w:t>
      </w:r>
      <w:r>
        <w:rPr>
          <w:spacing w:val="-66"/>
        </w:rPr>
      </w:r>
      <w:r>
        <w:rPr/>
        <w:t>强信息披露工作，积极开展投资者关系管理工作。 公司治理的实际状况与中国证监会发布的有关上市公司治理的规范性文件是否存在重大差异</w:t>
      </w:r>
    </w:p>
    <w:p>
      <w:pPr>
        <w:pStyle w:val="BodyText"/>
        <w:spacing w:line="338" w:lineRule="auto" w:before="43"/>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122"/>
        <w:jc w:val="left"/>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公司控股股东、实际控制人对公司依法通过股东大会行使出资人的权利，没有超越股东大会直接或间接干预公司决策和</w:t>
      </w:r>
      <w:r>
        <w:rPr/>
        <w:t> </w:t>
      </w:r>
      <w:r>
        <w:rPr>
          <w:spacing w:val="-4"/>
        </w:rPr>
        <w:t>经营活动。公司具有独立的业务及自主经营能力，公司与控股股东实行人员、资产、财务、机构、业务独立，各自独立核算、</w:t>
      </w:r>
      <w:r>
        <w:rPr>
          <w:spacing w:val="-47"/>
        </w:rPr>
        <w:t> </w:t>
      </w:r>
      <w:r>
        <w:rPr>
          <w:spacing w:val="-47"/>
        </w:rPr>
      </w:r>
      <w:r>
        <w:rPr>
          <w:spacing w:val="-2"/>
        </w:rPr>
        <w:t>独立承担责任和风险，不存在同业竞争的情况。公司与控股股东的关联交易公平合理，决策程序符合规定，公司也不存在为</w:t>
      </w:r>
      <w:r>
        <w:rPr>
          <w:spacing w:val="-65"/>
        </w:rPr>
        <w:t> </w:t>
      </w:r>
      <w:r>
        <w:rPr>
          <w:spacing w:val="-65"/>
        </w:rPr>
      </w:r>
      <w:r>
        <w:rPr/>
        <w:t>控股股东及其子公司提供违规担保的行为。</w:t>
      </w:r>
    </w:p>
    <w:p>
      <w:pPr>
        <w:spacing w:line="240" w:lineRule="auto" w:before="10"/>
        <w:rPr>
          <w:rFonts w:ascii="宋体" w:hAnsi="宋体" w:cs="宋体" w:eastAsia="宋体" w:hint="default"/>
          <w:sz w:val="20"/>
          <w:szCs w:val="20"/>
        </w:rPr>
      </w:pPr>
    </w:p>
    <w:p>
      <w:pPr>
        <w:pStyle w:val="Heading2"/>
        <w:spacing w:line="240" w:lineRule="auto"/>
        <w:ind w:right="1122"/>
        <w:jc w:val="left"/>
        <w:rPr>
          <w:b w:val="0"/>
          <w:bCs w:val="0"/>
        </w:rPr>
      </w:pPr>
      <w:bookmarkStart w:name="三、同业竞争情况" w:id="137"/>
      <w:bookmarkEnd w:id="137"/>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2"/>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53"/>
        <w:gridCol w:w="1276"/>
        <w:gridCol w:w="1417"/>
        <w:gridCol w:w="1559"/>
        <w:gridCol w:w="1560"/>
        <w:gridCol w:w="1202"/>
      </w:tblGrid>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37.11%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2018-01</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2018-06</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2018-22</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2018-31</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2018-48</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2018-51</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2018-72</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2018-74</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年第八次临时股东大会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2018-98</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年第九次临时股东大会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2018-120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553"/>
        <w:gridCol w:w="1276"/>
        <w:gridCol w:w="1417"/>
        <w:gridCol w:w="1559"/>
        <w:gridCol w:w="1560"/>
        <w:gridCol w:w="1202"/>
      </w:tblGrid>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2018-153</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年第十一次临时股东大会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2018-169</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年第十二次临时股东大会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2018-175</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年第十三次临时股东大会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2018-192</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年第十四次临时股东大会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2018-202</w:t>
            </w:r>
          </w:p>
        </w:tc>
      </w:tr>
    </w:tbl>
    <w:p>
      <w:pPr>
        <w:spacing w:line="240" w:lineRule="auto" w:before="2"/>
        <w:rPr>
          <w:rFonts w:ascii="宋体" w:hAnsi="宋体" w:cs="宋体" w:eastAsia="宋体" w:hint="default"/>
          <w:b/>
          <w:bCs/>
          <w:sz w:val="19"/>
          <w:szCs w:val="19"/>
        </w:rPr>
      </w:pPr>
    </w:p>
    <w:p>
      <w:pPr>
        <w:pStyle w:val="Heading3"/>
        <w:spacing w:line="240" w:lineRule="auto" w:before="35"/>
        <w:ind w:right="1122"/>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2"/>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杨胜刚</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耿乃凡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122"/>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t>独立董事对公司有关事项是否提出异议</w:t>
      </w:r>
    </w:p>
    <w:p>
      <w:pPr>
        <w:pStyle w:val="BodyText"/>
        <w:spacing w:line="338" w:lineRule="auto" w:before="117"/>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1122"/>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t>独立董事对公司有关建议是否被采纳</w:t>
      </w:r>
    </w:p>
    <w:p>
      <w:pPr>
        <w:pStyle w:val="BodyText"/>
        <w:spacing w:line="340"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4" w:lineRule="auto" w:before="39"/>
        <w:ind w:right="1032" w:firstLine="360"/>
        <w:jc w:val="left"/>
      </w:pPr>
      <w:r>
        <w:rPr>
          <w:spacing w:val="-4"/>
        </w:rPr>
        <w:t>公司独立董事在</w:t>
      </w:r>
      <w:r>
        <w:rPr>
          <w:rFonts w:ascii="Times New Roman" w:hAnsi="Times New Roman" w:cs="Times New Roman" w:eastAsia="Times New Roman" w:hint="default"/>
          <w:spacing w:val="-4"/>
        </w:rPr>
        <w:t>2018</w:t>
      </w:r>
      <w:r>
        <w:rPr>
          <w:spacing w:val="-4"/>
        </w:rPr>
        <w:t>年度勤勉尽责，忠实履行独立董事职务，独立董事利用自己的专业优势，密切关注公司的经营情况，</w:t>
      </w:r>
      <w:r>
        <w:rPr/>
        <w:t> </w:t>
      </w:r>
      <w:r>
        <w:rPr>
          <w:spacing w:val="-4"/>
        </w:rPr>
        <w:t>并利用召开董事会、股东大会的机会及其他时间，通过到公司现场或电话的形式深入了解公司的经营情况，积极与其他董事、</w:t>
      </w:r>
      <w:r>
        <w:rPr>
          <w:spacing w:val="-44"/>
        </w:rPr>
        <w:t> </w:t>
      </w:r>
      <w:r>
        <w:rPr>
          <w:spacing w:val="-44"/>
        </w:rPr>
      </w:r>
      <w:r>
        <w:rPr>
          <w:spacing w:val="-2"/>
        </w:rPr>
        <w:t>监事、管理层沟通交流，及时掌握公司的经营动态，对公司总体发展战略以及面临的市场形势提出建设性意见。在董事会上</w:t>
      </w:r>
      <w:r>
        <w:rPr>
          <w:spacing w:val="-66"/>
        </w:rPr>
        <w:t> </w:t>
      </w:r>
      <w:r>
        <w:rPr>
          <w:spacing w:val="-66"/>
        </w:rPr>
      </w:r>
      <w:r>
        <w:rPr>
          <w:spacing w:val="-2"/>
        </w:rPr>
        <w:t>发表意见、行使职权，对公司信息披露情况等进行监督和核查，对报告期内公司发生的董事会成员、监事会成员的选举、对</w:t>
      </w:r>
      <w:r>
        <w:rPr>
          <w:spacing w:val="-66"/>
        </w:rPr>
        <w:t> </w:t>
      </w:r>
      <w:r>
        <w:rPr>
          <w:spacing w:val="-66"/>
        </w:rPr>
      </w:r>
      <w:r>
        <w:rPr/>
        <w:t>外担保、内部控制自我评价报告、关联交易等事项及其他需要独立董事发表意见的事项出具了独立、公正的独立董事意见， 积极有效地履行了独立董事的职责，维护了公司和中小股东的合法权益。</w:t>
      </w:r>
    </w:p>
    <w:p>
      <w:pPr>
        <w:spacing w:after="0" w:line="314"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22"/>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514" w:right="1122" w:hanging="360"/>
        <w:jc w:val="left"/>
        <w:rPr>
          <w:rFonts w:ascii="宋体" w:hAnsi="宋体" w:cs="宋体" w:eastAsia="宋体" w:hint="default"/>
          <w:sz w:val="18"/>
          <w:szCs w:val="18"/>
        </w:rPr>
      </w:pPr>
      <w:r>
        <w:rPr>
          <w:rFonts w:ascii="宋体" w:hAnsi="宋体" w:cs="宋体" w:eastAsia="宋体" w:hint="default"/>
          <w:b/>
          <w:bCs/>
          <w:sz w:val="18"/>
          <w:szCs w:val="18"/>
        </w:rPr>
        <w:t>（一）战略委员会的履职情况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报告期内，公司战略委员会勤勉尽责地履行职责，对公司战略规划进行了研究和指导。报告期内，战略委员会召开了四</w:t>
      </w:r>
    </w:p>
    <w:p>
      <w:pPr>
        <w:pStyle w:val="BodyText"/>
        <w:spacing w:line="316" w:lineRule="auto" w:before="19"/>
        <w:ind w:right="1141"/>
        <w:jc w:val="left"/>
      </w:pPr>
      <w:r>
        <w:rPr/>
        <w:t>次会议，</w:t>
      </w:r>
      <w:r>
        <w:rPr>
          <w:spacing w:val="-19"/>
        </w:rPr>
        <w:t> </w:t>
      </w:r>
      <w:r>
        <w:rPr/>
        <w:t>审议了关于收购能源工程部分股权暨关联交易的议案，关于收购江西金控部分股权暨关联交易的议案，出售光伏</w:t>
      </w:r>
      <w:r>
        <w:rPr/>
        <w:t> 电站资产包，关于收购爱康富罗纳融资租赁部分股权暨关联交易的议案，较好地把握了公司发展的方向。</w:t>
      </w:r>
    </w:p>
    <w:p>
      <w:pPr>
        <w:spacing w:line="240" w:lineRule="auto" w:before="4"/>
        <w:rPr>
          <w:rFonts w:ascii="宋体" w:hAnsi="宋体" w:cs="宋体" w:eastAsia="宋体" w:hint="default"/>
          <w:sz w:val="25"/>
          <w:szCs w:val="25"/>
        </w:rPr>
      </w:pPr>
    </w:p>
    <w:p>
      <w:pPr>
        <w:spacing w:line="316" w:lineRule="auto" w:before="0"/>
        <w:ind w:left="514" w:right="1122" w:hanging="360"/>
        <w:jc w:val="left"/>
        <w:rPr>
          <w:rFonts w:ascii="宋体" w:hAnsi="宋体" w:cs="宋体" w:eastAsia="宋体" w:hint="default"/>
          <w:sz w:val="18"/>
          <w:szCs w:val="18"/>
        </w:rPr>
      </w:pPr>
      <w:r>
        <w:rPr>
          <w:rFonts w:ascii="宋体" w:hAnsi="宋体" w:cs="宋体" w:eastAsia="宋体" w:hint="default"/>
          <w:b/>
          <w:bCs/>
          <w:sz w:val="18"/>
          <w:szCs w:val="18"/>
        </w:rPr>
        <w:t>（二）审计委员会的履职情况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报告期内，审计委员会根据《公司法》、《证券法》、《上市公司治理准则》、《审计委员会工作细则》及《董事会审</w:t>
      </w:r>
    </w:p>
    <w:p>
      <w:pPr>
        <w:pStyle w:val="BodyText"/>
        <w:spacing w:line="309" w:lineRule="auto" w:before="19"/>
        <w:ind w:right="1131"/>
        <w:jc w:val="both"/>
      </w:pPr>
      <w:r>
        <w:rPr>
          <w:spacing w:val="-2"/>
        </w:rPr>
        <w:t>计委员会年报工作制度》等有关规定，积极履行职责。报告期内，审计委员会召开了四次会议，审核了公司</w:t>
      </w:r>
      <w:r>
        <w:rPr>
          <w:rFonts w:ascii="Times New Roman" w:hAnsi="Times New Roman" w:cs="Times New Roman" w:eastAsia="Times New Roman" w:hint="default"/>
          <w:spacing w:val="-2"/>
        </w:rPr>
        <w:t>2018</w:t>
      </w:r>
      <w:r>
        <w:rPr>
          <w:spacing w:val="-2"/>
        </w:rPr>
        <w:t>年的相关财</w:t>
      </w:r>
      <w:r>
        <w:rPr>
          <w:spacing w:val="-62"/>
        </w:rPr>
        <w:t> </w:t>
      </w:r>
      <w:r>
        <w:rPr>
          <w:spacing w:val="-62"/>
        </w:rPr>
      </w:r>
      <w:r>
        <w:rPr>
          <w:spacing w:val="-2"/>
        </w:rPr>
        <w:t>务报告，审查了公司内部控制制度及执行情况，审议了每个季度的募集资金使用情况的内部审计报告，认真听取了公司内审</w:t>
      </w:r>
      <w:r>
        <w:rPr>
          <w:spacing w:val="-66"/>
        </w:rPr>
        <w:t> </w:t>
      </w:r>
      <w:r>
        <w:rPr>
          <w:spacing w:val="-66"/>
        </w:rPr>
      </w:r>
      <w:r>
        <w:rPr>
          <w:spacing w:val="-2"/>
        </w:rPr>
        <w:t>部门</w:t>
      </w:r>
      <w:r>
        <w:rPr>
          <w:rFonts w:ascii="Times New Roman" w:hAnsi="Times New Roman" w:cs="Times New Roman" w:eastAsia="Times New Roman" w:hint="default"/>
          <w:spacing w:val="-2"/>
        </w:rPr>
        <w:t>2018</w:t>
      </w:r>
      <w:r>
        <w:rPr>
          <w:spacing w:val="-2"/>
        </w:rPr>
        <w:t>年内审工作报告及</w:t>
      </w:r>
      <w:r>
        <w:rPr>
          <w:rFonts w:ascii="Times New Roman" w:hAnsi="Times New Roman" w:cs="Times New Roman" w:eastAsia="Times New Roman" w:hint="default"/>
          <w:spacing w:val="-2"/>
        </w:rPr>
        <w:t>2019</w:t>
      </w:r>
      <w:r>
        <w:rPr>
          <w:spacing w:val="-2"/>
        </w:rPr>
        <w:t>年内审工作计划，审核了公司所有重要的会计政策，督促和指导审计部对公司财务管理运行</w:t>
      </w:r>
      <w:r>
        <w:rPr>
          <w:spacing w:val="-56"/>
        </w:rPr>
        <w:t> </w:t>
      </w:r>
      <w:r>
        <w:rPr>
          <w:spacing w:val="-56"/>
        </w:rPr>
      </w:r>
      <w:r>
        <w:rPr>
          <w:spacing w:val="-2"/>
        </w:rPr>
        <w:t>情况进行定期和不定期的检查和评估，委员会认为公司内控制度体系符合法律、法规及公司章程》的要求，适应当前公司生</w:t>
      </w:r>
      <w:r>
        <w:rPr>
          <w:spacing w:val="-66"/>
        </w:rPr>
        <w:t> </w:t>
      </w:r>
      <w:r>
        <w:rPr>
          <w:spacing w:val="-66"/>
        </w:rPr>
      </w:r>
      <w:r>
        <w:rPr/>
        <w:t>产经营实际情况的需要，并能够得到有效的执行。</w:t>
      </w:r>
    </w:p>
    <w:p>
      <w:pPr>
        <w:spacing w:line="240" w:lineRule="auto" w:before="9"/>
        <w:rPr>
          <w:rFonts w:ascii="宋体" w:hAnsi="宋体" w:cs="宋体" w:eastAsia="宋体" w:hint="default"/>
          <w:sz w:val="25"/>
          <w:szCs w:val="25"/>
        </w:rPr>
      </w:pPr>
    </w:p>
    <w:p>
      <w:pPr>
        <w:spacing w:line="316" w:lineRule="auto" w:before="0"/>
        <w:ind w:left="514" w:right="1032" w:hanging="360"/>
        <w:jc w:val="left"/>
        <w:rPr>
          <w:rFonts w:ascii="宋体" w:hAnsi="宋体" w:cs="宋体" w:eastAsia="宋体" w:hint="default"/>
          <w:sz w:val="18"/>
          <w:szCs w:val="18"/>
        </w:rPr>
      </w:pPr>
      <w:r>
        <w:rPr>
          <w:rFonts w:ascii="宋体" w:hAnsi="宋体" w:cs="宋体" w:eastAsia="宋体" w:hint="default"/>
          <w:b/>
          <w:bCs/>
          <w:sz w:val="18"/>
          <w:szCs w:val="18"/>
        </w:rPr>
        <w:t>（三）薪酬与绩效考核委员会的履职情况</w:t>
      </w:r>
      <w:r>
        <w:rPr>
          <w:rFonts w:ascii="宋体" w:hAnsi="宋体" w:cs="宋体" w:eastAsia="宋体" w:hint="default"/>
          <w:b/>
          <w:bCs/>
          <w:w w:val="99"/>
          <w:sz w:val="18"/>
          <w:szCs w:val="18"/>
        </w:rPr>
        <w:t> </w:t>
      </w:r>
      <w:r>
        <w:rPr>
          <w:rFonts w:ascii="宋体" w:hAnsi="宋体" w:cs="宋体" w:eastAsia="宋体" w:hint="default"/>
          <w:sz w:val="18"/>
          <w:szCs w:val="18"/>
        </w:rPr>
        <w:t>报告期内，董事会薪酬与考核委员会按照《公司章程》、《董事会薪酬与考核委员会工作细则》等相关规定规范运作，</w:t>
      </w:r>
    </w:p>
    <w:p>
      <w:pPr>
        <w:pStyle w:val="BodyText"/>
        <w:spacing w:line="300" w:lineRule="auto" w:before="19"/>
        <w:ind w:right="1122"/>
        <w:jc w:val="left"/>
      </w:pPr>
      <w:r>
        <w:rPr>
          <w:spacing w:val="-2"/>
        </w:rPr>
        <w:t>对公司</w:t>
      </w:r>
      <w:r>
        <w:rPr>
          <w:rFonts w:ascii="Times New Roman" w:hAnsi="Times New Roman" w:cs="Times New Roman" w:eastAsia="Times New Roman" w:hint="default"/>
          <w:spacing w:val="-2"/>
        </w:rPr>
        <w:t>2018</w:t>
      </w:r>
      <w:r>
        <w:rPr>
          <w:spacing w:val="-2"/>
        </w:rPr>
        <w:t>年度董事和高级管理人员的薪酬发放情况等提出了意见和建议，审议了修订后的《董事、高级管理人员薪酬与考</w:t>
      </w:r>
      <w:r>
        <w:rPr>
          <w:spacing w:val="-62"/>
        </w:rPr>
        <w:t> </w:t>
      </w:r>
      <w:r>
        <w:rPr>
          <w:spacing w:val="-62"/>
        </w:rPr>
      </w:r>
      <w:r>
        <w:rPr/>
        <w:t>核管理制度》。</w:t>
      </w:r>
    </w:p>
    <w:p>
      <w:pPr>
        <w:pStyle w:val="BodyText"/>
        <w:spacing w:line="300" w:lineRule="auto" w:before="31"/>
        <w:ind w:right="1132" w:firstLine="360"/>
        <w:jc w:val="both"/>
      </w:pPr>
      <w:r>
        <w:rPr>
          <w:spacing w:val="-2"/>
        </w:rPr>
        <w:t>薪酬与考核委员会认真审查了公司</w:t>
      </w:r>
      <w:r>
        <w:rPr>
          <w:rFonts w:ascii="Times New Roman" w:hAnsi="Times New Roman" w:cs="Times New Roman" w:eastAsia="Times New Roman" w:hint="default"/>
          <w:spacing w:val="-2"/>
        </w:rPr>
        <w:t>2017</w:t>
      </w:r>
      <w:r>
        <w:rPr>
          <w:spacing w:val="-2"/>
        </w:rPr>
        <w:t>年年度报告中董事、监事和高级管理人员的薪酬与津贴，认为公司董事、监事和</w:t>
      </w:r>
      <w:r>
        <w:rPr/>
        <w:t> </w:t>
      </w:r>
      <w:r>
        <w:rPr>
          <w:spacing w:val="-2"/>
        </w:rPr>
        <w:t>高级管理人员的薪酬标准符合公司薪资的规定，公司</w:t>
      </w:r>
      <w:r>
        <w:rPr>
          <w:rFonts w:ascii="Times New Roman" w:hAnsi="Times New Roman" w:cs="Times New Roman" w:eastAsia="Times New Roman" w:hint="default"/>
          <w:spacing w:val="-2"/>
        </w:rPr>
        <w:t>2018</w:t>
      </w:r>
      <w:r>
        <w:rPr>
          <w:spacing w:val="-2"/>
        </w:rPr>
        <w:t>年年度报告中所披露的董事、监事和高级管理人员的薪酬真实、准</w:t>
      </w:r>
      <w:r>
        <w:rPr>
          <w:spacing w:val="-62"/>
        </w:rPr>
        <w:t> </w:t>
      </w:r>
      <w:r>
        <w:rPr>
          <w:spacing w:val="-62"/>
        </w:rPr>
      </w:r>
      <w:r>
        <w:rPr/>
        <w:t>确。</w:t>
      </w:r>
    </w:p>
    <w:p>
      <w:pPr>
        <w:spacing w:line="240" w:lineRule="auto" w:before="4"/>
        <w:rPr>
          <w:rFonts w:ascii="宋体" w:hAnsi="宋体" w:cs="宋体" w:eastAsia="宋体" w:hint="default"/>
          <w:sz w:val="26"/>
          <w:szCs w:val="26"/>
        </w:rPr>
      </w:pPr>
    </w:p>
    <w:p>
      <w:pPr>
        <w:spacing w:line="360" w:lineRule="auto" w:before="0"/>
        <w:ind w:left="514" w:right="1122" w:hanging="360"/>
        <w:jc w:val="left"/>
        <w:rPr>
          <w:rFonts w:ascii="宋体" w:hAnsi="宋体" w:cs="宋体" w:eastAsia="宋体" w:hint="default"/>
          <w:sz w:val="18"/>
          <w:szCs w:val="18"/>
        </w:rPr>
      </w:pPr>
      <w:r>
        <w:rPr>
          <w:rFonts w:ascii="宋体" w:hAnsi="宋体" w:cs="宋体" w:eastAsia="宋体" w:hint="default"/>
          <w:b/>
          <w:bCs/>
          <w:sz w:val="18"/>
          <w:szCs w:val="18"/>
        </w:rPr>
        <w:t>（四）提名委员会的履职情况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报告期内，董事会提名委员会勤勉尽责地履行职责，召开了四次董事会提名委员会会议，审议了《关于提名冯晖先生担</w:t>
      </w:r>
    </w:p>
    <w:p>
      <w:pPr>
        <w:pStyle w:val="BodyText"/>
        <w:spacing w:line="221" w:lineRule="exact"/>
        <w:ind w:right="0"/>
        <w:jc w:val="left"/>
      </w:pPr>
      <w:r>
        <w:rPr/>
        <w:t>任公司副总裁的议案》、《关于提名赵剑先生担任公司董事的议案》、《关于提名耿乃凡先生为公司第三届董事会独立董事</w:t>
      </w:r>
    </w:p>
    <w:p>
      <w:pPr>
        <w:pStyle w:val="BodyText"/>
        <w:spacing w:line="319" w:lineRule="auto" w:before="76"/>
        <w:ind w:right="1122"/>
        <w:jc w:val="left"/>
      </w:pPr>
      <w:r>
        <w:rPr>
          <w:spacing w:val="-2"/>
        </w:rPr>
        <w:t>的议案》，和《关于提名杨胜刚先生为公司第三届董事会独立董事的议案》，对高管冯晖先生、独立董事耿乃凡先生、杨胜</w:t>
      </w:r>
      <w:r>
        <w:rPr>
          <w:spacing w:val="-72"/>
        </w:rPr>
        <w:t> </w:t>
      </w:r>
      <w:r>
        <w:rPr>
          <w:spacing w:val="-72"/>
        </w:rPr>
      </w:r>
      <w:r>
        <w:rPr/>
        <w:t>刚先生、董事赵剑先生的任职资格进行了核查。</w:t>
      </w:r>
    </w:p>
    <w:p>
      <w:pPr>
        <w:spacing w:line="240" w:lineRule="auto" w:before="7"/>
        <w:rPr>
          <w:rFonts w:ascii="宋体" w:hAnsi="宋体" w:cs="宋体" w:eastAsia="宋体" w:hint="default"/>
          <w:sz w:val="20"/>
          <w:szCs w:val="20"/>
        </w:rPr>
      </w:pPr>
    </w:p>
    <w:p>
      <w:pPr>
        <w:pStyle w:val="Heading2"/>
        <w:spacing w:line="240" w:lineRule="auto"/>
        <w:ind w:right="1122"/>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t>监事会在报告期内的监督活动中发现公司是否存在风险</w:t>
      </w:r>
    </w:p>
    <w:p>
      <w:pPr>
        <w:pStyle w:val="BodyText"/>
        <w:spacing w:line="338" w:lineRule="auto" w:before="117"/>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1122"/>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32" w:firstLine="360"/>
        <w:jc w:val="both"/>
      </w:pPr>
      <w:r>
        <w:rPr>
          <w:spacing w:val="-2"/>
        </w:rPr>
        <w:t>公司建立了较为合理的高级管理人员的绩效评价标准和激励约束机制，根据高级管理人员的年度履职情况、绩效考核结</w:t>
      </w:r>
      <w:r>
        <w:rPr/>
        <w:t> </w:t>
      </w:r>
      <w:r>
        <w:rPr>
          <w:spacing w:val="-2"/>
        </w:rPr>
        <w:t>果和公司经营业绩的情况决定其年度薪酬。</w:t>
      </w:r>
      <w:r>
        <w:rPr>
          <w:rFonts w:ascii="Times New Roman" w:hAnsi="Times New Roman" w:cs="Times New Roman" w:eastAsia="Times New Roman" w:hint="default"/>
          <w:spacing w:val="-2"/>
        </w:rPr>
        <w:t>2018</w:t>
      </w:r>
      <w:r>
        <w:rPr>
          <w:spacing w:val="-2"/>
        </w:rPr>
        <w:t>年公司高级管理人员能够严格按照《公司法》、《公司章程》、《董事、高</w:t>
      </w:r>
      <w:r>
        <w:rPr>
          <w:spacing w:val="-63"/>
        </w:rPr>
        <w:t> </w:t>
      </w:r>
      <w:r>
        <w:rPr>
          <w:spacing w:val="-63"/>
        </w:rPr>
      </w:r>
      <w:r>
        <w:rPr>
          <w:spacing w:val="-2"/>
        </w:rPr>
        <w:t>级管理人员薪酬与考核管理制度》及国家有关法律法规认真履行职责，积极落实公司股东大会和董事会相关决议，认真履行</w:t>
      </w:r>
      <w:r>
        <w:rPr>
          <w:spacing w:val="-66"/>
        </w:rPr>
        <w:t> </w:t>
      </w:r>
      <w:r>
        <w:rPr>
          <w:spacing w:val="-66"/>
        </w:rPr>
      </w:r>
      <w:r>
        <w:rPr/>
        <w:t>了工作职责，基本完成了既定目标。公司各项考评及激励机制执行情况良好，起到了应有的激励和约束作用。</w:t>
      </w:r>
    </w:p>
    <w:p>
      <w:pPr>
        <w:spacing w:after="0" w:line="312"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r>
        <w:rPr/>
        <w:pict>
          <v:shape style="position:absolute;margin-left:277.643005pt;margin-top:362.539978pt;width:257.3pt;height:39pt;mso-position-horizontal-relative:page;mso-position-vertical-relative:page;z-index:-159277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监事和高级管理人员舞弊；</w:t>
                  </w:r>
                </w:p>
              </w:txbxContent>
            </v:textbox>
            <w10:wrap type="none"/>
          </v:shape>
        </w:pict>
      </w:r>
    </w:p>
    <w:p>
      <w:pPr>
        <w:pStyle w:val="Heading2"/>
        <w:spacing w:line="240" w:lineRule="auto" w:before="26"/>
        <w:ind w:right="1122"/>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spacing w:line="780" w:lineRule="exact"/>
        <w:ind w:left="6676"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152.1pt;height:39pt;mso-position-horizontal-relative:char;mso-position-vertical-relative:line" coordorigin="0,0" coordsize="3042,780">
            <v:group style="position:absolute;left:0;top:0;width:3042;height:780" coordorigin="0,0" coordsize="3042,780">
              <v:shape style="position:absolute;left:0;top:0;width:3042;height:780" coordorigin="0,0" coordsize="3042,780" path="m0,780l3041,780,3041,0,0,0,0,780xe" filled="true" fillcolor="#ffffff" stroked="false">
                <v:path arrowok="t"/>
                <v:fill type="solid"/>
              </v:shape>
            </v:group>
          </v:group>
        </w:pict>
      </w:r>
      <w:r>
        <w:rPr>
          <w:rFonts w:ascii="宋体" w:hAnsi="宋体" w:cs="宋体" w:eastAsia="宋体" w:hint="default"/>
          <w:position w:val="-1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4"/>
          <w:szCs w:val="24"/>
        </w:rPr>
      </w:pPr>
    </w:p>
    <w:p>
      <w:pPr>
        <w:pStyle w:val="BodyText"/>
        <w:spacing w:line="240" w:lineRule="auto" w:before="44"/>
        <w:ind w:left="0" w:right="1150"/>
        <w:jc w:val="right"/>
      </w:pPr>
      <w:r>
        <w:rPr/>
        <w:pict>
          <v:shape style="position:absolute;margin-left:57.029999pt;margin-top:-484.828278pt;width:478.6pt;height:564.8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2"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0" w:type="dxa"/>
                        <w:gridSpan w:val="2"/>
                        <w:vMerge w:val="restart"/>
                        <w:tcBorders>
                          <w:top w:val="single" w:sz="4" w:space="0" w:color="000000"/>
                          <w:left w:val="single" w:sz="9" w:space="0" w:color="D2D2D2"/>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年度内部控制评价报告》刊登在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日的巨潮资讯网</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vMerge/>
                        <w:tcBorders>
                          <w:left w:val="single" w:sz="9" w:space="0" w:color="D2D2D2"/>
                          <w:right w:val="single" w:sz="4" w:space="0" w:color="000000"/>
                        </w:tcBorders>
                      </w:tcPr>
                      <w:p>
                        <w:pPr/>
                      </w:p>
                    </w:tc>
                  </w:tr>
                  <w:tr>
                    <w:trPr>
                      <w:trHeight w:val="161"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0" w:type="dxa"/>
                        <w:gridSpan w:val="2"/>
                        <w:vMerge/>
                        <w:tcBorders>
                          <w:left w:val="single" w:sz="9" w:space="0" w:color="D2D2D2"/>
                          <w:bottom w:val="single" w:sz="4" w:space="0" w:color="000000"/>
                          <w:right w:val="single" w:sz="4" w:space="0" w:color="000000"/>
                        </w:tcBorders>
                      </w:tcPr>
                      <w:p>
                        <w:pP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6"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）财务报告重大缺陷的认定标准</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①该 缺陷涉及董事、</w:t>
                        </w:r>
                      </w:p>
                      <w:p>
                        <w:pPr>
                          <w:pStyle w:val="TableParagraph"/>
                          <w:spacing w:line="312" w:lineRule="auto" w:before="31"/>
                          <w:ind w:left="22" w:right="23"/>
                          <w:jc w:val="left"/>
                          <w:rPr>
                            <w:rFonts w:ascii="宋体" w:hAnsi="宋体" w:cs="宋体" w:eastAsia="宋体" w:hint="default"/>
                            <w:sz w:val="18"/>
                            <w:szCs w:val="18"/>
                          </w:rPr>
                        </w:pPr>
                        <w:r>
                          <w:rPr>
                            <w:rFonts w:ascii="宋体" w:hAnsi="宋体" w:cs="宋体" w:eastAsia="宋体" w:hint="default"/>
                            <w:sz w:val="18"/>
                            <w:szCs w:val="18"/>
                          </w:rPr>
                          <w:t>②更正已公布的财务报告；</w:t>
                        </w:r>
                        <w:r>
                          <w:rPr>
                            <w:rFonts w:ascii="宋体" w:hAnsi="宋体" w:cs="宋体" w:eastAsia="宋体" w:hint="default"/>
                            <w:spacing w:val="-64"/>
                            <w:sz w:val="18"/>
                            <w:szCs w:val="18"/>
                          </w:rPr>
                          <w:t> </w:t>
                        </w:r>
                        <w:r>
                          <w:rPr>
                            <w:rFonts w:ascii="宋体" w:hAnsi="宋体" w:cs="宋体" w:eastAsia="宋体" w:hint="default"/>
                            <w:sz w:val="18"/>
                            <w:szCs w:val="18"/>
                          </w:rPr>
                          <w:t>③注册会计师</w:t>
                        </w:r>
                        <w:r>
                          <w:rPr>
                            <w:rFonts w:ascii="宋体" w:hAnsi="宋体" w:cs="宋体" w:eastAsia="宋体" w:hint="default"/>
                            <w:sz w:val="18"/>
                            <w:szCs w:val="18"/>
                          </w:rPr>
                          <w:t> 发现当期财务报告存在重大错报，而内部 控制在运行过程中未能发现该错报；④公 司审计委员会和内部审计部对内部控制的 </w:t>
                        </w:r>
                        <w:r>
                          <w:rPr>
                            <w:rFonts w:ascii="宋体" w:hAnsi="宋体" w:cs="宋体" w:eastAsia="宋体" w:hint="default"/>
                            <w:spacing w:val="-5"/>
                            <w:sz w:val="18"/>
                            <w:szCs w:val="18"/>
                          </w:rPr>
                          <w:t>监督无效。（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）财务报告重要缺陷的认定</w:t>
                        </w:r>
                        <w:r>
                          <w:rPr>
                            <w:rFonts w:ascii="宋体" w:hAnsi="宋体" w:cs="宋体" w:eastAsia="宋体" w:hint="default"/>
                            <w:spacing w:val="-85"/>
                            <w:sz w:val="18"/>
                            <w:szCs w:val="18"/>
                          </w:rPr>
                          <w:t> </w:t>
                        </w:r>
                        <w:r>
                          <w:rPr>
                            <w:rFonts w:ascii="宋体" w:hAnsi="宋体" w:cs="宋体" w:eastAsia="宋体" w:hint="default"/>
                            <w:sz w:val="18"/>
                            <w:szCs w:val="18"/>
                          </w:rPr>
                          <w:t>标准</w:t>
                        </w:r>
                        <w:r>
                          <w:rPr>
                            <w:rFonts w:ascii="Times New Roman" w:hAnsi="Times New Roman" w:cs="Times New Roman" w:eastAsia="Times New Roman" w:hint="default"/>
                            <w:sz w:val="18"/>
                            <w:szCs w:val="18"/>
                          </w:rPr>
                          <w:t>:</w:t>
                        </w:r>
                        <w:r>
                          <w:rPr>
                            <w:rFonts w:ascii="宋体" w:hAnsi="宋体" w:cs="宋体" w:eastAsia="宋体" w:hint="default"/>
                            <w:sz w:val="18"/>
                            <w:szCs w:val="18"/>
                          </w:rPr>
                          <w:t>①未依照公认会计准则选择和应用 会计政策；②未建立反舞弊程序和控制措 施或反舞弊程序和控制无效；③注册会计 师发现当期财务报告存在重要错报</w:t>
                        </w:r>
                        <w:r>
                          <w:rPr>
                            <w:rFonts w:ascii="Times New Roman" w:hAnsi="Times New Roman" w:cs="Times New Roman" w:eastAsia="Times New Roman" w:hint="default"/>
                            <w:sz w:val="18"/>
                            <w:szCs w:val="18"/>
                          </w:rPr>
                          <w:t>,</w:t>
                        </w:r>
                        <w:r>
                          <w:rPr>
                            <w:rFonts w:ascii="宋体" w:hAnsi="宋体" w:cs="宋体" w:eastAsia="宋体" w:hint="default"/>
                            <w:sz w:val="18"/>
                            <w:szCs w:val="18"/>
                          </w:rPr>
                          <w:t>而内 部控制在运行过程中未能发现该错报；④ 企业审计委员会和内部审计机构对内部控 </w:t>
                        </w:r>
                        <w:r>
                          <w:rPr>
                            <w:rFonts w:ascii="宋体" w:hAnsi="宋体" w:cs="宋体" w:eastAsia="宋体" w:hint="default"/>
                            <w:spacing w:val="-5"/>
                            <w:sz w:val="18"/>
                            <w:szCs w:val="18"/>
                          </w:rPr>
                          <w:t>制的监督存在重要缺陷。（</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）财务报告一</w:t>
                        </w:r>
                        <w:r>
                          <w:rPr>
                            <w:rFonts w:ascii="宋体" w:hAnsi="宋体" w:cs="宋体" w:eastAsia="宋体" w:hint="default"/>
                            <w:spacing w:val="-85"/>
                            <w:sz w:val="18"/>
                            <w:szCs w:val="18"/>
                          </w:rPr>
                          <w:t> </w:t>
                        </w:r>
                        <w:r>
                          <w:rPr>
                            <w:rFonts w:ascii="宋体" w:hAnsi="宋体" w:cs="宋体" w:eastAsia="宋体" w:hint="default"/>
                            <w:sz w:val="18"/>
                            <w:szCs w:val="18"/>
                          </w:rPr>
                          <w:t>般缺陷是指除上述重大缺陷、重要缺陷之 外的其他控制缺陷。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43"/>
                          <w:jc w:val="left"/>
                          <w:rPr>
                            <w:rFonts w:ascii="宋体" w:hAnsi="宋体" w:cs="宋体" w:eastAsia="宋体" w:hint="default"/>
                            <w:sz w:val="18"/>
                            <w:szCs w:val="18"/>
                          </w:rPr>
                        </w:pPr>
                        <w:r>
                          <w:rPr>
                            <w:rFonts w:ascii="宋体" w:hAnsi="宋体" w:cs="宋体" w:eastAsia="宋体" w:hint="default"/>
                            <w:sz w:val="18"/>
                            <w:szCs w:val="18"/>
                          </w:rPr>
                          <w:t>出现以下情形的，可认定为重大缺陷， 其他情形按影响程度分别确定为重要 缺陷或一般缺陷：</w:t>
                        </w:r>
                        <w:r>
                          <w:rPr>
                            <w:rFonts w:ascii="宋体" w:hAnsi="宋体" w:cs="宋体" w:eastAsia="宋体" w:hint="default"/>
                            <w:spacing w:val="25"/>
                            <w:sz w:val="18"/>
                            <w:szCs w:val="18"/>
                          </w:rPr>
                          <w:t> </w:t>
                        </w:r>
                        <w:r>
                          <w:rPr>
                            <w:rFonts w:ascii="宋体" w:hAnsi="宋体" w:cs="宋体" w:eastAsia="宋体" w:hint="default"/>
                            <w:sz w:val="18"/>
                            <w:szCs w:val="18"/>
                          </w:rPr>
                          <w:t>①公司决策程序不</w:t>
                        </w:r>
                        <w:r>
                          <w:rPr>
                            <w:rFonts w:ascii="宋体" w:hAnsi="宋体" w:cs="宋体" w:eastAsia="宋体" w:hint="default"/>
                            <w:sz w:val="18"/>
                            <w:szCs w:val="18"/>
                          </w:rPr>
                          <w:t> 科学； ②违犯国家法律、法规，如出 </w:t>
                        </w:r>
                        <w:r>
                          <w:rPr>
                            <w:rFonts w:ascii="宋体" w:hAnsi="宋体" w:cs="宋体" w:eastAsia="宋体" w:hint="default"/>
                            <w:spacing w:val="-4"/>
                            <w:sz w:val="18"/>
                            <w:szCs w:val="18"/>
                          </w:rPr>
                          <w:t>现重大安全生产或环境污染事故；③管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理人员或关键岗位技术人员纷纷流失；</w:t>
                        </w:r>
                      </w:p>
                      <w:p>
                        <w:pPr>
                          <w:pStyle w:val="TableParagraph"/>
                          <w:spacing w:line="309"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④媒体负面新闻频频曝光</w:t>
                        </w:r>
                        <w:r>
                          <w:rPr>
                            <w:rFonts w:ascii="Times New Roman" w:hAnsi="Times New Roman" w:cs="Times New Roman" w:eastAsia="Times New Roman" w:hint="default"/>
                            <w:sz w:val="18"/>
                            <w:szCs w:val="18"/>
                          </w:rPr>
                          <w:t>,</w:t>
                        </w:r>
                        <w:r>
                          <w:rPr>
                            <w:rFonts w:ascii="宋体" w:hAnsi="宋体" w:cs="宋体" w:eastAsia="宋体" w:hint="default"/>
                            <w:sz w:val="18"/>
                            <w:szCs w:val="18"/>
                          </w:rPr>
                          <w:t>对公司声誉 </w:t>
                        </w:r>
                        <w:r>
                          <w:rPr>
                            <w:rFonts w:ascii="宋体" w:hAnsi="宋体" w:cs="宋体" w:eastAsia="宋体" w:hint="default"/>
                            <w:spacing w:val="-4"/>
                            <w:sz w:val="18"/>
                            <w:szCs w:val="18"/>
                          </w:rPr>
                          <w:t>造成重大损害；⑤内部控制评价的结果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特别是重大或重要缺陷未得到整改；</w:t>
                        </w:r>
                      </w:p>
                      <w:p>
                        <w:pPr>
                          <w:pStyle w:val="TableParagraph"/>
                          <w:spacing w:line="319" w:lineRule="auto" w:before="24"/>
                          <w:ind w:left="22" w:right="136"/>
                          <w:jc w:val="left"/>
                          <w:rPr>
                            <w:rFonts w:ascii="宋体" w:hAnsi="宋体" w:cs="宋体" w:eastAsia="宋体" w:hint="default"/>
                            <w:sz w:val="18"/>
                            <w:szCs w:val="18"/>
                          </w:rPr>
                        </w:pPr>
                        <w:r>
                          <w:rPr>
                            <w:rFonts w:ascii="宋体" w:hAnsi="宋体" w:cs="宋体" w:eastAsia="宋体" w:hint="default"/>
                            <w:sz w:val="18"/>
                            <w:szCs w:val="18"/>
                          </w:rPr>
                          <w:t>⑥重要业务缺乏制度控制或制度系统 性失效。</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345"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630"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7" w:lineRule="auto"/>
                          <w:ind w:left="22" w:right="20"/>
                          <w:jc w:val="left"/>
                          <w:rPr>
                            <w:rFonts w:ascii="宋体" w:hAnsi="宋体" w:cs="宋体" w:eastAsia="宋体" w:hint="default"/>
                            <w:sz w:val="18"/>
                            <w:szCs w:val="18"/>
                          </w:rPr>
                        </w:pPr>
                        <w:r>
                          <w:rPr>
                            <w:rFonts w:ascii="宋体" w:hAnsi="宋体" w:cs="宋体" w:eastAsia="宋体" w:hint="default"/>
                            <w:sz w:val="18"/>
                            <w:szCs w:val="18"/>
                          </w:rPr>
                          <w:t>考虑补偿性控制措施和实际偏差率后，对 金额超过资产总额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％的错报认定为重 </w:t>
                        </w:r>
                        <w:r>
                          <w:rPr>
                            <w:rFonts w:ascii="宋体" w:hAnsi="宋体" w:cs="宋体" w:eastAsia="宋体" w:hint="default"/>
                            <w:spacing w:val="-3"/>
                            <w:sz w:val="18"/>
                            <w:szCs w:val="18"/>
                          </w:rPr>
                          <w:t>大错报，对金额超过资产总额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的错报 认定为重要错报，其余为一般错报。</w:t>
                        </w:r>
                      </w:p>
                    </w:tc>
                    <w:tc>
                      <w:tcPr>
                        <w:tcW w:w="3051" w:type="dxa"/>
                        <w:vMerge w:val="restart"/>
                        <w:tcBorders>
                          <w:top w:val="single" w:sz="4" w:space="0" w:color="000000"/>
                          <w:left w:val="single" w:sz="4" w:space="0" w:color="000000"/>
                          <w:right w:val="single" w:sz="4" w:space="0" w:color="000000"/>
                        </w:tcBorders>
                      </w:tcPr>
                      <w:p>
                        <w:pPr>
                          <w:pStyle w:val="TableParagraph"/>
                          <w:spacing w:line="314" w:lineRule="auto" w:before="52"/>
                          <w:ind w:left="22" w:right="-43"/>
                          <w:jc w:val="left"/>
                          <w:rPr>
                            <w:rFonts w:ascii="宋体" w:hAnsi="宋体" w:cs="宋体" w:eastAsia="宋体" w:hint="default"/>
                            <w:sz w:val="18"/>
                            <w:szCs w:val="18"/>
                          </w:rPr>
                        </w:pPr>
                        <w:r>
                          <w:rPr>
                            <w:rFonts w:ascii="宋体" w:hAnsi="宋体" w:cs="宋体" w:eastAsia="宋体" w:hint="default"/>
                            <w:sz w:val="18"/>
                            <w:szCs w:val="18"/>
                          </w:rPr>
                          <w:t>考虑补偿性控制措施和实际偏差率后， </w:t>
                        </w:r>
                        <w:r>
                          <w:rPr>
                            <w:rFonts w:ascii="宋体" w:hAnsi="宋体" w:cs="宋体" w:eastAsia="宋体" w:hint="default"/>
                            <w:spacing w:val="-4"/>
                            <w:sz w:val="18"/>
                            <w:szCs w:val="18"/>
                          </w:rPr>
                          <w:t>以涉及金额大小为标准，造成直接财产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损失占公司资产总额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的为重大缺 </w:t>
                        </w:r>
                        <w:r>
                          <w:rPr>
                            <w:rFonts w:ascii="宋体" w:hAnsi="宋体" w:cs="宋体" w:eastAsia="宋体" w:hint="default"/>
                            <w:spacing w:val="-4"/>
                            <w:sz w:val="18"/>
                            <w:szCs w:val="18"/>
                          </w:rPr>
                          <w:t>陷，造成直接财产损失占公司资产总额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0.2%</w:t>
                        </w:r>
                        <w:r>
                          <w:rPr>
                            <w:rFonts w:ascii="宋体" w:hAnsi="宋体" w:cs="宋体" w:eastAsia="宋体" w:hint="default"/>
                            <w:sz w:val="18"/>
                            <w:szCs w:val="18"/>
                          </w:rPr>
                          <w:t>的为重要缺陷，其余为一般缺陷</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629"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1122"/>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1122"/>
        <w:jc w:val="left"/>
        <w:rPr>
          <w:b w:val="0"/>
          <w:bCs w:val="0"/>
        </w:rPr>
      </w:pPr>
      <w:bookmarkStart w:name="第十节 公司债券相关情况" w:id="152"/>
      <w:bookmarkEnd w:id="152"/>
      <w:r>
        <w:rPr>
          <w:b w:val="0"/>
          <w:bCs w:val="0"/>
        </w:rPr>
      </w:r>
      <w:bookmarkStart w:name="_bookmark9" w:id="153"/>
      <w:bookmarkEnd w:id="153"/>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是</w:t>
      </w:r>
    </w:p>
    <w:p>
      <w:pPr>
        <w:spacing w:line="240" w:lineRule="auto" w:before="4"/>
        <w:rPr>
          <w:rFonts w:ascii="宋体" w:hAnsi="宋体" w:cs="宋体" w:eastAsia="宋体" w:hint="default"/>
          <w:sz w:val="18"/>
          <w:szCs w:val="18"/>
        </w:rPr>
      </w:pPr>
    </w:p>
    <w:p>
      <w:pPr>
        <w:pStyle w:val="Heading2"/>
        <w:spacing w:line="240" w:lineRule="auto"/>
        <w:ind w:right="1122"/>
        <w:jc w:val="left"/>
        <w:rPr>
          <w:b w:val="0"/>
          <w:bCs w:val="0"/>
        </w:rPr>
      </w:pPr>
      <w:bookmarkStart w:name="一、公司债券基本信息" w:id="154"/>
      <w:bookmarkEnd w:id="154"/>
      <w:r>
        <w:rPr>
          <w:b w:val="0"/>
          <w:bCs w:val="0"/>
        </w:rPr>
      </w:r>
      <w:r>
        <w:rPr/>
        <w:t>一、公司债券基本信息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76"/>
        <w:gridCol w:w="852"/>
        <w:gridCol w:w="850"/>
        <w:gridCol w:w="1559"/>
        <w:gridCol w:w="1560"/>
        <w:gridCol w:w="850"/>
        <w:gridCol w:w="1134"/>
        <w:gridCol w:w="1488"/>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债券代码</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76"/>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258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70" w:right="69" w:firstLine="21"/>
              <w:jc w:val="both"/>
              <w:rPr>
                <w:rFonts w:ascii="宋体" w:hAnsi="宋体" w:cs="宋体" w:eastAsia="宋体" w:hint="default"/>
                <w:sz w:val="18"/>
                <w:szCs w:val="18"/>
              </w:rPr>
            </w:pPr>
            <w:r>
              <w:rPr>
                <w:rFonts w:ascii="宋体" w:hAnsi="宋体" w:cs="宋体" w:eastAsia="宋体" w:hint="default"/>
                <w:sz w:val="18"/>
                <w:szCs w:val="18"/>
              </w:rPr>
              <w:t>江苏爱康科技 股份有限公司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年面向合 格投资者公开 发行公司债券</w:t>
            </w:r>
          </w:p>
          <w:p>
            <w:pPr>
              <w:pStyle w:val="TableParagraph"/>
              <w:spacing w:line="240" w:lineRule="auto" w:before="22"/>
              <w:ind w:left="182" w:right="0"/>
              <w:jc w:val="left"/>
              <w:rPr>
                <w:rFonts w:ascii="宋体" w:hAnsi="宋体" w:cs="宋体" w:eastAsia="宋体" w:hint="default"/>
                <w:sz w:val="18"/>
                <w:szCs w:val="18"/>
              </w:rPr>
            </w:pPr>
            <w:r>
              <w:rPr>
                <w:rFonts w:ascii="宋体" w:hAnsi="宋体" w:cs="宋体" w:eastAsia="宋体" w:hint="default"/>
                <w:sz w:val="18"/>
                <w:szCs w:val="18"/>
              </w:rPr>
              <w:t>（第一期）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爱康</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112691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7.40%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hanging="2"/>
              <w:jc w:val="center"/>
              <w:rPr>
                <w:rFonts w:ascii="宋体" w:hAnsi="宋体" w:cs="宋体" w:eastAsia="宋体" w:hint="default"/>
                <w:sz w:val="18"/>
                <w:szCs w:val="18"/>
              </w:rPr>
            </w:pPr>
            <w:r>
              <w:rPr>
                <w:rFonts w:ascii="宋体" w:hAnsi="宋体" w:cs="宋体" w:eastAsia="宋体" w:hint="default"/>
                <w:sz w:val="18"/>
                <w:szCs w:val="18"/>
              </w:rPr>
              <w:t>本期债券采用单 </w:t>
            </w:r>
            <w:r>
              <w:rPr>
                <w:rFonts w:ascii="宋体" w:hAnsi="宋体" w:cs="宋体" w:eastAsia="宋体" w:hint="default"/>
                <w:spacing w:val="-2"/>
                <w:sz w:val="18"/>
                <w:szCs w:val="18"/>
              </w:rPr>
              <w:t>利按年计息，不计</w:t>
            </w:r>
            <w:r>
              <w:rPr>
                <w:rFonts w:ascii="宋体" w:hAnsi="宋体" w:cs="宋体" w:eastAsia="宋体" w:hint="default"/>
                <w:sz w:val="18"/>
                <w:szCs w:val="18"/>
              </w:rPr>
              <w:t> </w:t>
            </w:r>
            <w:r>
              <w:rPr>
                <w:rFonts w:ascii="宋体" w:hAnsi="宋体" w:cs="宋体" w:eastAsia="宋体" w:hint="default"/>
                <w:spacing w:val="-2"/>
                <w:sz w:val="18"/>
                <w:szCs w:val="18"/>
              </w:rPr>
              <w:t>复利，逾期不另计</w:t>
            </w:r>
            <w:r>
              <w:rPr>
                <w:rFonts w:ascii="宋体" w:hAnsi="宋体" w:cs="宋体" w:eastAsia="宋体" w:hint="default"/>
                <w:sz w:val="18"/>
                <w:szCs w:val="18"/>
              </w:rPr>
              <w:t> 息。每年付息一 次，到期一次还 </w:t>
            </w:r>
            <w:r>
              <w:rPr>
                <w:rFonts w:ascii="宋体" w:hAnsi="宋体" w:cs="宋体" w:eastAsia="宋体" w:hint="default"/>
                <w:spacing w:val="-2"/>
                <w:sz w:val="18"/>
                <w:szCs w:val="18"/>
              </w:rPr>
              <w:t>本，最后一期利息</w:t>
            </w:r>
            <w:r>
              <w:rPr>
                <w:rFonts w:ascii="宋体" w:hAnsi="宋体" w:cs="宋体" w:eastAsia="宋体" w:hint="default"/>
                <w:sz w:val="18"/>
                <w:szCs w:val="18"/>
              </w:rPr>
              <w:t> 随本金的兑付一 起支付。</w:t>
            </w:r>
          </w:p>
        </w:tc>
      </w:tr>
      <w:tr>
        <w:trPr>
          <w:trHeight w:val="714" w:hRule="exact"/>
        </w:trPr>
        <w:tc>
          <w:tcPr>
            <w:tcW w:w="21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公司债券上市或转让的交 易场所</w:t>
            </w:r>
          </w:p>
        </w:tc>
        <w:tc>
          <w:tcPr>
            <w:tcW w:w="744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1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44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1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报告期内公司债券的付息 兑付情况</w:t>
            </w:r>
          </w:p>
        </w:tc>
        <w:tc>
          <w:tcPr>
            <w:tcW w:w="744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50" w:hRule="exact"/>
        </w:trPr>
        <w:tc>
          <w:tcPr>
            <w:tcW w:w="21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公司债券附发行人或投资 </w:t>
            </w:r>
            <w:r>
              <w:rPr>
                <w:rFonts w:ascii="宋体" w:hAnsi="宋体" w:cs="宋体" w:eastAsia="宋体" w:hint="default"/>
                <w:spacing w:val="-8"/>
                <w:sz w:val="18"/>
                <w:szCs w:val="18"/>
              </w:rPr>
              <w:t>者选择权条款、可交换条款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等特殊条款的，报告期内相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关条款的执行情况（如适 </w:t>
            </w:r>
            <w:r>
              <w:rPr>
                <w:rFonts w:ascii="宋体" w:hAnsi="宋体" w:cs="宋体" w:eastAsia="宋体" w:hint="default"/>
                <w:spacing w:val="-30"/>
                <w:sz w:val="18"/>
                <w:szCs w:val="18"/>
              </w:rPr>
              <w:t>用）。</w:t>
            </w:r>
          </w:p>
        </w:tc>
        <w:tc>
          <w:tcPr>
            <w:tcW w:w="744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b/>
          <w:bCs/>
          <w:sz w:val="18"/>
          <w:szCs w:val="18"/>
        </w:rPr>
      </w:pPr>
    </w:p>
    <w:p>
      <w:pPr>
        <w:pStyle w:val="Heading2"/>
        <w:spacing w:line="240" w:lineRule="auto" w:before="26"/>
        <w:ind w:right="1122"/>
        <w:jc w:val="left"/>
        <w:rPr>
          <w:b w:val="0"/>
          <w:bCs w:val="0"/>
        </w:rPr>
      </w:pPr>
      <w:bookmarkStart w:name="二、债券受托管理人和资信评级机构信息" w:id="155"/>
      <w:bookmarkEnd w:id="155"/>
      <w:r>
        <w:rPr>
          <w:b w:val="0"/>
          <w:bCs w:val="0"/>
        </w:rPr>
      </w: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191"/>
        <w:gridCol w:w="1195"/>
        <w:gridCol w:w="993"/>
        <w:gridCol w:w="203"/>
        <w:gridCol w:w="1197"/>
        <w:gridCol w:w="1195"/>
        <w:gridCol w:w="1196"/>
        <w:gridCol w:w="1196"/>
        <w:gridCol w:w="1196"/>
      </w:tblGrid>
      <w:tr>
        <w:trPr>
          <w:trHeight w:val="397"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322"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10" w:space="0" w:color="D2D2D2"/>
              <w:right w:val="single" w:sz="10" w:space="0" w:color="D2D2D2"/>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15" w:right="73"/>
              <w:jc w:val="left"/>
              <w:rPr>
                <w:rFonts w:ascii="宋体" w:hAnsi="宋体" w:cs="宋体" w:eastAsia="宋体" w:hint="default"/>
                <w:sz w:val="18"/>
                <w:szCs w:val="18"/>
              </w:rPr>
            </w:pPr>
            <w:r>
              <w:rPr>
                <w:rFonts w:ascii="宋体" w:hAnsi="宋体" w:cs="宋体" w:eastAsia="宋体" w:hint="default"/>
                <w:sz w:val="18"/>
                <w:szCs w:val="18"/>
              </w:rPr>
              <w:t>中银国际证券 股份有限公司</w:t>
            </w:r>
          </w:p>
        </w:tc>
        <w:tc>
          <w:tcPr>
            <w:tcW w:w="119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9" w:space="0" w:color="D2D2D2"/>
              <w:right w:val="single" w:sz="9" w:space="0" w:color="D2D2D2"/>
            </w:tcBorders>
          </w:tcPr>
          <w:p>
            <w:pPr>
              <w:pStyle w:val="TableParagraph"/>
              <w:spacing w:line="316" w:lineRule="auto" w:before="56"/>
              <w:ind w:left="16" w:right="75"/>
              <w:jc w:val="left"/>
              <w:rPr>
                <w:rFonts w:ascii="宋体" w:hAnsi="宋体" w:cs="宋体" w:eastAsia="宋体" w:hint="default"/>
                <w:sz w:val="18"/>
                <w:szCs w:val="18"/>
              </w:rPr>
            </w:pPr>
            <w:r>
              <w:rPr>
                <w:rFonts w:ascii="宋体" w:hAnsi="宋体" w:cs="宋体" w:eastAsia="宋体" w:hint="default"/>
                <w:sz w:val="18"/>
                <w:szCs w:val="18"/>
              </w:rPr>
              <w:t>上海市浦东银 城中路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中银大厦</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层</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9" w:space="0" w:color="D2D2D2"/>
              <w:right w:val="single" w:sz="9" w:space="0" w:color="D2D2D2"/>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16" w:right="104"/>
              <w:jc w:val="left"/>
              <w:rPr>
                <w:rFonts w:ascii="宋体" w:hAnsi="宋体" w:cs="宋体" w:eastAsia="宋体" w:hint="default"/>
                <w:sz w:val="18"/>
                <w:szCs w:val="18"/>
              </w:rPr>
            </w:pPr>
            <w:r>
              <w:rPr>
                <w:rFonts w:ascii="宋体" w:hAnsi="宋体" w:cs="宋体" w:eastAsia="宋体" w:hint="default"/>
                <w:spacing w:val="-6"/>
                <w:sz w:val="18"/>
                <w:szCs w:val="18"/>
              </w:rPr>
              <w:t>张赟、冯丹迪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朱子熙</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021- 20328645</w:t>
            </w:r>
          </w:p>
        </w:tc>
      </w:tr>
      <w:tr>
        <w:trPr>
          <w:trHeight w:val="392"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5" w:type="dxa"/>
            <w:vMerge/>
            <w:tcBorders>
              <w:left w:val="single" w:sz="10" w:space="0" w:color="D2D2D2"/>
              <w:right w:val="single" w:sz="10" w:space="0" w:color="D2D2D2"/>
            </w:tcBorders>
          </w:tcPr>
          <w:p>
            <w:pPr/>
          </w:p>
        </w:tc>
        <w:tc>
          <w:tcPr>
            <w:tcW w:w="11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7" w:type="dxa"/>
            <w:vMerge/>
            <w:tcBorders>
              <w:left w:val="single" w:sz="9" w:space="0" w:color="D2D2D2"/>
              <w:right w:val="single" w:sz="9" w:space="0" w:color="D2D2D2"/>
            </w:tcBorders>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6" w:type="dxa"/>
            <w:vMerge/>
            <w:tcBorders>
              <w:left w:val="single" w:sz="9" w:space="0" w:color="D2D2D2"/>
              <w:right w:val="single" w:sz="9"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91"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vMerge/>
            <w:tcBorders>
              <w:left w:val="single" w:sz="10" w:space="0" w:color="D2D2D2"/>
              <w:right w:val="single" w:sz="4" w:space="0" w:color="000000"/>
            </w:tcBorders>
          </w:tcPr>
          <w:p>
            <w:pPr/>
          </w:p>
        </w:tc>
      </w:tr>
      <w:tr>
        <w:trPr>
          <w:trHeight w:val="322"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10" w:space="0" w:color="D2D2D2"/>
              <w:bottom w:val="single" w:sz="4" w:space="0" w:color="000000"/>
              <w:right w:val="single" w:sz="10" w:space="0" w:color="D2D2D2"/>
            </w:tcBorders>
          </w:tcPr>
          <w:p>
            <w:pPr/>
          </w:p>
        </w:tc>
        <w:tc>
          <w:tcPr>
            <w:tcW w:w="11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9" w:space="0" w:color="D2D2D2"/>
              <w:bottom w:val="single" w:sz="4" w:space="0" w:color="000000"/>
              <w:right w:val="single" w:sz="9" w:space="0" w:color="D2D2D2"/>
            </w:tcBorders>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9" w:space="0" w:color="D2D2D2"/>
              <w:bottom w:val="single" w:sz="4" w:space="0" w:color="000000"/>
              <w:right w:val="single" w:sz="9"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166"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4"/>
            <w:vMerge w:val="restart"/>
            <w:tcBorders>
              <w:top w:val="single" w:sz="4" w:space="0" w:color="000000"/>
              <w:left w:val="single" w:sz="10" w:space="0" w:color="D2D2D2"/>
              <w:right w:val="single" w:sz="9" w:space="0" w:color="D2D2D2"/>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9" w:space="0" w:color="D2D2D2"/>
              <w:right w:val="single" w:sz="4" w:space="0" w:color="000000"/>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PICC</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大厦</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层（</w:t>
            </w:r>
            <w:r>
              <w:rPr>
                <w:rFonts w:ascii="Times New Roman" w:hAnsi="Times New Roman" w:cs="Times New Roman" w:eastAsia="Times New Roman" w:hint="default"/>
                <w:sz w:val="18"/>
                <w:szCs w:val="18"/>
              </w:rPr>
              <w:t>100022</w:t>
            </w:r>
            <w:r>
              <w:rPr>
                <w:rFonts w:ascii="宋体" w:hAnsi="宋体" w:cs="宋体" w:eastAsia="宋体" w:hint="default"/>
                <w:sz w:val="18"/>
                <w:szCs w:val="18"/>
              </w:rPr>
              <w:t>）</w:t>
            </w:r>
          </w:p>
        </w:tc>
      </w:tr>
      <w:tr>
        <w:trPr>
          <w:trHeight w:val="392"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8" w:type="dxa"/>
            <w:gridSpan w:val="4"/>
            <w:vMerge/>
            <w:tcBorders>
              <w:left w:val="single" w:sz="10" w:space="0" w:color="D2D2D2"/>
              <w:right w:val="single" w:sz="9" w:space="0" w:color="D2D2D2"/>
            </w:tcBorders>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8" w:type="dxa"/>
            <w:gridSpan w:val="3"/>
            <w:vMerge/>
            <w:tcBorders>
              <w:left w:val="single" w:sz="9" w:space="0" w:color="D2D2D2"/>
              <w:right w:val="single" w:sz="4" w:space="0" w:color="000000"/>
            </w:tcBorders>
          </w:tcPr>
          <w:p>
            <w:pPr/>
          </w:p>
        </w:tc>
      </w:tr>
      <w:tr>
        <w:trPr>
          <w:trHeight w:val="161"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588" w:type="dxa"/>
            <w:gridSpan w:val="4"/>
            <w:vMerge/>
            <w:tcBorders>
              <w:left w:val="single" w:sz="10" w:space="0" w:color="D2D2D2"/>
              <w:bottom w:val="single" w:sz="4" w:space="0" w:color="000000"/>
              <w:right w:val="single" w:sz="9" w:space="0" w:color="D2D2D2"/>
            </w:tcBorders>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588" w:type="dxa"/>
            <w:gridSpan w:val="3"/>
            <w:vMerge/>
            <w:tcBorders>
              <w:left w:val="single" w:sz="9" w:space="0" w:color="D2D2D2"/>
              <w:bottom w:val="single" w:sz="4" w:space="0" w:color="000000"/>
              <w:right w:val="single" w:sz="4" w:space="0" w:color="000000"/>
            </w:tcBorders>
          </w:tcPr>
          <w:p>
            <w:pPr/>
          </w:p>
        </w:tc>
      </w:tr>
      <w:tr>
        <w:trPr>
          <w:trHeight w:val="674" w:hRule="exact"/>
        </w:trPr>
        <w:tc>
          <w:tcPr>
            <w:tcW w:w="33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4"/>
                <w:sz w:val="18"/>
                <w:szCs w:val="18"/>
              </w:rPr>
              <w:t>报告期内公司聘请的债券受托管理人、资信</w:t>
            </w:r>
            <w:r>
              <w:rPr>
                <w:rFonts w:ascii="宋体" w:hAnsi="宋体" w:cs="宋体" w:eastAsia="宋体" w:hint="default"/>
                <w:sz w:val="18"/>
                <w:szCs w:val="18"/>
              </w:rPr>
              <w:t> </w:t>
            </w:r>
            <w:r>
              <w:rPr>
                <w:rFonts w:ascii="宋体" w:hAnsi="宋体" w:cs="宋体" w:eastAsia="宋体" w:hint="default"/>
                <w:spacing w:val="-4"/>
                <w:sz w:val="18"/>
                <w:szCs w:val="18"/>
              </w:rPr>
              <w:t>评级机构发生变更的，变更的原因、履行的</w:t>
            </w:r>
          </w:p>
        </w:tc>
        <w:tc>
          <w:tcPr>
            <w:tcW w:w="6184"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b/>
          <w:bCs/>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5pt;height:19.1pt;mso-position-horizontal-relative:char;mso-position-vertical-relative:line" coordorigin="0,0" coordsize="9585,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3391;top:14;width:2;height:353" coordorigin="3391,14" coordsize="2,353">
              <v:shape style="position:absolute;left:3391;top:14;width:2;height:353" coordorigin="3391,14" coordsize="0,353" path="m3391,14l3391,367e" filled="false" stroked="true" strokeweight="1.140pt" strokecolor="#d2d2d2">
                <v:path arrowok="t"/>
              </v:shape>
            </v:group>
            <v:group style="position:absolute;left:32;top:14;width:3348;height:353" coordorigin="32,14" coordsize="3348,353">
              <v:shape style="position:absolute;left:32;top:14;width:3348;height:353" coordorigin="32,14" coordsize="3348,353" path="m32,367l3380,367,3380,14,32,14,32,367xe" filled="true" fillcolor="#d2d2d2" stroked="false">
                <v:path arrowok="t"/>
                <v:fill type="solid"/>
              </v:shape>
            </v:group>
            <v:group style="position:absolute;left:10;top:10;width:3393;height:2" coordorigin="10,10" coordsize="3393,2">
              <v:shape style="position:absolute;left:10;top:10;width:3393;height:2" coordorigin="10,10" coordsize="3393,0" path="m10,10l3402,10e" filled="false" stroked="true" strokeweight=".48pt" strokecolor="#000000">
                <v:path arrowok="t"/>
              </v:shape>
            </v:group>
            <v:group style="position:absolute;left:3412;top:10;width:6163;height:2" coordorigin="3412,10" coordsize="6163,2">
              <v:shape style="position:absolute;left:3412;top:10;width:6163;height:2" coordorigin="3412,10" coordsize="6163,0" path="m3412,10l9575,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3393;height:2" coordorigin="10,372" coordsize="3393,2">
              <v:shape style="position:absolute;left:10;top:372;width:3393;height:2" coordorigin="10,372" coordsize="3393,0" path="m10,372l3402,372e" filled="false" stroked="true" strokeweight=".48pt" strokecolor="#000000">
                <v:path arrowok="t"/>
              </v:shape>
            </v:group>
            <v:group style="position:absolute;left:3407;top:5;width:2;height:372" coordorigin="3407,5" coordsize="2,372">
              <v:shape style="position:absolute;left:3407;top:5;width:2;height:372" coordorigin="3407,5" coordsize="0,372" path="m3407,5l3407,377e" filled="false" stroked="true" strokeweight=".48pt" strokecolor="#000000">
                <v:path arrowok="t"/>
              </v:shape>
            </v:group>
            <v:group style="position:absolute;left:3412;top:372;width:6163;height:2" coordorigin="3412,372" coordsize="6163,2">
              <v:shape style="position:absolute;left:3412;top:372;width:6163;height:2" coordorigin="3412,372" coordsize="6163,0" path="m3412,372l9575,372e" filled="false" stroked="true" strokeweight=".48pt" strokecolor="#000000">
                <v:path arrowok="t"/>
              </v:shape>
            </v:group>
            <v:group style="position:absolute;left:9580;top:5;width:2;height:372" coordorigin="9580,5" coordsize="2,372">
              <v:shape style="position:absolute;left:9580;top:5;width:2;height:372" coordorigin="9580,5" coordsize="0,372" path="m9580,5l9580,377e" filled="false" stroked="true" strokeweight=".47998pt" strokecolor="#000000">
                <v:path arrowok="t"/>
              </v:shape>
              <v:shape style="position:absolute;left:5;top:10;width:3403;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程序、对投资者利益的影响等（如适用）</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b/>
          <w:bCs/>
          <w:sz w:val="17"/>
          <w:szCs w:val="17"/>
        </w:rPr>
      </w:pPr>
    </w:p>
    <w:p>
      <w:pPr>
        <w:pStyle w:val="Heading2"/>
        <w:spacing w:line="240" w:lineRule="auto" w:before="26"/>
        <w:ind w:right="1122"/>
        <w:jc w:val="left"/>
        <w:rPr>
          <w:b w:val="0"/>
          <w:bCs w:val="0"/>
        </w:rPr>
      </w:pPr>
      <w:bookmarkStart w:name="三、公司债券募集资金使用情况" w:id="156"/>
      <w:bookmarkEnd w:id="156"/>
      <w:r>
        <w:rPr>
          <w:b w:val="0"/>
          <w:bCs w:val="0"/>
        </w:rPr>
      </w: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募集资金严格按照募集说明书相关约定使用并履行相关程序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募集资金专项账户严格按照募集说明书相关约定运作</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both"/>
        <w:rPr>
          <w:b w:val="0"/>
          <w:bCs w:val="0"/>
        </w:rPr>
      </w:pPr>
      <w:bookmarkStart w:name="四、公司债券信息评级情况" w:id="157"/>
      <w:bookmarkEnd w:id="157"/>
      <w:r>
        <w:rPr>
          <w:b w:val="0"/>
          <w:bCs w:val="0"/>
        </w:rPr>
      </w:r>
      <w:r>
        <w:rPr/>
        <w:t>四、公司债券信息评级情况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jc w:val="both"/>
      </w:pPr>
      <w:r>
        <w:rPr>
          <w:spacing w:val="-2"/>
        </w:rPr>
        <w:t>根据联合信用评级有限公司出具的《江苏爱康科技股份有限公司</w:t>
      </w:r>
      <w:r>
        <w:rPr>
          <w:rFonts w:ascii="宋体" w:hAnsi="宋体" w:cs="宋体" w:eastAsia="宋体" w:hint="default"/>
          <w:spacing w:val="-2"/>
        </w:rPr>
        <w:t>2018</w:t>
      </w:r>
      <w:r>
        <w:rPr>
          <w:spacing w:val="-2"/>
        </w:rPr>
        <w:t>年面向合格投资者公开发行公司债券（第一期）信用评</w:t>
      </w:r>
      <w:r>
        <w:rPr>
          <w:spacing w:val="-62"/>
        </w:rPr>
        <w:t> </w:t>
      </w:r>
      <w:r>
        <w:rPr>
          <w:spacing w:val="-62"/>
        </w:rPr>
      </w:r>
      <w:r>
        <w:rPr>
          <w:spacing w:val="-2"/>
        </w:rPr>
        <w:t>级报告》，发行人的主体信用等级为</w:t>
      </w:r>
      <w:r>
        <w:rPr>
          <w:rFonts w:ascii="宋体" w:hAnsi="宋体" w:cs="宋体" w:eastAsia="宋体" w:hint="default"/>
          <w:spacing w:val="-2"/>
        </w:rPr>
        <w:t>AA</w:t>
      </w:r>
      <w:r>
        <w:rPr>
          <w:spacing w:val="-2"/>
        </w:rPr>
        <w:t>级，本期债券的信用等级为</w:t>
      </w:r>
      <w:r>
        <w:rPr>
          <w:rFonts w:ascii="宋体" w:hAnsi="宋体" w:cs="宋体" w:eastAsia="宋体" w:hint="default"/>
          <w:spacing w:val="-2"/>
        </w:rPr>
        <w:t>AA</w:t>
      </w:r>
      <w:r>
        <w:rPr>
          <w:spacing w:val="-2"/>
        </w:rPr>
        <w:t>级。在本期债券的存续期内，资信评级机构每年将对公</w:t>
      </w:r>
      <w:r>
        <w:rPr>
          <w:spacing w:val="-62"/>
        </w:rPr>
        <w:t> </w:t>
      </w:r>
      <w:r>
        <w:rPr>
          <w:spacing w:val="-62"/>
        </w:rPr>
      </w:r>
      <w:r>
        <w:rPr/>
        <w:t>司主体信用等级和本期债券信用等级进行一次跟踪评级。</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五、 公司债券增信机制、偿债计划及其他偿债保障措施" w:id="158"/>
      <w:bookmarkEnd w:id="158"/>
      <w:r>
        <w:rPr>
          <w:b w:val="0"/>
          <w:bCs w:val="0"/>
        </w:rPr>
      </w:r>
      <w:r>
        <w:rPr/>
        <w:t>五、</w:t>
      </w:r>
      <w:r>
        <w:rPr>
          <w:spacing w:val="-22"/>
        </w:rPr>
        <w:t> </w:t>
      </w:r>
      <w:r>
        <w:rPr/>
        <w:t>公司债券增信机制、偿债计划及其他偿债保障措施</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jc w:val="both"/>
      </w:pPr>
      <w:r>
        <w:rPr/>
        <w:t>本公司已发行的公司债券</w:t>
      </w:r>
      <w:r>
        <w:rPr>
          <w:spacing w:val="7"/>
        </w:rPr>
        <w:t> </w:t>
      </w:r>
      <w:r>
        <w:rPr/>
        <w:t>“</w:t>
      </w:r>
      <w:r>
        <w:rPr>
          <w:rFonts w:ascii="宋体" w:hAnsi="宋体" w:cs="宋体" w:eastAsia="宋体" w:hint="default"/>
        </w:rPr>
        <w:t>18</w:t>
      </w:r>
      <w:r>
        <w:rPr/>
        <w:t>爱康</w:t>
      </w:r>
      <w:r>
        <w:rPr>
          <w:rFonts w:ascii="宋体" w:hAnsi="宋体" w:cs="宋体" w:eastAsia="宋体" w:hint="default"/>
        </w:rPr>
        <w:t>01</w:t>
      </w:r>
      <w:r>
        <w:rPr/>
        <w:t>”采取无担保发行，偿债计划及其他偿债保障措施未发生变更，偿债计划及保障措施 的执行情况与募集说明书的相关承诺一致。</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bookmarkStart w:name="六、报告期内债券持有人会议的召开情况" w:id="159"/>
      <w:bookmarkEnd w:id="159"/>
      <w:r>
        <w:rPr>
          <w:b w:val="0"/>
          <w:bCs w:val="0"/>
        </w:rPr>
      </w:r>
      <w:r>
        <w:rPr/>
        <w:t>六、报告期内债券持有人会议的召开情况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3732"/>
        <w:jc w:val="left"/>
      </w:pPr>
      <w:r>
        <w:rPr/>
        <w:t>报告期内，召开过一次债券持有人会议，明细如下： 召开时间：</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23</w:t>
      </w:r>
      <w:r>
        <w:rPr/>
        <w:t>日</w:t>
      </w:r>
      <w:r>
        <w:rPr>
          <w:rFonts w:ascii="宋体" w:hAnsi="宋体" w:cs="宋体" w:eastAsia="宋体" w:hint="default"/>
        </w:rPr>
        <w:t>10:00</w:t>
      </w:r>
      <w:r>
        <w:rPr/>
        <w:t>至</w:t>
      </w:r>
      <w:r>
        <w:rPr>
          <w:rFonts w:ascii="宋体" w:hAnsi="宋体" w:cs="宋体" w:eastAsia="宋体" w:hint="default"/>
        </w:rPr>
        <w:t>12:00</w:t>
      </w:r>
      <w:r>
        <w:rPr/>
        <w:t>。 召开地点：上海市浦东新区银城中路</w:t>
      </w:r>
      <w:r>
        <w:rPr>
          <w:rFonts w:ascii="宋体" w:hAnsi="宋体" w:cs="宋体" w:eastAsia="宋体" w:hint="default"/>
        </w:rPr>
        <w:t>200</w:t>
      </w:r>
      <w:r>
        <w:rPr/>
        <w:t>号中银大厦</w:t>
      </w:r>
      <w:r>
        <w:rPr>
          <w:rFonts w:ascii="宋体" w:hAnsi="宋体" w:cs="宋体" w:eastAsia="宋体" w:hint="default"/>
        </w:rPr>
        <w:t>39</w:t>
      </w:r>
      <w:r>
        <w:rPr/>
        <w:t>楼 召开原因：发行人因回购注销部分限制性股票导致发行人注册资本减少，触发了召开条件</w:t>
      </w:r>
    </w:p>
    <w:p>
      <w:pPr>
        <w:pStyle w:val="BodyText"/>
        <w:spacing w:line="319" w:lineRule="auto" w:before="26"/>
        <w:ind w:right="1131"/>
        <w:jc w:val="both"/>
      </w:pPr>
      <w:r>
        <w:rPr>
          <w:spacing w:val="-2"/>
        </w:rPr>
        <w:t>会议拟审议议案：《关于江苏爱康科技股份有限公司回购注销部分限制性股票相关事项的议案》和《关于江苏爱康科技股份</w:t>
      </w:r>
      <w:r>
        <w:rPr>
          <w:spacing w:val="-65"/>
        </w:rPr>
        <w:t> </w:t>
      </w:r>
      <w:r>
        <w:rPr>
          <w:spacing w:val="-65"/>
        </w:rPr>
      </w:r>
      <w:r>
        <w:rPr/>
        <w:t>有限公司注销部分限制性股票事项完成工商变更登记的议案》</w:t>
      </w:r>
    </w:p>
    <w:p>
      <w:pPr>
        <w:pStyle w:val="BodyText"/>
        <w:spacing w:line="319" w:lineRule="auto" w:before="55"/>
        <w:ind w:right="1131"/>
        <w:jc w:val="both"/>
      </w:pPr>
      <w:r>
        <w:rPr>
          <w:spacing w:val="-2"/>
        </w:rPr>
        <w:t>表决结果：《关于江苏爱康科技股份有限公司回购注销部分限制性股票相关事项的议案》和《关于江苏爱康科技股份有限公</w:t>
      </w:r>
      <w:r>
        <w:rPr>
          <w:spacing w:val="-65"/>
        </w:rPr>
        <w:t> </w:t>
      </w:r>
      <w:r>
        <w:rPr>
          <w:spacing w:val="-65"/>
        </w:rPr>
      </w:r>
      <w:r>
        <w:rPr>
          <w:spacing w:val="-2"/>
        </w:rPr>
        <w:t>司注销部分限制性股票事项完成工商变更登记的议案》均获出席本次债券持有人会议的债券持有人所代表的有表决权债券总</w:t>
      </w:r>
      <w:r>
        <w:rPr>
          <w:spacing w:val="-64"/>
        </w:rPr>
        <w:t> </w:t>
      </w:r>
      <w:r>
        <w:rPr>
          <w:spacing w:val="-64"/>
        </w:rPr>
      </w:r>
      <w:r>
        <w:rPr/>
        <w:t>数的</w:t>
      </w:r>
      <w:r>
        <w:rPr>
          <w:rFonts w:ascii="宋体" w:hAnsi="宋体" w:cs="宋体" w:eastAsia="宋体" w:hint="default"/>
        </w:rPr>
        <w:t>100%</w:t>
      </w:r>
      <w:r>
        <w:rPr/>
        <w:t>同意通过。</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bookmarkStart w:name="七、报告期内债券受托管理人履行职责的情况" w:id="160"/>
      <w:bookmarkEnd w:id="160"/>
      <w:r>
        <w:rPr>
          <w:b w:val="0"/>
          <w:bCs w:val="0"/>
        </w:rPr>
      </w:r>
      <w:r>
        <w:rPr/>
        <w:t>七、报告期内债券受托管理人履行职责的情况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29"/>
        <w:jc w:val="both"/>
      </w:pPr>
      <w:r>
        <w:rPr/>
        <w:t>“</w:t>
      </w:r>
      <w:r>
        <w:rPr>
          <w:rFonts w:ascii="宋体" w:hAnsi="宋体" w:cs="宋体" w:eastAsia="宋体" w:hint="default"/>
        </w:rPr>
        <w:t>18</w:t>
      </w:r>
      <w:r>
        <w:rPr/>
        <w:t>爱康</w:t>
      </w:r>
      <w:r>
        <w:rPr>
          <w:rFonts w:ascii="宋体" w:hAnsi="宋体" w:cs="宋体" w:eastAsia="宋体" w:hint="default"/>
        </w:rPr>
        <w:t>01</w:t>
      </w:r>
      <w:r>
        <w:rPr/>
        <w:t>”的受托管理人中银国际证券股份有限公司于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12</w:t>
      </w:r>
      <w:r>
        <w:rPr/>
        <w:t>日出具了《中银国际证券股份有限公司关于江苏爱康</w:t>
      </w:r>
      <w:r>
        <w:rPr>
          <w:spacing w:val="-83"/>
        </w:rPr>
        <w:t> </w:t>
      </w:r>
      <w:r>
        <w:rPr>
          <w:spacing w:val="-83"/>
        </w:rPr>
      </w:r>
      <w:r>
        <w:rPr/>
        <w:t>科技股份有限公司筹划重大资产重组停牌事项临时受托管理事务报告》，</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25</w:t>
      </w:r>
      <w:r>
        <w:rPr/>
        <w:t>日出具了《中银国际证券股份有限公</w:t>
      </w:r>
      <w:r>
        <w:rPr>
          <w:spacing w:val="-82"/>
        </w:rPr>
        <w:t> </w:t>
      </w:r>
      <w:r>
        <w:rPr>
          <w:spacing w:val="-82"/>
        </w:rPr>
      </w:r>
      <w:r>
        <w:rPr/>
        <w:t>司关于江苏爱康科技股份有限公司筹划重大资产出售事项的临时受托管理事务报告》，</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25</w:t>
      </w:r>
      <w:r>
        <w:rPr/>
        <w:t>日出具了《中银国际证</w:t>
      </w:r>
      <w:r>
        <w:rPr>
          <w:spacing w:val="-82"/>
        </w:rPr>
        <w:t> </w:t>
      </w:r>
      <w:r>
        <w:rPr>
          <w:spacing w:val="-82"/>
        </w:rPr>
      </w:r>
      <w:r>
        <w:rPr/>
        <w:t>券股份有限公司关于江苏爱康科技股份有限公司注销部分限制性股票事项完成工商变更登记的临时受托管理事务报告》，</w:t>
      </w:r>
      <w:r>
        <w:rPr>
          <w:spacing w:val="2"/>
        </w:rPr>
        <w:t> </w:t>
      </w:r>
      <w:r>
        <w:rPr>
          <w:spacing w:val="2"/>
        </w:rPr>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6</w:t>
      </w:r>
      <w:r>
        <w:rPr>
          <w:spacing w:val="-2"/>
        </w:rPr>
        <w:t>日出具了《中银国际证券股份有限公司关于江苏爱康科技股份有限公司回购注销部分限制性股票的临时受托管理</w:t>
      </w:r>
      <w:r>
        <w:rPr>
          <w:spacing w:val="-58"/>
        </w:rPr>
        <w:t> </w:t>
      </w:r>
      <w:r>
        <w:rPr>
          <w:spacing w:val="-58"/>
        </w:rPr>
      </w:r>
      <w:r>
        <w:rPr/>
        <w:t>事务报告》具体内容详见巨潮资讯网（</w:t>
      </w:r>
      <w:hyperlink r:id="rId11">
        <w:r>
          <w:rPr>
            <w:rFonts w:ascii="宋体" w:hAnsi="宋体" w:cs="宋体" w:eastAsia="宋体" w:hint="default"/>
          </w:rPr>
          <w:t>http://www.cninfo.com.cn</w:t>
        </w:r>
      </w:hyperlink>
      <w:r>
        <w:rPr/>
        <w:t>）等发布的相关公告。</w:t>
      </w:r>
    </w:p>
    <w:p>
      <w:pPr>
        <w:spacing w:after="0" w:line="319" w:lineRule="auto"/>
        <w:jc w:val="both"/>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2"/>
        <w:jc w:val="left"/>
        <w:rPr>
          <w:b w:val="0"/>
          <w:bCs w:val="0"/>
        </w:rPr>
      </w:pPr>
      <w:bookmarkStart w:name="八、截至报告期末公司近2年的主要会计数据和财务指标" w:id="161"/>
      <w:bookmarkEnd w:id="161"/>
      <w:r>
        <w:rPr>
          <w:b w:val="0"/>
          <w:bCs w:val="0"/>
        </w:rPr>
      </w:r>
      <w:r>
        <w:rPr/>
        <w:t>八、截至报告期末公司近</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年的主要会计数据和财务指标</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114,554.76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113,538.58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37.69%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110.83%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35.99%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22"/>
        <w:jc w:val="left"/>
      </w:pPr>
      <w:r>
        <w:rPr/>
        <w:t>上述会计数据和财务指标同比变动超过</w:t>
      </w:r>
      <w:r>
        <w:rPr>
          <w:spacing w:val="-46"/>
        </w:rPr>
        <w:t> </w:t>
      </w:r>
      <w:r>
        <w:rPr>
          <w:rFonts w:ascii="Times New Roman" w:hAnsi="Times New Roman" w:cs="Times New Roman" w:eastAsia="Times New Roman" w:hint="default"/>
        </w:rPr>
        <w:t>30%</w:t>
      </w:r>
      <w:r>
        <w:rPr/>
        <w:t>的主要原因</w:t>
      </w:r>
    </w:p>
    <w:p>
      <w:pPr>
        <w:pStyle w:val="BodyText"/>
        <w:spacing w:line="240" w:lineRule="auto" w:before="102"/>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22"/>
        <w:jc w:val="left"/>
      </w:pPr>
      <w:r>
        <w:rPr/>
        <w:t>（</w:t>
      </w:r>
      <w:r>
        <w:rPr>
          <w:rFonts w:ascii="Times New Roman" w:hAnsi="Times New Roman" w:cs="Times New Roman" w:eastAsia="Times New Roman" w:hint="default"/>
        </w:rPr>
        <w:t>1</w:t>
      </w:r>
      <w:r>
        <w:rPr/>
        <w:t>） 流动比率同期增加</w:t>
      </w:r>
      <w:r>
        <w:rPr>
          <w:rFonts w:ascii="Times New Roman" w:hAnsi="Times New Roman" w:cs="Times New Roman" w:eastAsia="Times New Roman" w:hint="default"/>
        </w:rPr>
        <w:t>37.69%</w:t>
      </w:r>
      <w:r>
        <w:rPr/>
        <w:t>，</w:t>
      </w:r>
      <w:r>
        <w:rPr>
          <w:spacing w:val="-21"/>
        </w:rPr>
        <w:t> </w:t>
      </w:r>
      <w:r>
        <w:rPr/>
        <w:t>其主要原因系因公司本期出售资产优化资产结构所致；</w:t>
      </w:r>
    </w:p>
    <w:p>
      <w:pPr>
        <w:pStyle w:val="BodyText"/>
        <w:spacing w:line="240" w:lineRule="auto" w:before="63"/>
        <w:ind w:right="1122"/>
        <w:jc w:val="left"/>
      </w:pPr>
      <w:r>
        <w:rPr/>
        <w:t>（</w:t>
      </w:r>
      <w:r>
        <w:rPr>
          <w:rFonts w:ascii="Times New Roman" w:hAnsi="Times New Roman" w:cs="Times New Roman" w:eastAsia="Times New Roman" w:hint="default"/>
        </w:rPr>
        <w:t>2</w:t>
      </w:r>
      <w:r>
        <w:rPr/>
        <w:t>） 速动比率同期增加</w:t>
      </w:r>
      <w:r>
        <w:rPr>
          <w:rFonts w:ascii="Times New Roman" w:hAnsi="Times New Roman" w:cs="Times New Roman" w:eastAsia="Times New Roman" w:hint="default"/>
        </w:rPr>
        <w:t>35.99%</w:t>
      </w:r>
      <w:r>
        <w:rPr/>
        <w:t>，</w:t>
      </w:r>
      <w:r>
        <w:rPr>
          <w:spacing w:val="-2"/>
        </w:rPr>
        <w:t> </w:t>
      </w:r>
      <w:r>
        <w:rPr/>
        <w:t>其主要原因因公司本期出售资产优化资产结构所致。</w:t>
      </w:r>
    </w:p>
    <w:p>
      <w:pPr>
        <w:spacing w:line="240" w:lineRule="auto" w:before="2"/>
        <w:rPr>
          <w:rFonts w:ascii="宋体" w:hAnsi="宋体" w:cs="宋体" w:eastAsia="宋体" w:hint="default"/>
          <w:sz w:val="24"/>
          <w:szCs w:val="24"/>
        </w:rPr>
      </w:pPr>
    </w:p>
    <w:p>
      <w:pPr>
        <w:pStyle w:val="Heading2"/>
        <w:spacing w:line="240" w:lineRule="auto"/>
        <w:ind w:right="1122"/>
        <w:jc w:val="left"/>
        <w:rPr>
          <w:b w:val="0"/>
          <w:bCs w:val="0"/>
        </w:rPr>
      </w:pPr>
      <w:bookmarkStart w:name="九、报告期内对其他债券和债务融资工具的付息兑付情况" w:id="162"/>
      <w:bookmarkEnd w:id="162"/>
      <w:r>
        <w:rPr>
          <w:b w:val="0"/>
          <w:bCs w:val="0"/>
        </w:rPr>
      </w:r>
      <w:r>
        <w:rPr/>
        <w:t>九、报告期内对其他债券和债务融资工具的付息兑付情况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1122"/>
        <w:jc w:val="left"/>
        <w:rPr>
          <w:b w:val="0"/>
          <w:bCs w:val="0"/>
        </w:rPr>
      </w:pPr>
      <w:bookmarkStart w:name="十、报告期内获得的银行授信情况、使用情况以及偿还银行贷款的情况" w:id="163"/>
      <w:bookmarkEnd w:id="163"/>
      <w:r>
        <w:rPr>
          <w:b w:val="0"/>
          <w:bCs w:val="0"/>
        </w:rPr>
      </w:r>
      <w:r>
        <w:rPr/>
        <w:t>十、报告期内获得的银行授信情况、使用情况以及偿还银行贷款的情况</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1122"/>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月末，公司共获得银行授信总额为</w:t>
      </w:r>
      <w:r>
        <w:rPr>
          <w:rFonts w:ascii="Times New Roman" w:hAnsi="Times New Roman" w:cs="Times New Roman" w:eastAsia="Times New Roman" w:hint="default"/>
        </w:rPr>
        <w:t>387,531.19</w:t>
      </w:r>
      <w:r>
        <w:rPr/>
        <w:t>万元，其中已使用额度为万</w:t>
      </w:r>
      <w:r>
        <w:rPr>
          <w:rFonts w:ascii="Times New Roman" w:hAnsi="Times New Roman" w:cs="Times New Roman" w:eastAsia="Times New Roman" w:hint="default"/>
        </w:rPr>
        <w:t>330,299.89</w:t>
      </w:r>
      <w:r>
        <w:rPr/>
        <w:t>元，未使用额度为</w:t>
      </w:r>
      <w:r>
        <w:rPr>
          <w:rFonts w:ascii="Times New Roman" w:hAnsi="Times New Roman" w:cs="Times New Roman" w:eastAsia="Times New Roman" w:hint="default"/>
        </w:rPr>
        <w:t>57,231.3</w:t>
      </w:r>
      <w:r>
        <w:rPr>
          <w:rFonts w:ascii="Times New Roman" w:hAnsi="Times New Roman" w:cs="Times New Roman" w:eastAsia="Times New Roman" w:hint="default"/>
          <w:spacing w:val="-42"/>
        </w:rPr>
        <w:t> </w:t>
      </w:r>
      <w:r>
        <w:rPr/>
        <w:t>万元。</w:t>
      </w:r>
    </w:p>
    <w:p>
      <w:pPr>
        <w:spacing w:line="240" w:lineRule="auto" w:before="5"/>
        <w:rPr>
          <w:rFonts w:ascii="宋体" w:hAnsi="宋体" w:cs="宋体" w:eastAsia="宋体" w:hint="default"/>
          <w:sz w:val="21"/>
          <w:szCs w:val="21"/>
        </w:rPr>
      </w:pPr>
    </w:p>
    <w:p>
      <w:pPr>
        <w:pStyle w:val="Heading2"/>
        <w:spacing w:line="240" w:lineRule="auto"/>
        <w:ind w:right="1122"/>
        <w:jc w:val="left"/>
        <w:rPr>
          <w:b w:val="0"/>
          <w:bCs w:val="0"/>
        </w:rPr>
      </w:pPr>
      <w:bookmarkStart w:name="十一、报告期内执行公司债券募集说明书相关约定或承诺的情况" w:id="164"/>
      <w:bookmarkEnd w:id="164"/>
      <w:r>
        <w:rPr>
          <w:b w:val="0"/>
          <w:bCs w:val="0"/>
        </w:rPr>
      </w:r>
      <w:r>
        <w:rPr/>
        <w:t>十一、报告期内执行公司债券募集说明书相关约定或承诺的情况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4"/>
        </w:rPr>
        <w:t>公司债券严格执行募集说明书的相关约定及承诺，发行文件真实、准确和完整，发行程序合规，募集资金按照约定用途使用。</w:t>
      </w:r>
    </w:p>
    <w:p>
      <w:pPr>
        <w:spacing w:line="240" w:lineRule="auto" w:before="13"/>
        <w:rPr>
          <w:rFonts w:ascii="宋体" w:hAnsi="宋体" w:cs="宋体" w:eastAsia="宋体" w:hint="default"/>
          <w:sz w:val="24"/>
          <w:szCs w:val="24"/>
        </w:rPr>
      </w:pPr>
    </w:p>
    <w:p>
      <w:pPr>
        <w:pStyle w:val="Heading2"/>
        <w:spacing w:line="240" w:lineRule="auto"/>
        <w:ind w:right="1122"/>
        <w:jc w:val="left"/>
        <w:rPr>
          <w:b w:val="0"/>
          <w:bCs w:val="0"/>
        </w:rPr>
      </w:pPr>
      <w:bookmarkStart w:name="十二、报告期内发生的重大事项" w:id="165"/>
      <w:bookmarkEnd w:id="165"/>
      <w:r>
        <w:rPr>
          <w:b w:val="0"/>
          <w:bCs w:val="0"/>
        </w:rPr>
      </w:r>
      <w:r>
        <w:rPr/>
        <w:t>十二、报告期内发生的重大事项</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2" w:firstLine="360"/>
        <w:jc w:val="both"/>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日在巨潮资讯网（</w:t>
      </w:r>
      <w:hyperlink r:id="rId11">
        <w:r>
          <w:rPr>
            <w:rFonts w:ascii="Times New Roman" w:hAnsi="Times New Roman" w:cs="Times New Roman" w:eastAsia="Times New Roman" w:hint="default"/>
          </w:rPr>
          <w:t>http://www.cninfo.com.cn</w:t>
        </w:r>
      </w:hyperlink>
      <w:r>
        <w:rPr/>
        <w:t>）发布《中银国际证券股份有限公司关于江苏爱康科 </w:t>
      </w:r>
      <w:r>
        <w:rPr>
          <w:spacing w:val="-2"/>
        </w:rPr>
        <w:t>技股份有限公司筹划重大资产重组停牌事项临时受托管理事务报告》，公告主要内容为公司正在筹划发行股份购买资产，该</w:t>
      </w:r>
      <w:r>
        <w:rPr>
          <w:spacing w:val="-65"/>
        </w:rPr>
        <w:t> </w:t>
      </w:r>
      <w:r>
        <w:rPr>
          <w:spacing w:val="-65"/>
        </w:rPr>
      </w:r>
      <w:r>
        <w:rPr/>
        <w:t>事项可能构成重大资产重组。目前该事项已经终止。</w:t>
      </w:r>
    </w:p>
    <w:p>
      <w:pPr>
        <w:pStyle w:val="BodyText"/>
        <w:spacing w:line="307" w:lineRule="auto" w:before="63"/>
        <w:ind w:right="1129" w:firstLine="360"/>
        <w:jc w:val="both"/>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日在巨潮资讯网（</w:t>
      </w:r>
      <w:hyperlink r:id="rId11">
        <w:r>
          <w:rPr>
            <w:rFonts w:ascii="Times New Roman" w:hAnsi="Times New Roman" w:cs="Times New Roman" w:eastAsia="Times New Roman" w:hint="default"/>
          </w:rPr>
          <w:t>http://www.cninfo.com.cn</w:t>
        </w:r>
      </w:hyperlink>
      <w:r>
        <w:rPr/>
        <w:t>）发布《中银国际证券股份有限公司关于江苏爱康科 </w:t>
      </w:r>
      <w:r>
        <w:rPr>
          <w:spacing w:val="-2"/>
        </w:rPr>
        <w:t>技股份有限公司筹划重大资产出售事项的临时受托管理事务报告》，公告主要内容为公司正在筹划重大资产出售，拟出售标</w:t>
      </w:r>
      <w:r>
        <w:rPr>
          <w:spacing w:val="-66"/>
        </w:rPr>
        <w:t> </w:t>
      </w:r>
      <w:r>
        <w:rPr>
          <w:spacing w:val="-66"/>
        </w:rPr>
      </w:r>
      <w:r>
        <w:rPr>
          <w:spacing w:val="-1"/>
        </w:rPr>
        <w:t>的公司的总资产和净资产占公司最近一个会计年度经审计的合并报表资产总额和净资产的</w:t>
      </w:r>
      <w:r>
        <w:rPr>
          <w:rFonts w:ascii="Times New Roman" w:hAnsi="Times New Roman" w:cs="Times New Roman" w:eastAsia="Times New Roman" w:hint="default"/>
          <w:spacing w:val="-1"/>
        </w:rPr>
        <w:t>50%</w:t>
      </w:r>
      <w:r>
        <w:rPr>
          <w:spacing w:val="-1"/>
        </w:rPr>
        <w:t>，本次出售会构成重大资产重</w:t>
      </w:r>
      <w:r>
        <w:rPr>
          <w:spacing w:val="-86"/>
        </w:rPr>
        <w:t> </w:t>
      </w:r>
      <w:r>
        <w:rPr>
          <w:spacing w:val="-86"/>
        </w:rPr>
      </w:r>
      <w:r>
        <w:rPr>
          <w:spacing w:val="-2"/>
        </w:rPr>
        <w:t>组。</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日，公司与浙能集团签订了《股权合作协议》。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27</w:t>
      </w:r>
      <w:r>
        <w:rPr>
          <w:spacing w:val="-2"/>
        </w:rPr>
        <w:t>日，公司全资子公司苏州中康电力开发有限公</w:t>
      </w:r>
    </w:p>
    <w:p>
      <w:pPr>
        <w:spacing w:after="0" w:line="307"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0"/>
        <w:jc w:val="left"/>
      </w:pPr>
      <w:r>
        <w:rPr/>
        <w:t>司（以下简称</w:t>
      </w:r>
      <w:r>
        <w:rPr>
          <w:rFonts w:ascii="Times New Roman" w:hAnsi="Times New Roman" w:cs="Times New Roman" w:eastAsia="Times New Roman" w:hint="default"/>
        </w:rPr>
        <w:t>“</w:t>
      </w:r>
      <w:r>
        <w:rPr/>
        <w:t>中康电力</w:t>
      </w:r>
      <w:r>
        <w:rPr>
          <w:rFonts w:ascii="Times New Roman" w:hAnsi="Times New Roman" w:cs="Times New Roman" w:eastAsia="Times New Roman" w:hint="default"/>
        </w:rPr>
        <w:t>”</w:t>
      </w:r>
      <w:r>
        <w:rPr/>
        <w:t>）、浙江清能能源发展有限公司（以下简称</w:t>
      </w:r>
      <w:r>
        <w:rPr>
          <w:rFonts w:ascii="Times New Roman" w:hAnsi="Times New Roman" w:cs="Times New Roman" w:eastAsia="Times New Roman" w:hint="default"/>
        </w:rPr>
        <w:t>“</w:t>
      </w:r>
      <w:r>
        <w:rPr/>
        <w:t>浙江清能</w:t>
      </w:r>
      <w:r>
        <w:rPr>
          <w:rFonts w:ascii="Times New Roman" w:hAnsi="Times New Roman" w:cs="Times New Roman" w:eastAsia="Times New Roman" w:hint="default"/>
        </w:rPr>
        <w:t>”</w:t>
      </w:r>
      <w:r>
        <w:rPr/>
        <w:t>）与浙江瑞旭投资有限公司等标的公司分别 签订了《股权转让协议》，中康电力、公司的全资子公司苏州中康电力运营有限公司（以下简称</w:t>
      </w:r>
      <w:r>
        <w:rPr>
          <w:rFonts w:ascii="Times New Roman" w:hAnsi="Times New Roman" w:cs="Times New Roman" w:eastAsia="Times New Roman" w:hint="default"/>
        </w:rPr>
        <w:t>“</w:t>
      </w:r>
      <w:r>
        <w:rPr/>
        <w:t>苏州中康运营</w:t>
      </w:r>
      <w:r>
        <w:rPr>
          <w:rFonts w:ascii="Times New Roman" w:hAnsi="Times New Roman" w:cs="Times New Roman" w:eastAsia="Times New Roman" w:hint="default"/>
        </w:rPr>
        <w:t>”</w:t>
      </w:r>
      <w:r>
        <w:rPr/>
        <w:t>）与浙江清 </w:t>
      </w:r>
      <w:r>
        <w:rPr>
          <w:spacing w:val="-4"/>
        </w:rPr>
        <w:t>能根据《股权转让协议》签订了《委托运行维护框架协议》。截止本公告披露日，中康电力与浙江清能根据《股权转让协议》</w:t>
      </w:r>
      <w:r>
        <w:rPr>
          <w:spacing w:val="-48"/>
        </w:rPr>
        <w:t> </w:t>
      </w:r>
      <w:r>
        <w:rPr>
          <w:spacing w:val="-48"/>
        </w:rPr>
      </w:r>
      <w:r>
        <w:rPr/>
        <w:t>已完成标的公司的工商变更手续。</w:t>
      </w:r>
    </w:p>
    <w:p>
      <w:pPr>
        <w:pStyle w:val="BodyText"/>
        <w:spacing w:line="309" w:lineRule="auto" w:before="26"/>
        <w:ind w:right="1132" w:firstLine="360"/>
        <w:jc w:val="both"/>
      </w:pP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日在巨潮资讯网（</w:t>
      </w:r>
      <w:hyperlink r:id="rId11">
        <w:r>
          <w:rPr>
            <w:rFonts w:ascii="Times New Roman" w:hAnsi="Times New Roman" w:cs="Times New Roman" w:eastAsia="Times New Roman" w:hint="default"/>
          </w:rPr>
          <w:t>http://www.cninfo.com.cn</w:t>
        </w:r>
      </w:hyperlink>
      <w:r>
        <w:rPr/>
        <w:t>）发布《中银国际证券股份有限公司关于江苏爱康科 </w:t>
      </w:r>
      <w:r>
        <w:rPr>
          <w:spacing w:val="-2"/>
        </w:rPr>
        <w:t>技股份有限公司注销部分限制性股票事项完成工商变更登记的临时受托管理事务报告》，公告主要内容为部分限制性股票激</w:t>
      </w:r>
      <w:r>
        <w:rPr>
          <w:spacing w:val="-64"/>
        </w:rPr>
        <w:t> </w:t>
      </w:r>
      <w:r>
        <w:rPr>
          <w:spacing w:val="-64"/>
        </w:rPr>
      </w:r>
      <w:r>
        <w:rPr/>
        <w:t>励对象因个人原因，自愿放弃拟被授予的部分或全部限制性股票，公司按照对相关股票予以注销。</w:t>
      </w:r>
    </w:p>
    <w:p>
      <w:pPr>
        <w:pStyle w:val="BodyText"/>
        <w:spacing w:line="309" w:lineRule="auto" w:before="24"/>
        <w:ind w:right="1131" w:firstLine="360"/>
        <w:jc w:val="both"/>
      </w:pPr>
      <w:r>
        <w:rPr>
          <w:rFonts w:ascii="Times New Roman" w:hAnsi="Times New Roman" w:cs="Times New Roman" w:eastAsia="Times New Roman" w:hint="default"/>
          <w:spacing w:val="-2"/>
        </w:rPr>
        <w:t>4</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6</w:t>
      </w:r>
      <w:r>
        <w:rPr>
          <w:spacing w:val="-2"/>
        </w:rPr>
        <w:t>日在巨潮资讯网（</w:t>
      </w:r>
      <w:hyperlink r:id="rId11">
        <w:r>
          <w:rPr>
            <w:rFonts w:ascii="Times New Roman" w:hAnsi="Times New Roman" w:cs="Times New Roman" w:eastAsia="Times New Roman" w:hint="default"/>
            <w:spacing w:val="-2"/>
          </w:rPr>
          <w:t>http://www.cninfo.com.cn</w:t>
        </w:r>
      </w:hyperlink>
      <w:r>
        <w:rPr>
          <w:spacing w:val="-2"/>
        </w:rPr>
        <w:t>）发布《中银国际证券股份有限公司关于江苏爱康科技</w:t>
      </w:r>
      <w:r>
        <w:rPr>
          <w:w w:val="99"/>
        </w:rPr>
        <w:t> </w:t>
      </w:r>
      <w:r>
        <w:rPr>
          <w:spacing w:val="-2"/>
        </w:rPr>
        <w:t>股份有限公司回购注销部分限制性股票的临时受托管理事务报告》，公告主要内容为因部分员工离职，其已不再符合限制性</w:t>
      </w:r>
      <w:r>
        <w:rPr>
          <w:spacing w:val="-67"/>
        </w:rPr>
        <w:t> </w:t>
      </w:r>
      <w:r>
        <w:rPr>
          <w:spacing w:val="-67"/>
        </w:rPr>
      </w:r>
      <w:r>
        <w:rPr/>
        <w:t>股票激励要求，按照规定，需要公司回购注销其持有的限制性股票。</w:t>
      </w:r>
    </w:p>
    <w:p>
      <w:pPr>
        <w:spacing w:line="240" w:lineRule="auto" w:before="2"/>
        <w:rPr>
          <w:rFonts w:ascii="宋体" w:hAnsi="宋体" w:cs="宋体" w:eastAsia="宋体" w:hint="default"/>
          <w:sz w:val="21"/>
          <w:szCs w:val="21"/>
        </w:rPr>
      </w:pPr>
    </w:p>
    <w:p>
      <w:pPr>
        <w:pStyle w:val="Heading2"/>
        <w:spacing w:line="240" w:lineRule="auto"/>
        <w:ind w:right="1122"/>
        <w:jc w:val="left"/>
        <w:rPr>
          <w:b w:val="0"/>
          <w:bCs w:val="0"/>
        </w:rPr>
      </w:pPr>
      <w:bookmarkStart w:name="十三、公司债券是否存在保证人" w:id="166"/>
      <w:bookmarkEnd w:id="166"/>
      <w:r>
        <w:rPr>
          <w:b w:val="0"/>
          <w:bCs w:val="0"/>
        </w:rPr>
      </w:r>
      <w:r>
        <w:rPr/>
        <w:t>十三、公司债券是否存在保证人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1122"/>
        <w:jc w:val="left"/>
        <w:rPr>
          <w:b w:val="0"/>
          <w:bCs w:val="0"/>
        </w:rPr>
      </w:pPr>
      <w:bookmarkStart w:name="第十一节 财务报告" w:id="167"/>
      <w:bookmarkEnd w:id="167"/>
      <w:r>
        <w:rPr>
          <w:b w:val="0"/>
          <w:bCs w:val="0"/>
        </w:rPr>
      </w:r>
      <w:bookmarkStart w:name="_bookmark10" w:id="168"/>
      <w:bookmarkEnd w:id="168"/>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22"/>
        <w:jc w:val="left"/>
        <w:rPr>
          <w:b w:val="0"/>
          <w:bCs w:val="0"/>
        </w:rPr>
      </w:pPr>
      <w:bookmarkStart w:name="一、审计报告" w:id="169"/>
      <w:bookmarkEnd w:id="16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33090007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徐殷鹏、秦松涛</w:t>
            </w:r>
          </w:p>
        </w:tc>
      </w:tr>
    </w:tbl>
    <w:p>
      <w:pPr>
        <w:pStyle w:val="BodyText"/>
        <w:spacing w:line="240" w:lineRule="auto" w:before="51"/>
        <w:ind w:left="674" w:right="1650"/>
        <w:jc w:val="center"/>
      </w:pPr>
      <w:r>
        <w:rPr/>
        <w:t>审计报告正文</w:t>
      </w:r>
    </w:p>
    <w:p>
      <w:pPr>
        <w:spacing w:line="240" w:lineRule="auto" w:before="9"/>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076"/>
        <w:gridCol w:w="6152"/>
      </w:tblGrid>
      <w:tr>
        <w:trPr>
          <w:trHeight w:val="1571" w:hRule="exact"/>
        </w:trPr>
        <w:tc>
          <w:tcPr>
            <w:tcW w:w="20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1313" w:lineRule="exact"/>
              <w:ind w:left="2" w:right="0"/>
              <w:jc w:val="left"/>
              <w:rPr>
                <w:rFonts w:ascii="宋体" w:hAnsi="宋体" w:cs="宋体" w:eastAsia="宋体" w:hint="default"/>
                <w:sz w:val="20"/>
                <w:szCs w:val="20"/>
              </w:rPr>
            </w:pPr>
            <w:r>
              <w:rPr>
                <w:rFonts w:ascii="宋体" w:hAnsi="宋体" w:cs="宋体" w:eastAsia="宋体" w:hint="default"/>
                <w:position w:val="-25"/>
                <w:sz w:val="20"/>
                <w:szCs w:val="20"/>
              </w:rPr>
              <w:drawing>
                <wp:inline distT="0" distB="0" distL="0" distR="0">
                  <wp:extent cx="1163138" cy="834009"/>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1163138" cy="834009"/>
                          </a:xfrm>
                          <a:prstGeom prst="rect">
                            <a:avLst/>
                          </a:prstGeom>
                        </pic:spPr>
                      </pic:pic>
                    </a:graphicData>
                  </a:graphic>
                </wp:inline>
              </w:drawing>
            </w:r>
            <w:r>
              <w:rPr>
                <w:rFonts w:ascii="宋体" w:hAnsi="宋体" w:cs="宋体" w:eastAsia="宋体" w:hint="default"/>
                <w:position w:val="-25"/>
                <w:sz w:val="20"/>
                <w:szCs w:val="20"/>
              </w:rPr>
            </w:r>
          </w:p>
        </w:tc>
        <w:tc>
          <w:tcPr>
            <w:tcW w:w="6152" w:type="dxa"/>
            <w:tcBorders>
              <w:top w:val="nil" w:sz="6" w:space="0" w:color="auto"/>
              <w:left w:val="single" w:sz="6" w:space="0" w:color="000000"/>
              <w:bottom w:val="nil" w:sz="6" w:space="0" w:color="auto"/>
              <w:right w:val="nil" w:sz="6" w:space="0" w:color="auto"/>
            </w:tcBorders>
          </w:tcPr>
          <w:p>
            <w:pPr>
              <w:pStyle w:val="TableParagraph"/>
              <w:spacing w:line="240" w:lineRule="auto" w:before="51"/>
              <w:ind w:left="2" w:right="0"/>
              <w:jc w:val="left"/>
              <w:rPr>
                <w:rFonts w:ascii="宋体" w:hAnsi="宋体" w:cs="宋体" w:eastAsia="宋体" w:hint="default"/>
                <w:sz w:val="13"/>
                <w:szCs w:val="13"/>
              </w:rPr>
            </w:pPr>
            <w:r>
              <w:rPr>
                <w:rFonts w:ascii="宋体" w:hAnsi="宋体" w:cs="宋体" w:eastAsia="宋体" w:hint="default"/>
                <w:sz w:val="13"/>
                <w:szCs w:val="13"/>
              </w:rPr>
              <w:t>通讯地址：北京市东城区永定门西滨河路</w:t>
            </w:r>
            <w:r>
              <w:rPr>
                <w:rFonts w:ascii="Times New Roman" w:hAnsi="Times New Roman" w:cs="Times New Roman" w:eastAsia="Times New Roman" w:hint="default"/>
                <w:sz w:val="13"/>
                <w:szCs w:val="13"/>
              </w:rPr>
              <w:t>8</w:t>
            </w:r>
            <w:r>
              <w:rPr>
                <w:rFonts w:ascii="宋体" w:hAnsi="宋体" w:cs="宋体" w:eastAsia="宋体" w:hint="default"/>
                <w:sz w:val="13"/>
                <w:szCs w:val="13"/>
              </w:rPr>
              <w:t>号院</w:t>
            </w:r>
            <w:r>
              <w:rPr>
                <w:rFonts w:ascii="Times New Roman" w:hAnsi="Times New Roman" w:cs="Times New Roman" w:eastAsia="Times New Roman" w:hint="default"/>
                <w:sz w:val="13"/>
                <w:szCs w:val="13"/>
              </w:rPr>
              <w:t>7</w:t>
            </w:r>
            <w:r>
              <w:rPr>
                <w:rFonts w:ascii="宋体" w:hAnsi="宋体" w:cs="宋体" w:eastAsia="宋体" w:hint="default"/>
                <w:sz w:val="13"/>
                <w:szCs w:val="13"/>
              </w:rPr>
              <w:t>号楼中海地产广场西塔</w:t>
            </w:r>
            <w:r>
              <w:rPr>
                <w:rFonts w:ascii="Times New Roman" w:hAnsi="Times New Roman" w:cs="Times New Roman" w:eastAsia="Times New Roman" w:hint="default"/>
                <w:sz w:val="13"/>
                <w:szCs w:val="13"/>
              </w:rPr>
              <w:t>9</w:t>
            </w:r>
            <w:r>
              <w:rPr>
                <w:rFonts w:ascii="宋体" w:hAnsi="宋体" w:cs="宋体" w:eastAsia="宋体" w:hint="default"/>
                <w:sz w:val="13"/>
                <w:szCs w:val="13"/>
              </w:rPr>
              <w:t>层</w:t>
            </w: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 w:right="0"/>
              <w:jc w:val="left"/>
              <w:rPr>
                <w:rFonts w:ascii="Times New Roman" w:hAnsi="Times New Roman" w:cs="Times New Roman" w:eastAsia="Times New Roman" w:hint="default"/>
                <w:sz w:val="13"/>
                <w:szCs w:val="13"/>
              </w:rPr>
            </w:pPr>
            <w:r>
              <w:rPr>
                <w:rFonts w:ascii="Times New Roman"/>
                <w:sz w:val="13"/>
              </w:rPr>
              <w:t>Postal</w:t>
            </w:r>
            <w:r>
              <w:rPr>
                <w:rFonts w:ascii="Times New Roman"/>
                <w:spacing w:val="-7"/>
                <w:sz w:val="13"/>
              </w:rPr>
              <w:t> </w:t>
            </w:r>
            <w:r>
              <w:rPr>
                <w:rFonts w:ascii="Times New Roman"/>
                <w:sz w:val="13"/>
              </w:rPr>
              <w:t>Address:9/F,West</w:t>
            </w:r>
            <w:r>
              <w:rPr>
                <w:rFonts w:ascii="Times New Roman"/>
                <w:spacing w:val="-7"/>
                <w:sz w:val="13"/>
              </w:rPr>
              <w:t> </w:t>
            </w:r>
            <w:r>
              <w:rPr>
                <w:rFonts w:ascii="Times New Roman"/>
                <w:sz w:val="13"/>
              </w:rPr>
              <w:t>Tower</w:t>
            </w:r>
            <w:r>
              <w:rPr>
                <w:rFonts w:ascii="Times New Roman"/>
                <w:spacing w:val="-7"/>
                <w:sz w:val="13"/>
              </w:rPr>
              <w:t> </w:t>
            </w:r>
            <w:r>
              <w:rPr>
                <w:rFonts w:ascii="Times New Roman"/>
                <w:sz w:val="13"/>
              </w:rPr>
              <w:t>of</w:t>
            </w:r>
            <w:r>
              <w:rPr>
                <w:rFonts w:ascii="Times New Roman"/>
                <w:spacing w:val="-6"/>
                <w:sz w:val="13"/>
              </w:rPr>
              <w:t> </w:t>
            </w:r>
            <w:r>
              <w:rPr>
                <w:rFonts w:ascii="Times New Roman"/>
                <w:sz w:val="13"/>
              </w:rPr>
              <w:t>China</w:t>
            </w:r>
            <w:r>
              <w:rPr>
                <w:rFonts w:ascii="Times New Roman"/>
                <w:spacing w:val="-6"/>
                <w:sz w:val="13"/>
              </w:rPr>
              <w:t> </w:t>
            </w:r>
            <w:r>
              <w:rPr>
                <w:rFonts w:ascii="Times New Roman"/>
                <w:sz w:val="13"/>
              </w:rPr>
              <w:t>Overseas</w:t>
            </w:r>
            <w:r>
              <w:rPr>
                <w:rFonts w:ascii="Times New Roman"/>
                <w:spacing w:val="-7"/>
                <w:sz w:val="13"/>
              </w:rPr>
              <w:t> </w:t>
            </w:r>
            <w:r>
              <w:rPr>
                <w:rFonts w:ascii="Times New Roman"/>
                <w:sz w:val="13"/>
              </w:rPr>
              <w:t>Property</w:t>
            </w:r>
            <w:r>
              <w:rPr>
                <w:rFonts w:ascii="Times New Roman"/>
                <w:spacing w:val="-9"/>
                <w:sz w:val="13"/>
              </w:rPr>
              <w:t> </w:t>
            </w:r>
            <w:r>
              <w:rPr>
                <w:rFonts w:ascii="Times New Roman"/>
                <w:sz w:val="13"/>
              </w:rPr>
              <w:t>Plaza,</w:t>
            </w:r>
            <w:r>
              <w:rPr>
                <w:rFonts w:ascii="Times New Roman"/>
                <w:spacing w:val="-7"/>
                <w:sz w:val="13"/>
              </w:rPr>
              <w:t> </w:t>
            </w:r>
            <w:r>
              <w:rPr>
                <w:rFonts w:ascii="Times New Roman"/>
                <w:sz w:val="13"/>
              </w:rPr>
              <w:t>Building</w:t>
            </w:r>
            <w:r>
              <w:rPr>
                <w:rFonts w:ascii="Times New Roman"/>
                <w:spacing w:val="-7"/>
                <w:sz w:val="13"/>
              </w:rPr>
              <w:t> </w:t>
            </w:r>
            <w:r>
              <w:rPr>
                <w:rFonts w:ascii="Times New Roman"/>
                <w:sz w:val="13"/>
              </w:rPr>
              <w:t>7,NO.8,Yongdingmen</w:t>
            </w:r>
            <w:r>
              <w:rPr>
                <w:rFonts w:ascii="Times New Roman"/>
                <w:spacing w:val="-7"/>
                <w:sz w:val="13"/>
              </w:rPr>
              <w:t> </w:t>
            </w:r>
            <w:r>
              <w:rPr>
                <w:rFonts w:ascii="Times New Roman"/>
                <w:sz w:val="13"/>
              </w:rPr>
              <w:t>Xibinhe</w:t>
            </w:r>
            <w:r>
              <w:rPr>
                <w:rFonts w:ascii="Times New Roman"/>
                <w:spacing w:val="-7"/>
                <w:sz w:val="13"/>
              </w:rPr>
              <w:t> </w:t>
            </w:r>
            <w:r>
              <w:rPr>
                <w:rFonts w:ascii="Times New Roman"/>
                <w:sz w:val="13"/>
              </w:rPr>
              <w:t>Road,</w:t>
            </w: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 w:right="0"/>
              <w:jc w:val="left"/>
              <w:rPr>
                <w:rFonts w:ascii="Times New Roman" w:hAnsi="Times New Roman" w:cs="Times New Roman" w:eastAsia="Times New Roman" w:hint="default"/>
                <w:sz w:val="13"/>
                <w:szCs w:val="13"/>
              </w:rPr>
            </w:pPr>
            <w:r>
              <w:rPr>
                <w:rFonts w:ascii="Times New Roman"/>
                <w:sz w:val="13"/>
              </w:rPr>
              <w:t>Dongcheng District,</w:t>
            </w:r>
            <w:r>
              <w:rPr>
                <w:rFonts w:ascii="Times New Roman"/>
                <w:spacing w:val="-5"/>
                <w:sz w:val="13"/>
              </w:rPr>
              <w:t> </w:t>
            </w:r>
            <w:r>
              <w:rPr>
                <w:rFonts w:ascii="Times New Roman"/>
                <w:sz w:val="13"/>
              </w:rPr>
              <w:t>Beijing</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邮政编码（</w:t>
            </w:r>
            <w:r>
              <w:rPr>
                <w:rFonts w:ascii="Times New Roman" w:hAnsi="Times New Roman" w:cs="Times New Roman" w:eastAsia="Times New Roman" w:hint="default"/>
                <w:sz w:val="13"/>
                <w:szCs w:val="13"/>
              </w:rPr>
              <w:t>Post</w:t>
            </w:r>
            <w:r>
              <w:rPr>
                <w:rFonts w:ascii="Times New Roman" w:hAnsi="Times New Roman" w:cs="Times New Roman" w:eastAsia="Times New Roman" w:hint="default"/>
                <w:spacing w:val="-3"/>
                <w:sz w:val="13"/>
                <w:szCs w:val="13"/>
              </w:rPr>
              <w:t> </w:t>
            </w:r>
            <w:r>
              <w:rPr>
                <w:rFonts w:ascii="Times New Roman" w:hAnsi="Times New Roman" w:cs="Times New Roman" w:eastAsia="Times New Roman" w:hint="default"/>
                <w:sz w:val="13"/>
                <w:szCs w:val="13"/>
              </w:rPr>
              <w:t>Code</w:t>
            </w:r>
            <w:r>
              <w:rPr>
                <w:rFonts w:ascii="宋体" w:hAnsi="宋体" w:cs="宋体" w:eastAsia="宋体" w:hint="default"/>
                <w:sz w:val="13"/>
                <w:szCs w:val="13"/>
              </w:rPr>
              <w:t>）：</w:t>
            </w:r>
            <w:r>
              <w:rPr>
                <w:rFonts w:ascii="Times New Roman" w:hAnsi="Times New Roman" w:cs="Times New Roman" w:eastAsia="Times New Roman" w:hint="default"/>
                <w:sz w:val="13"/>
                <w:szCs w:val="13"/>
              </w:rPr>
              <w:t>100077</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电话（</w:t>
            </w:r>
            <w:r>
              <w:rPr>
                <w:rFonts w:ascii="Times New Roman" w:hAnsi="Times New Roman" w:cs="Times New Roman" w:eastAsia="Times New Roman" w:hint="default"/>
                <w:sz w:val="13"/>
                <w:szCs w:val="13"/>
              </w:rPr>
              <w:t>Tel</w:t>
            </w:r>
            <w:r>
              <w:rPr>
                <w:rFonts w:ascii="宋体" w:hAnsi="宋体" w:cs="宋体" w:eastAsia="宋体" w:hint="default"/>
                <w:sz w:val="13"/>
                <w:szCs w:val="13"/>
              </w:rPr>
              <w:t>）：</w:t>
            </w:r>
            <w:r>
              <w:rPr>
                <w:rFonts w:ascii="Times New Roman" w:hAnsi="Times New Roman" w:cs="Times New Roman" w:eastAsia="Times New Roman" w:hint="default"/>
                <w:sz w:val="13"/>
                <w:szCs w:val="13"/>
              </w:rPr>
              <w:t>+86(10)88095588   </w:t>
            </w:r>
            <w:r>
              <w:rPr>
                <w:rFonts w:ascii="Times New Roman" w:hAnsi="Times New Roman" w:cs="Times New Roman" w:eastAsia="Times New Roman" w:hint="default"/>
                <w:spacing w:val="24"/>
                <w:sz w:val="13"/>
                <w:szCs w:val="13"/>
              </w:rPr>
              <w:t> </w:t>
            </w:r>
            <w:r>
              <w:rPr>
                <w:rFonts w:ascii="宋体" w:hAnsi="宋体" w:cs="宋体" w:eastAsia="宋体" w:hint="default"/>
                <w:sz w:val="13"/>
                <w:szCs w:val="13"/>
              </w:rPr>
              <w:t>传真（</w:t>
            </w:r>
            <w:r>
              <w:rPr>
                <w:rFonts w:ascii="Times New Roman" w:hAnsi="Times New Roman" w:cs="Times New Roman" w:eastAsia="Times New Roman" w:hint="default"/>
                <w:sz w:val="13"/>
                <w:szCs w:val="13"/>
              </w:rPr>
              <w:t>Fax</w:t>
            </w:r>
            <w:r>
              <w:rPr>
                <w:rFonts w:ascii="宋体" w:hAnsi="宋体" w:cs="宋体" w:eastAsia="宋体" w:hint="default"/>
                <w:sz w:val="13"/>
                <w:szCs w:val="13"/>
              </w:rPr>
              <w:t>）：</w:t>
            </w:r>
            <w:r>
              <w:rPr>
                <w:rFonts w:ascii="Times New Roman" w:hAnsi="Times New Roman" w:cs="Times New Roman" w:eastAsia="Times New Roman" w:hint="default"/>
                <w:sz w:val="13"/>
                <w:szCs w:val="13"/>
              </w:rPr>
              <w:t>+86(10)88091199</w:t>
            </w: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5"/>
        <w:spacing w:line="240" w:lineRule="auto"/>
        <w:ind w:left="674" w:right="1650"/>
        <w:jc w:val="center"/>
        <w:rPr>
          <w:b w:val="0"/>
          <w:bCs w:val="0"/>
        </w:rPr>
      </w:pPr>
      <w:r>
        <w:rPr/>
        <w:t>审 计 报</w:t>
      </w:r>
      <w:r>
        <w:rPr>
          <w:spacing w:val="-43"/>
        </w:rPr>
        <w:t> </w:t>
      </w:r>
      <w:r>
        <w:rPr/>
        <w:t>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44"/>
        <w:ind w:left="0" w:right="1156"/>
        <w:jc w:val="right"/>
      </w:pPr>
      <w:r>
        <w:rPr/>
        <w:t>瑞华审字【</w:t>
      </w:r>
      <w:r>
        <w:rPr>
          <w:rFonts w:ascii="宋体" w:hAnsi="宋体" w:cs="宋体" w:eastAsia="宋体" w:hint="default"/>
        </w:rPr>
        <w:t>2019</w:t>
      </w:r>
      <w:r>
        <w:rPr/>
        <w:t>】</w:t>
      </w:r>
      <w:r>
        <w:rPr>
          <w:rFonts w:ascii="宋体" w:hAnsi="宋体" w:cs="宋体" w:eastAsia="宋体" w:hint="default"/>
        </w:rPr>
        <w:t>33090007</w:t>
      </w:r>
      <w:r>
        <w:rPr/>
        <w:t>号</w:t>
      </w:r>
    </w:p>
    <w:p>
      <w:pPr>
        <w:pStyle w:val="Heading5"/>
        <w:spacing w:line="240" w:lineRule="auto" w:before="76"/>
        <w:ind w:left="154" w:right="1122"/>
        <w:jc w:val="left"/>
        <w:rPr>
          <w:b w:val="0"/>
          <w:bCs w:val="0"/>
        </w:rPr>
      </w:pPr>
      <w:r>
        <w:rPr/>
        <w:t>江苏爱康科技股份有限公司全体股东：</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44"/>
        <w:ind w:left="514" w:right="1122" w:firstLine="1"/>
        <w:jc w:val="left"/>
      </w:pPr>
      <w:r>
        <w:rPr>
          <w:rFonts w:ascii="宋体" w:hAnsi="宋体" w:cs="宋体" w:eastAsia="宋体" w:hint="default"/>
          <w:b/>
          <w:bCs/>
        </w:rPr>
        <w:t>一、审计意见</w:t>
      </w:r>
      <w:r>
        <w:rPr>
          <w:rFonts w:ascii="宋体" w:hAnsi="宋体" w:cs="宋体" w:eastAsia="宋体" w:hint="default"/>
          <w:b/>
          <w:bCs/>
          <w:w w:val="99"/>
        </w:rPr>
        <w:t> </w:t>
      </w:r>
      <w:r>
        <w:rPr>
          <w:spacing w:val="-2"/>
        </w:rPr>
        <w:t>我们审计了江苏爱康科技股份有限公司（以下简称</w:t>
      </w:r>
      <w:r>
        <w:rPr>
          <w:rFonts w:ascii="Times New Roman" w:hAnsi="Times New Roman" w:cs="Times New Roman" w:eastAsia="Times New Roman" w:hint="default"/>
          <w:spacing w:val="-2"/>
        </w:rPr>
        <w:t>“</w:t>
      </w:r>
      <w:r>
        <w:rPr>
          <w:spacing w:val="-2"/>
        </w:rPr>
        <w:t>爱康科技公司</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日的合并及公司资产</w:t>
      </w:r>
    </w:p>
    <w:p>
      <w:pPr>
        <w:pStyle w:val="BodyText"/>
        <w:spacing w:line="300" w:lineRule="auto"/>
        <w:ind w:left="514" w:right="1122" w:hanging="360"/>
        <w:jc w:val="left"/>
      </w:pPr>
      <w:r>
        <w:rPr/>
        <w:t>负债表，</w:t>
      </w:r>
      <w:r>
        <w:rPr>
          <w:rFonts w:ascii="Times New Roman" w:hAnsi="Times New Roman" w:cs="Times New Roman" w:eastAsia="Times New Roman" w:hint="default"/>
        </w:rPr>
        <w:t>2018</w:t>
      </w:r>
      <w:r>
        <w:rPr/>
        <w:t>年度的合并及公司利润表、合并及公司现金流量表、合并及公司股东权益变动表以及相关财务报表附注。 </w:t>
      </w:r>
      <w:r>
        <w:rPr>
          <w:spacing w:val="-2"/>
        </w:rPr>
        <w:t>我们认为，后附的财务报表在所有重大方面按照企业会计准则的规定编制，公允反映了爱康科技公司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w:t>
      </w:r>
    </w:p>
    <w:p>
      <w:pPr>
        <w:pStyle w:val="BodyText"/>
        <w:spacing w:line="240" w:lineRule="auto" w:before="13"/>
        <w:ind w:right="1122"/>
        <w:jc w:val="left"/>
      </w:pPr>
      <w:r>
        <w:rPr/>
        <w:t>并及公司的财务状况以及</w:t>
      </w:r>
      <w:r>
        <w:rPr>
          <w:rFonts w:ascii="Times New Roman" w:hAnsi="Times New Roman" w:cs="Times New Roman" w:eastAsia="Times New Roman" w:hint="default"/>
        </w:rPr>
        <w:t>2018</w:t>
      </w:r>
      <w:r>
        <w:rPr/>
        <w:t>年度合并及公司的经营成果和现金流量。</w:t>
      </w:r>
    </w:p>
    <w:p>
      <w:pPr>
        <w:spacing w:line="240" w:lineRule="auto" w:before="0"/>
        <w:rPr>
          <w:rFonts w:ascii="宋体" w:hAnsi="宋体" w:cs="宋体" w:eastAsia="宋体" w:hint="default"/>
          <w:sz w:val="18"/>
          <w:szCs w:val="18"/>
        </w:rPr>
      </w:pPr>
    </w:p>
    <w:p>
      <w:pPr>
        <w:pStyle w:val="BodyText"/>
        <w:spacing w:line="316" w:lineRule="auto" w:before="139"/>
        <w:ind w:left="514" w:right="1122" w:firstLine="1"/>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1122"/>
        <w:jc w:val="left"/>
      </w:pPr>
      <w:r>
        <w:rPr>
          <w:spacing w:val="-2"/>
        </w:rPr>
        <w:t>阐述了我们在这些准则下的责任。按照中国注册会计师职业道德守则，我们独立于爱康科技公司，并履行了职业道德方面的</w:t>
      </w:r>
      <w:r>
        <w:rPr>
          <w:spacing w:val="-66"/>
        </w:rPr>
        <w:t> </w:t>
      </w:r>
      <w:r>
        <w:rPr>
          <w:spacing w:val="-66"/>
        </w:rPr>
      </w:r>
      <w:r>
        <w:rPr/>
        <w:t>其他责任。我们相信，我们获取的审计证据是充分、适当的，为发表审计意见提供了基础。</w:t>
      </w:r>
    </w:p>
    <w:p>
      <w:pPr>
        <w:spacing w:line="240" w:lineRule="auto" w:before="4"/>
        <w:rPr>
          <w:rFonts w:ascii="宋体" w:hAnsi="宋体" w:cs="宋体" w:eastAsia="宋体" w:hint="default"/>
          <w:sz w:val="25"/>
          <w:szCs w:val="25"/>
        </w:rPr>
      </w:pPr>
    </w:p>
    <w:p>
      <w:pPr>
        <w:pStyle w:val="BodyText"/>
        <w:spacing w:line="319" w:lineRule="auto"/>
        <w:ind w:left="514" w:right="1122" w:firstLine="1"/>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7"/>
        <w:ind w:right="0"/>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pStyle w:val="Heading5"/>
        <w:spacing w:line="240" w:lineRule="auto" w:before="76"/>
        <w:ind w:right="1122"/>
        <w:jc w:val="left"/>
        <w:rPr>
          <w:b w:val="0"/>
          <w:bCs w:val="0"/>
        </w:rPr>
      </w:pPr>
      <w:r>
        <w:rPr/>
        <w:t>（一）应收账款坏账准备</w:t>
      </w:r>
      <w:r>
        <w:rPr>
          <w:b w:val="0"/>
          <w:bCs w:val="0"/>
        </w:rPr>
      </w:r>
    </w:p>
    <w:p>
      <w:pPr>
        <w:pStyle w:val="Heading5"/>
        <w:spacing w:line="240" w:lineRule="auto" w:before="76"/>
        <w:ind w:right="1122"/>
        <w:jc w:val="left"/>
        <w:rPr>
          <w:b w:val="0"/>
          <w:bCs w:val="0"/>
        </w:rPr>
      </w:pPr>
      <w:r>
        <w:rPr>
          <w:rFonts w:ascii="Times New Roman" w:hAnsi="Times New Roman" w:cs="Times New Roman" w:eastAsia="Times New Roman" w:hint="default"/>
        </w:rPr>
        <w:t>1</w:t>
      </w:r>
      <w:r>
        <w:rPr/>
        <w:t>、事项描述</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00" w:lineRule="auto" w:before="44"/>
        <w:ind w:right="1130" w:firstLine="360"/>
        <w:jc w:val="both"/>
      </w:pPr>
      <w:r>
        <w:rPr>
          <w:spacing w:val="-1"/>
        </w:rPr>
        <w:t>如爱康科技公司财务报表附注四、</w:t>
      </w:r>
      <w:r>
        <w:rPr>
          <w:rFonts w:ascii="Times New Roman" w:hAnsi="Times New Roman" w:cs="Times New Roman" w:eastAsia="Times New Roman" w:hint="default"/>
          <w:spacing w:val="-1"/>
        </w:rPr>
        <w:t>10</w:t>
      </w:r>
      <w:r>
        <w:rPr>
          <w:spacing w:val="-1"/>
        </w:rPr>
        <w:t>和附注六、</w:t>
      </w:r>
      <w:r>
        <w:rPr>
          <w:rFonts w:ascii="Times New Roman" w:hAnsi="Times New Roman" w:cs="Times New Roman" w:eastAsia="Times New Roman" w:hint="default"/>
          <w:spacing w:val="-1"/>
        </w:rPr>
        <w:t>3</w:t>
      </w:r>
      <w:r>
        <w:rPr>
          <w:spacing w:val="-1"/>
        </w:rPr>
        <w:t>所述，截至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日，爱康科技公司应收账款账面价值</w:t>
      </w:r>
      <w:r>
        <w:rPr>
          <w:rFonts w:ascii="Times New Roman" w:hAnsi="Times New Roman" w:cs="Times New Roman" w:eastAsia="Times New Roman" w:hint="default"/>
          <w:spacing w:val="-1"/>
        </w:rPr>
        <w:t>17.85</w:t>
      </w:r>
      <w:r>
        <w:rPr>
          <w:spacing w:val="-1"/>
        </w:rPr>
        <w:t>亿</w:t>
      </w:r>
      <w:r>
        <w:rPr/>
        <w:t> 元，占资产总额的</w:t>
      </w:r>
      <w:r>
        <w:rPr>
          <w:rFonts w:ascii="Times New Roman" w:hAnsi="Times New Roman" w:cs="Times New Roman" w:eastAsia="Times New Roman" w:hint="default"/>
        </w:rPr>
        <w:t>12.70%</w:t>
      </w:r>
      <w:r>
        <w:rPr/>
        <w:t>，账面价值较高。若应收账款不能按期收回或无法收回而发生坏账对财务报表影响较为重大，为</w:t>
      </w:r>
      <w:r>
        <w:rPr>
          <w:spacing w:val="-23"/>
        </w:rPr>
        <w:t> </w:t>
      </w:r>
      <w:r>
        <w:rPr>
          <w:spacing w:val="-23"/>
        </w:rPr>
      </w:r>
      <w:r>
        <w:rPr/>
        <w:t>此我们将应收账款坏账准备确定为关键审计事项。</w:t>
      </w:r>
    </w:p>
    <w:p>
      <w:pPr>
        <w:spacing w:line="300" w:lineRule="auto" w:before="31"/>
        <w:ind w:left="514" w:right="589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、审计应对</w:t>
      </w:r>
      <w:r>
        <w:rPr>
          <w:rFonts w:ascii="宋体" w:hAnsi="宋体" w:cs="宋体" w:eastAsia="宋体" w:hint="default"/>
          <w:b/>
          <w:bCs/>
          <w:w w:val="99"/>
          <w:sz w:val="18"/>
          <w:szCs w:val="18"/>
        </w:rPr>
        <w:t> </w:t>
      </w:r>
      <w:r>
        <w:rPr>
          <w:rFonts w:ascii="宋体" w:hAnsi="宋体" w:cs="宋体" w:eastAsia="宋体" w:hint="default"/>
          <w:sz w:val="18"/>
          <w:szCs w:val="18"/>
        </w:rPr>
        <w:t>针对应收账款坏账准备，我们执行的主要审计程序如下：</w:t>
      </w:r>
    </w:p>
    <w:p>
      <w:pPr>
        <w:pStyle w:val="BodyText"/>
        <w:spacing w:line="240" w:lineRule="auto" w:before="31"/>
        <w:ind w:left="514" w:right="1122"/>
        <w:jc w:val="left"/>
      </w:pPr>
      <w:r>
        <w:rPr/>
        <w:t>（</w:t>
      </w:r>
      <w:r>
        <w:rPr>
          <w:rFonts w:ascii="Times New Roman" w:hAnsi="Times New Roman" w:cs="Times New Roman" w:eastAsia="Times New Roman" w:hint="default"/>
        </w:rPr>
        <w:t>1</w:t>
      </w:r>
      <w:r>
        <w:rPr/>
        <w:t>）评价、测试爱康科技公司信用政策及应收账款管理相关内部控制的设计和运行有效性；</w:t>
      </w:r>
    </w:p>
    <w:p>
      <w:pPr>
        <w:pStyle w:val="BodyText"/>
        <w:spacing w:line="300" w:lineRule="auto" w:before="63"/>
        <w:ind w:right="1122" w:firstLine="360"/>
        <w:jc w:val="left"/>
      </w:pPr>
      <w:r>
        <w:rPr/>
        <w:t>（</w:t>
      </w:r>
      <w:r>
        <w:rPr>
          <w:rFonts w:ascii="Times New Roman" w:hAnsi="Times New Roman" w:cs="Times New Roman" w:eastAsia="Times New Roman" w:hint="default"/>
        </w:rPr>
        <w:t>2</w:t>
      </w:r>
      <w:r>
        <w:rPr/>
        <w:t>）分析爱康科技公司应收账款坏账准备会计估计的合理性，包括确定应收账款组合的依据、金额重大的判断、单独 计提坏账准备的判断等；</w:t>
      </w:r>
    </w:p>
    <w:p>
      <w:pPr>
        <w:pStyle w:val="BodyText"/>
        <w:spacing w:line="300" w:lineRule="auto" w:before="31"/>
        <w:ind w:right="1122" w:firstLine="360"/>
        <w:jc w:val="left"/>
      </w:pPr>
      <w:r>
        <w:rPr/>
        <w:t>（</w:t>
      </w:r>
      <w:r>
        <w:rPr>
          <w:rFonts w:ascii="Times New Roman" w:hAnsi="Times New Roman" w:cs="Times New Roman" w:eastAsia="Times New Roman" w:hint="default"/>
        </w:rPr>
        <w:t>3</w:t>
      </w:r>
      <w:r>
        <w:rPr/>
        <w:t>）分析计算爱康科技公司资产负债表日坏账准备金额与应收账款余额之间的比率，比较前期坏账准备计提数和实际 发生数，分析应收账款坏账准备计提是否充分；</w:t>
      </w:r>
    </w:p>
    <w:p>
      <w:pPr>
        <w:pStyle w:val="BodyText"/>
        <w:spacing w:line="300" w:lineRule="auto" w:before="31"/>
        <w:ind w:right="1122" w:firstLine="360"/>
        <w:jc w:val="left"/>
      </w:pPr>
      <w:r>
        <w:rPr/>
        <w:t>（</w:t>
      </w:r>
      <w:r>
        <w:rPr>
          <w:rFonts w:ascii="Times New Roman" w:hAnsi="Times New Roman" w:cs="Times New Roman" w:eastAsia="Times New Roman" w:hint="default"/>
        </w:rPr>
        <w:t>4</w:t>
      </w:r>
      <w:r>
        <w:rPr/>
        <w:t>）通过分析爱康科技公司应收账款的账龄和客户信誉情况，并执行应收账款函证程序及检查期后回款情况，评价应 收账款坏账准备计提的合理性；</w:t>
      </w:r>
    </w:p>
    <w:p>
      <w:pPr>
        <w:pStyle w:val="BodyText"/>
        <w:spacing w:line="300" w:lineRule="auto" w:before="31"/>
        <w:ind w:right="1122" w:firstLine="360"/>
        <w:jc w:val="left"/>
      </w:pPr>
      <w:r>
        <w:rPr/>
        <w:t>（</w:t>
      </w:r>
      <w:r>
        <w:rPr>
          <w:rFonts w:ascii="Times New Roman" w:hAnsi="Times New Roman" w:cs="Times New Roman" w:eastAsia="Times New Roman" w:hint="default"/>
        </w:rPr>
        <w:t>5</w:t>
      </w:r>
      <w:r>
        <w:rPr/>
        <w:t>）获取爱康科技公司坏账准备计提表，检查计提方法是否按照坏账准备计提政策执行；重新计算坏账计提金额是否 准确。</w:t>
      </w:r>
    </w:p>
    <w:p>
      <w:pPr>
        <w:pStyle w:val="Heading5"/>
        <w:spacing w:line="240" w:lineRule="auto" w:before="31"/>
        <w:ind w:right="1122"/>
        <w:jc w:val="left"/>
        <w:rPr>
          <w:b w:val="0"/>
          <w:bCs w:val="0"/>
        </w:rPr>
      </w:pPr>
      <w:r>
        <w:rPr/>
        <w:t>（二）固定资产减值准备</w:t>
      </w:r>
      <w:r>
        <w:rPr>
          <w:b w:val="0"/>
          <w:bCs w:val="0"/>
        </w:rPr>
      </w:r>
    </w:p>
    <w:p>
      <w:pPr>
        <w:pStyle w:val="BodyText"/>
        <w:spacing w:line="300" w:lineRule="auto" w:before="76"/>
        <w:ind w:left="514" w:right="1122" w:firstLine="1"/>
        <w:jc w:val="left"/>
      </w:pPr>
      <w:r>
        <w:rPr>
          <w:rFonts w:ascii="Times New Roman" w:hAnsi="Times New Roman" w:cs="Times New Roman" w:eastAsia="Times New Roman" w:hint="default"/>
          <w:b/>
          <w:bCs/>
        </w:rPr>
        <w:t>1</w:t>
      </w:r>
      <w:r>
        <w:rPr>
          <w:rFonts w:ascii="宋体" w:hAnsi="宋体" w:cs="宋体" w:eastAsia="宋体" w:hint="default"/>
          <w:b/>
          <w:bCs/>
        </w:rPr>
        <w:t>、事项描述</w:t>
      </w:r>
      <w:r>
        <w:rPr>
          <w:rFonts w:ascii="宋体" w:hAnsi="宋体" w:cs="宋体" w:eastAsia="宋体" w:hint="default"/>
          <w:b/>
          <w:bCs/>
          <w:w w:val="99"/>
        </w:rPr>
        <w:t> </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日，如爱康科技公司财务报表附注六、</w:t>
      </w:r>
      <w:r>
        <w:rPr>
          <w:rFonts w:ascii="Times New Roman" w:hAnsi="Times New Roman" w:cs="Times New Roman" w:eastAsia="Times New Roman" w:hint="default"/>
        </w:rPr>
        <w:t>13</w:t>
      </w:r>
      <w:r>
        <w:rPr/>
        <w:t>所示，爱康科技公司固定资产账面价值</w:t>
      </w:r>
      <w:r>
        <w:rPr>
          <w:rFonts w:ascii="Times New Roman" w:hAnsi="Times New Roman" w:cs="Times New Roman" w:eastAsia="Times New Roman" w:hint="default"/>
        </w:rPr>
        <w:t>43.23</w:t>
      </w:r>
      <w:r>
        <w:rPr/>
        <w:t>亿元，占合并</w:t>
      </w:r>
    </w:p>
    <w:p>
      <w:pPr>
        <w:pStyle w:val="BodyText"/>
        <w:spacing w:line="300" w:lineRule="auto" w:before="13"/>
        <w:ind w:right="1122"/>
        <w:jc w:val="left"/>
      </w:pPr>
      <w:r>
        <w:rPr>
          <w:spacing w:val="-1"/>
        </w:rPr>
        <w:t>资产总额的</w:t>
      </w:r>
      <w:r>
        <w:rPr>
          <w:rFonts w:ascii="Times New Roman" w:hAnsi="Times New Roman" w:cs="Times New Roman" w:eastAsia="Times New Roman" w:hint="default"/>
          <w:spacing w:val="-1"/>
        </w:rPr>
        <w:t>30.75%</w:t>
      </w:r>
      <w:r>
        <w:rPr>
          <w:spacing w:val="-1"/>
        </w:rPr>
        <w:t>。管理层根据《企业会计准则第</w:t>
      </w:r>
      <w:r>
        <w:rPr>
          <w:rFonts w:ascii="Times New Roman" w:hAnsi="Times New Roman" w:cs="Times New Roman" w:eastAsia="Times New Roman" w:hint="default"/>
          <w:spacing w:val="-1"/>
        </w:rPr>
        <w:t>8</w:t>
      </w:r>
      <w:r>
        <w:rPr>
          <w:spacing w:val="-1"/>
        </w:rPr>
        <w:t>号</w:t>
      </w:r>
      <w:r>
        <w:rPr>
          <w:rFonts w:ascii="Times New Roman" w:hAnsi="Times New Roman" w:cs="Times New Roman" w:eastAsia="Times New Roman" w:hint="default"/>
          <w:spacing w:val="-1"/>
        </w:rPr>
        <w:t>—</w:t>
      </w:r>
      <w:r>
        <w:rPr>
          <w:spacing w:val="-1"/>
        </w:rPr>
        <w:t>资产减值》的规定对固定资产是否存在减值迹象进行判断，由于所</w:t>
      </w:r>
      <w:r>
        <w:rPr>
          <w:spacing w:val="-45"/>
        </w:rPr>
        <w:t> </w:t>
      </w:r>
      <w:r>
        <w:rPr>
          <w:spacing w:val="-45"/>
        </w:rPr>
      </w:r>
      <w:r>
        <w:rPr/>
        <w:t>属部分发电公司盈利不及预期，管理层判断上述部分子公司固定资产存在减值迹象。</w:t>
      </w:r>
    </w:p>
    <w:p>
      <w:pPr>
        <w:pStyle w:val="BodyText"/>
        <w:spacing w:line="309" w:lineRule="auto" w:before="31"/>
        <w:ind w:right="1130" w:firstLine="360"/>
        <w:jc w:val="both"/>
      </w:pPr>
      <w:r>
        <w:rPr/>
        <w:t>对于存在减值迹象的固定资产，管理层按照《企业会计准则第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资产减值》相关要求进一步测算可收回金额。在预 </w:t>
      </w:r>
      <w:r>
        <w:rPr>
          <w:spacing w:val="-2"/>
        </w:rPr>
        <w:t>计未来现金流量现值时，管理层需要对该资产（或资产组）的产量、售价、相关经营成本以及计算现值时使用的折现率等作</w:t>
      </w:r>
      <w:r>
        <w:rPr>
          <w:spacing w:val="-66"/>
        </w:rPr>
        <w:t> </w:t>
      </w:r>
      <w:r>
        <w:rPr>
          <w:spacing w:val="-66"/>
        </w:rPr>
      </w:r>
      <w:r>
        <w:rPr/>
        <w:t>出重大判断。在这一过程中，爱康科技公司管理层聘请外部估值专家协助其工作。</w:t>
      </w:r>
    </w:p>
    <w:p>
      <w:pPr>
        <w:pStyle w:val="BodyText"/>
        <w:spacing w:line="316" w:lineRule="auto" w:before="24"/>
        <w:ind w:right="1122" w:firstLine="360"/>
        <w:jc w:val="left"/>
      </w:pPr>
      <w:r>
        <w:rPr>
          <w:spacing w:val="-2"/>
        </w:rPr>
        <w:t>由于存在减值迹象的固定资产账面价值对财务报表影响重大，且上述判断及假设的合理性对减值测试的结果具有重大影</w:t>
      </w:r>
      <w:r>
        <w:rPr/>
        <w:t> 响，因此我们将固定资产减值准备作为关键审计事项。</w:t>
      </w:r>
    </w:p>
    <w:p>
      <w:pPr>
        <w:spacing w:line="300" w:lineRule="auto" w:before="19"/>
        <w:ind w:left="514" w:right="589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、审计应对</w:t>
      </w:r>
      <w:r>
        <w:rPr>
          <w:rFonts w:ascii="宋体" w:hAnsi="宋体" w:cs="宋体" w:eastAsia="宋体" w:hint="default"/>
          <w:b/>
          <w:bCs/>
          <w:w w:val="99"/>
          <w:sz w:val="18"/>
          <w:szCs w:val="18"/>
        </w:rPr>
        <w:t> </w:t>
      </w:r>
      <w:r>
        <w:rPr>
          <w:rFonts w:ascii="宋体" w:hAnsi="宋体" w:cs="宋体" w:eastAsia="宋体" w:hint="default"/>
          <w:sz w:val="18"/>
          <w:szCs w:val="18"/>
        </w:rPr>
        <w:t>针对固定资产减值准备，我们执行的主要审计程序如下：</w:t>
      </w:r>
    </w:p>
    <w:p>
      <w:pPr>
        <w:pStyle w:val="BodyText"/>
        <w:spacing w:line="240" w:lineRule="auto" w:before="31"/>
        <w:ind w:left="514" w:right="1122"/>
        <w:jc w:val="left"/>
      </w:pPr>
      <w:r>
        <w:rPr/>
        <w:t>（</w:t>
      </w:r>
      <w:r>
        <w:rPr>
          <w:rFonts w:ascii="Times New Roman" w:hAnsi="Times New Roman" w:cs="Times New Roman" w:eastAsia="Times New Roman" w:hint="default"/>
        </w:rPr>
        <w:t>1</w:t>
      </w:r>
      <w:r>
        <w:rPr/>
        <w:t>）评价、测试爱康科技公司固定资产减值相关的内部控制的设计和执行的有效性；</w:t>
      </w:r>
    </w:p>
    <w:p>
      <w:pPr>
        <w:pStyle w:val="BodyText"/>
        <w:spacing w:line="240" w:lineRule="auto" w:before="63"/>
        <w:ind w:left="514" w:right="1122"/>
        <w:jc w:val="left"/>
      </w:pPr>
      <w:r>
        <w:rPr/>
        <w:t>（</w:t>
      </w:r>
      <w:r>
        <w:rPr>
          <w:rFonts w:ascii="Times New Roman" w:hAnsi="Times New Roman" w:cs="Times New Roman" w:eastAsia="Times New Roman" w:hint="default"/>
        </w:rPr>
        <w:t>2</w:t>
      </w:r>
      <w:r>
        <w:rPr/>
        <w:t>）评价管理层聘请的评估专家的胜任能力、专业素质及客观性；</w:t>
      </w:r>
    </w:p>
    <w:p>
      <w:pPr>
        <w:pStyle w:val="BodyText"/>
        <w:spacing w:line="300" w:lineRule="auto" w:before="63"/>
        <w:ind w:right="1122" w:firstLine="360"/>
        <w:jc w:val="left"/>
      </w:pPr>
      <w:r>
        <w:rPr/>
        <w:t>（</w:t>
      </w:r>
      <w:r>
        <w:rPr>
          <w:rFonts w:ascii="Times New Roman" w:hAnsi="Times New Roman" w:cs="Times New Roman" w:eastAsia="Times New Roman" w:hint="default"/>
        </w:rPr>
        <w:t>3</w:t>
      </w:r>
      <w:r>
        <w:rPr/>
        <w:t>）与管理层及外部评估专家讨论固定资产减值测试过程中所使用的价值类型、评估方法、估值模型的适当性，以及 关键假设、折现率等参数的合理性；</w:t>
      </w:r>
    </w:p>
    <w:p>
      <w:pPr>
        <w:pStyle w:val="BodyText"/>
        <w:spacing w:line="240" w:lineRule="auto" w:before="31"/>
        <w:ind w:left="514" w:right="1122"/>
        <w:jc w:val="left"/>
      </w:pPr>
      <w:r>
        <w:rPr/>
        <w:t>（</w:t>
      </w:r>
      <w:r>
        <w:rPr>
          <w:rFonts w:ascii="Times New Roman" w:hAnsi="Times New Roman" w:cs="Times New Roman" w:eastAsia="Times New Roman" w:hint="default"/>
        </w:rPr>
        <w:t>4</w:t>
      </w:r>
      <w:r>
        <w:rPr/>
        <w:t>）实地勘察相关固定资产，并取得相关资产资料；</w:t>
      </w:r>
    </w:p>
    <w:p>
      <w:pPr>
        <w:pStyle w:val="BodyText"/>
        <w:spacing w:line="300" w:lineRule="auto" w:before="63"/>
        <w:ind w:right="1122" w:firstLine="360"/>
        <w:jc w:val="left"/>
      </w:pPr>
      <w:r>
        <w:rPr/>
        <w:t>（</w:t>
      </w:r>
      <w:r>
        <w:rPr>
          <w:rFonts w:ascii="Times New Roman" w:hAnsi="Times New Roman" w:cs="Times New Roman" w:eastAsia="Times New Roman" w:hint="default"/>
        </w:rPr>
        <w:t>5</w:t>
      </w:r>
      <w:r>
        <w:rPr/>
        <w:t>）在本所估值专家的协助下，评价外部评估专家估值时所使用的价值类型、评估方法、估值模型的适当性，以及关 键假设、折现率等参数的合理性；</w:t>
      </w:r>
    </w:p>
    <w:p>
      <w:pPr>
        <w:pStyle w:val="BodyText"/>
        <w:spacing w:line="240" w:lineRule="auto" w:before="31"/>
        <w:ind w:left="514" w:right="1122"/>
        <w:jc w:val="left"/>
      </w:pPr>
      <w:r>
        <w:rPr/>
        <w:t>（</w:t>
      </w:r>
      <w:r>
        <w:rPr>
          <w:rFonts w:ascii="Times New Roman" w:hAnsi="Times New Roman" w:cs="Times New Roman" w:eastAsia="Times New Roman" w:hint="default"/>
        </w:rPr>
        <w:t>6</w:t>
      </w:r>
      <w:r>
        <w:rPr/>
        <w:t>）复核相关计算过程和结果及其账务处理；</w:t>
      </w:r>
    </w:p>
    <w:p>
      <w:pPr>
        <w:pStyle w:val="BodyText"/>
        <w:spacing w:line="240" w:lineRule="auto" w:before="63"/>
        <w:ind w:left="514" w:right="1122"/>
        <w:jc w:val="left"/>
      </w:pPr>
      <w:r>
        <w:rPr/>
        <w:t>（</w:t>
      </w:r>
      <w:r>
        <w:rPr>
          <w:rFonts w:ascii="Times New Roman" w:hAnsi="Times New Roman" w:cs="Times New Roman" w:eastAsia="Times New Roman" w:hint="default"/>
        </w:rPr>
        <w:t>7</w:t>
      </w:r>
      <w:r>
        <w:rPr/>
        <w:t>）检查固定资产减值准备相关信息在财务报表中的列报和披露情况。</w:t>
      </w:r>
    </w:p>
    <w:p>
      <w:pPr>
        <w:spacing w:line="240" w:lineRule="auto" w:before="0"/>
        <w:rPr>
          <w:rFonts w:ascii="宋体" w:hAnsi="宋体" w:cs="宋体" w:eastAsia="宋体" w:hint="default"/>
          <w:sz w:val="18"/>
          <w:szCs w:val="18"/>
        </w:rPr>
      </w:pPr>
    </w:p>
    <w:p>
      <w:pPr>
        <w:pStyle w:val="BodyText"/>
        <w:spacing w:line="316" w:lineRule="auto" w:before="139"/>
        <w:ind w:left="514" w:right="1122" w:firstLine="1"/>
        <w:jc w:val="left"/>
      </w:pPr>
      <w:r>
        <w:rPr>
          <w:rFonts w:ascii="宋体" w:hAnsi="宋体" w:cs="宋体" w:eastAsia="宋体" w:hint="default"/>
          <w:b/>
          <w:bCs/>
        </w:rPr>
        <w:t>四、其他信息</w:t>
      </w:r>
      <w:r>
        <w:rPr>
          <w:rFonts w:ascii="宋体" w:hAnsi="宋体" w:cs="宋体" w:eastAsia="宋体" w:hint="default"/>
          <w:b/>
          <w:bCs/>
          <w:w w:val="99"/>
        </w:rPr>
        <w:t> </w:t>
      </w:r>
      <w:r>
        <w:rPr>
          <w:spacing w:val="-2"/>
        </w:rPr>
        <w:t>爱康科技公司管理层对其他信息负责。其他信息包括</w:t>
      </w:r>
      <w:r>
        <w:rPr>
          <w:rFonts w:ascii="Times New Roman" w:hAnsi="Times New Roman" w:cs="Times New Roman" w:eastAsia="Times New Roman" w:hint="default"/>
          <w:spacing w:val="-2"/>
        </w:rPr>
        <w:t>2018</w:t>
      </w:r>
      <w:r>
        <w:rPr>
          <w:spacing w:val="-2"/>
        </w:rPr>
        <w:t>年年度报告中涵盖的信息，但不包括财务报表和我们的审计报</w:t>
      </w:r>
    </w:p>
    <w:p>
      <w:pPr>
        <w:pStyle w:val="BodyText"/>
        <w:spacing w:line="235" w:lineRule="exact"/>
        <w:ind w:right="1122"/>
        <w:jc w:val="left"/>
      </w:pPr>
      <w:r>
        <w:rPr/>
        <w:t>告。</w:t>
      </w:r>
    </w:p>
    <w:p>
      <w:pPr>
        <w:pStyle w:val="BodyText"/>
        <w:spacing w:line="319" w:lineRule="auto" w:before="76"/>
        <w:ind w:left="514" w:right="1122"/>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7"/>
        <w:ind w:left="514" w:right="1122"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1122"/>
        <w:jc w:val="left"/>
      </w:pPr>
      <w:r>
        <w:rPr/>
        <w:t>报告。</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line="316" w:lineRule="auto" w:before="44"/>
        <w:ind w:left="514" w:right="1122" w:firstLine="1"/>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爱康科技公司管理层负责按照企业会计准则的规定编制财务报表，使其实现公允反映，并设计、执行和维护必要的内部</w:t>
      </w:r>
    </w:p>
    <w:p>
      <w:pPr>
        <w:pStyle w:val="BodyText"/>
        <w:spacing w:line="319" w:lineRule="auto" w:before="19"/>
        <w:ind w:left="514" w:right="1122" w:hanging="360"/>
        <w:jc w:val="left"/>
      </w:pPr>
      <w:r>
        <w:rPr/>
        <w:t>控制，以使财务报表不存在由于舞弊或错误导致的重大错报。 </w:t>
      </w:r>
      <w:r>
        <w:rPr>
          <w:spacing w:val="-2"/>
        </w:rPr>
        <w:t>在编制财务报表时，管理层负责评估爱康科技公司的持续经营能力，披露与持续经营相关的事项（如适用），并运用持</w:t>
      </w:r>
    </w:p>
    <w:p>
      <w:pPr>
        <w:pStyle w:val="BodyText"/>
        <w:spacing w:line="316" w:lineRule="auto" w:before="17"/>
        <w:ind w:left="514" w:right="4092" w:hanging="360"/>
        <w:jc w:val="left"/>
      </w:pPr>
      <w:r>
        <w:rPr/>
        <w:t>续经营假设，除非管理层计划清算爱康科技公司、终止运营或别无其他现实的选择。 治理层负责监督爱康科技公司的财务报告过程。</w:t>
      </w:r>
    </w:p>
    <w:p>
      <w:pPr>
        <w:spacing w:line="240" w:lineRule="auto" w:before="4"/>
        <w:rPr>
          <w:rFonts w:ascii="宋体" w:hAnsi="宋体" w:cs="宋体" w:eastAsia="宋体" w:hint="default"/>
          <w:sz w:val="25"/>
          <w:szCs w:val="25"/>
        </w:rPr>
      </w:pPr>
    </w:p>
    <w:p>
      <w:pPr>
        <w:spacing w:line="316" w:lineRule="auto" w:before="0"/>
        <w:ind w:left="514" w:right="1122" w:firstLine="1"/>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316" w:lineRule="auto" w:before="19"/>
        <w:ind w:right="1132"/>
        <w:jc w:val="both"/>
      </w:pP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14" w:right="1122"/>
        <w:jc w:val="left"/>
      </w:pPr>
      <w:r>
        <w:rPr/>
        <w:t>在按照审计准则执行审计工作的过程中，我们运用职业判断，并保持职业怀疑。同时，我们也执行以下工作：</w:t>
      </w:r>
    </w:p>
    <w:p>
      <w:pPr>
        <w:pStyle w:val="BodyText"/>
        <w:spacing w:line="316" w:lineRule="auto" w:before="76"/>
        <w:ind w:right="1049"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9"/>
        <w:ind w:left="514" w:right="1122"/>
        <w:jc w:val="left"/>
      </w:pPr>
      <w:r>
        <w:rPr/>
        <w:t>（二）了解与审计相关的内部控制，以设计恰当的审计程序，但目的并非对内部控制的有效性发表意见。</w:t>
      </w:r>
    </w:p>
    <w:p>
      <w:pPr>
        <w:pStyle w:val="BodyText"/>
        <w:spacing w:line="240" w:lineRule="auto" w:before="76"/>
        <w:ind w:left="514" w:right="1122"/>
        <w:jc w:val="left"/>
      </w:pPr>
      <w:r>
        <w:rPr/>
        <w:t>（三）评价管理层选用会计政策的恰当性和作出会计估计及相关披露的合理性。</w:t>
      </w:r>
    </w:p>
    <w:p>
      <w:pPr>
        <w:pStyle w:val="BodyText"/>
        <w:spacing w:line="319" w:lineRule="auto" w:before="76"/>
        <w:ind w:right="1131" w:firstLine="360"/>
        <w:jc w:val="both"/>
      </w:pPr>
      <w:r>
        <w:rPr>
          <w:spacing w:val="-2"/>
        </w:rPr>
        <w:t>（四）对管理层使用持续经营假设的恰当性得出结论。同时，根据获取的审计证据，就可能导致对爱康科技公司持续经</w:t>
      </w:r>
      <w:r>
        <w:rPr/>
        <w:t>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w:t>
      </w:r>
    </w:p>
    <w:p>
      <w:pPr>
        <w:pStyle w:val="BodyText"/>
        <w:spacing w:line="240" w:lineRule="auto" w:before="17"/>
        <w:ind w:right="1122"/>
        <w:jc w:val="left"/>
      </w:pPr>
      <w:r>
        <w:rPr/>
        <w:t>的信息。然而，未来的事项或情况可能导致爱康科技公司不能持续经营。</w:t>
      </w:r>
    </w:p>
    <w:p>
      <w:pPr>
        <w:pStyle w:val="BodyText"/>
        <w:spacing w:line="240" w:lineRule="auto" w:before="76"/>
        <w:ind w:left="514" w:right="1122"/>
        <w:jc w:val="left"/>
      </w:pPr>
      <w:r>
        <w:rPr/>
        <w:t>（五）评价财务报表的总体列报、结构和内容（包括披露），并评价财务报表是否公允反映相关交易和事项。</w:t>
      </w:r>
    </w:p>
    <w:p>
      <w:pPr>
        <w:pStyle w:val="BodyText"/>
        <w:spacing w:line="316" w:lineRule="auto" w:before="76"/>
        <w:ind w:right="1131" w:firstLine="360"/>
        <w:jc w:val="both"/>
      </w:pPr>
      <w:r>
        <w:rPr>
          <w:spacing w:val="-2"/>
        </w:rPr>
        <w:t>（六）就爱康科技公司中实体或业务活动的财务信息获取充分、适当的审计证据，以对财务报表发表意见。我们负责指</w:t>
      </w:r>
      <w:r>
        <w:rPr/>
        <w:t> 导、监督和执行集团审计。我们对审计意见承担全部责任。</w:t>
      </w:r>
    </w:p>
    <w:p>
      <w:pPr>
        <w:pStyle w:val="BodyText"/>
        <w:spacing w:line="316" w:lineRule="auto" w:before="19"/>
        <w:ind w:right="1131" w:firstLine="352"/>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9"/>
        <w:ind w:right="1133"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781" w:type="dxa"/>
        <w:tblLayout w:type="fixed"/>
        <w:tblCellMar>
          <w:top w:w="0" w:type="dxa"/>
          <w:left w:w="0" w:type="dxa"/>
          <w:bottom w:w="0" w:type="dxa"/>
          <w:right w:w="0" w:type="dxa"/>
        </w:tblCellMar>
        <w:tblLook w:val="01E0"/>
      </w:tblPr>
      <w:tblGrid>
        <w:gridCol w:w="3499"/>
        <w:gridCol w:w="3337"/>
      </w:tblGrid>
      <w:tr>
        <w:trPr>
          <w:trHeight w:val="1036"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180" w:lineRule="exact"/>
              <w:ind w:right="218"/>
              <w:jc w:val="center"/>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3337" w:type="dxa"/>
            <w:tcBorders>
              <w:top w:val="nil" w:sz="6" w:space="0" w:color="auto"/>
              <w:left w:val="nil" w:sz="6" w:space="0" w:color="auto"/>
              <w:bottom w:val="nil" w:sz="6" w:space="0" w:color="auto"/>
              <w:right w:val="nil" w:sz="6" w:space="0" w:color="auto"/>
            </w:tcBorders>
          </w:tcPr>
          <w:p>
            <w:pPr>
              <w:pStyle w:val="TableParagraph"/>
              <w:spacing w:line="180" w:lineRule="exact"/>
              <w:ind w:left="418" w:right="0"/>
              <w:jc w:val="left"/>
              <w:rPr>
                <w:rFonts w:ascii="宋体" w:hAnsi="宋体" w:cs="宋体" w:eastAsia="宋体" w:hint="default"/>
                <w:sz w:val="18"/>
                <w:szCs w:val="18"/>
              </w:rPr>
            </w:pPr>
            <w:r>
              <w:rPr>
                <w:rFonts w:ascii="宋体" w:hAnsi="宋体" w:cs="宋体" w:eastAsia="宋体" w:hint="default"/>
                <w:sz w:val="18"/>
                <w:szCs w:val="18"/>
              </w:rPr>
              <w:t>中国注册会计师</w:t>
            </w:r>
          </w:p>
          <w:p>
            <w:pPr>
              <w:pStyle w:val="TableParagraph"/>
              <w:tabs>
                <w:tab w:pos="2909" w:val="left" w:leader="none"/>
              </w:tabs>
              <w:spacing w:line="240" w:lineRule="auto" w:before="76"/>
              <w:ind w:left="4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（项目合伙人）：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TableParagraph"/>
              <w:spacing w:line="240" w:lineRule="auto" w:before="76"/>
              <w:ind w:left="2115" w:right="0"/>
              <w:jc w:val="left"/>
              <w:rPr>
                <w:rFonts w:ascii="宋体" w:hAnsi="宋体" w:cs="宋体" w:eastAsia="宋体" w:hint="default"/>
                <w:sz w:val="18"/>
                <w:szCs w:val="18"/>
              </w:rPr>
            </w:pPr>
            <w:r>
              <w:rPr>
                <w:rFonts w:ascii="宋体" w:hAnsi="宋体" w:cs="宋体" w:eastAsia="宋体" w:hint="default"/>
                <w:sz w:val="18"/>
                <w:szCs w:val="18"/>
              </w:rPr>
              <w:t>徐殷鹏</w:t>
            </w:r>
          </w:p>
        </w:tc>
      </w:tr>
      <w:tr>
        <w:trPr>
          <w:trHeight w:val="957"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7"/>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p>
        </w:tc>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tabs>
                <w:tab w:pos="2909" w:val="left" w:leader="none"/>
              </w:tabs>
              <w:spacing w:line="240" w:lineRule="auto"/>
              <w:ind w:left="4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中国注册会计师：</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TableParagraph"/>
              <w:spacing w:line="240" w:lineRule="auto" w:before="76"/>
              <w:ind w:left="2115" w:right="0"/>
              <w:jc w:val="left"/>
              <w:rPr>
                <w:rFonts w:ascii="宋体" w:hAnsi="宋体" w:cs="宋体" w:eastAsia="宋体" w:hint="default"/>
                <w:sz w:val="18"/>
                <w:szCs w:val="18"/>
              </w:rPr>
            </w:pPr>
            <w:r>
              <w:rPr>
                <w:rFonts w:ascii="宋体" w:hAnsi="宋体" w:cs="宋体" w:eastAsia="宋体" w:hint="default"/>
                <w:sz w:val="18"/>
                <w:szCs w:val="18"/>
              </w:rPr>
              <w:t>秦松涛</w:t>
            </w:r>
          </w:p>
        </w:tc>
      </w:tr>
      <w:tr>
        <w:trPr>
          <w:trHeight w:val="422" w:hRule="exact"/>
        </w:trPr>
        <w:tc>
          <w:tcPr>
            <w:tcW w:w="3499"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9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22"/>
        <w:jc w:val="left"/>
        <w:rPr>
          <w:b w:val="0"/>
          <w:bCs w:val="0"/>
        </w:rPr>
      </w:pPr>
      <w:bookmarkStart w:name="二、财务报表" w:id="170"/>
      <w:bookmarkEnd w:id="17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1、合并资产负债表" w:id="171"/>
      <w:bookmarkEnd w:id="17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编制单位：江苏爱康科技股份有限公司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2,050,426,425.64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2,862,939,724.35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1,204,176.00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3,180,447.00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1,921,964,344.42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2,038,641,292.87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136,526,072.87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139,370,929.81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1,785,438,271.55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1,899,270,363.06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60,779,711.97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59,177,715.42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1,744,385,237.12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437,165,360.75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16,459,632.68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23,890,050.05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158,465,156.48</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278,492,981.39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255,569,403.48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202,184,855.00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139,983,416.00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177,917,452.48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229,850,626.61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6,437,355,184.02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6,026,507,986.48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4,734,400.00</w:t>
            </w: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85,683,834.18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228,863,873.12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2,076,028,040.78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1,381,612,236.47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10,405,314.37</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4,322,737,584.86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7,232,797,715.04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98,798,906.27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1,147,900,028.05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202,420,957.29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248,176,474.36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7,996,273.38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59,403,421.64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84,257,598.85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124,519,319.14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92,847,530.21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634,590,348.13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631,826,665.92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7,619,322,126.66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11,056,278,395.40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14,056,677,310.68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17,082,786,381.88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3,205,250,000.00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4,137,819,111.66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1,243,280,461.16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1,632,566,166.33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59,930,678.67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69,338,322.24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25,989,626.55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26,103,143.90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44,137,224.41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55,066,431.73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302,418,611.29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842,444,864.14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20,945,610.58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11,993,831.64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452,791.83</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658,913,618.29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942,085,135.30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17,351,171.23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6,084,574.42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5,557,271,391.60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7,711,507,749.72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394,570,000.00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2,651,919,241.71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299,078,295.35</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1,745,971,983.55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844,290,398.65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70,282,536.53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30,578,345.15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39,071,231.45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55,665,336.96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7,790,182.86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1,219,065.72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2,556,764,229.74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3,583,672,388.19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8,114,035,621.34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11,295,180,137.91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4,489,969,012.00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4,490,861,600.00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853,754,635.78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860,947,037.22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20,969,709.72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49,632,060.79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-1,665,825.40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-7,764,284.24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69,663,778.84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54,046,588.34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476,333,030.55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366,607,749.00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5,867,084,922.05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5,715,066,629.53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75,556,767.29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72,539,614.44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5,942,641,689.34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5,787,606,243.97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14,056,677,310.68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17,082,786,381.88</w:t>
            </w:r>
          </w:p>
        </w:tc>
      </w:tr>
    </w:tbl>
    <w:p>
      <w:pPr>
        <w:spacing w:line="240" w:lineRule="auto" w:before="3"/>
        <w:rPr>
          <w:rFonts w:ascii="Times New Roman" w:hAnsi="Times New Roman" w:cs="Times New Roman" w:eastAsia="Times New Roman" w:hint="default"/>
          <w:sz w:val="23"/>
          <w:szCs w:val="23"/>
        </w:rPr>
      </w:pPr>
    </w:p>
    <w:p>
      <w:pPr>
        <w:pStyle w:val="BodyText"/>
        <w:tabs>
          <w:tab w:pos="3600" w:val="left" w:leader="none"/>
          <w:tab w:pos="7741" w:val="left" w:leader="none"/>
        </w:tabs>
        <w:spacing w:line="240" w:lineRule="auto" w:before="44"/>
        <w:ind w:left="0" w:right="1229"/>
        <w:jc w:val="right"/>
      </w:pPr>
      <w:r>
        <w:rPr/>
        <w:t>法定代表人：邹承慧</w:t>
        <w:tab/>
        <w:t>主管会计工作负责人：李静</w:t>
        <w:tab/>
        <w:t>会计机构负责人：钱健</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2、母公司资产负债表" w:id="172"/>
      <w:bookmarkEnd w:id="17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1,466,350,986.42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1,465,544,370.09</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1,204,176.00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3,180,447.00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657,104,097.64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716,489,020.75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1,127,206.75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23,217,317.72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655,976,890.89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693,271,703.03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22,262,585.48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1,259,532.32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3,099,595,527.15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3,096,885,037.83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12,908,525.88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17,881,268.19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123,712,834.39</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91,720,352.19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86,206,584.89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39,522,180.77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41,202,497.77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5,377,759,905.65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5,410,767,490.65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4,734,400.00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7,394,509,383.38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6,345,838,790.60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7,718,301.64</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199,112,382.03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214,670,372.36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1,140,157.64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215,223.88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38,779,505.04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41,139,649.56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20,270,109.93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28,335,332.26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50,175,203.87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14,210,184.30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566,773,735.48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470,500.90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8,283,213,179.01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6,644,880,053.86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13,660,973,084.66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12,055,647,544.51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2,046,800,000.00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2,428,380,000.00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840,721,982.71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558,706,753.96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4,516,703.12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4,513,712.58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7,887,394.84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7,133,577.99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4,564,987.86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3,259,371.89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3,291,751,833.06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2,751,890,075.17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60,373,818.22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5,865,398.09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4,187,043.29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132,821.97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6,574,429,944.88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5,948,016,313.56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308,800,000.00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299,078,295.35</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640,440,000.00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301,044.00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795,111.75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1,248,619,339.35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447,195,111.75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7,823,049,284.23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6,395,211,425.31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4,489,969,012.00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4,490,861,600.00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932,541,874.73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939,734,276.17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20,969,709.72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49,632,060.79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738,414.59</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69,663,778.84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54,046,588.34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365,980,429.99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225,425,715.48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5,837,923,800.43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5,660,436,119.20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13,660,973,084.66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12,055,647,544.51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22"/>
        <w:jc w:val="left"/>
        <w:rPr>
          <w:b w:val="0"/>
          <w:bCs w:val="0"/>
        </w:rPr>
      </w:pPr>
      <w:bookmarkStart w:name="3、合并利润表" w:id="173"/>
      <w:bookmarkEnd w:id="17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4,842,707,329.51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4,856,493,249.54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4,842,707,329.51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4,856,493,249.54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4,934,562,484.95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4,890,551,855.02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3,971,422,511.01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4,008,904,255.56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22,716,560.15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43,178,081.74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139,758,903.98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111,535,511.47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235,977,038.48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206,051,341.28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41,918,613.36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31,323,983.55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439,732,047.54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451,625,943.77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513,506,665.23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461,876,682.30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49,381,574.74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37,229,247.86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83,036,810.43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37,932,737.65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122,401,690.09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57,527,770.31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151,274,662.10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69,464,722.64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92,274,773.64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18,013,394.12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-1,976,271.00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3,180,447.00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-4,143,958.26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16,088,161.25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175,700,967.49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112,202,495.72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3,136,590.58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46,245,128.88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21,387,802.35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25,765,642.62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157,449,755.72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132,681,981.98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19,520,996.79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20,882,584.00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137,928,758.93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111,799,397.98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137,928,758.93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111,799,397.98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125,342,472.05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113,455,312.64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12,586,286.88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-1,655,914.66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6,098,436.23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580,321.40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6,098,458.84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580,321.40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6,098,458.84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580,321.40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-1,978,799.38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8,077,258.22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580,321.40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144,027,195.16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112,379,719.38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131,440,930.89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114,035,634.04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12,586,264.27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-1,655,914.66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0.025</w:t>
            </w:r>
          </w:p>
        </w:tc>
      </w:tr>
    </w:tbl>
    <w:p>
      <w:pPr>
        <w:pStyle w:val="BodyText"/>
        <w:tabs>
          <w:tab w:pos="3754" w:val="left" w:leader="none"/>
          <w:tab w:pos="789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法定代表人：邹承慧</w:t>
        <w:tab/>
        <w:t>主管会计工作负责人：李静</w:t>
        <w:tab/>
        <w:t>会计机构负责人：钱健 </w:t>
      </w:r>
      <w:bookmarkStart w:name="4、母公司利润表" w:id="174"/>
      <w:bookmarkEnd w:id="17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5"/>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1,918,368,637.08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1,581,285,145.14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1,720,545,914.03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1,439,998,314.63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5,569,914.75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7,215,256.50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40,254,993.16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39,136,089.81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94,033,537.92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75,446,824.31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2,992,347.14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3,497,033.65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202,544,865.09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122,239,425.49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246,903,846.71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126,511,522.85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35,479,097.44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23,589,041.39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19,194,968.53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14,525,502.24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4,610,605.70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14,735,364.26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292,742,697.79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208,218,635.60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96,402,783.92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48,119,610.77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-1,976,271.00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3,180,447.00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-223,467.56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-1,258,486.19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128,385,661.39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104,102,659.18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567,055.43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391,392.90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2,460,438.75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459,138.48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126,492,278.07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104,034,913.60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-29,679,626.94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-7,738,944.31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156,171,905.01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111,773,857.91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156,171,905.01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111,773,857.91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738,414.59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738,414.59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738,414.59</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156,910,319.60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6" w:right="0"/>
              <w:jc w:val="left"/>
              <w:rPr>
                <w:rFonts w:ascii="Times New Roman" w:hAnsi="Times New Roman" w:cs="Times New Roman" w:eastAsia="Times New Roman" w:hint="default"/>
                <w:sz w:val="18"/>
                <w:szCs w:val="18"/>
              </w:rPr>
            </w:pPr>
            <w:r>
              <w:rPr>
                <w:rFonts w:ascii="Times New Roman"/>
                <w:sz w:val="18"/>
              </w:rPr>
              <w:t>111,773,857.91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22"/>
        <w:jc w:val="left"/>
        <w:rPr>
          <w:b w:val="0"/>
          <w:bCs w:val="0"/>
        </w:rPr>
      </w:pPr>
      <w:bookmarkStart w:name="5、合并现金流量表" w:id="175"/>
      <w:bookmarkEnd w:id="17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3,864,645,349.55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3,628,511,915.43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305,707,523.99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228,651,114.02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768,346,227.76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280,146,058.69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4,938,699,101.30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4,137,309,088.14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3,225,740,680.40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2,245,142,935.62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330,814,155.33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307,229,869.81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101,811,585.88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220,369,722.39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411,794,186.51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493,226,694.34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4,070,160,608.12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3,265,969,222.16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868,538,493.18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871,339,865.98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37,086.13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116,861,127.00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42,925,681.53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700,036,910.36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53,100,179.32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28,041,000.00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844,976,123.49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185,825,860.85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912,958,497.46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1,059,629,570.09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1,482,995,315.81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205,031,500.00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1,306,768.86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61,526,024.65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130,162,550.12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2,457,479,837.92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1,396,130,389.07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-1,612,503,714.43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-1,210,304,528.22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41,426,830.00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32,607,500.00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41,426,830.00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25,607,500.00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6,357,896,016.78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5,450,789,003.02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1,351,663,514.89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164,307,200.00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8,050,986,361.67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5,647,703,703.02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6,483,355,097.95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4,194,613,269.86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487,031,479.12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465,459,407.86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1,206,800.00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374,536,548.11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1,829,974,755.68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7,344,923,125.18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6,490,047,433.40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706,063,236.49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-842,343,730.38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153,504.95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-7,874,840.12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-37,748,479.81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-1,189,183,232.74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713,092,936.70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1,902,276,169.44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675,344,456.89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713,092,936.70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22"/>
        <w:jc w:val="left"/>
        <w:rPr>
          <w:b w:val="0"/>
          <w:bCs w:val="0"/>
        </w:rPr>
      </w:pPr>
      <w:bookmarkStart w:name="6、母公司现金流量表" w:id="176"/>
      <w:bookmarkEnd w:id="17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1,609,687,736.07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1,178,072,879.61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212,940,181.10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159,910,913.93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1,460,841,042.51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2,148,643,584.89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3,283,468,959.68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3,486,627,378.43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1,472,924,738.75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1,174,722,620.31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93,985,281.83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88,914,828.10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13,191,586.52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44,403,668.19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230,577,269.08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786,066,256.50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1,810,678,876.18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2,094,107,373.10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1,472,790,083.50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1,392,520,005.33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80,387,429.28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处置固定资产、无形资产和其他</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600,304.00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584,564.62</w:t>
            </w:r>
          </w:p>
        </w:tc>
      </w:tr>
    </w:tbl>
    <w:p>
      <w:pPr>
        <w:spacing w:after="0" w:line="240" w:lineRule="auto"/>
        <w:jc w:val="right"/>
        <w:rPr>
          <w:rFonts w:ascii="Times New Roman" w:hAnsi="Times New Roman" w:cs="Times New Roman" w:eastAsia="Times New Roman" w:hint="default"/>
          <w:sz w:val="18"/>
          <w:szCs w:val="18"/>
        </w:rPr>
        <w:sectPr>
          <w:footerReference w:type="default" r:id="rId14"/>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3,771,000.00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114,758,733.28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150,384,564.62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8,314,895.33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12,793,778.12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2,376,404,965.30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2,062,548,400.00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2,384,719,860.63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2,075,342,178.12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-2,269,961,127.35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-1,924,957,613.50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2,801,700,000.00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2,961,280,000.00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1,232,393,333.12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4,334,093,333.12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2,961,280,000.00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2,996,880,000.00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1,939,611,894.00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124,141,487.58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143,213,260.52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32,798,897.49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916,940,305.12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3,153,820,385.07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2,999,765,459.64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1,180,272,948.05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-38,485,459.64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-6,577,665.01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-4,719,146.96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376,524,239.19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-575,642,214.77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169,828,155.44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745,470,370.21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546,352,394.63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169,828,155.44</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7、合并所有者权益变动表" w:id="177"/>
      <w:bookmarkEnd w:id="17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2"/>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8122"/>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bl>
    <w:p>
      <w:pPr>
        <w:spacing w:after="0" w:line="240" w:lineRule="auto"/>
        <w:jc w:val="center"/>
        <w:rPr>
          <w:rFonts w:ascii="宋体" w:hAnsi="宋体" w:cs="宋体" w:eastAsia="宋体" w:hint="default"/>
          <w:sz w:val="18"/>
          <w:szCs w:val="18"/>
        </w:rPr>
        <w:sectPr>
          <w:footerReference w:type="default" r:id="rId15"/>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251"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91"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4,490,</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861,60</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860,947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,037.22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49,632,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060.79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-7,764,2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84.24</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54,046,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588.34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366,607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,749.00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72,539,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614.44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06,243.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4,490,</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861,60</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860,947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,037.22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49,632,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060.79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-7,764,2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84.24</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54,046,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588.34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366,607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,749.00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72,539,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614.44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06,243.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4" w:right="0"/>
              <w:jc w:val="left"/>
              <w:rPr>
                <w:rFonts w:ascii="Times New Roman" w:hAnsi="Times New Roman" w:cs="Times New Roman" w:eastAsia="Times New Roman" w:hint="default"/>
                <w:sz w:val="18"/>
                <w:szCs w:val="18"/>
              </w:rPr>
            </w:pPr>
            <w:r>
              <w:rPr>
                <w:rFonts w:ascii="Times New Roman"/>
                <w:sz w:val="18"/>
              </w:rPr>
              <w:t>-892,5</w:t>
            </w:r>
          </w:p>
          <w:p>
            <w:pPr>
              <w:pStyle w:val="TableParagraph"/>
              <w:spacing w:line="240" w:lineRule="auto" w:before="106"/>
              <w:ind w:left="114" w:right="0"/>
              <w:jc w:val="left"/>
              <w:rPr>
                <w:rFonts w:ascii="Times New Roman" w:hAnsi="Times New Roman" w:cs="Times New Roman" w:eastAsia="Times New Roman" w:hint="default"/>
                <w:sz w:val="18"/>
                <w:szCs w:val="18"/>
              </w:rPr>
            </w:pPr>
            <w:r>
              <w:rPr>
                <w:rFonts w:ascii="Times New Roman"/>
                <w:sz w:val="18"/>
              </w:rPr>
              <w:t>88.00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-7,192,4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01.44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-28,662,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351.07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6,098,4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58.84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15,617,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190.50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109,725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,281.55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3,017,1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52.85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155,035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,445.37</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6,098,4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58.84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125,342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,472.05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12,586,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264.27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144,027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,195.16</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4" w:right="0"/>
              <w:jc w:val="left"/>
              <w:rPr>
                <w:rFonts w:ascii="Times New Roman" w:hAnsi="Times New Roman" w:cs="Times New Roman" w:eastAsia="Times New Roman" w:hint="default"/>
                <w:sz w:val="18"/>
                <w:szCs w:val="18"/>
              </w:rPr>
            </w:pPr>
            <w:r>
              <w:rPr>
                <w:rFonts w:ascii="Times New Roman"/>
                <w:sz w:val="18"/>
              </w:rPr>
              <w:t>-892,5</w:t>
            </w:r>
          </w:p>
          <w:p>
            <w:pPr>
              <w:pStyle w:val="TableParagraph"/>
              <w:spacing w:line="240" w:lineRule="auto" w:before="106"/>
              <w:ind w:left="114" w:right="0"/>
              <w:jc w:val="left"/>
              <w:rPr>
                <w:rFonts w:ascii="Times New Roman" w:hAnsi="Times New Roman" w:cs="Times New Roman" w:eastAsia="Times New Roman" w:hint="default"/>
                <w:sz w:val="18"/>
                <w:szCs w:val="18"/>
              </w:rPr>
            </w:pPr>
            <w:r>
              <w:rPr>
                <w:rFonts w:ascii="Times New Roman"/>
                <w:sz w:val="18"/>
              </w:rPr>
              <w:t>88.00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-15,672,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488.30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-28,662,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351.07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-9,116,3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19.59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2,980,9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55.18</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41,426,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830.00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41,426,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830.00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4" w:right="0"/>
              <w:jc w:val="left"/>
              <w:rPr>
                <w:rFonts w:ascii="Times New Roman" w:hAnsi="Times New Roman" w:cs="Times New Roman" w:eastAsia="Times New Roman" w:hint="default"/>
                <w:sz w:val="18"/>
                <w:szCs w:val="18"/>
              </w:rPr>
            </w:pPr>
            <w:r>
              <w:rPr>
                <w:rFonts w:ascii="Times New Roman"/>
                <w:sz w:val="18"/>
              </w:rPr>
              <w:t>-892,5</w:t>
            </w:r>
          </w:p>
          <w:p>
            <w:pPr>
              <w:pStyle w:val="TableParagraph"/>
              <w:spacing w:line="240" w:lineRule="auto" w:before="106"/>
              <w:ind w:left="114" w:right="0"/>
              <w:jc w:val="left"/>
              <w:rPr>
                <w:rFonts w:ascii="Times New Roman" w:hAnsi="Times New Roman" w:cs="Times New Roman" w:eastAsia="Times New Roman" w:hint="default"/>
                <w:sz w:val="18"/>
                <w:szCs w:val="18"/>
              </w:rPr>
            </w:pPr>
            <w:r>
              <w:rPr>
                <w:rFonts w:ascii="Times New Roman"/>
                <w:sz w:val="18"/>
              </w:rPr>
              <w:t>88.00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-19,443,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488.30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-28,662,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351.07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8,326,2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74.77</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3,771,0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-50,543,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149.59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-46,772,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149.59</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15,617,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190.50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-15,617,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190.50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-452,79</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1.83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-452,79</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1.83</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15,617,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190.50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-15,617,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190.50</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-452,79</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1.83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-452,79</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1.83</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8,480,0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86.86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8,480,0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86.86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4,489,</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969,01</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853,754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,635.78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20,969,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709.72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-1,665,8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25.40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69,663,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778.84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476,333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,030.55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75,556,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767.29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5,942,6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41,689.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34</w:t>
            </w:r>
          </w:p>
        </w:tc>
      </w:tr>
    </w:tbl>
    <w:p>
      <w:pPr>
        <w:pStyle w:val="BodyText"/>
        <w:spacing w:line="240" w:lineRule="auto" w:before="51"/>
        <w:ind w:right="1122"/>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4,490,</w:t>
            </w:r>
          </w:p>
          <w:p>
            <w:pPr>
              <w:pStyle w:val="TableParagraph"/>
              <w:spacing w:line="240" w:lineRule="auto" w:before="104"/>
              <w:ind w:left="6" w:right="0"/>
              <w:jc w:val="center"/>
              <w:rPr>
                <w:rFonts w:ascii="Times New Roman" w:hAnsi="Times New Roman" w:cs="Times New Roman" w:eastAsia="Times New Roman" w:hint="default"/>
                <w:sz w:val="18"/>
                <w:szCs w:val="18"/>
              </w:rPr>
            </w:pPr>
            <w:r>
              <w:rPr>
                <w:rFonts w:ascii="Times New Roman"/>
                <w:sz w:val="18"/>
              </w:rPr>
              <w:t>861,60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843,941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,137.22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-8,344,6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05.64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42,869,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202.55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264,329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,822.15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136,416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,214.78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5,770,0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73,371.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06</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1" w:right="0"/>
              <w:jc w:val="left"/>
              <w:rPr>
                <w:rFonts w:ascii="宋体" w:hAnsi="宋体" w:cs="宋体" w:eastAsia="宋体" w:hint="default"/>
                <w:sz w:val="18"/>
                <w:szCs w:val="18"/>
              </w:rPr>
            </w:pPr>
            <w:r>
              <w:rPr>
                <w:rFonts w:ascii="宋体" w:hAnsi="宋体" w:cs="宋体" w:eastAsia="宋体" w:hint="default"/>
                <w:sz w:val="18"/>
                <w:szCs w:val="18"/>
              </w:rPr>
              <w:t>同一控</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4,490,</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861,60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843,941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,137.22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-8,344,6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05.64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42,869,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202.55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264,329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,822.15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136,416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,214.78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73,371.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17,005,</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900.00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49,632,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060.79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580,321</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11,177,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385.79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102,277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,926.85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-63,876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,600.34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17,532,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872.91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580,321</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113,455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,312.64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-1,655,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914.66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112,379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,719.38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17,005,</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900.00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-49,660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,971.07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-32,655,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071.07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25,659,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974.08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25,659,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974.08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17,005,</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900.00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-75,320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,945.15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-58,315,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045.15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11,177,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385.79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-11,177,</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385.79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-12,559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,714.61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-12,559,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714.61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11,177,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385.79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-11,177,</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385.79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-12,559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,714.61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-12,559,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714.61</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44"/>
              <w:jc w:val="left"/>
              <w:rPr>
                <w:rFonts w:ascii="宋体" w:hAnsi="宋体" w:cs="宋体" w:eastAsia="宋体" w:hint="default"/>
                <w:sz w:val="18"/>
                <w:szCs w:val="18"/>
              </w:rPr>
            </w:pPr>
            <w:r>
              <w:rPr>
                <w:rFonts w:ascii="宋体" w:hAnsi="宋体" w:cs="宋体" w:eastAsia="宋体" w:hint="default"/>
                <w:sz w:val="18"/>
                <w:szCs w:val="18"/>
              </w:rPr>
              <w:t>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49,632,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060.79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-49,632,</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060.79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4,490,</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861,60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860,947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,037.22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49,632,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060.79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-7,764,2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84.24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54,046,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588.34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366,607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,749.00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72,539,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614.44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5,787,6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06,243.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22"/>
        <w:jc w:val="left"/>
        <w:rPr>
          <w:b w:val="0"/>
          <w:bCs w:val="0"/>
        </w:rPr>
      </w:pPr>
      <w:bookmarkStart w:name="8、母公司所有者权益变动表" w:id="178"/>
      <w:bookmarkEnd w:id="17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2"/>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4,490,86</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1,600.00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939,734,2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76.17</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3"/>
              <w:ind w:left="45" w:right="0"/>
              <w:jc w:val="left"/>
              <w:rPr>
                <w:rFonts w:ascii="Times New Roman" w:hAnsi="Times New Roman" w:cs="Times New Roman" w:eastAsia="Times New Roman" w:hint="default"/>
                <w:sz w:val="18"/>
                <w:szCs w:val="18"/>
              </w:rPr>
            </w:pPr>
            <w:r>
              <w:rPr>
                <w:rFonts w:ascii="Times New Roman"/>
                <w:sz w:val="18"/>
              </w:rPr>
              <w:t>49,632,06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0.79</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54,046,58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8.34</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225,425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,715.48</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5,660,436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,119.20</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4,490,86</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1,600.00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939,734,2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76.17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49,632,06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54,046,58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8.34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225,425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,715.48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5,660,436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,119.20</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-892,58</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-7,192,40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-28,662,3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51.07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738,414.5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15,617,19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140,554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,714.51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177,487,6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81.23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738,414.5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156,171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,905.01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156,910,3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19.60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-892,58</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-15,672,4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88.30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-28,662,3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51.07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12,097,27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4.77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-892,58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-19,443,4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88.30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-28,662,3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51.07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8,326,274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3,771,000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3,771,000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15,617,19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-15,617,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190.50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15,617,19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-15,617,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190.50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8,480,086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8,480,086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4,489,96</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9,012.00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932,541,8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74.73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20,969,70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738,414.5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69,663,77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365,980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,429.99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5,837,923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,800.43</w:t>
            </w:r>
          </w:p>
        </w:tc>
      </w:tr>
    </w:tbl>
    <w:p>
      <w:pPr>
        <w:pStyle w:val="BodyText"/>
        <w:spacing w:line="240" w:lineRule="auto" w:before="51"/>
        <w:ind w:right="1122"/>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703"/>
        <w:gridCol w:w="653"/>
        <w:gridCol w:w="665"/>
        <w:gridCol w:w="654"/>
        <w:gridCol w:w="809"/>
        <w:gridCol w:w="797"/>
        <w:gridCol w:w="798"/>
        <w:gridCol w:w="798"/>
        <w:gridCol w:w="796"/>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72" w:type="dxa"/>
            <w:gridSpan w:val="3"/>
            <w:vMerge/>
            <w:tcBorders>
              <w:left w:val="single" w:sz="4" w:space="0" w:color="000000"/>
              <w:bottom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16" w:right="0"/>
              <w:jc w:val="left"/>
              <w:rPr>
                <w:rFonts w:ascii="Times New Roman" w:hAnsi="Times New Roman" w:cs="Times New Roman" w:eastAsia="Times New Roman" w:hint="default"/>
                <w:sz w:val="18"/>
                <w:szCs w:val="18"/>
              </w:rPr>
            </w:pPr>
            <w:r>
              <w:rPr>
                <w:rFonts w:ascii="Times New Roman"/>
                <w:sz w:val="18"/>
              </w:rPr>
              <w:t>4,490,86</w:t>
            </w:r>
          </w:p>
        </w:tc>
        <w:tc>
          <w:tcPr>
            <w:tcW w:w="6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5" w:right="0"/>
              <w:jc w:val="left"/>
              <w:rPr>
                <w:rFonts w:ascii="Times New Roman" w:hAnsi="Times New Roman" w:cs="Times New Roman" w:eastAsia="Times New Roman" w:hint="default"/>
                <w:sz w:val="18"/>
                <w:szCs w:val="18"/>
              </w:rPr>
            </w:pPr>
            <w:r>
              <w:rPr>
                <w:rFonts w:ascii="Times New Roman"/>
                <w:sz w:val="18"/>
              </w:rPr>
              <w:t>929,495,8</w:t>
            </w:r>
          </w:p>
        </w:tc>
        <w:tc>
          <w:tcPr>
            <w:tcW w:w="797"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42,869,20</w:t>
            </w:r>
          </w:p>
        </w:tc>
        <w:tc>
          <w:tcPr>
            <w:tcW w:w="67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8"/>
              <w:ind w:left="59" w:right="0"/>
              <w:jc w:val="left"/>
              <w:rPr>
                <w:rFonts w:ascii="Times New Roman" w:hAnsi="Times New Roman" w:cs="Times New Roman" w:eastAsia="Times New Roman" w:hint="default"/>
                <w:sz w:val="18"/>
                <w:szCs w:val="18"/>
              </w:rPr>
            </w:pPr>
            <w:r>
              <w:rPr>
                <w:rFonts w:ascii="Times New Roman"/>
                <w:sz w:val="18"/>
              </w:rPr>
              <w:t>124,829</w:t>
            </w:r>
          </w:p>
        </w:tc>
        <w:tc>
          <w:tcPr>
            <w:tcW w:w="78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8"/>
              <w:ind w:left="27" w:right="0"/>
              <w:jc w:val="left"/>
              <w:rPr>
                <w:rFonts w:ascii="Times New Roman" w:hAnsi="Times New Roman" w:cs="Times New Roman" w:eastAsia="Times New Roman" w:hint="default"/>
                <w:sz w:val="18"/>
                <w:szCs w:val="18"/>
              </w:rPr>
            </w:pPr>
            <w:r>
              <w:rPr>
                <w:rFonts w:ascii="Times New Roman"/>
                <w:sz w:val="18"/>
              </w:rPr>
              <w:t>5,588,055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Times New Roman"/>
                <w:sz w:val="18"/>
              </w:rPr>
              <w:t>1,600.00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9" w:right="0"/>
              <w:jc w:val="left"/>
              <w:rPr>
                <w:rFonts w:ascii="Times New Roman" w:hAnsi="Times New Roman" w:cs="Times New Roman" w:eastAsia="Times New Roman" w:hint="default"/>
                <w:sz w:val="18"/>
                <w:szCs w:val="18"/>
              </w:rPr>
            </w:pPr>
            <w:r>
              <w:rPr>
                <w:rFonts w:ascii="Times New Roman"/>
                <w:sz w:val="18"/>
              </w:rPr>
              <w:t>48.70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9" w:right="0"/>
              <w:jc w:val="left"/>
              <w:rPr>
                <w:rFonts w:ascii="Times New Roman" w:hAnsi="Times New Roman" w:cs="Times New Roman" w:eastAsia="Times New Roman" w:hint="default"/>
                <w:sz w:val="18"/>
                <w:szCs w:val="18"/>
              </w:rPr>
            </w:pPr>
            <w:r>
              <w:rPr>
                <w:rFonts w:ascii="Times New Roman"/>
                <w:sz w:val="18"/>
              </w:rPr>
              <w:t>2.55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,243.36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,894.61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4,490,86</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1,600.00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929,495,8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48.70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42,869,20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2.55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124,829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,243.36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5,588,055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,894.61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10,238,42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49,632,06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11,177,38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100,596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,472.12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72,380,22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4.59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111,773,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857.91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111,773,8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57.91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10,238,42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10,238,42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7.47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10,238,42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10,238,42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7.47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11,177,38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-11,177,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385.79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11,177,38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-11,177,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385.79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49,632,06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-49,632,0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60.79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4,490,86</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1,600.00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939,734,2</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76.17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49,632,06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54,046,58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225,425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,715.48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5,660,436</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,119.20</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122"/>
        <w:jc w:val="left"/>
        <w:rPr>
          <w:b w:val="0"/>
          <w:bCs w:val="0"/>
        </w:rPr>
      </w:pPr>
      <w:bookmarkStart w:name="三、公司基本情况" w:id="179"/>
      <w:bookmarkEnd w:id="179"/>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9" w:firstLine="360"/>
        <w:jc w:val="both"/>
      </w:pPr>
      <w:r>
        <w:rPr>
          <w:spacing w:val="-1"/>
        </w:rPr>
        <w:t>江苏爱康科技股份有限公司（原名江苏爱康太阳能科技股份有限公司，以下简称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）是经江苏爱康太阳</w:t>
      </w:r>
      <w:r>
        <w:rPr/>
        <w:t> 能科技有限公司（原名江阴爱康太阳能器材有限公司）整体变更设立。本公司于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日完成工商变更登记，取得无</w:t>
      </w:r>
      <w:r>
        <w:rPr>
          <w:spacing w:val="-82"/>
        </w:rPr>
        <w:t> </w:t>
      </w:r>
      <w:r>
        <w:rPr>
          <w:spacing w:val="-82"/>
        </w:rPr>
      </w:r>
      <w:r>
        <w:rPr/>
        <w:t>锡市江阴工商行政管理局颁发的企业法人营业执照，注册号为</w:t>
      </w:r>
      <w:r>
        <w:rPr>
          <w:rFonts w:ascii="Times New Roman" w:hAnsi="Times New Roman" w:cs="Times New Roman" w:eastAsia="Times New Roman" w:hint="default"/>
        </w:rPr>
        <w:t>320281400010819</w:t>
      </w:r>
      <w:r>
        <w:rPr/>
        <w:t>号。注册地址为江阴市华士工业集中区红苗</w:t>
      </w:r>
      <w:r>
        <w:rPr>
          <w:spacing w:val="-84"/>
        </w:rPr>
        <w:t> </w:t>
      </w:r>
      <w:r>
        <w:rPr>
          <w:spacing w:val="-84"/>
        </w:rPr>
      </w:r>
      <w:r>
        <w:rPr/>
        <w:t>园区勤丰路</w:t>
      </w:r>
      <w:r>
        <w:rPr>
          <w:rFonts w:ascii="Times New Roman" w:hAnsi="Times New Roman" w:cs="Times New Roman" w:eastAsia="Times New Roman" w:hint="default"/>
        </w:rPr>
        <w:t>1015</w:t>
      </w:r>
      <w:r>
        <w:rPr/>
        <w:t>号。本公司总部位于江苏省张家港市经济开发区金塘路。</w:t>
      </w:r>
    </w:p>
    <w:p>
      <w:pPr>
        <w:pStyle w:val="BodyText"/>
        <w:spacing w:line="307" w:lineRule="auto" w:before="13"/>
        <w:ind w:right="1032" w:firstLine="420"/>
        <w:jc w:val="left"/>
      </w:pPr>
      <w:r>
        <w:rPr/>
        <w:t>本公司经中国证券监督管理委员会《关于核准江苏爱康太阳能科技股份有限公司首次公开发行股票的批复》（证监许 可</w:t>
      </w:r>
      <w:r>
        <w:rPr>
          <w:rFonts w:ascii="Times New Roman" w:hAnsi="Times New Roman" w:cs="Times New Roman" w:eastAsia="Times New Roman" w:hint="default"/>
        </w:rPr>
        <w:t>[2011]1169</w:t>
      </w:r>
      <w:r>
        <w:rPr/>
        <w:t>号）核准，并经深圳证券交易所同意，公开发行</w:t>
      </w:r>
      <w:r>
        <w:rPr>
          <w:rFonts w:ascii="Times New Roman" w:hAnsi="Times New Roman" w:cs="Times New Roman" w:eastAsia="Times New Roman" w:hint="default"/>
        </w:rPr>
        <w:t>5,000</w:t>
      </w:r>
      <w:r>
        <w:rPr/>
        <w:t>万股人民币普通股（</w:t>
      </w:r>
      <w:r>
        <w:rPr>
          <w:rFonts w:ascii="Times New Roman" w:hAnsi="Times New Roman" w:cs="Times New Roman" w:eastAsia="Times New Roman" w:hint="default"/>
        </w:rPr>
        <w:t>A</w:t>
      </w:r>
      <w:r>
        <w:rPr/>
        <w:t>股），发行价格为</w:t>
      </w:r>
      <w:r>
        <w:rPr>
          <w:rFonts w:ascii="Times New Roman" w:hAnsi="Times New Roman" w:cs="Times New Roman" w:eastAsia="Times New Roman" w:hint="default"/>
        </w:rPr>
        <w:t>16.00</w:t>
      </w:r>
      <w:r>
        <w:rPr/>
        <w:t>元</w:t>
      </w:r>
      <w:r>
        <w:rPr>
          <w:rFonts w:ascii="Times New Roman" w:hAnsi="Times New Roman" w:cs="Times New Roman" w:eastAsia="Times New Roman" w:hint="default"/>
        </w:rPr>
        <w:t>/</w:t>
      </w:r>
      <w:r>
        <w:rPr/>
        <w:t>股，扣</w:t>
      </w:r>
      <w:r>
        <w:rPr>
          <w:spacing w:val="-32"/>
        </w:rPr>
        <w:t> </w:t>
      </w:r>
      <w:r>
        <w:rPr>
          <w:spacing w:val="-32"/>
        </w:rPr>
      </w:r>
      <w:r>
        <w:rPr/>
        <w:t>除承销及保荐费用、发行登记费以及其他交易费用共计人民币</w:t>
      </w:r>
      <w:r>
        <w:rPr>
          <w:rFonts w:ascii="Times New Roman" w:hAnsi="Times New Roman" w:cs="Times New Roman" w:eastAsia="Times New Roman" w:hint="default"/>
        </w:rPr>
        <w:t>41,349,325.34</w:t>
      </w:r>
      <w:r>
        <w:rPr/>
        <w:t>元后，净募集资金共计人民币</w:t>
      </w:r>
      <w:r>
        <w:rPr>
          <w:rFonts w:ascii="Times New Roman" w:hAnsi="Times New Roman" w:cs="Times New Roman" w:eastAsia="Times New Roman" w:hint="default"/>
        </w:rPr>
        <w:t>758,650,674.66</w:t>
      </w:r>
      <w:r>
        <w:rPr/>
        <w:t>元， 上述资金于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日到位，业经安永华明会计师事务所验证并出具安永华明</w:t>
      </w:r>
      <w:r>
        <w:rPr>
          <w:rFonts w:ascii="Times New Roman" w:hAnsi="Times New Roman" w:cs="Times New Roman" w:eastAsia="Times New Roman" w:hint="default"/>
        </w:rPr>
        <w:t>(2011)</w:t>
      </w:r>
      <w:r>
        <w:rPr/>
        <w:t>验字第</w:t>
      </w:r>
      <w:r>
        <w:rPr>
          <w:rFonts w:ascii="Times New Roman" w:hAnsi="Times New Roman" w:cs="Times New Roman" w:eastAsia="Times New Roman" w:hint="default"/>
        </w:rPr>
        <w:t>60763124_B01</w:t>
      </w:r>
      <w:r>
        <w:rPr/>
        <w:t>号验资报告。</w:t>
      </w:r>
    </w:p>
    <w:p>
      <w:pPr>
        <w:pStyle w:val="BodyText"/>
        <w:spacing w:line="240" w:lineRule="auto" w:before="7"/>
        <w:ind w:left="574" w:right="1122"/>
        <w:jc w:val="left"/>
      </w:pPr>
      <w:r>
        <w:rPr/>
        <w:t>根据本公司</w:t>
      </w:r>
      <w:r>
        <w:rPr>
          <w:rFonts w:ascii="Times New Roman" w:hAnsi="Times New Roman" w:cs="Times New Roman" w:eastAsia="Times New Roman" w:hint="default"/>
        </w:rPr>
        <w:t>2011</w:t>
      </w:r>
      <w:r>
        <w:rPr/>
        <w:t>年年度股东大会决议和章程修正案规定，本公司以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200,000,000</w:t>
      </w:r>
      <w:r>
        <w:rPr/>
        <w:t>股为基数，以每</w:t>
      </w:r>
    </w:p>
    <w:p>
      <w:pPr>
        <w:pStyle w:val="BodyText"/>
        <w:spacing w:line="240" w:lineRule="auto" w:before="63"/>
        <w:ind w:right="1122"/>
        <w:jc w:val="left"/>
      </w:pP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5</w:t>
      </w:r>
      <w:r>
        <w:rPr>
          <w:spacing w:val="5"/>
        </w:rPr>
        <w:t>股的比例用资本公积向全体股东转增股份</w:t>
      </w:r>
      <w:r>
        <w:rPr>
          <w:rFonts w:ascii="Times New Roman" w:hAnsi="Times New Roman" w:cs="Times New Roman" w:eastAsia="Times New Roman" w:hint="default"/>
          <w:spacing w:val="5"/>
        </w:rPr>
        <w:t>100,000,000</w:t>
      </w:r>
      <w:r>
        <w:rPr>
          <w:spacing w:val="5"/>
        </w:rPr>
        <w:t>股，并于</w:t>
      </w:r>
      <w:r>
        <w:rPr>
          <w:rFonts w:ascii="Times New Roman" w:hAnsi="Times New Roman" w:cs="Times New Roman" w:eastAsia="Times New Roman" w:hint="default"/>
          <w:spacing w:val="5"/>
        </w:rPr>
        <w:t>2012</w:t>
      </w:r>
      <w:r>
        <w:rPr>
          <w:spacing w:val="5"/>
        </w:rPr>
        <w:t>年度实施。转增后，注册资本增至人民币</w:t>
      </w:r>
    </w:p>
    <w:p>
      <w:pPr>
        <w:pStyle w:val="BodyText"/>
        <w:spacing w:line="240" w:lineRule="auto" w:before="63"/>
        <w:ind w:right="1122"/>
        <w:jc w:val="left"/>
      </w:pPr>
      <w:r>
        <w:rPr>
          <w:rFonts w:ascii="Times New Roman" w:hAnsi="Times New Roman" w:cs="Times New Roman" w:eastAsia="Times New Roman" w:hint="default"/>
        </w:rPr>
        <w:t>300,000,000.00</w:t>
      </w:r>
      <w:r>
        <w:rPr/>
        <w:t>元。</w:t>
      </w:r>
    </w:p>
    <w:p>
      <w:pPr>
        <w:pStyle w:val="BodyText"/>
        <w:spacing w:line="300" w:lineRule="auto" w:before="63"/>
        <w:ind w:right="1130"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日，经中国证券监督管理委员会《关于核准江苏爱康科技股份有限公司非公开发行股票的批复》（证监许 </w:t>
      </w:r>
      <w:r>
        <w:rPr>
          <w:spacing w:val="-2"/>
        </w:rPr>
        <w:t>可</w:t>
      </w:r>
      <w:r>
        <w:rPr>
          <w:rFonts w:ascii="Times New Roman" w:hAnsi="Times New Roman" w:cs="Times New Roman" w:eastAsia="Times New Roman" w:hint="default"/>
          <w:spacing w:val="-2"/>
        </w:rPr>
        <w:t>[2014]807</w:t>
      </w:r>
      <w:r>
        <w:rPr>
          <w:spacing w:val="-2"/>
        </w:rPr>
        <w:t>号）核准，公司向特定对象非公开发行人民币普通股（</w:t>
      </w:r>
      <w:r>
        <w:rPr>
          <w:rFonts w:ascii="Times New Roman" w:hAnsi="Times New Roman" w:cs="Times New Roman" w:eastAsia="Times New Roman" w:hint="default"/>
          <w:spacing w:val="-2"/>
        </w:rPr>
        <w:t>A</w:t>
      </w:r>
      <w:r>
        <w:rPr>
          <w:spacing w:val="-2"/>
        </w:rPr>
        <w:t>股）股票不超过</w:t>
      </w:r>
      <w:r>
        <w:rPr>
          <w:rFonts w:ascii="Times New Roman" w:hAnsi="Times New Roman" w:cs="Times New Roman" w:eastAsia="Times New Roman" w:hint="default"/>
          <w:spacing w:val="-2"/>
        </w:rPr>
        <w:t>12500</w:t>
      </w:r>
      <w:r>
        <w:rPr>
          <w:spacing w:val="-2"/>
        </w:rPr>
        <w:t>万股。公司于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月采用询价</w:t>
      </w:r>
      <w:r>
        <w:rPr>
          <w:spacing w:val="-31"/>
        </w:rPr>
        <w:t> </w:t>
      </w:r>
      <w:r>
        <w:rPr/>
        <w:t>发行方式非公开发行人民币普通股（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6,250</w:t>
      </w:r>
      <w:r>
        <w:rPr/>
        <w:t>万股，发行价格为</w:t>
      </w:r>
      <w:r>
        <w:rPr>
          <w:rFonts w:ascii="Times New Roman" w:hAnsi="Times New Roman" w:cs="Times New Roman" w:eastAsia="Times New Roman" w:hint="default"/>
        </w:rPr>
        <w:t>16.00</w:t>
      </w:r>
      <w:r>
        <w:rPr/>
        <w:t>元</w:t>
      </w:r>
      <w:r>
        <w:rPr>
          <w:rFonts w:ascii="Times New Roman" w:hAnsi="Times New Roman" w:cs="Times New Roman" w:eastAsia="Times New Roman" w:hint="default"/>
        </w:rPr>
        <w:t>/</w:t>
      </w:r>
      <w:r>
        <w:rPr/>
        <w:t>股，扣除承销及保荐费用、发行登记费以及其他</w:t>
      </w:r>
      <w:r>
        <w:rPr>
          <w:spacing w:val="-86"/>
        </w:rPr>
        <w:t> </w:t>
      </w:r>
      <w:r>
        <w:rPr>
          <w:spacing w:val="-86"/>
        </w:rPr>
      </w:r>
      <w:r>
        <w:rPr/>
        <w:t>交易费用共计人民币</w:t>
      </w:r>
      <w:r>
        <w:rPr>
          <w:rFonts w:ascii="Times New Roman" w:hAnsi="Times New Roman" w:cs="Times New Roman" w:eastAsia="Times New Roman" w:hint="default"/>
        </w:rPr>
        <w:t>30,098,974.15</w:t>
      </w:r>
      <w:r>
        <w:rPr/>
        <w:t>元后，净募集资金共计人民币</w:t>
      </w:r>
      <w:r>
        <w:rPr>
          <w:rFonts w:ascii="Times New Roman" w:hAnsi="Times New Roman" w:cs="Times New Roman" w:eastAsia="Times New Roman" w:hint="default"/>
        </w:rPr>
        <w:t>969,901,025.85</w:t>
      </w:r>
      <w:r>
        <w:rPr/>
        <w:t>元，上述资金于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日到位，业经瑞 华会计师事务所（特殊普通合伙）验证并出具瑞华验字</w:t>
      </w:r>
      <w:r>
        <w:rPr>
          <w:rFonts w:ascii="Times New Roman" w:hAnsi="Times New Roman" w:cs="Times New Roman" w:eastAsia="Times New Roman" w:hint="default"/>
        </w:rPr>
        <w:t>[2014]33010007</w:t>
      </w:r>
      <w:r>
        <w:rPr/>
        <w:t>号验资报告。</w:t>
      </w:r>
    </w:p>
    <w:p>
      <w:pPr>
        <w:pStyle w:val="BodyText"/>
        <w:spacing w:line="300" w:lineRule="auto" w:before="13"/>
        <w:ind w:right="1130" w:firstLine="360"/>
        <w:jc w:val="both"/>
      </w:pPr>
      <w:r>
        <w:rPr>
          <w:spacing w:val="-2"/>
        </w:rPr>
        <w:t>根据本公司</w:t>
      </w:r>
      <w:r>
        <w:rPr>
          <w:rFonts w:ascii="Times New Roman" w:hAnsi="Times New Roman" w:cs="Times New Roman" w:eastAsia="Times New Roman" w:hint="default"/>
          <w:spacing w:val="-2"/>
        </w:rPr>
        <w:t>2014</w:t>
      </w:r>
      <w:r>
        <w:rPr>
          <w:spacing w:val="-2"/>
        </w:rPr>
        <w:t>年年度股东大会决议和章程修正案规定，本公司以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362,500,000</w:t>
      </w:r>
      <w:r>
        <w:rPr>
          <w:spacing w:val="-2"/>
        </w:rPr>
        <w:t>股为基数，以每</w:t>
      </w:r>
      <w:r>
        <w:rPr>
          <w:rFonts w:ascii="Times New Roman" w:hAnsi="Times New Roman" w:cs="Times New Roman" w:eastAsia="Times New Roman" w:hint="default"/>
          <w:spacing w:val="-2"/>
        </w:rPr>
        <w:t>10</w:t>
      </w:r>
      <w:r>
        <w:rPr>
          <w:rFonts w:ascii="Times New Roman" w:hAnsi="Times New Roman" w:cs="Times New Roman" w:eastAsia="Times New Roman" w:hint="default"/>
        </w:rPr>
        <w:t> </w:t>
      </w:r>
      <w:r>
        <w:rPr>
          <w:spacing w:val="7"/>
        </w:rPr>
        <w:t>股转增</w:t>
      </w:r>
      <w:r>
        <w:rPr>
          <w:rFonts w:ascii="Times New Roman" w:hAnsi="Times New Roman" w:cs="Times New Roman" w:eastAsia="Times New Roman" w:hint="default"/>
          <w:spacing w:val="7"/>
        </w:rPr>
        <w:t>10</w:t>
      </w:r>
      <w:r>
        <w:rPr>
          <w:spacing w:val="7"/>
        </w:rPr>
        <w:t>股的比例用资本公积向全体股东转增股份</w:t>
      </w:r>
      <w:r>
        <w:rPr>
          <w:rFonts w:ascii="Times New Roman" w:hAnsi="Times New Roman" w:cs="Times New Roman" w:eastAsia="Times New Roman" w:hint="default"/>
          <w:spacing w:val="7"/>
        </w:rPr>
        <w:t>362,500,000</w:t>
      </w:r>
      <w:r>
        <w:rPr>
          <w:spacing w:val="7"/>
        </w:rPr>
        <w:t>股，并于</w:t>
      </w:r>
      <w:r>
        <w:rPr>
          <w:rFonts w:ascii="Times New Roman" w:hAnsi="Times New Roman" w:cs="Times New Roman" w:eastAsia="Times New Roman" w:hint="default"/>
          <w:spacing w:val="7"/>
        </w:rPr>
        <w:t>2015</w:t>
      </w:r>
      <w:r>
        <w:rPr>
          <w:spacing w:val="7"/>
        </w:rPr>
        <w:t>年度实施。转增后，注册资本增至人民币</w:t>
      </w:r>
      <w:r>
        <w:rPr>
          <w:spacing w:val="-80"/>
        </w:rPr>
        <w:t> </w:t>
      </w:r>
      <w:r>
        <w:rPr>
          <w:spacing w:val="-80"/>
        </w:rPr>
      </w:r>
      <w:r>
        <w:rPr>
          <w:rFonts w:ascii="Times New Roman" w:hAnsi="Times New Roman" w:cs="Times New Roman" w:eastAsia="Times New Roman" w:hint="default"/>
        </w:rPr>
        <w:t>725,000,000.00</w:t>
      </w:r>
      <w:r>
        <w:rPr/>
        <w:t>元。</w:t>
      </w:r>
    </w:p>
    <w:p>
      <w:pPr>
        <w:pStyle w:val="BodyText"/>
        <w:spacing w:line="300" w:lineRule="auto" w:before="13"/>
        <w:ind w:right="1032" w:firstLine="360"/>
        <w:jc w:val="left"/>
      </w:pPr>
      <w:r>
        <w:rPr>
          <w:spacing w:val="-2"/>
        </w:rPr>
        <w:t>根据本公司</w:t>
      </w:r>
      <w:r>
        <w:rPr>
          <w:rFonts w:ascii="Times New Roman" w:hAnsi="Times New Roman" w:cs="Times New Roman" w:eastAsia="Times New Roman" w:hint="default"/>
          <w:spacing w:val="-2"/>
        </w:rPr>
        <w:t>2015</w:t>
      </w:r>
      <w:r>
        <w:rPr>
          <w:spacing w:val="-2"/>
        </w:rPr>
        <w:t>年第八次临时股东大会决议，并经中国证券监督管理委员会《关于核准江苏爱康科技股份有限公司非公</w:t>
      </w:r>
      <w:r>
        <w:rPr/>
        <w:t> </w:t>
      </w:r>
      <w:r>
        <w:rPr>
          <w:spacing w:val="3"/>
        </w:rPr>
        <w:t>开发行股票的批复》（证监许可</w:t>
      </w:r>
      <w:r>
        <w:rPr>
          <w:rFonts w:ascii="Times New Roman" w:hAnsi="Times New Roman" w:cs="Times New Roman" w:eastAsia="Times New Roman" w:hint="default"/>
          <w:spacing w:val="3"/>
        </w:rPr>
        <w:t>[2015]3125</w:t>
      </w:r>
      <w:r>
        <w:rPr>
          <w:spacing w:val="3"/>
        </w:rPr>
        <w:t>号文）核准，本公司向特定对象非公开发行人民币普通股（</w:t>
      </w:r>
      <w:r>
        <w:rPr>
          <w:rFonts w:ascii="Times New Roman" w:hAnsi="Times New Roman" w:cs="Times New Roman" w:eastAsia="Times New Roman" w:hint="default"/>
          <w:spacing w:val="3"/>
        </w:rPr>
        <w:t>A</w:t>
      </w:r>
      <w:r>
        <w:rPr>
          <w:spacing w:val="3"/>
        </w:rPr>
        <w:t>股）股票不超过</w:t>
      </w:r>
      <w:r>
        <w:rPr>
          <w:spacing w:val="-82"/>
        </w:rPr>
        <w:t> </w:t>
      </w:r>
      <w:r>
        <w:rPr>
          <w:spacing w:val="-82"/>
        </w:rPr>
      </w:r>
      <w:r>
        <w:rPr>
          <w:rFonts w:ascii="Times New Roman" w:hAnsi="Times New Roman" w:cs="Times New Roman" w:eastAsia="Times New Roman" w:hint="default"/>
          <w:spacing w:val="-1"/>
        </w:rPr>
        <w:t>410,944,200</w:t>
      </w:r>
      <w:r>
        <w:rPr>
          <w:spacing w:val="-1"/>
        </w:rPr>
        <w:t>股。公司于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月采用询价发行方式非公开发行人民币普通股（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397,715,400</w:t>
      </w:r>
      <w:r>
        <w:rPr>
          <w:spacing w:val="-1"/>
        </w:rPr>
        <w:t>股，发行价格为</w:t>
      </w:r>
      <w:r>
        <w:rPr>
          <w:rFonts w:ascii="Times New Roman" w:hAnsi="Times New Roman" w:cs="Times New Roman" w:eastAsia="Times New Roman" w:hint="default"/>
          <w:spacing w:val="-1"/>
        </w:rPr>
        <w:t>9.63</w:t>
      </w:r>
      <w:r>
        <w:rPr>
          <w:spacing w:val="-1"/>
        </w:rPr>
        <w:t>元</w:t>
      </w:r>
      <w:r>
        <w:rPr>
          <w:rFonts w:ascii="Times New Roman" w:hAnsi="Times New Roman" w:cs="Times New Roman" w:eastAsia="Times New Roman" w:hint="default"/>
          <w:spacing w:val="-1"/>
        </w:rPr>
        <w:t>/</w:t>
      </w:r>
      <w:r>
        <w:rPr>
          <w:spacing w:val="-1"/>
        </w:rPr>
        <w:t>股，</w:t>
      </w:r>
      <w:r>
        <w:rPr>
          <w:spacing w:val="-62"/>
        </w:rPr>
        <w:t> </w:t>
      </w:r>
      <w:r>
        <w:rPr/>
        <w:t>扣除承销及保荐费用、发行登记费以及其他交易费用共计人民币</w:t>
      </w:r>
      <w:r>
        <w:rPr>
          <w:rFonts w:ascii="Times New Roman" w:hAnsi="Times New Roman" w:cs="Times New Roman" w:eastAsia="Times New Roman" w:hint="default"/>
        </w:rPr>
        <w:t>53,207,706.40</w:t>
      </w:r>
      <w:r>
        <w:rPr/>
        <w:t>元后，净募集资金共计人民币</w:t>
      </w:r>
      <w:r>
        <w:rPr>
          <w:rFonts w:ascii="Times New Roman" w:hAnsi="Times New Roman" w:cs="Times New Roman" w:eastAsia="Times New Roman" w:hint="default"/>
        </w:rPr>
        <w:t>3,776,791,595.60 </w:t>
      </w:r>
      <w:r>
        <w:rPr/>
        <w:t>元，上述资金于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日到位，业经瑞华会计师事务所（特殊普通合伙）验证并出具瑞华验字 </w:t>
      </w:r>
      <w:r>
        <w:rPr>
          <w:rFonts w:ascii="Times New Roman" w:hAnsi="Times New Roman" w:cs="Times New Roman" w:eastAsia="Times New Roman" w:hint="default"/>
        </w:rPr>
        <w:t>[2016]33090007</w:t>
      </w:r>
      <w:r>
        <w:rPr/>
        <w:t>号验资</w:t>
      </w:r>
      <w:r>
        <w:rPr>
          <w:spacing w:val="-29"/>
        </w:rPr>
        <w:t> </w:t>
      </w:r>
      <w:r>
        <w:rPr/>
        <w:t>报告。</w:t>
      </w:r>
    </w:p>
    <w:p>
      <w:pPr>
        <w:pStyle w:val="BodyText"/>
        <w:spacing w:line="300" w:lineRule="auto" w:before="31"/>
        <w:ind w:right="0" w:firstLine="360"/>
        <w:jc w:val="left"/>
      </w:pPr>
      <w:r>
        <w:rPr>
          <w:spacing w:val="-1"/>
        </w:rPr>
        <w:t>根据本公司</w:t>
      </w:r>
      <w:r>
        <w:rPr>
          <w:rFonts w:ascii="Times New Roman" w:hAnsi="Times New Roman" w:cs="Times New Roman" w:eastAsia="Times New Roman" w:hint="default"/>
          <w:spacing w:val="-1"/>
        </w:rPr>
        <w:t>2016</w:t>
      </w:r>
      <w:r>
        <w:rPr>
          <w:spacing w:val="-1"/>
        </w:rPr>
        <w:t>年第五次临时股东大会决议和章程修正案规定，本公司以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日总股本</w:t>
      </w:r>
      <w:r>
        <w:rPr>
          <w:rFonts w:ascii="Times New Roman" w:hAnsi="Times New Roman" w:cs="Times New Roman" w:eastAsia="Times New Roman" w:hint="default"/>
          <w:spacing w:val="-1"/>
        </w:rPr>
        <w:t>1,122,715,400</w:t>
      </w:r>
      <w:r>
        <w:rPr>
          <w:spacing w:val="-1"/>
        </w:rPr>
        <w:t>股为基数，</w:t>
      </w:r>
      <w:r>
        <w:rPr/>
        <w:t> 以每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30</w:t>
      </w:r>
      <w:r>
        <w:rPr/>
        <w:t>股的比例用资本公积向全体股东转增股份</w:t>
      </w:r>
      <w:r>
        <w:rPr>
          <w:rFonts w:ascii="Times New Roman" w:hAnsi="Times New Roman" w:cs="Times New Roman" w:eastAsia="Times New Roman" w:hint="default"/>
        </w:rPr>
        <w:t>3,368,146,200</w:t>
      </w:r>
      <w:r>
        <w:rPr/>
        <w:t>股，并于</w:t>
      </w:r>
      <w:r>
        <w:rPr>
          <w:rFonts w:ascii="Times New Roman" w:hAnsi="Times New Roman" w:cs="Times New Roman" w:eastAsia="Times New Roman" w:hint="default"/>
        </w:rPr>
        <w:t>2016</w:t>
      </w:r>
      <w:r>
        <w:rPr/>
        <w:t>年度实施。转增后，注册资本增至人民 币</w:t>
      </w:r>
      <w:r>
        <w:rPr>
          <w:rFonts w:ascii="Times New Roman" w:hAnsi="Times New Roman" w:cs="Times New Roman" w:eastAsia="Times New Roman" w:hint="default"/>
        </w:rPr>
        <w:t>4,490,861,600.00</w:t>
      </w:r>
      <w:r>
        <w:rPr/>
        <w:t>元。</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99" w:firstLine="360"/>
        <w:jc w:val="both"/>
      </w:pPr>
      <w:r>
        <w:rPr>
          <w:spacing w:val="-2"/>
        </w:rPr>
        <w:t>根据本公司第三届董事会第二十九次临时会议及</w:t>
      </w:r>
      <w:r>
        <w:rPr>
          <w:rFonts w:ascii="Times New Roman" w:hAnsi="Times New Roman" w:cs="Times New Roman" w:eastAsia="Times New Roman" w:hint="default"/>
          <w:spacing w:val="-2"/>
        </w:rPr>
        <w:t>2018</w:t>
      </w:r>
      <w:r>
        <w:rPr>
          <w:spacing w:val="-2"/>
        </w:rPr>
        <w:t>年第四次临时股东大会决议，本公司激励计划采取的激励形式为限</w:t>
      </w:r>
      <w:r>
        <w:rPr/>
        <w:t> 制性股票，股票来源为二级市场上回购的本公司</w:t>
      </w:r>
      <w:r>
        <w:rPr>
          <w:rFonts w:ascii="Times New Roman" w:hAnsi="Times New Roman" w:cs="Times New Roman" w:eastAsia="Times New Roman" w:hint="default"/>
        </w:rPr>
        <w:t>A</w:t>
      </w:r>
      <w:r>
        <w:rPr/>
        <w:t>股普通股股票，拟授予</w:t>
      </w:r>
      <w:r>
        <w:rPr>
          <w:rFonts w:ascii="Times New Roman" w:hAnsi="Times New Roman" w:cs="Times New Roman" w:eastAsia="Times New Roman" w:hint="default"/>
        </w:rPr>
        <w:t>185</w:t>
      </w:r>
      <w:r>
        <w:rPr/>
        <w:t>名激励对象的限制性股票数量为</w:t>
      </w:r>
      <w:r>
        <w:rPr>
          <w:rFonts w:ascii="Times New Roman" w:hAnsi="Times New Roman" w:cs="Times New Roman" w:eastAsia="Times New Roman" w:hint="default"/>
        </w:rPr>
        <w:t>16,900,000</w:t>
      </w:r>
      <w:r>
        <w:rPr/>
        <w:t>股， </w:t>
      </w:r>
      <w:r>
        <w:rPr>
          <w:spacing w:val="-2"/>
        </w:rPr>
        <w:t>授予价格为</w:t>
      </w:r>
      <w:r>
        <w:rPr>
          <w:rFonts w:ascii="Times New Roman" w:hAnsi="Times New Roman" w:cs="Times New Roman" w:eastAsia="Times New Roman" w:hint="default"/>
          <w:spacing w:val="-2"/>
        </w:rPr>
        <w:t>1.31</w:t>
      </w:r>
      <w:r>
        <w:rPr>
          <w:spacing w:val="-2"/>
        </w:rPr>
        <w:t>元</w:t>
      </w:r>
      <w:r>
        <w:rPr>
          <w:rFonts w:ascii="Times New Roman" w:hAnsi="Times New Roman" w:cs="Times New Roman" w:eastAsia="Times New Roman" w:hint="default"/>
          <w:spacing w:val="-2"/>
        </w:rPr>
        <w:t>/</w:t>
      </w:r>
      <w:r>
        <w:rPr>
          <w:spacing w:val="-2"/>
        </w:rPr>
        <w:t>股。根据本公司第三届董事会第三十次临时会议及</w:t>
      </w:r>
      <w:r>
        <w:rPr>
          <w:rFonts w:ascii="Times New Roman" w:hAnsi="Times New Roman" w:cs="Times New Roman" w:eastAsia="Times New Roman" w:hint="default"/>
          <w:spacing w:val="-2"/>
        </w:rPr>
        <w:t>2018</w:t>
      </w:r>
      <w:r>
        <w:rPr>
          <w:spacing w:val="-2"/>
        </w:rPr>
        <w:t>年第五次临时股东大会决议和章程修正案规定，由</w:t>
      </w:r>
      <w:r>
        <w:rPr>
          <w:spacing w:val="-63"/>
        </w:rPr>
        <w:t> </w:t>
      </w:r>
      <w:r>
        <w:rPr>
          <w:spacing w:val="-63"/>
        </w:rPr>
      </w:r>
      <w:r>
        <w:rPr>
          <w:spacing w:val="-2"/>
        </w:rPr>
        <w:t>于激励对象离职、自愿放弃全部或部分限制性股票等原因，本次的限制性股票的授予对象由</w:t>
      </w:r>
      <w:r>
        <w:rPr>
          <w:rFonts w:ascii="Times New Roman" w:hAnsi="Times New Roman" w:cs="Times New Roman" w:eastAsia="Times New Roman" w:hint="default"/>
          <w:spacing w:val="-2"/>
        </w:rPr>
        <w:t>185</w:t>
      </w:r>
      <w:r>
        <w:rPr>
          <w:spacing w:val="-2"/>
        </w:rPr>
        <w:t>人调整为</w:t>
      </w:r>
      <w:r>
        <w:rPr>
          <w:rFonts w:ascii="Times New Roman" w:hAnsi="Times New Roman" w:cs="Times New Roman" w:eastAsia="Times New Roman" w:hint="default"/>
          <w:spacing w:val="-2"/>
        </w:rPr>
        <w:t>170</w:t>
      </w:r>
      <w:r>
        <w:rPr>
          <w:spacing w:val="-2"/>
        </w:rPr>
        <w:t>人，本次授予限</w:t>
      </w:r>
      <w:r>
        <w:rPr>
          <w:spacing w:val="-59"/>
        </w:rPr>
        <w:t> </w:t>
      </w:r>
      <w:r>
        <w:rPr>
          <w:spacing w:val="-59"/>
        </w:rPr>
      </w:r>
      <w:r>
        <w:rPr>
          <w:spacing w:val="-1"/>
        </w:rPr>
        <w:t>制性股票的总额由</w:t>
      </w:r>
      <w:r>
        <w:rPr>
          <w:rFonts w:ascii="Times New Roman" w:hAnsi="Times New Roman" w:cs="Times New Roman" w:eastAsia="Times New Roman" w:hint="default"/>
          <w:spacing w:val="-1"/>
        </w:rPr>
        <w:t>16,900,000</w:t>
      </w:r>
      <w:r>
        <w:rPr>
          <w:spacing w:val="-1"/>
        </w:rPr>
        <w:t>股调整为</w:t>
      </w:r>
      <w:r>
        <w:rPr>
          <w:rFonts w:ascii="Times New Roman" w:hAnsi="Times New Roman" w:cs="Times New Roman" w:eastAsia="Times New Roman" w:hint="default"/>
          <w:spacing w:val="-1"/>
        </w:rPr>
        <w:t>16,424,581</w:t>
      </w:r>
      <w:r>
        <w:rPr>
          <w:spacing w:val="-1"/>
        </w:rPr>
        <w:t>股，授予价格为每股人民币</w:t>
      </w:r>
      <w:r>
        <w:rPr>
          <w:rFonts w:ascii="Times New Roman" w:hAnsi="Times New Roman" w:cs="Times New Roman" w:eastAsia="Times New Roman" w:hint="default"/>
          <w:spacing w:val="-1"/>
        </w:rPr>
        <w:t>1.31</w:t>
      </w:r>
      <w:r>
        <w:rPr>
          <w:spacing w:val="-1"/>
        </w:rPr>
        <w:t>元，部分激励对象因个人原因自愿放弃认购</w:t>
      </w:r>
      <w:r>
        <w:rPr>
          <w:spacing w:val="-66"/>
        </w:rPr>
        <w:t> </w:t>
      </w:r>
      <w:r>
        <w:rPr>
          <w:spacing w:val="-66"/>
        </w:rPr>
      </w:r>
      <w:r>
        <w:rPr/>
        <w:t>公司拟授予的全部或部分限制性股票合计</w:t>
      </w:r>
      <w:r>
        <w:rPr>
          <w:rFonts w:ascii="Times New Roman" w:hAnsi="Times New Roman" w:cs="Times New Roman" w:eastAsia="Times New Roman" w:hint="default"/>
        </w:rPr>
        <w:t>475,419</w:t>
      </w:r>
      <w:r>
        <w:rPr>
          <w:rFonts w:ascii="Times New Roman" w:hAnsi="Times New Roman" w:cs="Times New Roman" w:eastAsia="Times New Roman" w:hint="default"/>
          <w:spacing w:val="13"/>
        </w:rPr>
        <w:t> </w:t>
      </w:r>
      <w:r>
        <w:rPr/>
        <w:t>股公司股票进行注销。股票激励方案实施和减资完成后，本公司注册资本 及股本减至人民币</w:t>
      </w:r>
      <w:r>
        <w:rPr>
          <w:rFonts w:ascii="Times New Roman" w:hAnsi="Times New Roman" w:cs="Times New Roman" w:eastAsia="Times New Roman" w:hint="default"/>
        </w:rPr>
        <w:t>4,490,386,181.00</w:t>
      </w:r>
      <w:r>
        <w:rPr/>
        <w:t>元。</w:t>
      </w:r>
    </w:p>
    <w:p>
      <w:pPr>
        <w:pStyle w:val="BodyText"/>
        <w:spacing w:line="300" w:lineRule="auto" w:before="13"/>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日，本公司召开第三届董事会第三十八次会议，审议通过《关于回购注销部分限制性股票的议案》，同意 </w:t>
      </w:r>
      <w:r>
        <w:rPr>
          <w:spacing w:val="-2"/>
        </w:rPr>
        <w:t>回购注销</w:t>
      </w:r>
      <w:r>
        <w:rPr>
          <w:rFonts w:ascii="Times New Roman" w:hAnsi="Times New Roman" w:cs="Times New Roman" w:eastAsia="Times New Roman" w:hint="default"/>
          <w:spacing w:val="-2"/>
        </w:rPr>
        <w:t>2018</w:t>
      </w:r>
      <w:r>
        <w:rPr>
          <w:spacing w:val="-2"/>
        </w:rPr>
        <w:t>年限制性股票激励计划的原激励对象吴小翠、吴伟、钱凯、张红、刘云清、陈徐冬、李慧已获授但尚未解锁的</w:t>
      </w:r>
      <w:r>
        <w:rPr>
          <w:spacing w:val="-66"/>
        </w:rPr>
        <w:t> </w:t>
      </w:r>
      <w:r>
        <w:rPr>
          <w:spacing w:val="-66"/>
        </w:rPr>
      </w:r>
      <w:r>
        <w:rPr/>
        <w:t>限制性股票共计</w:t>
      </w:r>
      <w:r>
        <w:rPr>
          <w:rFonts w:ascii="Times New Roman" w:hAnsi="Times New Roman" w:cs="Times New Roman" w:eastAsia="Times New Roman" w:hint="default"/>
        </w:rPr>
        <w:t>417,169</w:t>
      </w:r>
      <w:r>
        <w:rPr/>
        <w:t>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日本公司召开公司</w:t>
      </w:r>
      <w:r>
        <w:rPr>
          <w:rFonts w:ascii="Times New Roman" w:hAnsi="Times New Roman" w:cs="Times New Roman" w:eastAsia="Times New Roman" w:hint="default"/>
        </w:rPr>
        <w:t>2018</w:t>
      </w:r>
      <w:r>
        <w:rPr/>
        <w:t>年第九次临时股东大会审议通过了《关于回购注销部分限制</w:t>
      </w:r>
      <w:r>
        <w:rPr>
          <w:spacing w:val="-48"/>
        </w:rPr>
        <w:t> </w:t>
      </w:r>
      <w:r>
        <w:rPr>
          <w:spacing w:val="-48"/>
        </w:rPr>
      </w:r>
      <w:r>
        <w:rPr/>
        <w:t>性股票的提案》。减资完成后，本公司注册资本及股本减至人民币</w:t>
      </w:r>
      <w:r>
        <w:rPr>
          <w:rFonts w:ascii="Times New Roman" w:hAnsi="Times New Roman" w:cs="Times New Roman" w:eastAsia="Times New Roman" w:hint="default"/>
        </w:rPr>
        <w:t>4,489,969,012.00</w:t>
      </w:r>
      <w:r>
        <w:rPr/>
        <w:t>元。</w:t>
      </w:r>
    </w:p>
    <w:p>
      <w:pPr>
        <w:pStyle w:val="BodyText"/>
        <w:spacing w:line="300" w:lineRule="auto" w:before="13"/>
        <w:ind w:left="514"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rFonts w:ascii="Times New Roman" w:hAnsi="Times New Roman" w:cs="Times New Roman" w:eastAsia="Times New Roman" w:hint="default"/>
        </w:rPr>
        <w:t>4,489,969,012</w:t>
      </w:r>
      <w:r>
        <w:rPr/>
        <w:t>股。 </w:t>
      </w:r>
      <w:r>
        <w:rPr>
          <w:spacing w:val="-4"/>
        </w:rPr>
        <w:t>本公司经营范围为：研究、开发、生产、加工太阳能器材专用高档五金件、太阳能发电安装系统、太阳能发电板封装膜；</w:t>
      </w:r>
    </w:p>
    <w:p>
      <w:pPr>
        <w:pStyle w:val="BodyText"/>
        <w:spacing w:line="316" w:lineRule="auto" w:before="31"/>
        <w:ind w:right="0"/>
        <w:jc w:val="left"/>
      </w:pPr>
      <w:r>
        <w:rPr>
          <w:spacing w:val="-4"/>
        </w:rPr>
        <w:t>太阳能发电系统的设计、施工；光伏光热电站的开发、建设、运营和维护；光伏光热电站的技术开发、项目咨询和技术服务；</w:t>
      </w:r>
      <w:r>
        <w:rPr>
          <w:spacing w:val="-44"/>
        </w:rPr>
        <w:t> </w:t>
      </w:r>
      <w:r>
        <w:rPr>
          <w:spacing w:val="-44"/>
        </w:rPr>
      </w:r>
      <w:r>
        <w:rPr/>
        <w:t>从事铝锭的批发及进出口业务。</w:t>
      </w:r>
    </w:p>
    <w:p>
      <w:pPr>
        <w:pStyle w:val="BodyText"/>
        <w:spacing w:line="312" w:lineRule="auto" w:before="19"/>
        <w:ind w:left="514" w:right="1122"/>
        <w:jc w:val="left"/>
      </w:pPr>
      <w:r>
        <w:rPr/>
        <w:t>本公司的母公司和最终母公司为于中国成立的江苏爱康实业集团有限公司，实际控制人为邹承慧先生。 本财务报表业经本公司董事会于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日决议批准报出。根据本公司章程，本财务报表将提交股东大会审议。 本公司及各子公司主要从事光伏太阳能配件制造和光伏电站营运业务。 </w:t>
      </w:r>
      <w:r>
        <w:rPr>
          <w:spacing w:val="-2"/>
        </w:rPr>
        <w:t>本公司</w:t>
      </w:r>
      <w:r>
        <w:rPr>
          <w:rFonts w:ascii="Times New Roman" w:hAnsi="Times New Roman" w:cs="Times New Roman" w:eastAsia="Times New Roman" w:hint="default"/>
          <w:spacing w:val="-2"/>
        </w:rPr>
        <w:t>2018</w:t>
      </w:r>
      <w:r>
        <w:rPr>
          <w:spacing w:val="-2"/>
        </w:rPr>
        <w:t>年度纳入合并范围的子公司共</w:t>
      </w:r>
      <w:r>
        <w:rPr>
          <w:rFonts w:ascii="Times New Roman" w:hAnsi="Times New Roman" w:cs="Times New Roman" w:eastAsia="Times New Roman" w:hint="default"/>
          <w:spacing w:val="-2"/>
        </w:rPr>
        <w:t>84</w:t>
      </w:r>
      <w:r>
        <w:rPr>
          <w:spacing w:val="-2"/>
        </w:rPr>
        <w:t>户，详见</w:t>
      </w:r>
      <w:r>
        <w:rPr>
          <w:rFonts w:ascii="Times New Roman" w:hAnsi="Times New Roman" w:cs="Times New Roman" w:eastAsia="Times New Roman" w:hint="default"/>
          <w:spacing w:val="-2"/>
        </w:rPr>
        <w:t>“</w:t>
      </w:r>
      <w:r>
        <w:rPr>
          <w:spacing w:val="-2"/>
        </w:rPr>
        <w:t>本附注九、在其他主体中的权益</w:t>
      </w:r>
      <w:r>
        <w:rPr>
          <w:rFonts w:ascii="Times New Roman" w:hAnsi="Times New Roman" w:cs="Times New Roman" w:eastAsia="Times New Roman" w:hint="default"/>
          <w:spacing w:val="-2"/>
        </w:rPr>
        <w:t>”</w:t>
      </w:r>
      <w:r>
        <w:rPr>
          <w:spacing w:val="-2"/>
        </w:rPr>
        <w:t>。本公司本年度合并范围比上年</w:t>
      </w:r>
    </w:p>
    <w:p>
      <w:pPr>
        <w:pStyle w:val="BodyText"/>
        <w:spacing w:line="240" w:lineRule="auto" w:before="3"/>
        <w:ind w:right="0"/>
        <w:jc w:val="both"/>
      </w:pPr>
      <w:r>
        <w:rPr/>
        <w:t>度增加</w:t>
      </w:r>
      <w:r>
        <w:rPr>
          <w:rFonts w:ascii="Times New Roman" w:hAnsi="Times New Roman" w:cs="Times New Roman" w:eastAsia="Times New Roman" w:hint="default"/>
        </w:rPr>
        <w:t>5</w:t>
      </w:r>
      <w:r>
        <w:rPr/>
        <w:t>户，减少</w:t>
      </w:r>
      <w:r>
        <w:rPr>
          <w:rFonts w:ascii="Times New Roman" w:hAnsi="Times New Roman" w:cs="Times New Roman" w:eastAsia="Times New Roman" w:hint="default"/>
        </w:rPr>
        <w:t>35</w:t>
      </w:r>
      <w:r>
        <w:rPr/>
        <w:t>户，详见</w:t>
      </w:r>
      <w:r>
        <w:rPr>
          <w:rFonts w:ascii="Times New Roman" w:hAnsi="Times New Roman" w:cs="Times New Roman" w:eastAsia="Times New Roman" w:hint="default"/>
        </w:rPr>
        <w:t>“</w:t>
      </w:r>
      <w:r>
        <w:rPr/>
        <w:t>本附注八、合并范围的变更</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四、财务报表的编制基础" w:id="180"/>
      <w:bookmarkEnd w:id="180"/>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81"/>
      <w:bookmarkEnd w:id="18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spacing w:val="-4"/>
        </w:rPr>
        <w:t>本公司财务报表以持续经营假设为基础，根据实际发生的交易和事项，按照财政部发布的《企业会计准则</w:t>
      </w:r>
      <w:r>
        <w:rPr>
          <w:rFonts w:ascii="Times New Roman" w:hAnsi="Times New Roman" w:cs="Times New Roman" w:eastAsia="Times New Roman" w:hint="default"/>
          <w:spacing w:val="-4"/>
        </w:rPr>
        <w:t>——</w:t>
      </w:r>
      <w:r>
        <w:rPr>
          <w:spacing w:val="-4"/>
        </w:rPr>
        <w:t>基本准则》</w:t>
      </w:r>
    </w:p>
    <w:p>
      <w:pPr>
        <w:pStyle w:val="BodyText"/>
        <w:spacing w:line="300" w:lineRule="auto" w:before="63"/>
        <w:ind w:right="1129"/>
        <w:jc w:val="both"/>
      </w:pP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42</w:t>
      </w:r>
      <w:r>
        <w:rPr/>
        <w:t>项具体会计准则、企业会计准则</w:t>
      </w:r>
      <w:r>
        <w:rPr>
          <w:spacing w:val="-83"/>
        </w:rPr>
        <w:t> </w:t>
      </w:r>
      <w:r>
        <w:rPr>
          <w:spacing w:val="-83"/>
        </w:rPr>
      </w:r>
      <w:r>
        <w:rPr>
          <w:spacing w:val="-2"/>
        </w:rPr>
        <w:t>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w:t>
      </w:r>
      <w:r>
        <w:rPr>
          <w:spacing w:val="-47"/>
        </w:rPr>
        <w:t> </w:t>
      </w:r>
      <w:r>
        <w:rPr>
          <w:spacing w:val="-47"/>
        </w:rPr>
      </w:r>
      <w:r>
        <w:rPr/>
        <w:t>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right="1131" w:firstLine="360"/>
        <w:jc w:val="both"/>
      </w:pPr>
      <w:r>
        <w:rPr>
          <w:spacing w:val="-2"/>
        </w:rPr>
        <w:t>根据企业会计准则的相关规定，本公司会计核算以权责发生制为基础。除某些金融工具外，本财务报表均以历史成本为</w:t>
      </w:r>
      <w:r>
        <w:rPr/>
        <w:t> </w:t>
      </w:r>
      <w:r>
        <w:rPr>
          <w:spacing w:val="-2"/>
        </w:rPr>
        <w:t>计量基础。持有待售的非流动资产，按公允价值减去预计费用后的金额，以及符合持有待售条件时的原账面价值，取两者孰</w:t>
      </w:r>
      <w:r>
        <w:rPr>
          <w:spacing w:val="-66"/>
        </w:rPr>
        <w:t> </w:t>
      </w:r>
      <w:r>
        <w:rPr>
          <w:spacing w:val="-66"/>
        </w:rPr>
      </w:r>
      <w:r>
        <w:rPr/>
        <w:t>低计价。资产如果发生减值，则按照相关规定计提相应的减值准备。</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持续经营" w:id="182"/>
      <w:bookmarkEnd w:id="18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27" w:right="0"/>
        <w:jc w:val="both"/>
      </w:pPr>
      <w:r>
        <w:rPr/>
        <w:t>本公司自本报告期末期</w:t>
      </w:r>
      <w:r>
        <w:rPr>
          <w:rFonts w:ascii="Times New Roman" w:hAnsi="Times New Roman" w:cs="Times New Roman" w:eastAsia="Times New Roman" w:hint="default"/>
        </w:rPr>
        <w:t>12</w:t>
      </w:r>
      <w:r>
        <w:rPr/>
        <w:t>个月内不存在对此续经营能力产生重大疑虑的事项或情况。</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五、重要会计政策及会计估计" w:id="183"/>
      <w:bookmarkEnd w:id="183"/>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57" w:lineRule="auto" w:before="26"/>
        <w:ind w:left="514" w:right="1122" w:hanging="360"/>
        <w:jc w:val="left"/>
      </w:pPr>
      <w:r>
        <w:rPr/>
        <w:t>具体会计政策和会计估计提示： </w:t>
      </w:r>
      <w:r>
        <w:rPr>
          <w:spacing w:val="-2"/>
        </w:rPr>
        <w:t>本公司及各子公司从事光伏太阳能配件制造和光伏电站营运业务。本公司及各子公司根据实际生产经营特点，依据相关</w:t>
      </w:r>
    </w:p>
    <w:p>
      <w:pPr>
        <w:pStyle w:val="BodyText"/>
        <w:spacing w:line="237" w:lineRule="exact"/>
        <w:ind w:right="0"/>
        <w:jc w:val="both"/>
      </w:pPr>
      <w:r>
        <w:rPr/>
        <w:t>企业会计准则的规定</w:t>
      </w:r>
      <w:r>
        <w:rPr>
          <w:spacing w:val="-86"/>
        </w:rPr>
        <w:t>，</w:t>
      </w:r>
      <w:r>
        <w:rPr/>
        <w:t>对收入确认</w:t>
      </w:r>
      <w:r>
        <w:rPr>
          <w:spacing w:val="-86"/>
        </w:rPr>
        <w:t>、</w:t>
      </w:r>
      <w:r>
        <w:rPr/>
        <w:t>研究开发支出等交易和事项制定了若干项具体会计政策和会计估计</w:t>
      </w:r>
      <w:r>
        <w:rPr>
          <w:spacing w:val="-86"/>
        </w:rPr>
        <w:t>，</w:t>
      </w:r>
      <w:r>
        <w:rPr/>
        <w:t>详见本附注五</w:t>
      </w:r>
      <w:r>
        <w:rPr>
          <w:spacing w:val="-85"/>
        </w:rPr>
        <w:t>、</w:t>
      </w:r>
      <w:r>
        <w:rPr>
          <w:rFonts w:ascii="Times New Roman" w:hAnsi="Times New Roman" w:cs="Times New Roman" w:eastAsia="Times New Roman" w:hint="default"/>
          <w:w w:val="100"/>
        </w:rPr>
        <w:t>28</w:t>
      </w:r>
      <w:r>
        <w:rPr>
          <w:rFonts w:ascii="Times New Roman" w:hAnsi="Times New Roman" w:cs="Times New Roman" w:eastAsia="Times New Roman" w:hint="default"/>
          <w:spacing w:val="-1"/>
          <w:w w:val="100"/>
        </w:rPr>
        <w:t>“</w:t>
      </w:r>
      <w:r>
        <w:rPr>
          <w:w w:val="100"/>
        </w:rPr>
        <w:t>收</w:t>
      </w:r>
    </w:p>
    <w:p>
      <w:pPr>
        <w:spacing w:after="0" w:line="237" w:lineRule="exact"/>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22"/>
        <w:jc w:val="left"/>
      </w:pPr>
      <w:r>
        <w:rPr/>
        <w:t>入</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21“</w:t>
      </w:r>
      <w:r>
        <w:rPr/>
        <w:t>无形资产</w:t>
      </w:r>
      <w:r>
        <w:rPr>
          <w:rFonts w:ascii="Times New Roman" w:hAnsi="Times New Roman" w:cs="Times New Roman" w:eastAsia="Times New Roman" w:hint="default"/>
        </w:rPr>
        <w:t>”</w:t>
      </w:r>
      <w:r>
        <w:rPr/>
        <w:t>各项描述。关于管理层所作出的重大会计判断和估计的说明，请参阅附注五、</w:t>
      </w:r>
      <w:r>
        <w:rPr>
          <w:rFonts w:ascii="Times New Roman" w:hAnsi="Times New Roman" w:cs="Times New Roman" w:eastAsia="Times New Roman" w:hint="default"/>
        </w:rPr>
        <w:t>34“</w:t>
      </w:r>
      <w:r>
        <w:rPr/>
        <w:t>其他</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right="1122"/>
        <w:jc w:val="left"/>
        <w:rPr>
          <w:b w:val="0"/>
          <w:bCs w:val="0"/>
        </w:rPr>
      </w:pPr>
      <w:bookmarkStart w:name="1、遵循企业会计准则的声明" w:id="184"/>
      <w:bookmarkEnd w:id="18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日的财务状况及</w:t>
      </w:r>
      <w:r>
        <w:rPr>
          <w:rFonts w:ascii="Times New Roman" w:hAnsi="Times New Roman" w:cs="Times New Roman" w:eastAsia="Times New Roman" w:hint="default"/>
          <w:spacing w:val="-2"/>
        </w:rPr>
        <w:t>2018</w:t>
      </w:r>
      <w:r>
        <w:rPr>
          <w:spacing w:val="-2"/>
        </w:rPr>
        <w:t>年度的</w:t>
      </w:r>
      <w:r>
        <w:rPr/>
        <w:t> </w:t>
      </w:r>
      <w:r>
        <w:rPr>
          <w:spacing w:val="-2"/>
        </w:rPr>
        <w:t>经营成果和现金流量等有关信息。此外，本公司的财务报表在所有重大方面符合中国证券监督管理委员会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w:t>
      </w:r>
      <w:r>
        <w:rPr>
          <w:spacing w:val="-61"/>
        </w:rPr>
        <w:t> </w:t>
      </w:r>
      <w:r>
        <w:rPr>
          <w:spacing w:val="-61"/>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1"/>
        <w:rPr>
          <w:rFonts w:ascii="宋体" w:hAnsi="宋体" w:cs="宋体" w:eastAsia="宋体" w:hint="default"/>
          <w:sz w:val="22"/>
          <w:szCs w:val="22"/>
        </w:rPr>
      </w:pPr>
    </w:p>
    <w:p>
      <w:pPr>
        <w:pStyle w:val="Heading3"/>
        <w:spacing w:line="240" w:lineRule="auto"/>
        <w:ind w:right="1122"/>
        <w:jc w:val="left"/>
        <w:rPr>
          <w:b w:val="0"/>
          <w:bCs w:val="0"/>
        </w:rPr>
      </w:pPr>
      <w:bookmarkStart w:name="2、会计期间" w:id="185"/>
      <w:bookmarkEnd w:id="18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2"/>
        <w:jc w:val="left"/>
      </w:pPr>
      <w:r>
        <w:rPr>
          <w:spacing w:val="-2"/>
        </w:rPr>
        <w:t>本公司的会计期间分为年度和中期，会计中期指短于一个完整的会计年度的报告期间。本公司会计年度采用公历年度，即每</w:t>
      </w:r>
      <w:r>
        <w:rPr>
          <w:spacing w:val="-66"/>
        </w:rPr>
        <w:t> </w:t>
      </w:r>
      <w:r>
        <w:rPr>
          <w:spacing w:val="-66"/>
        </w:rPr>
      </w:r>
      <w:r>
        <w:rPr/>
        <w:t>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3"/>
        <w:rPr>
          <w:rFonts w:ascii="宋体" w:hAnsi="宋体" w:cs="宋体" w:eastAsia="宋体" w:hint="default"/>
          <w:sz w:val="20"/>
          <w:szCs w:val="20"/>
        </w:rPr>
      </w:pPr>
    </w:p>
    <w:p>
      <w:pPr>
        <w:pStyle w:val="Heading3"/>
        <w:spacing w:line="240" w:lineRule="auto"/>
        <w:ind w:right="1122"/>
        <w:jc w:val="left"/>
        <w:rPr>
          <w:b w:val="0"/>
          <w:bCs w:val="0"/>
        </w:rPr>
      </w:pPr>
      <w:bookmarkStart w:name="3、营业周期" w:id="186"/>
      <w:bookmarkEnd w:id="186"/>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6"/>
        <w:rPr>
          <w:rFonts w:ascii="宋体" w:hAnsi="宋体" w:cs="宋体" w:eastAsia="宋体" w:hint="default"/>
          <w:sz w:val="23"/>
          <w:szCs w:val="23"/>
        </w:rPr>
      </w:pPr>
    </w:p>
    <w:p>
      <w:pPr>
        <w:pStyle w:val="Heading3"/>
        <w:spacing w:line="240" w:lineRule="auto"/>
        <w:ind w:right="1122"/>
        <w:jc w:val="left"/>
        <w:rPr>
          <w:b w:val="0"/>
          <w:bCs w:val="0"/>
        </w:rPr>
      </w:pPr>
      <w:bookmarkStart w:name="4、记账本位币" w:id="187"/>
      <w:bookmarkEnd w:id="18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人民币为本公司及境内子公司经营所处的主要经济环境中的货币，本公司及境内子公司以人民币为记账本位币。本公司</w:t>
      </w:r>
      <w:r>
        <w:rPr/>
        <w:t> 之境外子公司根据其经营所在国家或地区的法定货币为记账本位币。本公司编制本财务报表时所采用的货币为人民币。</w:t>
      </w:r>
    </w:p>
    <w:p>
      <w:pPr>
        <w:spacing w:line="240" w:lineRule="auto" w:before="7"/>
        <w:rPr>
          <w:rFonts w:ascii="宋体" w:hAnsi="宋体" w:cs="宋体" w:eastAsia="宋体" w:hint="default"/>
          <w:sz w:val="22"/>
          <w:szCs w:val="22"/>
        </w:rPr>
      </w:pPr>
    </w:p>
    <w:p>
      <w:pPr>
        <w:pStyle w:val="Heading3"/>
        <w:spacing w:line="240" w:lineRule="auto"/>
        <w:ind w:right="1122"/>
        <w:jc w:val="left"/>
        <w:rPr>
          <w:b w:val="0"/>
          <w:bCs w:val="0"/>
        </w:rPr>
      </w:pPr>
      <w:bookmarkStart w:name="5、同一控制下和非同一控制下企业合并的会计处理方法" w:id="188"/>
      <w:bookmarkEnd w:id="18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6" w:right="1131" w:firstLine="300"/>
        <w:jc w:val="both"/>
      </w:pPr>
      <w:r>
        <w:rPr>
          <w:spacing w:val="-1"/>
        </w:rPr>
        <w:t>企业合并，是指将两个或两个以上单独的企业合并形成一个报告主体的交易或事项。企业合并分为同一控制下企业合并</w:t>
      </w:r>
      <w:r>
        <w:rPr/>
        <w:t> 和非同一控制下企业合并。</w:t>
      </w:r>
    </w:p>
    <w:p>
      <w:pPr>
        <w:pStyle w:val="BodyText"/>
        <w:spacing w:line="300" w:lineRule="auto" w:before="19"/>
        <w:ind w:left="514" w:right="1122"/>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31"/>
        <w:ind w:right="0"/>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right="1049"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9"/>
        <w:ind w:left="514" w:right="1122"/>
        <w:jc w:val="left"/>
      </w:pPr>
      <w:r>
        <w:rPr/>
        <w:t>合并方为进行企业合并发生的各项直接费用，于发生时计入当期损益。</w:t>
      </w:r>
    </w:p>
    <w:p>
      <w:pPr>
        <w:pStyle w:val="BodyText"/>
        <w:spacing w:line="300" w:lineRule="auto" w:before="76"/>
        <w:ind w:left="514" w:right="1122"/>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31"/>
        <w:ind w:right="1122"/>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314" w:lineRule="auto" w:before="19"/>
        <w:ind w:right="113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5"/>
        </w:rPr>
        <w:t> </w:t>
      </w:r>
      <w:r>
        <w:rPr>
          <w:spacing w:val="-65"/>
        </w:rPr>
      </w:r>
      <w:r>
        <w:rPr>
          <w:spacing w:val="-2"/>
        </w:rPr>
        <w:t>并中取得的被购买方可辨认净资产公允价值份额的，首先对取得的被购买方各项可辨认资产、负债及或有负债的公允价值以</w:t>
      </w:r>
    </w:p>
    <w:p>
      <w:pPr>
        <w:spacing w:after="0" w:line="314"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2"/>
        <w:jc w:val="left"/>
      </w:pP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2" w:lineRule="auto" w:before="19"/>
        <w:ind w:right="1128" w:firstLine="36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2"/>
        <w:ind w:right="0"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1122" w:firstLine="360"/>
        <w:jc w:val="left"/>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 </w:t>
      </w:r>
      <w:r>
        <w:rPr>
          <w:spacing w:val="-2"/>
        </w:rPr>
        <w:t>在合并财务报表中，对于购买日之前持有的被购买方的股权，按照该股权在购买日的公允价值进行重新计量，公允价值与其</w:t>
      </w:r>
      <w:r>
        <w:rPr>
          <w:spacing w:val="-65"/>
        </w:rPr>
        <w:t> </w:t>
      </w:r>
      <w:r>
        <w:rPr>
          <w:spacing w:val="-65"/>
        </w:rPr>
      </w:r>
      <w:r>
        <w:rPr>
          <w:spacing w:val="-2"/>
        </w:rPr>
        <w:t>账面价值的差额计入当期投资收益；购买日之前持有的被购买方的股权涉及其他综合收益的，与其相关的其他综合收益应当</w:t>
      </w:r>
      <w:r>
        <w:rPr>
          <w:spacing w:val="-64"/>
        </w:rPr>
        <w:t> </w:t>
      </w:r>
      <w:r>
        <w:rPr>
          <w:spacing w:val="-64"/>
        </w:rPr>
      </w:r>
      <w:r>
        <w:rPr>
          <w:spacing w:val="-2"/>
        </w:rPr>
        <w:t>采用与被购买方直接处置相关资产或负债相同的基础进行会计处理（即，除了按照权益法核算的在被购买方重新计量设定受</w:t>
      </w:r>
      <w:r>
        <w:rPr>
          <w:spacing w:val="-64"/>
        </w:rPr>
        <w:t> </w:t>
      </w:r>
      <w:r>
        <w:rPr>
          <w:spacing w:val="-64"/>
        </w:rPr>
      </w:r>
      <w:r>
        <w:rPr/>
        <w:t>益计划净负债或净资产导致的变动中的相应份额以外，其余转为购买日所属当期投资收益）。</w:t>
      </w:r>
    </w:p>
    <w:p>
      <w:pPr>
        <w:spacing w:line="240" w:lineRule="auto" w:before="7"/>
        <w:rPr>
          <w:rFonts w:ascii="宋体" w:hAnsi="宋体" w:cs="宋体" w:eastAsia="宋体" w:hint="default"/>
          <w:sz w:val="22"/>
          <w:szCs w:val="22"/>
        </w:rPr>
      </w:pPr>
    </w:p>
    <w:p>
      <w:pPr>
        <w:pStyle w:val="Heading3"/>
        <w:spacing w:line="240" w:lineRule="auto"/>
        <w:ind w:right="1122"/>
        <w:jc w:val="left"/>
        <w:rPr>
          <w:b w:val="0"/>
          <w:bCs w:val="0"/>
        </w:rPr>
      </w:pPr>
      <w:bookmarkStart w:name="6、合并财务报表的编制方法" w:id="189"/>
      <w:bookmarkEnd w:id="18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122"/>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31"/>
        <w:ind w:right="1122"/>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40" w:lineRule="auto" w:before="19"/>
        <w:ind w:left="514" w:right="1122"/>
        <w:jc w:val="left"/>
      </w:pPr>
      <w:r>
        <w:rPr/>
        <w:t>一旦相关事实和情况的变化导致上述控制定义涉及的相关要素发生了变化，本公司将进行重新评估。</w:t>
      </w:r>
    </w:p>
    <w:p>
      <w:pPr>
        <w:pStyle w:val="BodyText"/>
        <w:spacing w:line="300" w:lineRule="auto" w:before="76"/>
        <w:ind w:left="514" w:right="1122"/>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31"/>
        <w:ind w:right="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5"/>
        </w:rPr>
        <w:t> </w:t>
      </w:r>
      <w:r>
        <w:rPr>
          <w:spacing w:val="-65"/>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pStyle w:val="BodyText"/>
        <w:spacing w:line="316" w:lineRule="auto" w:before="19"/>
        <w:ind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9"/>
        <w:ind w:left="514" w:right="1122"/>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right="1132"/>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6"/>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7"/>
        </w:rPr>
        <w:t> </w:t>
      </w:r>
      <w:r>
        <w:rPr>
          <w:spacing w:val="-77"/>
        </w:rPr>
      </w:r>
      <w:r>
        <w:rPr/>
        <w:t>股东权益。</w:t>
      </w:r>
    </w:p>
    <w:p>
      <w:pPr>
        <w:pStyle w:val="BodyText"/>
        <w:spacing w:line="316" w:lineRule="auto" w:before="31"/>
        <w:ind w:right="1131"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132"/>
        <w:jc w:val="both"/>
      </w:pP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14“</w:t>
      </w:r>
      <w:r>
        <w:rPr/>
        <w:t>长期股</w:t>
      </w:r>
      <w:r>
        <w:rPr>
          <w:w w:val="100"/>
        </w:rPr>
        <w:t> </w:t>
      </w:r>
      <w:r>
        <w:rPr/>
        <w:t>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2" w:lineRule="auto" w:before="7"/>
        <w:ind w:right="1032"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 部分处置对子公司的长期股权投资</w:t>
      </w:r>
      <w:r>
        <w:rPr>
          <w:rFonts w:ascii="Times New Roman" w:hAnsi="Times New Roman" w:cs="Times New Roman" w:eastAsia="Times New Roman" w:hint="default"/>
        </w:rPr>
        <w:t>”</w:t>
      </w:r>
      <w:r>
        <w:rPr/>
        <w:t>（详见本附注五、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 </w:t>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3"/>
        </w:rPr>
        <w:t> </w:t>
      </w:r>
      <w:r>
        <w:rPr>
          <w:spacing w:val="-63"/>
        </w:rPr>
      </w:r>
      <w:r>
        <w:rPr/>
        <w:t>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7、合营安排分类及共同经营会计处理方法" w:id="190"/>
      <w:bookmarkEnd w:id="19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00" w:lineRule="auto" w:before="19"/>
        <w:ind w:right="1109" w:firstLine="360"/>
        <w:jc w:val="left"/>
      </w:pPr>
      <w:r>
        <w:rPr/>
        <w:t>本公司对合营企业的投资采用权益法核算，按照本附注五、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）②</w:t>
      </w:r>
      <w:r>
        <w:rPr>
          <w:spacing w:val="-57"/>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 处理。</w:t>
      </w:r>
    </w:p>
    <w:p>
      <w:pPr>
        <w:pStyle w:val="BodyText"/>
        <w:spacing w:line="314" w:lineRule="auto" w:before="32"/>
        <w:ind w:right="1122" w:firstLine="360"/>
        <w:jc w:val="left"/>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 </w:t>
      </w:r>
      <w:r>
        <w:rPr>
          <w:spacing w:val="-2"/>
        </w:rPr>
        <w:t>当本公司作为合营方向共同经营投出或出售资产（该资产不构成业务，下同）、或者自共同经营购买资产时，在该等资产出</w:t>
      </w:r>
      <w:r>
        <w:rPr>
          <w:spacing w:val="-66"/>
        </w:rPr>
        <w:t> </w:t>
      </w:r>
      <w:r>
        <w:rPr>
          <w:spacing w:val="-66"/>
        </w:rPr>
      </w:r>
      <w:r>
        <w:rPr>
          <w:spacing w:val="-2"/>
        </w:rPr>
        <w:t>售给第三方之前，本公司仅确认因该交易产生的损益中归属于共同经营其他参与方的部分。该等资产发生符合《企业会计准</w:t>
      </w:r>
      <w:r>
        <w:rPr>
          <w:spacing w:val="-66"/>
        </w:rPr>
        <w:t> </w:t>
      </w:r>
      <w:r>
        <w:rPr>
          <w:spacing w:val="-66"/>
        </w:rPr>
      </w:r>
      <w:r>
        <w:rPr/>
        <w:t>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资产减值》等规定的资产减值损失的，对于由本公司向共同经营投出或出售资产的情况，本公司全额确认该损</w:t>
      </w:r>
      <w:r>
        <w:rPr>
          <w:spacing w:val="-82"/>
        </w:rPr>
        <w:t> </w:t>
      </w:r>
      <w:r>
        <w:rPr>
          <w:spacing w:val="-82"/>
        </w:rPr>
      </w:r>
      <w:r>
        <w:rPr/>
        <w:t>失；对于本公司自共同经营购买资产的情况，本公司按承担的份额确认该损失。</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bookmarkStart w:name="8、现金及现金等价物的确定标准" w:id="191"/>
      <w:bookmarkEnd w:id="19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jc w:val="both"/>
      </w:pPr>
      <w:r>
        <w:rPr>
          <w:spacing w:val="-2"/>
        </w:rPr>
        <w:t>本公司现金及现金等价物包括库存现金、可以随时用于支付的存款以及本公司持有的期限短（一般为从购买日起三个月内到</w:t>
      </w:r>
      <w:r>
        <w:rPr>
          <w:spacing w:val="-64"/>
        </w:rPr>
        <w:t> </w:t>
      </w:r>
      <w:r>
        <w:rPr>
          <w:spacing w:val="-64"/>
        </w:rPr>
      </w:r>
      <w:r>
        <w:rPr/>
        <w:t>期）、流动性强、易于转换为已知金额现金、价值变动风险很小的投资。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92"/>
      <w:bookmarkEnd w:id="19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）外币交易的折算方法 </w:t>
      </w:r>
      <w:r>
        <w:rPr>
          <w:spacing w:val="-4"/>
        </w:rPr>
        <w:t>本公司发生的外币交易在初始确认时，按交易日的即期汇率（通常指中国人民银行公布的当日外汇牌价的中间价，下同）</w:t>
      </w:r>
    </w:p>
    <w:p>
      <w:pPr>
        <w:pStyle w:val="BodyText"/>
        <w:spacing w:line="319" w:lineRule="auto" w:before="31"/>
        <w:ind w:right="1131"/>
        <w:jc w:val="both"/>
      </w:pPr>
      <w:r>
        <w:rPr>
          <w:spacing w:val="-2"/>
        </w:rPr>
        <w:t>折算为记账本位币金额，但公司发生的外币兑换业务或涉及外币兑换的交易事项，按照实际采用的汇率折算为记账本位币金</w:t>
      </w:r>
      <w:r>
        <w:rPr>
          <w:spacing w:val="-64"/>
        </w:rPr>
        <w:t> </w:t>
      </w:r>
      <w:r>
        <w:rPr>
          <w:spacing w:val="-64"/>
        </w:rPr>
      </w:r>
      <w:r>
        <w:rPr/>
        <w:t>额。</w:t>
      </w:r>
    </w:p>
    <w:p>
      <w:pPr>
        <w:pStyle w:val="BodyText"/>
        <w:spacing w:line="300" w:lineRule="auto" w:before="17"/>
        <w:ind w:left="514" w:right="1122"/>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before="31"/>
        <w:ind w:right="1131"/>
        <w:jc w:val="both"/>
      </w:pPr>
      <w:r>
        <w:rPr>
          <w:spacing w:val="-2"/>
        </w:rPr>
        <w:t>本化条件的资产相关的外币专门借款产生的汇兑差额按照借款费用资本化的原则处理；②可供出售的外币货币性项目除摊余</w:t>
      </w:r>
      <w:r>
        <w:rPr>
          <w:spacing w:val="-64"/>
        </w:rPr>
        <w:t> </w:t>
      </w:r>
      <w:r>
        <w:rPr>
          <w:spacing w:val="-64"/>
        </w:rPr>
      </w:r>
      <w:r>
        <w:rPr/>
        <w:t>成本之外的其他账面余额变动产生的汇兑差额计入其他综合收益之外，均计入当期损益。</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firstLine="360"/>
        <w:jc w:val="both"/>
      </w:pPr>
      <w:r>
        <w:rPr>
          <w:spacing w:val="-2"/>
        </w:rPr>
        <w:t>编制合并财务报表涉及境外经营的，如有实质上构成对境外经营净投资的外币货币性项目，因汇率变动而产生的汇兑差</w:t>
      </w:r>
      <w:r>
        <w:rPr/>
        <w:t> 额，计入其他综合收益；处置境外经营时，转入处置当期损益。</w:t>
      </w:r>
    </w:p>
    <w:p>
      <w:pPr>
        <w:pStyle w:val="BodyText"/>
        <w:spacing w:line="319" w:lineRule="auto" w:before="19"/>
        <w:ind w:right="1132"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w:t>
      </w:r>
    </w:p>
    <w:p>
      <w:pPr>
        <w:pStyle w:val="BodyText"/>
        <w:spacing w:line="300" w:lineRule="auto" w:before="17"/>
        <w:ind w:left="514" w:right="1122"/>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300" w:lineRule="auto" w:before="31"/>
        <w:ind w:left="514" w:right="1122" w:hanging="360"/>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314" w:lineRule="auto" w:before="31"/>
        <w:ind w:right="1032"/>
        <w:jc w:val="left"/>
      </w:pP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4"/>
        </w:rPr>
        <w:t> </w:t>
      </w:r>
      <w:r>
        <w:rPr>
          <w:spacing w:val="-44"/>
        </w:rPr>
      </w:r>
      <w:r>
        <w:rPr>
          <w:spacing w:val="-2"/>
        </w:rPr>
        <w:t>交易发生日的当期平均汇率折算。年初未分配利润为上一年折算后的年末未分配利润；年末未分配利润按折算后的利润分配</w:t>
      </w:r>
      <w:r>
        <w:rPr>
          <w:spacing w:val="-64"/>
        </w:rPr>
        <w:t> </w:t>
      </w:r>
      <w:r>
        <w:rPr>
          <w:spacing w:val="-64"/>
        </w:rPr>
      </w:r>
      <w:r>
        <w:rPr>
          <w:spacing w:val="-2"/>
        </w:rPr>
        <w:t>各项目计算列示；折算后资产类项目与负债类项目和股东权益类项目合计数的差额，作为外币报表折算差额，确认为其他综</w:t>
      </w:r>
      <w:r>
        <w:rPr>
          <w:spacing w:val="-66"/>
        </w:rPr>
        <w:t> </w:t>
      </w:r>
      <w:r>
        <w:rPr>
          <w:spacing w:val="-66"/>
        </w:rPr>
      </w:r>
      <w:r>
        <w:rPr/>
        <w:t>合收益。处置境外经营并丧失控制权时，将资产负债表中股东权益项目下列示的、与该境外经营相关的外币报表折算差额， 全部或按处置该境外经营的比例转入处置当期损益。</w:t>
      </w:r>
    </w:p>
    <w:p>
      <w:pPr>
        <w:pStyle w:val="BodyText"/>
        <w:spacing w:line="316" w:lineRule="auto" w:before="20"/>
        <w:ind w:right="1132" w:firstLine="360"/>
        <w:jc w:val="both"/>
      </w:pPr>
      <w:r>
        <w:rPr>
          <w:spacing w:val="-2"/>
        </w:rPr>
        <w:t>外币现金流量以及境外子公司的现金流量，采用现金流量发生日的当期平均汇率折算。汇率变动对现金的影响额作为调</w:t>
      </w:r>
      <w:r>
        <w:rPr/>
        <w:t> 节项目，在现金流量表中单独列报。</w:t>
      </w:r>
    </w:p>
    <w:p>
      <w:pPr>
        <w:pStyle w:val="BodyText"/>
        <w:spacing w:line="316" w:lineRule="auto" w:before="19"/>
        <w:ind w:left="514" w:right="1122"/>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316" w:lineRule="auto" w:before="19"/>
        <w:ind w:right="1032"/>
        <w:jc w:val="left"/>
      </w:pPr>
      <w:r>
        <w:rPr/>
        <w:t>表中股东权益项目下列示的、与该境外经营相关的归属于母公司所有者权益的外币报表折算差额，全部转入处置当期损益。 </w:t>
      </w:r>
      <w:r>
        <w:rPr>
          <w:spacing w:val="-2"/>
        </w:rPr>
        <w:t>在处置部分股权投资或其他原因导致持有境外经营权益比例降低但不丧失对境外经营控制权时，与该境外经营处置部分相关</w:t>
      </w:r>
      <w:r>
        <w:rPr>
          <w:spacing w:val="-64"/>
        </w:rPr>
        <w:t> </w:t>
      </w:r>
      <w:r>
        <w:rPr>
          <w:spacing w:val="-64"/>
        </w:rPr>
      </w:r>
      <w:r>
        <w:rPr>
          <w:spacing w:val="-2"/>
        </w:rPr>
        <w:t>的外币报表折算差额将归属于少数股东权益，不转入当期损益。在处置境外经营为联营企业或合营企业的部分股权时，与该</w:t>
      </w:r>
      <w:r>
        <w:rPr>
          <w:spacing w:val="-66"/>
        </w:rPr>
        <w:t> </w:t>
      </w:r>
      <w:r>
        <w:rPr>
          <w:spacing w:val="-66"/>
        </w:rPr>
      </w:r>
      <w:r>
        <w:rPr/>
        <w:t>境外经营相关的外币报表折算差额，按处置该境外经营的比例转入处置当期损益。</w:t>
      </w:r>
    </w:p>
    <w:p>
      <w:pPr>
        <w:spacing w:line="240" w:lineRule="auto" w:before="7"/>
        <w:rPr>
          <w:rFonts w:ascii="宋体" w:hAnsi="宋体" w:cs="宋体" w:eastAsia="宋体" w:hint="default"/>
          <w:sz w:val="22"/>
          <w:szCs w:val="22"/>
        </w:rPr>
      </w:pPr>
    </w:p>
    <w:p>
      <w:pPr>
        <w:pStyle w:val="Heading3"/>
        <w:spacing w:line="240" w:lineRule="auto"/>
        <w:ind w:right="1122"/>
        <w:jc w:val="left"/>
        <w:rPr>
          <w:b w:val="0"/>
          <w:bCs w:val="0"/>
        </w:rPr>
      </w:pPr>
      <w:bookmarkStart w:name="10、金融工具" w:id="193"/>
      <w:bookmarkEnd w:id="19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5"/>
        </w:rPr>
        <w:t> </w:t>
      </w:r>
      <w:r>
        <w:rPr>
          <w:spacing w:val="-65"/>
        </w:rPr>
      </w:r>
      <w:r>
        <w:rPr/>
        <w:t>融资产和金融负债，相关交易费用计入初始确认金额。</w:t>
      </w:r>
    </w:p>
    <w:p>
      <w:pPr>
        <w:pStyle w:val="BodyText"/>
        <w:spacing w:line="300" w:lineRule="auto" w:before="19"/>
        <w:ind w:left="514" w:right="1122"/>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31"/>
        <w:ind w:right="1032"/>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00" w:lineRule="auto" w:before="19"/>
        <w:ind w:left="514" w:right="1122"/>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31"/>
        <w:ind w:right="1122"/>
        <w:jc w:val="left"/>
      </w:pPr>
      <w:r>
        <w:rPr/>
        <w:t>计入当期损益的金融资产、持有至到期投资、贷款和应收款项以及可供出售金融资产。</w:t>
      </w:r>
    </w:p>
    <w:p>
      <w:pPr>
        <w:pStyle w:val="BodyText"/>
        <w:spacing w:line="316" w:lineRule="auto" w:before="76"/>
        <w:ind w:left="514" w:right="1122"/>
        <w:jc w:val="left"/>
      </w:pPr>
      <w:r>
        <w:rPr/>
        <w:t>①</w:t>
      </w:r>
      <w:r>
        <w:rPr>
          <w:spacing w:val="-18"/>
        </w:rPr>
        <w:t> </w:t>
      </w:r>
      <w:r>
        <w:rPr/>
        <w:t>以公允价值计量且其变动计入当期损益的金融资产</w:t>
      </w:r>
      <w:r>
        <w:rPr/>
        <w:t>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309" w:lineRule="auto"/>
        <w:ind w:right="1130"/>
        <w:jc w:val="both"/>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8"/>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240" w:lineRule="auto" w:before="24"/>
        <w:ind w:left="514" w:right="0"/>
        <w:jc w:val="left"/>
      </w:pPr>
      <w:r>
        <w:rPr/>
        <w:t>符合下述条件之一的金融资产，在初始确认时可指定为以公允价值计量且其变动计入当期损益的金融资产：</w:t>
      </w:r>
      <w:r>
        <w:rPr>
          <w:rFonts w:ascii="Times New Roman" w:hAnsi="Times New Roman" w:cs="Times New Roman" w:eastAsia="Times New Roman" w:hint="default"/>
        </w:rPr>
        <w:t>A.</w:t>
      </w:r>
      <w:r>
        <w:rPr/>
        <w:t>该指定可</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0"/>
        <w:jc w:val="both"/>
      </w:pP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8"/>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9" w:lineRule="auto" w:before="24"/>
        <w:ind w:right="1131"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6" w:lineRule="auto" w:before="17"/>
        <w:ind w:left="514" w:right="1122"/>
        <w:jc w:val="left"/>
      </w:pPr>
      <w:r>
        <w:rPr/>
        <w:t>②</w:t>
      </w:r>
      <w:r>
        <w:rPr>
          <w:spacing w:val="-17"/>
        </w:rPr>
        <w:t> </w:t>
      </w:r>
      <w:r>
        <w:rPr/>
        <w:t>持有至到期投资</w:t>
      </w:r>
      <w:r>
        <w:rPr/>
        <w:t>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9"/>
        <w:ind w:right="0"/>
        <w:jc w:val="both"/>
      </w:pPr>
      <w:r>
        <w:rPr/>
        <w:t>当期损益。</w:t>
      </w:r>
    </w:p>
    <w:p>
      <w:pPr>
        <w:pStyle w:val="BodyText"/>
        <w:spacing w:line="316" w:lineRule="auto" w:before="76"/>
        <w:ind w:right="1132"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6" w:lineRule="auto" w:before="19"/>
        <w:ind w:right="113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316" w:lineRule="auto" w:before="19"/>
        <w:ind w:left="514" w:right="1122"/>
        <w:jc w:val="left"/>
      </w:pPr>
      <w:r>
        <w:rPr/>
        <w:t>③</w:t>
      </w:r>
      <w:r>
        <w:rPr>
          <w:spacing w:val="-17"/>
        </w:rPr>
        <w:t> </w:t>
      </w:r>
      <w:r>
        <w:rPr/>
        <w:t>贷款和应收款项</w:t>
      </w:r>
      <w:r>
        <w:rPr/>
        <w:t> </w:t>
      </w:r>
      <w:r>
        <w:rPr>
          <w:spacing w:val="-2"/>
        </w:rPr>
        <w:t>是指在活跃市场中没有报价、回收金额固定或可确定的非衍生金融资产。本公司划分为贷款和应收款的金融资产包括应</w:t>
      </w:r>
    </w:p>
    <w:p>
      <w:pPr>
        <w:pStyle w:val="BodyText"/>
        <w:spacing w:line="316" w:lineRule="auto" w:before="19"/>
        <w:ind w:left="514" w:right="1122"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right="0"/>
        <w:jc w:val="both"/>
      </w:pPr>
      <w:r>
        <w:rPr/>
        <w:t>当期损益。</w:t>
      </w:r>
    </w:p>
    <w:p>
      <w:pPr>
        <w:pStyle w:val="BodyText"/>
        <w:spacing w:line="316" w:lineRule="auto" w:before="76"/>
        <w:ind w:left="514" w:right="1032"/>
        <w:jc w:val="left"/>
      </w:pPr>
      <w:r>
        <w:rPr/>
        <w:t>④</w:t>
      </w:r>
      <w:r>
        <w:rPr>
          <w:spacing w:val="-17"/>
        </w:rPr>
        <w:t> </w:t>
      </w:r>
      <w:r>
        <w:rPr/>
        <w:t>可供出售金融资产</w:t>
      </w:r>
      <w:r>
        <w:rPr/>
        <w:t> 包括初始确认时即被指定为可供出售的非衍生金融资产，以及除了以公允价值计量且其变动计入当期损益的金融资产、</w:t>
      </w:r>
    </w:p>
    <w:p>
      <w:pPr>
        <w:pStyle w:val="BodyText"/>
        <w:spacing w:line="316" w:lineRule="auto" w:before="19"/>
        <w:ind w:left="514" w:right="1122" w:hanging="360"/>
        <w:jc w:val="left"/>
      </w:pPr>
      <w:r>
        <w:rPr/>
        <w:t>贷款和应收款项、持有至到期投资以外的金融资产。 </w:t>
      </w:r>
      <w:r>
        <w:rPr>
          <w:spacing w:val="-2"/>
        </w:rPr>
        <w:t>可供出售债务工具投资的期末成本按照摊余成本法确定，即初始确认金额扣除已偿还的本金，加上或减去采用实际利率</w:t>
      </w:r>
    </w:p>
    <w:p>
      <w:pPr>
        <w:pStyle w:val="BodyText"/>
        <w:spacing w:line="316" w:lineRule="auto" w:before="19"/>
        <w:ind w:right="1132"/>
        <w:jc w:val="both"/>
      </w:pPr>
      <w:r>
        <w:rPr>
          <w:spacing w:val="-2"/>
        </w:rPr>
        <w:t>法将该初始确认金额与到期日金额之间的差额进行摊销形成的累计摊销额，并扣除已发生的减值损失后的金额。可供出售权</w:t>
      </w:r>
      <w:r>
        <w:rPr>
          <w:spacing w:val="-64"/>
        </w:rPr>
        <w:t> </w:t>
      </w:r>
      <w:r>
        <w:rPr>
          <w:spacing w:val="-64"/>
        </w:rPr>
      </w:r>
      <w:r>
        <w:rPr/>
        <w:t>益工具投资的期末成本为其初始取得成本。</w:t>
      </w:r>
    </w:p>
    <w:p>
      <w:pPr>
        <w:pStyle w:val="BodyText"/>
        <w:spacing w:line="316" w:lineRule="auto" w:before="19"/>
        <w:ind w:right="113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240" w:lineRule="auto" w:before="19"/>
        <w:ind w:left="514" w:right="1122"/>
        <w:jc w:val="left"/>
      </w:pPr>
      <w:r>
        <w:rPr/>
        <w:t>可供出售金融资产持有期间取得的利息及被投资单位宣告发放的现金股利，计入投资收益。</w:t>
      </w:r>
    </w:p>
    <w:p>
      <w:pPr>
        <w:pStyle w:val="BodyText"/>
        <w:spacing w:line="300" w:lineRule="auto" w:before="76"/>
        <w:ind w:left="514" w:right="1122"/>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316" w:lineRule="auto" w:before="31"/>
        <w:ind w:left="514" w:right="1122" w:hanging="360"/>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316" w:lineRule="auto" w:before="19"/>
        <w:ind w:right="1130"/>
        <w:jc w:val="both"/>
      </w:pPr>
      <w:r>
        <w:rPr>
          <w:spacing w:val="-2"/>
        </w:rPr>
        <w:t>类似信用风险特征的金融资产组合中进行减值测试。单独测试未发生减值的金融资产（包括单项金额重大和不重大的金融资</w:t>
      </w:r>
      <w:r>
        <w:rPr>
          <w:spacing w:val="-63"/>
        </w:rPr>
        <w:t> </w:t>
      </w:r>
      <w:r>
        <w:rPr>
          <w:spacing w:val="-63"/>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316" w:lineRule="auto" w:before="19"/>
        <w:ind w:left="514" w:right="1122"/>
        <w:jc w:val="left"/>
      </w:pPr>
      <w:r>
        <w:rPr/>
        <w:t>①</w:t>
      </w:r>
      <w:r>
        <w:rPr>
          <w:spacing w:val="-17"/>
        </w:rPr>
        <w:t> </w:t>
      </w:r>
      <w:r>
        <w:rPr/>
        <w:t>持有至到期投资、贷款和应收款项减值</w:t>
      </w:r>
      <w:r>
        <w:rPr/>
        <w:t> </w:t>
      </w:r>
      <w:r>
        <w:rPr>
          <w:spacing w:val="-2"/>
        </w:rPr>
        <w:t>以成本或摊余成本计量的金融资产将其账面价值减记至预计未来现金流量现值，减记金额确认为减值损失，计入当期损</w:t>
      </w:r>
    </w:p>
    <w:p>
      <w:pPr>
        <w:pStyle w:val="BodyText"/>
        <w:spacing w:line="316" w:lineRule="auto" w:before="19"/>
        <w:ind w:right="1131"/>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240" w:lineRule="auto" w:before="19"/>
        <w:ind w:left="514" w:right="1122"/>
        <w:jc w:val="left"/>
      </w:pPr>
      <w:r>
        <w:rPr/>
        <w:t>②</w:t>
      </w:r>
      <w:r>
        <w:rPr>
          <w:spacing w:val="-19"/>
        </w:rPr>
        <w:t> </w:t>
      </w:r>
      <w:r>
        <w:rPr/>
        <w:t>可供出售金融资产减值</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当综合相关因素判断可供出售权益工具投资公允价值下跌是严重或非暂时性下跌时，表明该可供出售权益工具投资发生</w:t>
      </w:r>
      <w:r>
        <w:rPr/>
        <w:t> 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w:t>
      </w:r>
    </w:p>
    <w:p>
      <w:pPr>
        <w:pStyle w:val="BodyText"/>
        <w:spacing w:line="316" w:lineRule="auto"/>
        <w:ind w:right="1050" w:firstLine="360"/>
        <w:jc w:val="both"/>
      </w:pPr>
      <w:r>
        <w:rPr>
          <w:spacing w:val="-2"/>
        </w:rPr>
        <w:t>可供出售金融资产发生减值时，将原计入其他综合收益的因公允价值下降形成的累计损失予以转出并计入当期损益，该</w:t>
      </w:r>
      <w:r>
        <w:rPr/>
        <w:t> 转出的累计损失为该资产初始取得成本扣除已收回本金和已摊销金额、当前公允价值和原已计入损益的减值损失后的余额。</w:t>
      </w:r>
    </w:p>
    <w:p>
      <w:pPr>
        <w:pStyle w:val="BodyText"/>
        <w:spacing w:line="316" w:lineRule="auto" w:before="19"/>
        <w:ind w:right="1132"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right="113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240" w:lineRule="auto" w:before="19"/>
        <w:ind w:left="514" w:right="1122"/>
        <w:jc w:val="left"/>
      </w:pPr>
      <w:r>
        <w:rPr/>
        <w:t>（</w:t>
      </w:r>
      <w:r>
        <w:rPr>
          <w:rFonts w:ascii="Times New Roman" w:hAnsi="Times New Roman" w:cs="Times New Roman" w:eastAsia="Times New Roman" w:hint="default"/>
        </w:rPr>
        <w:t>4</w:t>
      </w:r>
      <w:r>
        <w:rPr/>
        <w:t>）金融资产转移的确认依据和计量方法</w:t>
      </w:r>
    </w:p>
    <w:p>
      <w:pPr>
        <w:pStyle w:val="BodyText"/>
        <w:spacing w:line="316" w:lineRule="auto" w:before="63"/>
        <w:ind w:right="1085" w:firstLine="360"/>
        <w:jc w:val="both"/>
      </w:pPr>
      <w:r>
        <w:rPr/>
        <w:t>满足下列条件之一的金融资产，予以终止确认：① 收取该金融资产现金流量的合同权利终止；②</w:t>
      </w:r>
      <w:r>
        <w:rPr>
          <w:spacing w:val="-36"/>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产所有权上几乎所有的风险和报酬，但是放弃了对该金融资产的控制。</w:t>
      </w:r>
    </w:p>
    <w:p>
      <w:pPr>
        <w:pStyle w:val="BodyText"/>
        <w:spacing w:line="316" w:lineRule="auto" w:before="19"/>
        <w:ind w:right="1132"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316" w:lineRule="auto" w:before="19"/>
        <w:ind w:right="113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9"/>
        <w:ind w:right="1131"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9" w:lineRule="auto" w:before="19"/>
        <w:ind w:right="1131"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00" w:lineRule="auto" w:before="17"/>
        <w:ind w:left="514" w:right="1032"/>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31"/>
        <w:ind w:right="1133"/>
        <w:jc w:val="both"/>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16" w:lineRule="auto" w:before="19"/>
        <w:ind w:left="514" w:right="1212"/>
        <w:jc w:val="left"/>
      </w:pPr>
      <w:r>
        <w:rPr/>
        <w:t>①</w:t>
      </w:r>
      <w:r>
        <w:rPr>
          <w:spacing w:val="-18"/>
        </w:rPr>
        <w:t> </w:t>
      </w:r>
      <w:r>
        <w:rPr/>
        <w:t>以公允价值计量且其变动计入当期损益的金融负债</w:t>
      </w:r>
      <w:r>
        <w:rPr/>
        <w:t> 分类为交易性金融负债和在初始确认时指定为以公允价值计量且其变动计入当期损益的金融负债的条件与分类为交易</w:t>
      </w:r>
    </w:p>
    <w:p>
      <w:pPr>
        <w:pStyle w:val="BodyText"/>
        <w:spacing w:line="316" w:lineRule="auto" w:before="19"/>
        <w:ind w:left="514" w:right="1122" w:hanging="360"/>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19"/>
        <w:ind w:right="0"/>
        <w:jc w:val="both"/>
      </w:pPr>
      <w:r>
        <w:rPr/>
        <w:t>与该等金融负债相关的股利和利息支出计入当期损益。</w:t>
      </w:r>
    </w:p>
    <w:p>
      <w:pPr>
        <w:pStyle w:val="BodyText"/>
        <w:spacing w:line="240" w:lineRule="auto" w:before="76"/>
        <w:ind w:left="514" w:right="1122"/>
        <w:jc w:val="left"/>
      </w:pPr>
      <w:r>
        <w:rPr/>
        <w:t>②</w:t>
      </w:r>
      <w:r>
        <w:rPr>
          <w:spacing w:val="-19"/>
        </w:rPr>
        <w:t> </w:t>
      </w:r>
      <w:r>
        <w:rPr/>
        <w:t>其他金融负债</w:t>
      </w:r>
    </w:p>
    <w:p>
      <w:pPr>
        <w:pStyle w:val="Heading4"/>
        <w:spacing w:line="300" w:lineRule="auto" w:before="64"/>
        <w:ind w:right="1132" w:firstLine="360"/>
        <w:jc w:val="both"/>
        <w:rPr>
          <w:i w:val="0"/>
        </w:rPr>
      </w:pPr>
      <w:r>
        <w:rPr>
          <w:spacing w:val="-2"/>
          <w:w w:val="90"/>
        </w:rPr>
        <w:t>与在活跃市场中没有报价、公允价值不能可靠计量的权益工具挂钩并须通过交付该权益工具结算的衍生金融负债，按照</w:t>
      </w:r>
      <w:r>
        <w:rPr>
          <w:spacing w:val="44"/>
          <w:w w:val="90"/>
        </w:rPr>
        <w:t> </w:t>
      </w:r>
      <w:r>
        <w:rPr>
          <w:spacing w:val="44"/>
          <w:w w:val="90"/>
        </w:rPr>
      </w:r>
      <w:r>
        <w:rPr>
          <w:spacing w:val="-2"/>
          <w:w w:val="95"/>
        </w:rPr>
        <w:t>成本进行后续计量。其他金融负债采用实际利率法，按摊余成本进行后续计量，终止确认或摊销产生的利得或损失计入当期</w:t>
      </w:r>
      <w:r>
        <w:rPr>
          <w:w w:val="94"/>
        </w:rPr>
        <w:t> </w:t>
      </w:r>
      <w:r>
        <w:rPr/>
        <w:t>损益。</w:t>
      </w:r>
      <w:r>
        <w:rPr>
          <w:i w:val="0"/>
        </w:rPr>
      </w:r>
    </w:p>
    <w:p>
      <w:pPr>
        <w:pStyle w:val="BodyText"/>
        <w:spacing w:line="316" w:lineRule="auto" w:before="27"/>
        <w:ind w:left="514" w:right="1122"/>
        <w:jc w:val="left"/>
      </w:pPr>
      <w:r>
        <w:rPr/>
        <w:t>③</w:t>
      </w:r>
      <w:r>
        <w:rPr>
          <w:spacing w:val="-17"/>
        </w:rPr>
        <w:t> </w:t>
      </w:r>
      <w:r>
        <w:rPr/>
        <w:t>财务担保合同及贷款承诺</w:t>
      </w:r>
      <w:r>
        <w:rPr/>
        <w:t> </w:t>
      </w:r>
      <w:r>
        <w:rPr>
          <w:spacing w:val="-2"/>
        </w:rPr>
        <w:t>不属于指定为以公允价值计量且其变动计入当期损益的金融负债的财务担保合同，或没有指定为以公允价值计量且其变</w:t>
      </w:r>
    </w:p>
    <w:p>
      <w:pPr>
        <w:pStyle w:val="BodyText"/>
        <w:spacing w:line="300" w:lineRule="auto" w:before="19"/>
        <w:ind w:right="1132"/>
        <w:jc w:val="both"/>
      </w:pPr>
      <w:r>
        <w:rPr>
          <w:spacing w:val="-2"/>
        </w:rPr>
        <w:t>动计入损益并将以低于市场利率贷款的贷款承诺，以公允价值进行初始确认，在初始确认后按照《企业会计准则第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w:t>
      </w:r>
      <w:r>
        <w:rPr>
          <w:spacing w:val="-63"/>
        </w:rPr>
        <w:t> </w:t>
      </w:r>
      <w:r>
        <w:rPr>
          <w:spacing w:val="-2"/>
        </w:rPr>
        <w:t>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收入》的原则确定的累计摊销额后的余额之中的较高</w:t>
      </w:r>
      <w:r>
        <w:rPr>
          <w:spacing w:val="-64"/>
        </w:rPr>
        <w:t> </w:t>
      </w:r>
      <w:r>
        <w:rPr>
          <w:spacing w:val="-64"/>
        </w:rPr>
      </w:r>
      <w:r>
        <w:rPr/>
        <w:t>者进行后续计量。</w:t>
      </w:r>
    </w:p>
    <w:p>
      <w:pPr>
        <w:pStyle w:val="BodyText"/>
        <w:spacing w:line="240" w:lineRule="auto" w:before="31"/>
        <w:ind w:left="514" w:right="1122"/>
        <w:jc w:val="left"/>
      </w:pPr>
      <w:r>
        <w:rPr/>
        <w:t>（</w:t>
      </w:r>
      <w:r>
        <w:rPr>
          <w:rFonts w:ascii="Times New Roman" w:hAnsi="Times New Roman" w:cs="Times New Roman" w:eastAsia="Times New Roman" w:hint="default"/>
        </w:rPr>
        <w:t>6</w:t>
      </w:r>
      <w:r>
        <w:rPr/>
        <w:t>）金融负债的终止确认</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金融负债的现时义务全部或部分已经解除的，才能终止确认该金融负债或其一部分。本公司（债务人）与债权人之间签</w:t>
      </w:r>
      <w:r>
        <w:rPr/>
        <w:t> </w:t>
      </w: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319" w:lineRule="auto" w:before="19"/>
        <w:ind w:right="1122" w:firstLine="360"/>
        <w:jc w:val="left"/>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00" w:lineRule="auto" w:before="17"/>
        <w:ind w:left="514" w:right="1122"/>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衍生工具于相关合同签署日以公允价值进行初始计量，并以公允价值进行后续计量。除指定为套期工具且套期高度有效</w:t>
      </w:r>
    </w:p>
    <w:p>
      <w:pPr>
        <w:pStyle w:val="BodyText"/>
        <w:spacing w:line="316" w:lineRule="auto" w:before="31"/>
        <w:ind w:right="1122"/>
        <w:jc w:val="left"/>
      </w:pPr>
      <w:r>
        <w:rPr>
          <w:spacing w:val="-2"/>
        </w:rPr>
        <w:t>的衍生工具，其公允价值变动形成的利得或损失将根据套期关系的性质按照套期会计的要求确定计入损益的期间外，其余衍</w:t>
      </w:r>
      <w:r>
        <w:rPr>
          <w:spacing w:val="-64"/>
        </w:rPr>
        <w:t> </w:t>
      </w:r>
      <w:r>
        <w:rPr>
          <w:spacing w:val="-64"/>
        </w:rPr>
      </w:r>
      <w:r>
        <w:rPr/>
        <w:t>生工具的公允价值变动计入当期损益。</w:t>
      </w:r>
    </w:p>
    <w:p>
      <w:pPr>
        <w:pStyle w:val="BodyText"/>
        <w:spacing w:line="316" w:lineRule="auto" w:before="19"/>
        <w:ind w:right="0" w:firstLine="360"/>
        <w:jc w:val="left"/>
      </w:pPr>
      <w:r>
        <w:rPr>
          <w:spacing w:val="-2"/>
        </w:rPr>
        <w:t>对包含嵌入衍生工具的混合工具，如未指定为以公允价值计量且其变动计入当期损益的金融资产或金融负债，嵌入衍生</w:t>
      </w:r>
      <w:r>
        <w:rPr/>
        <w:t> </w:t>
      </w:r>
      <w:r>
        <w:rPr>
          <w:spacing w:val="-4"/>
        </w:rPr>
        <w:t>工具与该主合同在经济特征及风险方面不存在紧密关系，且与嵌入衍生工具条件相同，单独存在的工具符合衍生工具定义的，</w:t>
      </w:r>
      <w:r>
        <w:rPr>
          <w:spacing w:val="-44"/>
        </w:rPr>
        <w:t> </w:t>
      </w:r>
      <w:r>
        <w:rPr>
          <w:spacing w:val="-44"/>
        </w:rPr>
      </w: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pStyle w:val="BodyText"/>
        <w:spacing w:line="300" w:lineRule="auto" w:before="19"/>
        <w:ind w:left="514" w:right="1122"/>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31"/>
        <w:ind w:right="1122"/>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00" w:lineRule="auto" w:before="19"/>
        <w:ind w:left="514" w:right="1122"/>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权益工具是指能证明拥有本公司在扣除所有负债后的资产中的剩余权益的合同。本公司发行（含再融资）、回购、出售</w:t>
      </w:r>
    </w:p>
    <w:p>
      <w:pPr>
        <w:pStyle w:val="BodyText"/>
        <w:spacing w:line="316" w:lineRule="auto" w:before="31"/>
        <w:ind w:left="514" w:right="1032" w:hanging="360"/>
        <w:jc w:val="left"/>
      </w:pPr>
      <w:r>
        <w:rPr>
          <w:spacing w:val="-4"/>
        </w:rPr>
        <w:t>或注销权益工具作为权益的变动处理。本公司不确认权益工具的公允价值变动。与权益性交易相关的交易费用从权益中扣减。</w:t>
      </w:r>
      <w:r>
        <w:rPr>
          <w:spacing w:val="-43"/>
        </w:rPr>
        <w:t> </w:t>
      </w:r>
      <w:r>
        <w:rPr>
          <w:spacing w:val="-43"/>
        </w:rPr>
      </w:r>
      <w:r>
        <w:rPr/>
        <w:t>本公司对权益工具持有方的各种分配（不包括股票股利），减少股东权益。本公司不确认权益工具的公允价值变动额。</w:t>
      </w:r>
    </w:p>
    <w:p>
      <w:pPr>
        <w:spacing w:line="240" w:lineRule="auto" w:before="7"/>
        <w:rPr>
          <w:rFonts w:ascii="宋体" w:hAnsi="宋体" w:cs="宋体" w:eastAsia="宋体" w:hint="default"/>
          <w:sz w:val="22"/>
          <w:szCs w:val="22"/>
        </w:rPr>
      </w:pPr>
    </w:p>
    <w:p>
      <w:pPr>
        <w:pStyle w:val="Heading3"/>
        <w:spacing w:line="240" w:lineRule="auto"/>
        <w:ind w:right="1122"/>
        <w:jc w:val="left"/>
        <w:rPr>
          <w:b w:val="0"/>
          <w:bCs w:val="0"/>
        </w:rPr>
      </w:pPr>
      <w:bookmarkStart w:name="11、应收票据及应收账款" w:id="194"/>
      <w:bookmarkEnd w:id="194"/>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单项金额重大并单独计提坏账准备的应收款项" w:id="195"/>
      <w:bookmarkEnd w:id="19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万元以上的应收款项确认为单项金 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1122"/>
        <w:jc w:val="left"/>
        <w:rPr>
          <w:b w:val="0"/>
          <w:bCs w:val="0"/>
        </w:rPr>
      </w:pPr>
      <w:bookmarkStart w:name="（2）按信用风险特征组合计提坏账准备的应收款项" w:id="196"/>
      <w:bookmarkEnd w:id="19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合并范围内公司往来款项的组合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职工周转用备用金的组合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1122"/>
        <w:jc w:val="left"/>
      </w:pPr>
      <w:r>
        <w:rPr/>
        <w:t>组合中，采用账龄分析法计提坏账准备的：</w:t>
      </w:r>
    </w:p>
    <w:p>
      <w:pPr>
        <w:pStyle w:val="BodyText"/>
        <w:spacing w:line="240" w:lineRule="auto" w:before="116"/>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22"/>
        <w:jc w:val="left"/>
      </w:pPr>
      <w:r>
        <w:rPr/>
        <w:t>组合中，采用余额百分比法计提坏账准备的：</w:t>
      </w:r>
    </w:p>
    <w:p>
      <w:pPr>
        <w:pStyle w:val="BodyText"/>
        <w:spacing w:line="340" w:lineRule="auto" w:before="116"/>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3）单项金额不重大但单独计提坏账准备的应收款项" w:id="197"/>
      <w:bookmarkEnd w:id="19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pStyle w:val="BodyText"/>
        <w:spacing w:line="240" w:lineRule="auto" w:before="44"/>
        <w:ind w:left="0" w:right="1139"/>
        <w:jc w:val="right"/>
      </w:pPr>
      <w:r>
        <w:rPr/>
        <w:pict>
          <v:shape style="position:absolute;margin-left:56.459999pt;margin-top:-32.048264pt;width:479.2pt;height:118.7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9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计提坏账准备：应收关联方款项；与对方存在争议或涉及诉 讼、仲裁的应收款项；已有明显迹象表明债务人很可能无法 履行还款义务的应收款项等等。</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9"/>
        <w:ind w:right="1122"/>
        <w:jc w:val="left"/>
        <w:rPr>
          <w:b w:val="0"/>
          <w:bCs w:val="0"/>
        </w:rPr>
      </w:pPr>
      <w:bookmarkStart w:name="12、存货" w:id="198"/>
      <w:bookmarkEnd w:id="198"/>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00" w:lineRule="auto" w:before="25"/>
        <w:ind w:left="514" w:right="4632"/>
        <w:jc w:val="left"/>
      </w:pPr>
      <w:r>
        <w:rPr/>
        <w:t>（</w:t>
      </w:r>
      <w:r>
        <w:rPr>
          <w:rFonts w:ascii="Times New Roman" w:hAnsi="Times New Roman" w:cs="Times New Roman" w:eastAsia="Times New Roman" w:hint="default"/>
        </w:rPr>
        <w:t>1</w:t>
      </w:r>
      <w:r>
        <w:rPr/>
        <w:t>）存货的分类 存货主要包括原材料、委托加工物资、在产品、周转材料、库存商品等。</w:t>
      </w:r>
    </w:p>
    <w:p>
      <w:pPr>
        <w:pStyle w:val="BodyText"/>
        <w:spacing w:line="300" w:lineRule="auto" w:before="32"/>
        <w:ind w:left="514" w:right="1392"/>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w:t>
      </w:r>
    </w:p>
    <w:p>
      <w:pPr>
        <w:pStyle w:val="BodyText"/>
        <w:spacing w:line="300" w:lineRule="auto" w:before="31"/>
        <w:ind w:left="514" w:right="1122"/>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6" w:lineRule="auto" w:before="31"/>
        <w:ind w:left="514" w:right="1032" w:hanging="360"/>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316" w:lineRule="auto" w:before="19"/>
        <w:ind w:right="1131"/>
        <w:jc w:val="both"/>
      </w:pPr>
      <w:r>
        <w:rPr>
          <w:spacing w:val="-2"/>
        </w:rPr>
        <w:t>备通常按单个存货项目的成本高于其可变现净值的差额提取。对于数量繁多、单价较低的存货，按存货类别计提存货跌价准</w:t>
      </w:r>
      <w:r>
        <w:rPr>
          <w:spacing w:val="-66"/>
        </w:rPr>
        <w:t> </w:t>
      </w:r>
      <w:r>
        <w:rPr>
          <w:spacing w:val="-66"/>
        </w:rPr>
      </w:r>
      <w:r>
        <w:rPr>
          <w:spacing w:val="-2"/>
        </w:rPr>
        <w:t>备；对在同一地区生产和销售的产品系列相关、具有相同或类似最终用途或目的，且难以与其他项目分开计量的存货，可合</w:t>
      </w:r>
      <w:r>
        <w:rPr>
          <w:spacing w:val="-66"/>
        </w:rPr>
        <w:t> </w:t>
      </w:r>
      <w:r>
        <w:rPr>
          <w:spacing w:val="-66"/>
        </w:rPr>
      </w:r>
      <w:r>
        <w:rPr/>
        <w:t>并计提存货跌价准备。</w:t>
      </w:r>
    </w:p>
    <w:p>
      <w:pPr>
        <w:pStyle w:val="BodyText"/>
        <w:spacing w:line="316" w:lineRule="auto" w:before="19"/>
        <w:ind w:right="1133" w:firstLine="360"/>
        <w:jc w:val="both"/>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p>
    <w:p>
      <w:pPr>
        <w:pStyle w:val="BodyText"/>
        <w:spacing w:line="240" w:lineRule="auto" w:before="19"/>
        <w:ind w:left="514" w:right="1122"/>
        <w:jc w:val="left"/>
      </w:pPr>
      <w:r>
        <w:rPr/>
        <w:t>（</w:t>
      </w:r>
      <w:r>
        <w:rPr>
          <w:rFonts w:ascii="Times New Roman" w:hAnsi="Times New Roman" w:cs="Times New Roman" w:eastAsia="Times New Roman" w:hint="default"/>
        </w:rPr>
        <w:t>4</w:t>
      </w:r>
      <w:r>
        <w:rPr/>
        <w:t>）存货的盘存制度为永续盘存制。</w:t>
      </w:r>
    </w:p>
    <w:p>
      <w:pPr>
        <w:pStyle w:val="BodyText"/>
        <w:spacing w:line="300" w:lineRule="auto" w:before="63"/>
        <w:ind w:left="514" w:right="4272"/>
        <w:jc w:val="left"/>
      </w:pPr>
      <w:r>
        <w:rPr/>
        <w:t>（</w:t>
      </w:r>
      <w:r>
        <w:rPr>
          <w:rFonts w:ascii="Times New Roman" w:hAnsi="Times New Roman" w:cs="Times New Roman" w:eastAsia="Times New Roman" w:hint="default"/>
        </w:rPr>
        <w:t>5</w:t>
      </w:r>
      <w:r>
        <w:rPr/>
        <w:t>）低值易耗品和包装物的摊销方法。 低值易耗品于领用时按分次摊销法摊销；包装物于领用时按分次摊销法摊销。</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bookmarkStart w:name="13、持有待售资产" w:id="199"/>
      <w:bookmarkEnd w:id="199"/>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3" w:firstLine="360"/>
        <w:jc w:val="both"/>
      </w:pPr>
      <w:r>
        <w:rPr>
          <w:spacing w:val="-2"/>
        </w:rPr>
        <w:t>本公司若主要通过出售（包括具有商业实质的非货币性资产交换，下同）而非持续使用一项非流动资产或处置组收回其</w:t>
      </w:r>
      <w:r>
        <w:rPr/>
        <w:t> </w:t>
      </w:r>
      <w:r>
        <w:rPr>
          <w:spacing w:val="-2"/>
        </w:rPr>
        <w:t>账面价值的，则将其划分为持有待售类别。具体标准为同时满足以下条件：某项非流动资产或处置组根据类似交易中出售此</w:t>
      </w:r>
      <w:r>
        <w:rPr>
          <w:spacing w:val="-66"/>
        </w:rPr>
        <w:t> </w:t>
      </w:r>
      <w:r>
        <w:rPr>
          <w:spacing w:val="-66"/>
        </w:rPr>
      </w:r>
      <w:r>
        <w:rPr>
          <w:spacing w:val="-2"/>
        </w:rPr>
        <w:t>类资产或处置组的惯例，在当前状况下即可立即出售；本公司已经就出售计划作出决议且获得确定的购买承诺；预计出售将</w:t>
      </w:r>
      <w:r>
        <w:rPr>
          <w:spacing w:val="-66"/>
        </w:rPr>
        <w:t> </w:t>
      </w:r>
      <w:r>
        <w:rPr>
          <w:spacing w:val="-66"/>
        </w:rPr>
      </w:r>
      <w:r>
        <w:rPr>
          <w:spacing w:val="-2"/>
        </w:rPr>
        <w:t>在一年内完成。其中，处置组是指在一项交易中作为整体通过出售或其他方式一并处置的一组资产，以及在该交易中转让的</w:t>
      </w:r>
      <w:r>
        <w:rPr>
          <w:spacing w:val="-66"/>
        </w:rPr>
        <w:t> </w:t>
      </w:r>
      <w:r>
        <w:rPr>
          <w:spacing w:val="-66"/>
        </w:rPr>
      </w:r>
      <w:r>
        <w:rPr/>
        <w:t>与这些资产直接相关的负债。处置组所属的资产组或资产组组合按照《企业会计准则第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资产减值》分摊了企业合</w:t>
      </w:r>
    </w:p>
    <w:p>
      <w:pPr>
        <w:spacing w:after="0" w:line="31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1122" w:hanging="360"/>
        <w:jc w:val="left"/>
      </w:pPr>
      <w:r>
        <w:rPr/>
        <w:t>并中取得的商誉的，该处置组应当包含分摊至处置组的商誉。 </w:t>
      </w:r>
      <w:r>
        <w:rPr>
          <w:spacing w:val="-2"/>
        </w:rPr>
        <w:t>本公司初始计量或在资产负债表日重新计量划分为持有待售的非流动资产和处置组时，其账面价值高于公允价值减去出</w:t>
      </w:r>
    </w:p>
    <w:p>
      <w:pPr>
        <w:pStyle w:val="BodyText"/>
        <w:spacing w:line="314" w:lineRule="auto" w:before="19"/>
        <w:ind w:right="1032"/>
        <w:jc w:val="left"/>
      </w:pPr>
      <w:r>
        <w:rPr/>
        <w:t>售费用后的净额的，将账面价值减记至公允价值减去出售费用后的净额，减记的金额确认为资产减值损失，计入当期损益， </w:t>
      </w:r>
      <w:r>
        <w:rPr>
          <w:spacing w:val="-2"/>
        </w:rPr>
        <w:t>同时计提持有待售资产减值准备。对于处置组，所确认的资产减值损失先抵减处置组中商誉的账面价值，再按比例抵减该处</w:t>
      </w:r>
      <w:r>
        <w:rPr>
          <w:spacing w:val="-66"/>
        </w:rPr>
        <w:t> </w:t>
      </w:r>
      <w:r>
        <w:rPr>
          <w:spacing w:val="-66"/>
        </w:rPr>
      </w:r>
      <w:r>
        <w:rPr>
          <w:spacing w:val="-2"/>
        </w:rPr>
        <w:t>置组内适用《企业会计准则第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持有待售的非流动资产、处置组和终止经营》（以下简称</w:t>
      </w:r>
      <w:r>
        <w:rPr>
          <w:rFonts w:ascii="Times New Roman" w:hAnsi="Times New Roman" w:cs="Times New Roman" w:eastAsia="Times New Roman" w:hint="default"/>
          <w:spacing w:val="-2"/>
        </w:rPr>
        <w:t>“</w:t>
      </w:r>
      <w:r>
        <w:rPr>
          <w:spacing w:val="-2"/>
        </w:rPr>
        <w:t>持有待售准则</w:t>
      </w:r>
      <w:r>
        <w:rPr>
          <w:rFonts w:ascii="Times New Roman" w:hAnsi="Times New Roman" w:cs="Times New Roman" w:eastAsia="Times New Roman" w:hint="default"/>
          <w:spacing w:val="-2"/>
        </w:rPr>
        <w:t>”</w:t>
      </w:r>
      <w:r>
        <w:rPr>
          <w:spacing w:val="-2"/>
        </w:rPr>
        <w:t>）的计量规</w:t>
      </w:r>
      <w:r>
        <w:rPr>
          <w:spacing w:val="-42"/>
        </w:rPr>
        <w:t> </w:t>
      </w:r>
      <w:r>
        <w:rPr>
          <w:spacing w:val="-42"/>
        </w:rPr>
      </w:r>
      <w:r>
        <w:rPr>
          <w:spacing w:val="-2"/>
        </w:rPr>
        <w:t>定的各项非流动资产的账面价值。后续资产负债表日持有待售的处置组公允价值减去出售费用后的净额增加的，以前减记的</w:t>
      </w:r>
      <w:r>
        <w:rPr>
          <w:spacing w:val="-64"/>
        </w:rPr>
        <w:t> </w:t>
      </w:r>
      <w:r>
        <w:rPr>
          <w:spacing w:val="-64"/>
        </w:rPr>
      </w:r>
      <w:r>
        <w:rPr/>
        <w:t>金额应当予以恢复，并在划分为持有待售类别后适用持有待售准则计量规定的非流动资产确认的资产减值损失金额内转回， </w:t>
      </w:r>
      <w:r>
        <w:rPr>
          <w:spacing w:val="-2"/>
        </w:rPr>
        <w:t>转回金额计入当期损益，并根据处置组中除商誉外适用持有待售准则计量规定的各项非流动资产账面价值所占比重按比例增</w:t>
      </w:r>
      <w:r>
        <w:rPr>
          <w:spacing w:val="-64"/>
        </w:rPr>
        <w:t> </w:t>
      </w:r>
      <w:r>
        <w:rPr>
          <w:spacing w:val="-64"/>
        </w:rPr>
      </w:r>
      <w:r>
        <w:rPr>
          <w:spacing w:val="-2"/>
        </w:rPr>
        <w:t>加其账面价值；已抵减的商誉账面价值，以及适用持有待售准则计量规定的非流动资产在划分为持有待售类别前确认的资产</w:t>
      </w:r>
      <w:r>
        <w:rPr>
          <w:spacing w:val="-64"/>
        </w:rPr>
        <w:t> </w:t>
      </w:r>
      <w:r>
        <w:rPr>
          <w:spacing w:val="-64"/>
        </w:rPr>
      </w:r>
      <w:r>
        <w:rPr/>
        <w:t>减值损失不得转回。</w:t>
      </w:r>
    </w:p>
    <w:p>
      <w:pPr>
        <w:pStyle w:val="BodyText"/>
        <w:spacing w:line="314" w:lineRule="auto" w:before="20"/>
        <w:ind w:right="1122" w:firstLine="360"/>
        <w:jc w:val="left"/>
      </w:pPr>
      <w:r>
        <w:rPr>
          <w:spacing w:val="-2"/>
        </w:rPr>
        <w:t>持有待售的非流动资产或处置组中的非流动资产不计提折旧或摊销，持有待售的处置组中负债的利息和其他费用继续予</w:t>
      </w:r>
      <w:r>
        <w:rPr/>
        <w:t> 以确认。 </w:t>
      </w:r>
      <w:r>
        <w:rPr>
          <w:spacing w:val="-2"/>
        </w:rPr>
        <w:t>非流动资产或处置组不再满足持有待售类别的划分条件时，本公司不再将其继续划分为持有待售类别或将非流动资产从持有</w:t>
      </w:r>
      <w:r>
        <w:rPr>
          <w:spacing w:val="-64"/>
        </w:rPr>
        <w:t> </w:t>
      </w:r>
      <w:r>
        <w:rPr>
          <w:spacing w:val="-64"/>
        </w:rPr>
      </w:r>
      <w:r>
        <w:rPr/>
        <w:t>待售的处置组中移除，并按照以下两者孰低计量：（</w:t>
      </w:r>
      <w:r>
        <w:rPr>
          <w:rFonts w:ascii="Times New Roman" w:hAnsi="Times New Roman" w:cs="Times New Roman" w:eastAsia="Times New Roman" w:hint="default"/>
        </w:rPr>
        <w:t>1</w:t>
      </w:r>
      <w:r>
        <w:rPr/>
        <w:t>）划分为持有待售类别前的账面价值，按照假定不划分为持有待售类</w:t>
      </w:r>
      <w:r>
        <w:rPr>
          <w:spacing w:val="-82"/>
        </w:rPr>
        <w:t> </w:t>
      </w:r>
      <w:r>
        <w:rPr>
          <w:spacing w:val="-82"/>
        </w:rPr>
      </w:r>
      <w:r>
        <w:rPr/>
        <w:t>别情况下本应确认的折旧、摊销或减值等进行调整后的金额；（</w:t>
      </w:r>
      <w:r>
        <w:rPr>
          <w:rFonts w:ascii="Times New Roman" w:hAnsi="Times New Roman" w:cs="Times New Roman" w:eastAsia="Times New Roman" w:hint="default"/>
        </w:rPr>
        <w:t>2</w:t>
      </w:r>
      <w:r>
        <w:rPr/>
        <w:t>）可收回金额。</w:t>
      </w:r>
    </w:p>
    <w:p>
      <w:pPr>
        <w:spacing w:line="240" w:lineRule="auto" w:before="2"/>
        <w:rPr>
          <w:rFonts w:ascii="宋体" w:hAnsi="宋体" w:cs="宋体" w:eastAsia="宋体" w:hint="default"/>
          <w:sz w:val="21"/>
          <w:szCs w:val="21"/>
        </w:rPr>
      </w:pPr>
    </w:p>
    <w:p>
      <w:pPr>
        <w:pStyle w:val="Heading3"/>
        <w:spacing w:line="240" w:lineRule="auto"/>
        <w:ind w:right="1122"/>
        <w:jc w:val="left"/>
        <w:rPr>
          <w:b w:val="0"/>
          <w:bCs w:val="0"/>
        </w:rPr>
      </w:pPr>
      <w:bookmarkStart w:name="14、长期股权投资" w:id="200"/>
      <w:bookmarkEnd w:id="20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9" w:lineRule="auto"/>
        <w:ind w:right="1132"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300" w:lineRule="auto" w:before="17"/>
        <w:ind w:left="514" w:right="1122"/>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对于同一控制下的企业合并取得的长期股权投资，在合并日按照被合并方所有者权益在最终控制方合并财务报表中的账</w:t>
      </w:r>
    </w:p>
    <w:p>
      <w:pPr>
        <w:pStyle w:val="BodyText"/>
        <w:spacing w:line="314" w:lineRule="auto" w:before="31"/>
        <w:ind w:right="1130"/>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6"/>
        </w:rPr>
        <w:t> </w:t>
      </w:r>
      <w:r>
        <w:rPr>
          <w:spacing w:val="-66"/>
        </w:rPr>
      </w:r>
      <w:r>
        <w:rPr>
          <w:spacing w:val="-2"/>
        </w:rPr>
        <w:t>并日按照被合并方所有者权益在最终控制方合并财务报表中的账面价值的份额作为长期股权投资的初始投资成本，按照发行</w:t>
      </w:r>
      <w:r>
        <w:rPr>
          <w:spacing w:val="-64"/>
        </w:rPr>
        <w:t> </w:t>
      </w:r>
      <w:r>
        <w:rPr>
          <w:spacing w:val="-64"/>
        </w:rPr>
      </w:r>
      <w:r>
        <w:rPr>
          <w:spacing w:val="-2"/>
        </w:rPr>
        <w:t>股份的面值总额作为股本，长期股权投资初始投资成本与所发行股份面值总额之间的差额，调整资本公积；资本公积不足冲</w:t>
      </w:r>
      <w:r>
        <w:rPr>
          <w:spacing w:val="-66"/>
        </w:rPr>
        <w:t> </w:t>
      </w:r>
      <w:r>
        <w:rPr>
          <w:spacing w:val="-66"/>
        </w:rPr>
      </w:r>
      <w:r>
        <w:rPr>
          <w:spacing w:val="-2"/>
        </w:rPr>
        <w:t>减的，调整留存收益。通过多次交易分步取得同一控制下被合并方的股权，最终形成同一控制下企业合并的，应分别是否属</w:t>
      </w:r>
      <w:r>
        <w:rPr>
          <w:spacing w:val="-65"/>
        </w:rPr>
        <w:t> </w:t>
      </w:r>
      <w:r>
        <w:rPr>
          <w:spacing w:val="-65"/>
        </w:rPr>
      </w:r>
      <w:r>
        <w:rPr/>
        <w:t>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 易</w:t>
      </w:r>
      <w:r>
        <w:rPr>
          <w:rFonts w:ascii="Times New Roman" w:hAnsi="Times New Roman" w:cs="Times New Roman" w:eastAsia="Times New Roman" w:hint="default"/>
        </w:rPr>
        <w:t>”</w:t>
      </w:r>
      <w:r>
        <w:rPr/>
        <w:t>的，在合并日按照应享有被合并方所有者权益在最终控制方合并财务报表中的账面价值的份额作为长期股权投资的初始 </w:t>
      </w:r>
      <w:r>
        <w:rPr>
          <w:spacing w:val="-2"/>
        </w:rPr>
        <w:t>投资成本，长期股权投资初始投资成本与达到合并前的长期股权投资账面价值加上合并日进一步取得股份新支付对价的账面</w:t>
      </w:r>
      <w:r>
        <w:rPr>
          <w:spacing w:val="-64"/>
        </w:rPr>
        <w:t> </w:t>
      </w:r>
      <w:r>
        <w:rPr>
          <w:spacing w:val="-64"/>
        </w:rPr>
      </w:r>
      <w:r>
        <w:rPr>
          <w:spacing w:val="-2"/>
        </w:rPr>
        <w:t>价值之和的差额，调整资本公积；资本公积不足冲减的，调整留存收益。合并日之前持有的股权投资因采用权益法核算或为</w:t>
      </w:r>
      <w:r>
        <w:rPr>
          <w:spacing w:val="-66"/>
        </w:rPr>
        <w:t> </w:t>
      </w:r>
      <w:r>
        <w:rPr>
          <w:spacing w:val="-66"/>
        </w:rPr>
      </w:r>
      <w:r>
        <w:rPr/>
        <w:t>可供出售金融资产而确认的其他综合收益，暂不进行会计处理。</w:t>
      </w:r>
    </w:p>
    <w:p>
      <w:pPr>
        <w:pStyle w:val="BodyText"/>
        <w:spacing w:line="312" w:lineRule="auto" w:before="20"/>
        <w:ind w:right="1040" w:firstLine="360"/>
        <w:jc w:val="left"/>
      </w:pPr>
      <w:r>
        <w:rPr>
          <w:spacing w:val="-2"/>
        </w:rPr>
        <w:t>对于非同一控制下的企业合并取得的长期股权投资，在购买日按照合并成本作为长期股权投资的初始投资成本，合并成</w:t>
      </w:r>
      <w:r>
        <w:rPr/>
        <w:t> </w:t>
      </w:r>
      <w:r>
        <w:rPr>
          <w:spacing w:val="-4"/>
        </w:rPr>
        <w:t>本包括购买方付出的资产、发生或承担的负债、发行的权益性证券的公允价值之和。通过多次交易分步取得被购买方的股权，</w:t>
      </w:r>
      <w:r>
        <w:rPr>
          <w:spacing w:val="-44"/>
        </w:rPr>
        <w:t> </w:t>
      </w:r>
      <w:r>
        <w:rPr>
          <w:spacing w:val="-44"/>
        </w:rPr>
      </w:r>
      <w:r>
        <w:rPr/>
        <w:t>最终形成非同一控制下的企业合并的，应分别是否属于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 </w:t>
      </w:r>
      <w:r>
        <w:rPr>
          <w:spacing w:val="-3"/>
          <w:w w:val="100"/>
        </w:rPr>
        <w:t>取得控制权的交易进行会计处理。不属于</w:t>
      </w:r>
      <w:r>
        <w:rPr>
          <w:rFonts w:ascii="Times New Roman" w:hAnsi="Times New Roman" w:cs="Times New Roman" w:eastAsia="Times New Roman" w:hint="default"/>
          <w:spacing w:val="-3"/>
          <w:w w:val="100"/>
        </w:rPr>
        <w:t>“</w:t>
      </w:r>
      <w:r>
        <w:rPr>
          <w:spacing w:val="-3"/>
          <w:w w:val="100"/>
        </w:rPr>
        <w:t>一揽子交易</w:t>
      </w:r>
      <w:r>
        <w:rPr>
          <w:rFonts w:ascii="Times New Roman" w:hAnsi="Times New Roman" w:cs="Times New Roman" w:eastAsia="Times New Roman" w:hint="default"/>
          <w:spacing w:val="-3"/>
          <w:w w:val="100"/>
        </w:rPr>
        <w:t>”</w:t>
      </w:r>
      <w:r>
        <w:rPr>
          <w:spacing w:val="-3"/>
          <w:w w:val="100"/>
        </w:rPr>
        <w:t>的，按照原持有被购买方的股权投资账面价值加上新增投资成本之和，</w:t>
      </w:r>
      <w:r>
        <w:rPr>
          <w:spacing w:val="-76"/>
          <w:w w:val="100"/>
        </w:rPr>
        <w:t> </w:t>
      </w:r>
      <w:r>
        <w:rPr>
          <w:spacing w:val="-76"/>
          <w:w w:val="100"/>
        </w:rPr>
      </w:r>
      <w:r>
        <w:rPr>
          <w:spacing w:val="-2"/>
        </w:rPr>
        <w:t>作为改按成本法核算的长期股权投资的初始投资成本。原持有的股权采用权益法核算的，相关其他综合收益暂不进行会计处</w:t>
      </w:r>
      <w:r>
        <w:rPr>
          <w:spacing w:val="-64"/>
        </w:rPr>
        <w:t> </w:t>
      </w:r>
      <w:r>
        <w:rPr>
          <w:spacing w:val="-64"/>
        </w:rPr>
      </w:r>
      <w:r>
        <w:rPr>
          <w:spacing w:val="-2"/>
        </w:rPr>
        <w:t>理。原持有股权投资为可供出售金融资产的，其公允价值与账面价值之间的差额，以及原计入其他综合收益的累计公允价值</w:t>
      </w:r>
      <w:r>
        <w:rPr>
          <w:spacing w:val="-66"/>
        </w:rPr>
        <w:t> </w:t>
      </w:r>
      <w:r>
        <w:rPr>
          <w:spacing w:val="-66"/>
        </w:rPr>
      </w:r>
      <w:r>
        <w:rPr/>
        <w:t>变动转入当期损益。</w:t>
      </w:r>
    </w:p>
    <w:p>
      <w:pPr>
        <w:pStyle w:val="BodyText"/>
        <w:spacing w:line="240" w:lineRule="auto" w:before="22"/>
        <w:ind w:left="514" w:right="0"/>
        <w:jc w:val="left"/>
      </w:pPr>
      <w:r>
        <w:rPr/>
        <w:t>合并方或购买方为企业合并发生的审计、法律服务、评估咨询等中介费用以及其他相关管理费用，于发生时计入当期损</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22"/>
        <w:jc w:val="left"/>
      </w:pPr>
      <w:r>
        <w:rPr/>
        <w:t>益。</w:t>
      </w:r>
    </w:p>
    <w:p>
      <w:pPr>
        <w:pStyle w:val="BodyText"/>
        <w:spacing w:line="314" w:lineRule="auto" w:before="76"/>
        <w:ind w:right="1131"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4"/>
        </w:rPr>
        <w:t> </w:t>
      </w:r>
      <w:r>
        <w:rPr>
          <w:spacing w:val="-64"/>
        </w:rPr>
      </w:r>
      <w:r>
        <w:rPr/>
        <w:t>新增投资成本之和。</w:t>
      </w:r>
    </w:p>
    <w:p>
      <w:pPr>
        <w:pStyle w:val="BodyText"/>
        <w:spacing w:line="300" w:lineRule="auto" w:before="20"/>
        <w:ind w:left="514" w:right="1122"/>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31"/>
        <w:ind w:right="1122"/>
        <w:jc w:val="left"/>
      </w:pPr>
      <w:r>
        <w:rPr/>
        <w:t>表采用成本法核算能够对被投资单位实施控制的长期股权投资。</w:t>
      </w:r>
    </w:p>
    <w:p>
      <w:pPr>
        <w:pStyle w:val="BodyText"/>
        <w:spacing w:line="316" w:lineRule="auto" w:before="76"/>
        <w:ind w:left="514" w:right="1122"/>
        <w:jc w:val="left"/>
      </w:pPr>
      <w:r>
        <w:rPr/>
        <w:t>①</w:t>
      </w:r>
      <w:r>
        <w:rPr>
          <w:spacing w:val="-17"/>
        </w:rPr>
        <w:t> </w:t>
      </w:r>
      <w:r>
        <w:rPr/>
        <w:t>成本法核算的长期股权投资</w:t>
      </w:r>
      <w:r>
        <w:rPr/>
        <w:t> </w:t>
      </w:r>
      <w:r>
        <w:rPr>
          <w:spacing w:val="-2"/>
        </w:rPr>
        <w:t>采用成本法核算时，长期股权投资按初始投资成本计价，追加或收回投资调整长期股权投资的成本。除取得投资时实际</w:t>
      </w:r>
    </w:p>
    <w:p>
      <w:pPr>
        <w:pStyle w:val="BodyText"/>
        <w:spacing w:line="316" w:lineRule="auto" w:before="19"/>
        <w:ind w:right="1122"/>
        <w:jc w:val="left"/>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316" w:lineRule="auto" w:before="19"/>
        <w:ind w:left="514" w:right="1122"/>
        <w:jc w:val="left"/>
      </w:pPr>
      <w:r>
        <w:rPr/>
        <w:t>②</w:t>
      </w:r>
      <w:r>
        <w:rPr>
          <w:spacing w:val="-17"/>
        </w:rPr>
        <w:t> </w:t>
      </w:r>
      <w:r>
        <w:rPr/>
        <w:t>权益法核算的长期股权投资</w:t>
      </w:r>
      <w:r>
        <w:rPr/>
        <w:t> </w:t>
      </w:r>
      <w:r>
        <w:rPr>
          <w:spacing w:val="-2"/>
        </w:rPr>
        <w:t>采用权益法核算时，长期股权投资的初始投资成本大于投资时应享有被投资单位可辨认净资产公允价值份额的，不调整</w:t>
      </w:r>
    </w:p>
    <w:p>
      <w:pPr>
        <w:pStyle w:val="BodyText"/>
        <w:spacing w:line="316" w:lineRule="auto" w:before="19"/>
        <w:ind w:right="1122"/>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1032"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4"/>
        </w:rPr>
        <w:t> </w:t>
      </w:r>
      <w:r>
        <w:rPr>
          <w:spacing w:val="-44"/>
        </w:rPr>
      </w:r>
      <w:r>
        <w:rPr>
          <w:spacing w:val="-2"/>
        </w:rPr>
        <w:t>不予以抵销。本公司向合营企业或联营企业投出的资产构成业务的，投资方因此取得长期股权投资但未取得控制权的，以投</w:t>
      </w:r>
      <w:r>
        <w:rPr>
          <w:spacing w:val="-66"/>
        </w:rPr>
        <w:t> </w:t>
      </w:r>
      <w:r>
        <w:rPr>
          <w:spacing w:val="-66"/>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4"/>
        </w:rPr>
        <w:t> </w:t>
      </w:r>
      <w:r>
        <w:rPr>
          <w:spacing w:val="-64"/>
        </w:rPr>
      </w:r>
      <w:r>
        <w:rPr/>
        <w:t>相关的利得或损失。</w:t>
      </w:r>
    </w:p>
    <w:p>
      <w:pPr>
        <w:pStyle w:val="BodyText"/>
        <w:spacing w:line="316" w:lineRule="auto" w:before="19"/>
        <w:ind w:right="1130"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5"/>
        </w:rPr>
        <w:t> </w:t>
      </w:r>
      <w:r>
        <w:rPr>
          <w:spacing w:val="-65"/>
        </w:rPr>
      </w:r>
      <w:r>
        <w:rPr/>
        <w:t>资损失。被投资单位以后期间实现净利润的，本公司在收益分享额弥补未确认的亏损分担额后，恢复确认收益分享额。</w:t>
      </w:r>
    </w:p>
    <w:p>
      <w:pPr>
        <w:pStyle w:val="BodyText"/>
        <w:spacing w:line="316" w:lineRule="auto" w:before="19"/>
        <w:ind w:left="514" w:right="1122"/>
        <w:jc w:val="left"/>
      </w:pPr>
      <w:r>
        <w:rPr/>
        <w:t>③</w:t>
      </w:r>
      <w:r>
        <w:rPr>
          <w:spacing w:val="-17"/>
        </w:rPr>
        <w:t> </w:t>
      </w:r>
      <w:r>
        <w:rPr/>
        <w:t>收购少数股权</w:t>
      </w:r>
      <w:r>
        <w:rPr/>
        <w:t> </w:t>
      </w:r>
      <w:r>
        <w:rPr>
          <w:spacing w:val="-2"/>
        </w:rPr>
        <w:t>在编制合并财务报表时，因购买少数股权新增的长期股权投资与按照新增持股比例计算应享有子公司自购买日（或合并</w:t>
      </w:r>
    </w:p>
    <w:p>
      <w:pPr>
        <w:pStyle w:val="BodyText"/>
        <w:spacing w:line="240" w:lineRule="auto" w:before="19"/>
        <w:ind w:right="1122"/>
        <w:jc w:val="left"/>
      </w:pPr>
      <w:r>
        <w:rPr/>
        <w:t>日）开始持续计算的净资产份额之间的差额，调整资本公积，资本公积不足冲减的，调整留存收益。</w:t>
      </w:r>
    </w:p>
    <w:p>
      <w:pPr>
        <w:pStyle w:val="BodyText"/>
        <w:spacing w:line="316" w:lineRule="auto" w:before="76"/>
        <w:ind w:left="514" w:right="1122"/>
        <w:jc w:val="left"/>
      </w:pPr>
      <w:r>
        <w:rPr/>
        <w:t>④</w:t>
      </w:r>
      <w:r>
        <w:rPr>
          <w:spacing w:val="-17"/>
        </w:rPr>
        <w:t> </w:t>
      </w:r>
      <w:r>
        <w:rPr/>
        <w:t>处置长期股权投资</w:t>
      </w:r>
      <w:r>
        <w:rPr/>
        <w:t> </w:t>
      </w:r>
      <w:r>
        <w:rPr>
          <w:spacing w:val="-2"/>
        </w:rPr>
        <w:t>在合并财务报表中，母公司在不丧失控制权的情况下部分处置对子公司的长期股权投资，处置价款与处置长期股权投资</w:t>
      </w:r>
    </w:p>
    <w:p>
      <w:pPr>
        <w:pStyle w:val="BodyText"/>
        <w:spacing w:line="319" w:lineRule="auto" w:before="19"/>
        <w:ind w:right="1122"/>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514" w:right="1122"/>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240" w:lineRule="auto" w:before="19"/>
        <w:ind w:right="0"/>
        <w:jc w:val="left"/>
      </w:pPr>
      <w:r>
        <w:rPr/>
        <w:t>部分按相应的比例采用与被投资单位直接处置相关资产或负债相同的基础进行会计处理。因被投资方除净损益、其他综合收</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1122" w:hanging="360"/>
        <w:jc w:val="left"/>
      </w:pPr>
      <w:r>
        <w:rPr/>
        <w:t>益和利润分配以外的其他所有者权益变动而确认的所有者权益，按比例结转入当期损益。 </w:t>
      </w:r>
      <w:r>
        <w:rPr>
          <w:spacing w:val="-2"/>
        </w:rPr>
        <w:t>采用成本法核算的长期股权投资，处置后剩余股权仍采用成本法核算的，其在取得对被投资单位的控制之前因采用权益</w:t>
      </w:r>
    </w:p>
    <w:p>
      <w:pPr>
        <w:pStyle w:val="BodyText"/>
        <w:spacing w:line="319" w:lineRule="auto" w:before="19"/>
        <w:ind w:right="1131"/>
        <w:jc w:val="both"/>
      </w:pP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pStyle w:val="BodyText"/>
        <w:spacing w:line="316" w:lineRule="auto" w:before="17"/>
        <w:ind w:right="1131"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pStyle w:val="BodyText"/>
        <w:spacing w:line="316" w:lineRule="auto" w:before="19"/>
        <w:ind w:right="1032"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w:t>
      </w:r>
      <w:r>
        <w:rPr/>
        <w:t>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316" w:lineRule="auto" w:before="19"/>
        <w:ind w:right="1131"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3"/>
        <w:spacing w:line="240" w:lineRule="auto"/>
        <w:ind w:right="1122"/>
        <w:jc w:val="left"/>
        <w:rPr>
          <w:b w:val="0"/>
          <w:bCs w:val="0"/>
        </w:rPr>
      </w:pPr>
      <w:bookmarkStart w:name="15、投资性房地产" w:id="201"/>
      <w:bookmarkEnd w:id="20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pStyle w:val="BodyText"/>
        <w:spacing w:line="316" w:lineRule="auto" w:before="25"/>
        <w:ind w:right="1130"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转让的土地使用权、已出租的建筑物等。此外，对于本公司持有以备经营出租的空置建筑物，若董事会（或类似机构）作出</w:t>
      </w:r>
      <w:r>
        <w:rPr>
          <w:spacing w:val="-68"/>
        </w:rPr>
        <w:t> </w:t>
      </w:r>
      <w:r>
        <w:rPr>
          <w:spacing w:val="-68"/>
        </w:rPr>
      </w:r>
      <w:r>
        <w:rPr/>
        <w:t>书面决议，明确表示将其用于经营出租且持有意图短期内不再发生变化的，也作为投资性房地产列报。</w:t>
      </w:r>
    </w:p>
    <w:p>
      <w:pPr>
        <w:pStyle w:val="BodyText"/>
        <w:spacing w:line="316" w:lineRule="auto" w:before="19"/>
        <w:ind w:right="1132" w:firstLine="360"/>
        <w:jc w:val="both"/>
      </w:pPr>
      <w:r>
        <w:rPr>
          <w:spacing w:val="-2"/>
        </w:rPr>
        <w:t>投资性房地产按成本进行初始计量。与投资性房地产有关的后续支出，如果与该资产有关的经济利益很可能流入且其成</w:t>
      </w:r>
      <w:r>
        <w:rPr/>
        <w:t> 本能可靠地计量，则计入投资性房地产成本。其他后续支出，在发生时计入当期损益。</w:t>
      </w:r>
    </w:p>
    <w:p>
      <w:pPr>
        <w:pStyle w:val="BodyText"/>
        <w:spacing w:line="309" w:lineRule="auto" w:before="19"/>
        <w:ind w:left="514" w:right="1122"/>
        <w:jc w:val="left"/>
      </w:pPr>
      <w:r>
        <w:rPr/>
        <w:t>本公司采用成本模式对投资性房地产进行后续计量，并按照与房屋建筑物或土地使用权一致的政策进行折旧或摊销。 投资性房地产的减值测试方法和减值准备计提方法详见附注五、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 </w:t>
      </w:r>
      <w:r>
        <w:rPr>
          <w:spacing w:val="-2"/>
        </w:rPr>
        <w:t>自用房地产或存货转换为投资性房地产或投资性房地产转换为自用房地产时，按转换前的账面价值作为转换后的入账价</w:t>
      </w:r>
    </w:p>
    <w:p>
      <w:pPr>
        <w:pStyle w:val="BodyText"/>
        <w:spacing w:line="240" w:lineRule="auto" w:before="24"/>
        <w:ind w:right="1122"/>
        <w:jc w:val="left"/>
      </w:pPr>
      <w:r>
        <w:rPr/>
        <w:t>值。</w:t>
      </w:r>
    </w:p>
    <w:p>
      <w:pPr>
        <w:pStyle w:val="BodyText"/>
        <w:spacing w:line="319" w:lineRule="auto" w:before="76"/>
        <w:ind w:right="1032" w:firstLine="360"/>
        <w:jc w:val="left"/>
      </w:pPr>
      <w:r>
        <w:rPr>
          <w:spacing w:val="-2"/>
        </w:rPr>
        <w:t>投资性房地产的用途改变为自用时，自改变之日起，将该投资性房地产转换为固定资产或无形资产。自用房地产的用途</w:t>
      </w:r>
      <w:r>
        <w:rPr/>
        <w:t> </w:t>
      </w:r>
      <w:r>
        <w:rPr>
          <w:spacing w:val="-2"/>
        </w:rPr>
        <w:t>改变为赚取租金或资本增值时，自改变之日起，将固定资产或无形资产转换为投资性房地产。发生转换时，转换为采用成本</w:t>
      </w:r>
      <w:r>
        <w:rPr>
          <w:spacing w:val="-66"/>
        </w:rPr>
        <w:t> </w:t>
      </w:r>
      <w:r>
        <w:rPr>
          <w:spacing w:val="-66"/>
        </w:rPr>
      </w:r>
      <w:r>
        <w:rPr/>
        <w:t>模式计量的投资性房地产的，以转换前的账面价值作为转换后的入账价值；转换为以公允价值模式计量的投资性房地产的， 以转换日的公允价值作为转换后的入账价值。</w:t>
      </w:r>
    </w:p>
    <w:p>
      <w:pPr>
        <w:pStyle w:val="BodyText"/>
        <w:spacing w:line="316" w:lineRule="auto" w:before="17"/>
        <w:ind w:right="1133"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16、固定资产" w:id="202"/>
      <w:bookmarkEnd w:id="20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确认条件" w:id="203"/>
      <w:bookmarkEnd w:id="20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jc w:val="both"/>
      </w:pPr>
      <w:r>
        <w:rPr>
          <w:spacing w:val="-2"/>
        </w:rPr>
        <w:t>固定资产是指为生产商品、提供劳务、出租或经营管理而持有的，使用寿命超过一个会计年度的有形资产。固定资产仅在与</w:t>
      </w:r>
      <w:r>
        <w:rPr>
          <w:spacing w:val="-66"/>
        </w:rPr>
        <w:t> </w:t>
      </w:r>
      <w:r>
        <w:rPr>
          <w:spacing w:val="-66"/>
        </w:rPr>
      </w:r>
      <w:r>
        <w:rPr>
          <w:spacing w:val="-2"/>
        </w:rPr>
        <w:t>其有关的经济利益很可能流入本公司，且其成本能够可靠地计量时才予以确认。固定资产按成本并考虑预计弃置费用因素的</w:t>
      </w:r>
      <w:r>
        <w:rPr>
          <w:spacing w:val="-64"/>
        </w:rPr>
        <w:t> </w:t>
      </w:r>
      <w:r>
        <w:rPr>
          <w:spacing w:val="-64"/>
        </w:rPr>
      </w:r>
      <w:r>
        <w:rPr/>
        <w:t>影响进行初始计量。</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2）折旧方法" w:id="204"/>
      <w:bookmarkEnd w:id="20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光电设备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办公和其他设备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3"/>
        <w:spacing w:line="240" w:lineRule="auto" w:before="35"/>
        <w:ind w:right="1122"/>
        <w:jc w:val="left"/>
        <w:rPr>
          <w:b w:val="0"/>
          <w:bCs w:val="0"/>
        </w:rPr>
      </w:pPr>
      <w:bookmarkStart w:name="（3）融资租入固定资产的认定依据、计价和折旧方法" w:id="205"/>
      <w:bookmarkEnd w:id="20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2"/>
        <w:jc w:val="left"/>
      </w:pPr>
      <w:r>
        <w:rPr>
          <w:spacing w:val="-2"/>
        </w:rPr>
        <w:t>融资租赁为实质上转移了与资产所有权有关的全部风险和报酬的租赁，其所有权最终可能转移，也可能不转移。以融资租赁</w:t>
      </w:r>
      <w:r>
        <w:rPr>
          <w:spacing w:val="-66"/>
        </w:rPr>
        <w:t> </w:t>
      </w:r>
      <w:r>
        <w:rPr>
          <w:spacing w:val="-66"/>
        </w:rPr>
      </w:r>
      <w:r>
        <w:rPr/>
        <w:t>方式租入的固定资产采用与自有固定资产一致的政策计提租赁资产折旧。能够合理确定租赁期届满时取得租赁资产所有权 </w:t>
      </w:r>
      <w:r>
        <w:rPr>
          <w:spacing w:val="-2"/>
        </w:rPr>
        <w:t>的，在租赁资产使用寿命内计提折旧；无法合理确定租赁期届满能够取得租赁资产所有权的，在租赁期与租赁资产使用寿命</w:t>
      </w:r>
      <w:r>
        <w:rPr>
          <w:spacing w:val="-66"/>
        </w:rPr>
        <w:t> </w:t>
      </w:r>
      <w:r>
        <w:rPr>
          <w:spacing w:val="-66"/>
        </w:rPr>
      </w:r>
      <w:r>
        <w:rPr/>
        <w:t>两者中较短的期间内计提折旧。</w:t>
      </w:r>
    </w:p>
    <w:p>
      <w:pPr>
        <w:spacing w:line="240" w:lineRule="auto" w:before="3"/>
        <w:rPr>
          <w:rFonts w:ascii="宋体" w:hAnsi="宋体" w:cs="宋体" w:eastAsia="宋体" w:hint="default"/>
          <w:sz w:val="22"/>
          <w:szCs w:val="22"/>
        </w:rPr>
      </w:pPr>
    </w:p>
    <w:p>
      <w:pPr>
        <w:pStyle w:val="Heading3"/>
        <w:spacing w:line="240" w:lineRule="auto"/>
        <w:ind w:right="1122"/>
        <w:jc w:val="left"/>
        <w:rPr>
          <w:b w:val="0"/>
          <w:bCs w:val="0"/>
        </w:rPr>
      </w:pPr>
      <w:bookmarkStart w:name="17、在建工程" w:id="206"/>
      <w:bookmarkEnd w:id="20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6" w:lineRule="auto" w:before="26"/>
        <w:ind w:right="1132" w:firstLine="360"/>
        <w:jc w:val="both"/>
      </w:pPr>
      <w:r>
        <w:rPr>
          <w:spacing w:val="-2"/>
        </w:rPr>
        <w:t>在建工程成本按实际工程支出确定，包括在建期间发生的各项工程支出、工程达到预定可使用状态前的资本化的借款费</w:t>
      </w:r>
      <w:r>
        <w:rPr/>
        <w:t> 用以及其他相关费用等。在建工程在达到预定可使用状态后结转为固定资产。</w:t>
      </w:r>
    </w:p>
    <w:p>
      <w:pPr>
        <w:pStyle w:val="BodyText"/>
        <w:spacing w:line="240" w:lineRule="auto" w:before="19"/>
        <w:ind w:left="514" w:right="1122"/>
        <w:jc w:val="left"/>
      </w:pPr>
      <w:r>
        <w:rPr/>
        <w:t>在建工程的减值测试方法和减值准备计提方法详见附注五、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right="1122"/>
        <w:jc w:val="left"/>
        <w:rPr>
          <w:b w:val="0"/>
          <w:bCs w:val="0"/>
        </w:rPr>
      </w:pPr>
      <w:bookmarkStart w:name="18、借款费用" w:id="207"/>
      <w:bookmarkEnd w:id="207"/>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6" w:lineRule="auto" w:before="19"/>
        <w:ind w:right="1131"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16" w:lineRule="auto" w:before="19"/>
        <w:ind w:left="514" w:right="1122"/>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0"/>
        <w:jc w:val="left"/>
      </w:pPr>
      <w:r>
        <w:rPr/>
        <w:t>性房地产和存货等资产。 </w:t>
      </w:r>
      <w:r>
        <w:rPr>
          <w:spacing w:val="-2"/>
        </w:rPr>
        <w:t>如果符合资本化条件的资产在购建或生产过程中发生非正常中断、并且中断时间连续超过</w:t>
      </w:r>
      <w:r>
        <w:rPr>
          <w:rFonts w:ascii="Times New Roman" w:hAnsi="Times New Roman" w:cs="Times New Roman" w:eastAsia="Times New Roman" w:hint="default"/>
          <w:spacing w:val="-2"/>
        </w:rPr>
        <w:t>3</w:t>
      </w:r>
      <w:r>
        <w:rPr>
          <w:spacing w:val="-2"/>
        </w:rPr>
        <w:t>个月的，暂停借款费用的资本化，</w:t>
      </w:r>
      <w:r>
        <w:rPr>
          <w:spacing w:val="-62"/>
        </w:rPr>
        <w:t> </w:t>
      </w:r>
      <w:r>
        <w:rPr>
          <w:spacing w:val="-62"/>
        </w:rPr>
      </w:r>
      <w:r>
        <w:rPr/>
        <w:t>直至资产的购建或生产活动重新开始。</w:t>
      </w:r>
    </w:p>
    <w:p>
      <w:pPr>
        <w:spacing w:line="240" w:lineRule="auto" w:before="13"/>
        <w:rPr>
          <w:rFonts w:ascii="宋体" w:hAnsi="宋体" w:cs="宋体" w:eastAsia="宋体" w:hint="default"/>
          <w:sz w:val="22"/>
          <w:szCs w:val="22"/>
        </w:rPr>
      </w:pPr>
    </w:p>
    <w:p>
      <w:pPr>
        <w:pStyle w:val="Heading3"/>
        <w:spacing w:line="240" w:lineRule="auto"/>
        <w:ind w:right="1122"/>
        <w:jc w:val="left"/>
        <w:rPr>
          <w:b w:val="0"/>
          <w:bCs w:val="0"/>
        </w:rPr>
      </w:pPr>
      <w:bookmarkStart w:name="19、生物资产" w:id="208"/>
      <w:bookmarkEnd w:id="208"/>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20、油气资产" w:id="209"/>
      <w:bookmarkEnd w:id="209"/>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21、无形资产" w:id="210"/>
      <w:bookmarkEnd w:id="210"/>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计价方法、使用寿命、减值测试" w:id="211"/>
      <w:bookmarkEnd w:id="21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0"/>
        <w:jc w:val="left"/>
      </w:pPr>
      <w:r>
        <w:rPr/>
        <w:t>无形资产是指本公司拥有或者控制的没有实物形态的可辨认非货币性资产。 </w:t>
      </w:r>
      <w:r>
        <w:rPr>
          <w:spacing w:val="-4"/>
        </w:rPr>
        <w:t>无形资产按成本进行初始计量。与无形资产有关的支出，如果相关的经济利益很可能流入本公司且其成本能可靠地计量，</w:t>
      </w:r>
    </w:p>
    <w:p>
      <w:pPr>
        <w:pStyle w:val="BodyText"/>
        <w:spacing w:line="316" w:lineRule="auto" w:before="19"/>
        <w:ind w:left="514" w:right="1122" w:hanging="360"/>
        <w:jc w:val="left"/>
      </w:pPr>
      <w:r>
        <w:rPr/>
        <w:t>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316" w:lineRule="auto" w:before="19"/>
        <w:ind w:right="1122"/>
        <w:jc w:val="left"/>
      </w:pP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316" w:lineRule="auto" w:before="19"/>
        <w:ind w:right="1131" w:firstLine="360"/>
        <w:jc w:val="both"/>
      </w:pPr>
      <w:r>
        <w:rPr>
          <w:spacing w:val="-2"/>
        </w:rPr>
        <w:t>使用寿命有限的无形资产自可供使用时起，对其原值减去预计净残值和已计提的减值准备累计金额在其预计使用寿命内</w:t>
      </w:r>
      <w:r>
        <w:rPr/>
        <w:t> 采用直线法分期平均摊销。使用寿命不确定的无形资产不予摊销。</w:t>
      </w:r>
    </w:p>
    <w:p>
      <w:pPr>
        <w:pStyle w:val="BodyText"/>
        <w:spacing w:line="319" w:lineRule="auto" w:before="19"/>
        <w:ind w:right="1131" w:firstLine="360"/>
        <w:jc w:val="both"/>
      </w:pPr>
      <w:r>
        <w:rPr>
          <w:spacing w:val="-2"/>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pStyle w:val="BodyText"/>
        <w:spacing w:line="240" w:lineRule="auto" w:before="17"/>
        <w:ind w:left="514" w:right="1122"/>
        <w:jc w:val="left"/>
      </w:pPr>
      <w:r>
        <w:rPr/>
        <w:t>无形资产的减值测试方法和减值准备计提方法详见附注五、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right="1122"/>
        <w:jc w:val="left"/>
        <w:rPr>
          <w:b w:val="0"/>
          <w:bCs w:val="0"/>
        </w:rPr>
      </w:pPr>
      <w:bookmarkStart w:name="（2）内部研究开发支出会计政策" w:id="212"/>
      <w:bookmarkEnd w:id="21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752"/>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514" w:right="1122"/>
        <w:jc w:val="left"/>
      </w:pPr>
      <w:r>
        <w:rPr/>
        <w:t>①</w:t>
      </w:r>
      <w:r>
        <w:rPr>
          <w:spacing w:val="-19"/>
        </w:rPr>
        <w:t> </w:t>
      </w:r>
      <w:r>
        <w:rPr/>
        <w:t>完成该无形资产以使其能够使用或出售在技术上具有可行性；</w:t>
      </w:r>
    </w:p>
    <w:p>
      <w:pPr>
        <w:pStyle w:val="BodyText"/>
        <w:spacing w:line="240" w:lineRule="auto" w:before="76"/>
        <w:ind w:left="514" w:right="1122"/>
        <w:jc w:val="left"/>
      </w:pPr>
      <w:r>
        <w:rPr/>
        <w:t>②</w:t>
      </w:r>
      <w:r>
        <w:rPr>
          <w:spacing w:val="-19"/>
        </w:rPr>
        <w:t> </w:t>
      </w:r>
      <w:r>
        <w:rPr/>
        <w:t>具有完成该无形资产并使用或出售的意图；</w:t>
      </w:r>
    </w:p>
    <w:p>
      <w:pPr>
        <w:pStyle w:val="BodyText"/>
        <w:spacing w:line="316" w:lineRule="auto" w:before="76"/>
        <w:ind w:right="1158" w:firstLine="360"/>
        <w:jc w:val="both"/>
      </w:pPr>
      <w:r>
        <w:rPr/>
        <w:t>③</w:t>
      </w:r>
      <w:r>
        <w:rPr>
          <w:spacing w:val="-19"/>
        </w:rPr>
        <w:t> </w:t>
      </w:r>
      <w:r>
        <w:rPr/>
        <w:t>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19"/>
        <w:ind w:left="514" w:right="1122"/>
        <w:jc w:val="left"/>
      </w:pPr>
      <w:r>
        <w:rPr/>
        <w:t>④</w:t>
      </w:r>
      <w:r>
        <w:rPr>
          <w:spacing w:val="-19"/>
        </w:rPr>
        <w:t> </w:t>
      </w:r>
      <w:r>
        <w:rPr/>
        <w:t>有足够的技术、财务资源和其他资源支持，以完成该无形资产的开发，并有能力使用或出售该无形资产；</w:t>
      </w:r>
    </w:p>
    <w:p>
      <w:pPr>
        <w:pStyle w:val="BodyText"/>
        <w:spacing w:line="316" w:lineRule="auto" w:before="76"/>
        <w:ind w:right="4272" w:firstLine="360"/>
        <w:jc w:val="left"/>
      </w:pPr>
      <w:r>
        <w:rPr/>
        <w:t>⑤</w:t>
      </w:r>
      <w:r>
        <w:rPr>
          <w:spacing w:val="-18"/>
        </w:rPr>
        <w:t> </w:t>
      </w:r>
      <w:r>
        <w:rPr/>
        <w:t>归属于该无形资产开发阶段的支出能够可靠地计量。</w:t>
      </w:r>
      <w:r>
        <w:rPr/>
        <w:t> 无法区分研究阶段支出和开发阶段支出的，将发生的研发支出全部计入当期损益。</w:t>
      </w:r>
    </w:p>
    <w:p>
      <w:pPr>
        <w:spacing w:line="240" w:lineRule="auto" w:before="7"/>
        <w:rPr>
          <w:rFonts w:ascii="宋体" w:hAnsi="宋体" w:cs="宋体" w:eastAsia="宋体" w:hint="default"/>
          <w:sz w:val="22"/>
          <w:szCs w:val="22"/>
        </w:rPr>
      </w:pPr>
    </w:p>
    <w:p>
      <w:pPr>
        <w:pStyle w:val="Heading3"/>
        <w:spacing w:line="240" w:lineRule="auto"/>
        <w:ind w:right="1122"/>
        <w:jc w:val="left"/>
        <w:rPr>
          <w:b w:val="0"/>
          <w:bCs w:val="0"/>
        </w:rPr>
      </w:pPr>
      <w:bookmarkStart w:name="22、长期资产减值" w:id="213"/>
      <w:bookmarkEnd w:id="213"/>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6"/>
        </w:rPr>
        <w:t> </w:t>
      </w:r>
      <w:r>
        <w:rPr>
          <w:spacing w:val="-66"/>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pStyle w:val="BodyText"/>
        <w:spacing w:line="240" w:lineRule="auto" w:before="19"/>
        <w:ind w:left="514" w:right="0"/>
        <w:jc w:val="left"/>
      </w:pPr>
      <w:r>
        <w:rPr/>
        <w:t>减值测试结果表明资产的可收回金额低于其账面价值的，按其差额计提减值准备并计入减值损失。可收回金额为资产的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5"/>
        </w:rPr>
        <w:t> </w:t>
      </w:r>
      <w:r>
        <w:rPr>
          <w:spacing w:val="-65"/>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6" w:lineRule="auto" w:before="19"/>
        <w:ind w:right="1131"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19"/>
        <w:ind w:left="514" w:right="1122"/>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right="1122"/>
        <w:jc w:val="left"/>
        <w:rPr>
          <w:b w:val="0"/>
          <w:bCs w:val="0"/>
        </w:rPr>
      </w:pPr>
      <w:bookmarkStart w:name="23、长期待摊费用" w:id="214"/>
      <w:bookmarkEnd w:id="214"/>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2" w:firstLine="360"/>
        <w:jc w:val="left"/>
      </w:pPr>
      <w:r>
        <w:rPr>
          <w:spacing w:val="-2"/>
        </w:rPr>
        <w:t>长期待摊费用为已经发生但应由报告期和以后各期负担的分摊期限在一年以上的各项费用。本公司的长期待摊费用主要</w:t>
      </w:r>
      <w:r>
        <w:rPr/>
        <w:t> 包括固定资产改良支出、模具、土地租赁费、融资管理费以及其他。长期待摊费用在预计受益期间按直线法摊销。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1122"/>
        <w:jc w:val="left"/>
        <w:rPr>
          <w:b w:val="0"/>
          <w:bCs w:val="0"/>
        </w:rPr>
      </w:pPr>
      <w:bookmarkStart w:name="24、职工薪酬" w:id="215"/>
      <w:bookmarkEnd w:id="215"/>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短期薪酬的会计处理方法" w:id="216"/>
      <w:bookmarkEnd w:id="21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122"/>
        <w:jc w:val="left"/>
      </w:pPr>
      <w:r>
        <w:rPr/>
        <w:t>本公司职工薪酬主要包括短期职工薪酬、离职后福利、辞退福利以及其他长期职工福利。其中： </w:t>
      </w:r>
      <w:r>
        <w:rPr>
          <w:spacing w:val="-2"/>
        </w:rPr>
        <w:t>短期薪酬主要包括工资、奖金、津贴和补贴、职工福利费、医疗保险费、生育保险费、工伤保险费、住房公积金、工会</w:t>
      </w:r>
    </w:p>
    <w:p>
      <w:pPr>
        <w:pStyle w:val="BodyText"/>
        <w:spacing w:line="316" w:lineRule="auto" w:before="19"/>
        <w:ind w:right="0"/>
        <w:jc w:val="left"/>
      </w:pP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1122"/>
        <w:jc w:val="left"/>
        <w:rPr>
          <w:b w:val="0"/>
          <w:bCs w:val="0"/>
        </w:rPr>
      </w:pPr>
      <w:bookmarkStart w:name="（2）离职后福利的会计处理方法" w:id="217"/>
      <w:bookmarkEnd w:id="21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t>离职后福利主要包括基本养老保险、失业保险以及年金等。离职后福利计划包括设定提存计划。采用设定提存计划的， 相应的应缴存金额于发生时计入相关资产成本或当期损益。</w:t>
      </w:r>
    </w:p>
    <w:p>
      <w:pPr>
        <w:spacing w:line="240" w:lineRule="auto" w:before="7"/>
        <w:rPr>
          <w:rFonts w:ascii="宋体" w:hAnsi="宋体" w:cs="宋体" w:eastAsia="宋体" w:hint="default"/>
          <w:sz w:val="22"/>
          <w:szCs w:val="22"/>
        </w:rPr>
      </w:pPr>
    </w:p>
    <w:p>
      <w:pPr>
        <w:pStyle w:val="Heading3"/>
        <w:spacing w:line="240" w:lineRule="auto"/>
        <w:ind w:right="1122"/>
        <w:jc w:val="left"/>
        <w:rPr>
          <w:b w:val="0"/>
          <w:bCs w:val="0"/>
        </w:rPr>
      </w:pPr>
      <w:bookmarkStart w:name="（3）辞退福利的会计处理方法" w:id="218"/>
      <w:bookmarkEnd w:id="21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pStyle w:val="BodyText"/>
        <w:spacing w:line="319" w:lineRule="auto" w:before="19"/>
        <w:ind w:right="1122" w:firstLine="360"/>
        <w:jc w:val="left"/>
      </w:pPr>
      <w:r>
        <w:rPr>
          <w:spacing w:val="-2"/>
        </w:rPr>
        <w:t>职工内部退休计划采用与上述辞退福利相同的原则处理。本公司将自职工停止提供服务日至正常退休日的期间拟支付的</w:t>
      </w:r>
      <w:r>
        <w:rPr/>
        <w:t> 内退人员工资和缴纳的社会保险费等，在符合预计负债确认条件时，计入当期损益（辞退福利）。</w:t>
      </w:r>
    </w:p>
    <w:p>
      <w:pPr>
        <w:spacing w:line="240" w:lineRule="auto" w:before="5"/>
        <w:rPr>
          <w:rFonts w:ascii="宋体" w:hAnsi="宋体" w:cs="宋体" w:eastAsia="宋体" w:hint="default"/>
          <w:sz w:val="22"/>
          <w:szCs w:val="22"/>
        </w:rPr>
      </w:pPr>
    </w:p>
    <w:p>
      <w:pPr>
        <w:pStyle w:val="Heading3"/>
        <w:spacing w:line="240" w:lineRule="auto"/>
        <w:ind w:right="1122"/>
        <w:jc w:val="left"/>
        <w:rPr>
          <w:b w:val="0"/>
          <w:bCs w:val="0"/>
        </w:rPr>
      </w:pPr>
      <w:bookmarkStart w:name="（4）其他长期职工福利的会计处理方法" w:id="219"/>
      <w:bookmarkEnd w:id="21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本公司向职工提供的其他长期职工福利，符合设定提存计划的，按照设定提存计划进行会计处理，除此之外按照设定受</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益计划进行会计处理。</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5、预计负债" w:id="220"/>
      <w:bookmarkEnd w:id="220"/>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firstLine="360"/>
        <w:jc w:val="both"/>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right="1133" w:firstLine="360"/>
        <w:jc w:val="both"/>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16" w:lineRule="auto" w:before="19"/>
        <w:ind w:right="1133" w:firstLine="360"/>
        <w:jc w:val="both"/>
      </w:pPr>
      <w:r>
        <w:rPr>
          <w:spacing w:val="-2"/>
        </w:rPr>
        <w:t>如果清偿预计负债所需支出全部或部分预期由第三方补偿的，补偿金额在基本确定能够收到时，作为资产单独确认，且</w:t>
      </w:r>
      <w:r>
        <w:rPr/>
        <w:t> 确认的补偿金额不超过预计负债的账面价值。</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6、股份支付" w:id="221"/>
      <w:bookmarkEnd w:id="221"/>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122"/>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w:t>
      </w:r>
    </w:p>
    <w:p>
      <w:pPr>
        <w:pStyle w:val="BodyText"/>
        <w:spacing w:line="240" w:lineRule="auto" w:before="31"/>
        <w:ind w:right="0"/>
        <w:jc w:val="both"/>
      </w:pPr>
      <w:r>
        <w:rPr/>
        <w:t>为以权益结算的股份支付和以现金结算的股份支付。</w:t>
      </w:r>
    </w:p>
    <w:p>
      <w:pPr>
        <w:pStyle w:val="BodyText"/>
        <w:spacing w:line="316" w:lineRule="auto" w:before="76"/>
        <w:ind w:left="514" w:right="1122"/>
        <w:jc w:val="left"/>
      </w:pPr>
      <w:r>
        <w:rPr/>
        <w:t>①</w:t>
      </w:r>
      <w:r>
        <w:rPr>
          <w:spacing w:val="-17"/>
        </w:rPr>
        <w:t> </w:t>
      </w:r>
      <w:r>
        <w:rPr/>
        <w:t>以权益结算的股份支付</w:t>
      </w:r>
      <w:r>
        <w:rPr/>
        <w:t> </w:t>
      </w:r>
      <w:r>
        <w:rPr>
          <w:spacing w:val="-2"/>
        </w:rPr>
        <w:t>用以换取职工提供的服务的权益结算的股份支付，以授予职工权益工具在授予日的公允价值计量。该公允价值的金额在</w:t>
      </w:r>
    </w:p>
    <w:p>
      <w:pPr>
        <w:pStyle w:val="BodyText"/>
        <w:spacing w:line="316" w:lineRule="auto" w:before="19"/>
        <w:ind w:right="1132"/>
        <w:jc w:val="both"/>
      </w:pP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w:t>
      </w:r>
      <w:r>
        <w:rPr>
          <w:rFonts w:ascii="Times New Roman" w:hAnsi="Times New Roman" w:cs="Times New Roman" w:eastAsia="Times New Roman" w:hint="default"/>
        </w:rPr>
        <w:t>/</w:t>
      </w:r>
      <w:r>
        <w:rPr/>
        <w:t>在授予后立即可行权时，在授予日计入相关成本或费用，相应增加资本公积。</w:t>
      </w:r>
    </w:p>
    <w:p>
      <w:pPr>
        <w:pStyle w:val="BodyText"/>
        <w:spacing w:line="316" w:lineRule="auto"/>
        <w:ind w:right="1130" w:firstLine="360"/>
        <w:jc w:val="both"/>
      </w:pPr>
      <w:r>
        <w:rPr>
          <w:spacing w:val="-2"/>
        </w:rPr>
        <w:t>在等待期内每个资产负债表日，本公司根据最新取得的可行权职工人数变动等后续信息做出最佳估计，修正预计可行权</w:t>
      </w:r>
      <w:r>
        <w:rPr/>
        <w:t> 的权益工具数量。上述估计的影响计入当期相关成本或费用，并相应调整资本公积。</w:t>
      </w:r>
    </w:p>
    <w:p>
      <w:pPr>
        <w:pStyle w:val="BodyText"/>
        <w:spacing w:line="316" w:lineRule="auto" w:before="19"/>
        <w:ind w:right="1132" w:firstLine="360"/>
        <w:jc w:val="both"/>
      </w:pPr>
      <w:r>
        <w:rPr>
          <w:spacing w:val="-2"/>
        </w:rPr>
        <w:t>用以换取其他方服务的权益结算的股份支付，如果其他方服务的公允价值能够可靠计量，按照其他方服务在取得日的公</w:t>
      </w:r>
      <w:r>
        <w:rPr/>
        <w:t> </w:t>
      </w:r>
      <w:r>
        <w:rPr>
          <w:spacing w:val="-2"/>
        </w:rPr>
        <w:t>允价值计量，如果其他方服务的公允价值不能可靠计量，但权益工具的公允价值能够可靠计量的，按照权益工具在服务取得</w:t>
      </w:r>
      <w:r>
        <w:rPr>
          <w:spacing w:val="-66"/>
        </w:rPr>
        <w:t> </w:t>
      </w:r>
      <w:r>
        <w:rPr>
          <w:spacing w:val="-66"/>
        </w:rPr>
      </w:r>
      <w:r>
        <w:rPr/>
        <w:t>日的公允价值计量，计入相关成本或费用，相应增加股东权益。</w:t>
      </w:r>
    </w:p>
    <w:p>
      <w:pPr>
        <w:pStyle w:val="BodyText"/>
        <w:spacing w:line="316" w:lineRule="auto" w:before="19"/>
        <w:ind w:left="514" w:right="1122"/>
        <w:jc w:val="left"/>
      </w:pPr>
      <w:r>
        <w:rPr/>
        <w:t>②</w:t>
      </w:r>
      <w:r>
        <w:rPr>
          <w:spacing w:val="-17"/>
        </w:rPr>
        <w:t> </w:t>
      </w:r>
      <w:r>
        <w:rPr/>
        <w:t>以现金结算的股份支付</w:t>
      </w:r>
      <w:r>
        <w:rPr/>
        <w:t> </w:t>
      </w:r>
      <w:r>
        <w:rPr>
          <w:spacing w:val="-2"/>
        </w:rPr>
        <w:t>以现金结算的股份支付，按照本公司承担的以股份或其他权益工具为基础确定的负债的公允价值计量。如授予后立即可</w:t>
      </w:r>
    </w:p>
    <w:p>
      <w:pPr>
        <w:pStyle w:val="BodyText"/>
        <w:spacing w:line="316" w:lineRule="auto" w:before="19"/>
        <w:ind w:right="1131"/>
        <w:jc w:val="both"/>
      </w:pPr>
      <w:r>
        <w:rPr>
          <w:spacing w:val="-2"/>
        </w:rPr>
        <w:t>行权，在授予日计入相关成本或费用，相应增加负债；如须完成等待期内的服务或达到规定业绩条件以后才可行权，在等待</w:t>
      </w:r>
      <w:r>
        <w:rPr>
          <w:spacing w:val="-66"/>
        </w:rPr>
        <w:t> </w:t>
      </w:r>
      <w:r>
        <w:rPr>
          <w:spacing w:val="-66"/>
        </w:rPr>
      </w:r>
      <w:r>
        <w:rPr>
          <w:spacing w:val="-2"/>
        </w:rPr>
        <w:t>期的每个资产负债表日，以对可行权情况的最佳估计为基础，按照本公司承担负债的公允价值金额，将当期取得的服务计入</w:t>
      </w:r>
      <w:r>
        <w:rPr>
          <w:spacing w:val="-66"/>
        </w:rPr>
        <w:t> </w:t>
      </w:r>
      <w:r>
        <w:rPr>
          <w:spacing w:val="-66"/>
        </w:rPr>
      </w:r>
      <w:r>
        <w:rPr/>
        <w:t>成本或费用，相应增加负债。</w:t>
      </w:r>
    </w:p>
    <w:p>
      <w:pPr>
        <w:pStyle w:val="BodyText"/>
        <w:spacing w:line="240" w:lineRule="auto" w:before="19"/>
        <w:ind w:left="514" w:right="1122"/>
        <w:jc w:val="left"/>
      </w:pPr>
      <w:r>
        <w:rPr/>
        <w:t>在相关负债结算前的每个资产负债表日以及结算日，对负债的公允价值重新计量，其变动计入当期损益。</w:t>
      </w:r>
    </w:p>
    <w:p>
      <w:pPr>
        <w:pStyle w:val="BodyText"/>
        <w:spacing w:line="300" w:lineRule="auto" w:before="76"/>
        <w:ind w:left="514" w:right="1122"/>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w:t>
      </w:r>
    </w:p>
    <w:p>
      <w:pPr>
        <w:pStyle w:val="BodyText"/>
        <w:spacing w:line="316" w:lineRule="auto" w:before="31"/>
        <w:ind w:right="1131"/>
        <w:jc w:val="both"/>
      </w:pP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r>
        <w:rPr>
          <w:spacing w:val="-66"/>
        </w:rPr>
        <w:t> </w:t>
      </w:r>
      <w:r>
        <w:rPr>
          <w:spacing w:val="-66"/>
        </w:rPr>
      </w:r>
      <w:r>
        <w:rPr/>
        <w:t>取消了部分或全部已授予的权益工具。</w:t>
      </w:r>
    </w:p>
    <w:p>
      <w:pPr>
        <w:pStyle w:val="BodyText"/>
        <w:spacing w:line="316" w:lineRule="auto" w:before="19"/>
        <w:ind w:right="1133" w:firstLine="360"/>
        <w:jc w:val="both"/>
      </w:pPr>
      <w:r>
        <w:rPr>
          <w:spacing w:val="-2"/>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6"/>
        </w:rPr>
        <w:t> </w:t>
      </w:r>
      <w:r>
        <w:rPr>
          <w:spacing w:val="-66"/>
        </w:rPr>
      </w:r>
      <w:r>
        <w:rPr/>
        <w:t>将其作为授予权益工具的取消处理。</w:t>
      </w:r>
    </w:p>
    <w:p>
      <w:pPr>
        <w:pStyle w:val="BodyText"/>
        <w:spacing w:line="300" w:lineRule="auto" w:before="19"/>
        <w:ind w:left="514" w:right="1122"/>
        <w:jc w:val="left"/>
      </w:pPr>
      <w:r>
        <w:rPr/>
        <w:t>（</w:t>
      </w:r>
      <w:r>
        <w:rPr>
          <w:rFonts w:ascii="Times New Roman" w:hAnsi="Times New Roman" w:cs="Times New Roman" w:eastAsia="Times New Roman" w:hint="default"/>
        </w:rPr>
        <w:t>3</w:t>
      </w:r>
      <w:r>
        <w:rPr/>
        <w:t>）涉及本公司与本公司股东或实际控制人的股份支付交易的会计处理 </w:t>
      </w:r>
      <w:r>
        <w:rPr>
          <w:spacing w:val="-2"/>
        </w:rPr>
        <w:t>涉及本公司与本公司股东或实际控制人的股份支付交易，结算企业与接受服务企业中其一在本公司内，另一在本公司外</w:t>
      </w:r>
    </w:p>
    <w:p>
      <w:pPr>
        <w:pStyle w:val="BodyText"/>
        <w:spacing w:line="240" w:lineRule="auto" w:before="31"/>
        <w:ind w:right="0"/>
        <w:jc w:val="both"/>
      </w:pPr>
      <w:r>
        <w:rPr/>
        <w:t>的，在本公司合并财务报表中按照以下规定进行会计处理：</w:t>
      </w:r>
    </w:p>
    <w:p>
      <w:pPr>
        <w:pStyle w:val="BodyText"/>
        <w:spacing w:line="316" w:lineRule="auto" w:before="76"/>
        <w:ind w:right="1158" w:firstLine="360"/>
        <w:jc w:val="both"/>
      </w:pPr>
      <w:r>
        <w:rPr/>
        <w:t>①</w:t>
      </w:r>
      <w:r>
        <w:rPr>
          <w:spacing w:val="-19"/>
        </w:rPr>
        <w:t> </w:t>
      </w:r>
      <w:r>
        <w:rPr/>
        <w:t>结算企业以其本身权益工具结算的，将该股份支付交易作为权益结算的股份支付处理；除此之外，作为现金结算的</w:t>
      </w:r>
      <w:r>
        <w:rPr/>
        <w:t> 股份支付处理。</w:t>
      </w:r>
    </w:p>
    <w:p>
      <w:pPr>
        <w:pStyle w:val="BodyText"/>
        <w:spacing w:line="240" w:lineRule="auto" w:before="19"/>
        <w:ind w:left="514" w:right="0"/>
        <w:jc w:val="left"/>
      </w:pPr>
      <w:r>
        <w:rPr/>
        <w:t>结算企业是接受服务企业的投资者的</w:t>
      </w:r>
      <w:r>
        <w:rPr>
          <w:spacing w:val="-82"/>
        </w:rPr>
        <w:t>，</w:t>
      </w:r>
      <w:r>
        <w:rPr/>
        <w:t>按照授予日权益工具的公允价值或应承担负债的公允价值确认为对接受服务企业</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22"/>
        <w:jc w:val="left"/>
      </w:pPr>
      <w:r>
        <w:rPr/>
        <w:t>的长期股权投资，同时确认资本公积（其他资本公积）或负债。</w:t>
      </w:r>
    </w:p>
    <w:p>
      <w:pPr>
        <w:pStyle w:val="BodyText"/>
        <w:spacing w:line="316" w:lineRule="auto" w:before="76"/>
        <w:ind w:right="1132" w:firstLine="360"/>
        <w:jc w:val="both"/>
      </w:pPr>
      <w:r>
        <w:rPr/>
        <w:t>②</w:t>
      </w:r>
      <w:r>
        <w:rPr>
          <w:spacing w:val="-19"/>
        </w:rPr>
        <w:t> </w:t>
      </w:r>
      <w:r>
        <w:rPr/>
        <w:t>接受服务企业没有结算义务或授予本企业职工的是其本身权益工具的，将该股份支付交易作为权益结算的股份支付</w:t>
      </w:r>
      <w:r>
        <w:rPr/>
        <w:t> </w:t>
      </w:r>
      <w:r>
        <w:rPr>
          <w:spacing w:val="-2"/>
        </w:rPr>
        <w:t>处理；接受服务企业具有结算义务且授予本企业职工的并非其本身权益工具的，将该股份支付交易作为现金结算的股份支付</w:t>
      </w:r>
      <w:r>
        <w:rPr>
          <w:spacing w:val="-64"/>
        </w:rPr>
        <w:t> </w:t>
      </w:r>
      <w:r>
        <w:rPr>
          <w:spacing w:val="-64"/>
        </w:rPr>
      </w:r>
      <w:r>
        <w:rPr/>
        <w:t>处理。</w:t>
      </w:r>
    </w:p>
    <w:p>
      <w:pPr>
        <w:pStyle w:val="BodyText"/>
        <w:spacing w:line="316" w:lineRule="auto" w:before="19"/>
        <w:ind w:right="1132" w:firstLine="360"/>
        <w:jc w:val="both"/>
      </w:pPr>
      <w:r>
        <w:rPr>
          <w:spacing w:val="-2"/>
        </w:rPr>
        <w:t>本公司内各企业之间发生的股份支付交易，接受服务企业和结算企业不是同一企业的，在接受服务企业和结算企业各自</w:t>
      </w:r>
      <w:r>
        <w:rPr/>
        <w:t> 的个别财务报表中对该股份支付交易的确认和计量，比照上述原则处理。</w:t>
      </w:r>
    </w:p>
    <w:p>
      <w:pPr>
        <w:spacing w:line="240" w:lineRule="auto" w:before="7"/>
        <w:rPr>
          <w:rFonts w:ascii="宋体" w:hAnsi="宋体" w:cs="宋体" w:eastAsia="宋体" w:hint="default"/>
          <w:sz w:val="22"/>
          <w:szCs w:val="22"/>
        </w:rPr>
      </w:pPr>
    </w:p>
    <w:p>
      <w:pPr>
        <w:pStyle w:val="Heading3"/>
        <w:spacing w:line="240" w:lineRule="auto"/>
        <w:ind w:right="1122"/>
        <w:jc w:val="left"/>
        <w:rPr>
          <w:b w:val="0"/>
          <w:bCs w:val="0"/>
        </w:rPr>
      </w:pPr>
      <w:bookmarkStart w:name="27、优先股、永续债等其他金融工具" w:id="222"/>
      <w:bookmarkEnd w:id="222"/>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28、收入" w:id="223"/>
      <w:bookmarkEnd w:id="223"/>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00" w:lineRule="auto" w:before="28"/>
        <w:ind w:left="514" w:right="1122"/>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316" w:lineRule="auto" w:before="31"/>
        <w:ind w:right="1122"/>
        <w:jc w:val="left"/>
      </w:pPr>
      <w:r>
        <w:rPr>
          <w:spacing w:val="-2"/>
        </w:rPr>
        <w:t>实施有效控制，收入的金额能够可靠地计量，相关的经济利益很可能流入企业，相关的已发生或将发生的成本能够可靠地计</w:t>
      </w:r>
      <w:r>
        <w:rPr>
          <w:spacing w:val="-66"/>
        </w:rPr>
        <w:t> </w:t>
      </w:r>
      <w:r>
        <w:rPr>
          <w:spacing w:val="-66"/>
        </w:rPr>
      </w:r>
      <w:r>
        <w:rPr/>
        <w:t>量时，确认商品销售收入的实现。</w:t>
      </w:r>
    </w:p>
    <w:p>
      <w:pPr>
        <w:pStyle w:val="BodyText"/>
        <w:spacing w:line="240" w:lineRule="auto" w:before="19"/>
        <w:ind w:left="514" w:right="1122"/>
        <w:jc w:val="left"/>
      </w:pPr>
      <w:r>
        <w:rPr/>
        <w:t>商品国内销售在货物交付时确认收入；商品出口销售在货物已报关、装船后确认收入或提货确认收入。</w:t>
      </w:r>
    </w:p>
    <w:p>
      <w:pPr>
        <w:pStyle w:val="BodyText"/>
        <w:spacing w:line="300" w:lineRule="auto" w:before="76"/>
        <w:ind w:left="514" w:right="1122"/>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316" w:lineRule="auto" w:before="31"/>
        <w:ind w:left="514" w:right="1032" w:hanging="360"/>
        <w:jc w:val="left"/>
      </w:pPr>
      <w:r>
        <w:rPr/>
        <w:t>工进度按已经发生的劳务成本占估计总成本的比例确定。 提供劳务交易的结果能够可靠估计是指同时满足：①收入的金额能够可靠地计量；②相关的经济利益很可能流入企业；</w:t>
      </w:r>
    </w:p>
    <w:p>
      <w:pPr>
        <w:pStyle w:val="BodyText"/>
        <w:spacing w:line="316" w:lineRule="auto" w:before="19"/>
        <w:ind w:left="514" w:right="1122" w:hanging="360"/>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316" w:lineRule="auto" w:before="19"/>
        <w:ind w:left="514" w:right="1122" w:hanging="360"/>
        <w:jc w:val="left"/>
      </w:pPr>
      <w:r>
        <w:rPr/>
        <w:t>将已发生的劳务成本作为当期费用。已经发生的劳务成本如预计不能得到补偿的，则不确认收入。 </w:t>
      </w:r>
      <w:r>
        <w:rPr>
          <w:spacing w:val="-2"/>
        </w:rPr>
        <w:t>本公司与其他企业签订的合同或协议包括销售商品和提供劳务时，如销售商品部分和提供劳务部分能够区分并单独计量</w:t>
      </w:r>
    </w:p>
    <w:p>
      <w:pPr>
        <w:pStyle w:val="BodyText"/>
        <w:spacing w:line="316" w:lineRule="auto" w:before="19"/>
        <w:ind w:right="1122"/>
        <w:jc w:val="left"/>
      </w:pPr>
      <w:r>
        <w:rPr>
          <w:spacing w:val="-2"/>
        </w:rPr>
        <w:t>的，将销售商品部分和提供劳务部分分别处理；如销售商品部分和提供劳务部分不能够区分，或虽能区分但不能够单独计量</w:t>
      </w:r>
      <w:r>
        <w:rPr>
          <w:spacing w:val="-66"/>
        </w:rPr>
        <w:t> </w:t>
      </w:r>
      <w:r>
        <w:rPr>
          <w:spacing w:val="-66"/>
        </w:rPr>
      </w:r>
      <w:r>
        <w:rPr/>
        <w:t>的，将该合同全部作为销售商品处理。</w:t>
      </w:r>
    </w:p>
    <w:p>
      <w:pPr>
        <w:pStyle w:val="BodyText"/>
        <w:spacing w:line="240" w:lineRule="auto" w:before="19"/>
        <w:ind w:left="514" w:right="1122"/>
        <w:jc w:val="left"/>
      </w:pPr>
      <w:r>
        <w:rPr/>
        <w:t>（</w:t>
      </w:r>
      <w:r>
        <w:rPr>
          <w:rFonts w:ascii="Times New Roman" w:hAnsi="Times New Roman" w:cs="Times New Roman" w:eastAsia="Times New Roman" w:hint="default"/>
        </w:rPr>
        <w:t>3</w:t>
      </w:r>
      <w:r>
        <w:rPr/>
        <w:t>）使用费收入</w:t>
      </w:r>
    </w:p>
    <w:p>
      <w:pPr>
        <w:pStyle w:val="Heading4"/>
        <w:spacing w:line="240" w:lineRule="auto"/>
        <w:ind w:left="513" w:right="1122"/>
        <w:jc w:val="left"/>
        <w:rPr>
          <w:i w:val="0"/>
        </w:rPr>
      </w:pPr>
      <w:r>
        <w:rPr/>
        <w:t>根据有关合同或协议，按权责发生制确认收入。</w:t>
      </w:r>
      <w:r>
        <w:rPr>
          <w:i w:val="0"/>
        </w:rPr>
      </w:r>
    </w:p>
    <w:p>
      <w:pPr>
        <w:pStyle w:val="BodyText"/>
        <w:spacing w:line="300" w:lineRule="auto" w:before="75"/>
        <w:ind w:left="514" w:right="5712"/>
        <w:jc w:val="left"/>
      </w:pPr>
      <w:r>
        <w:rPr/>
        <w:t>（</w:t>
      </w:r>
      <w:r>
        <w:rPr>
          <w:rFonts w:ascii="Times New Roman" w:hAnsi="Times New Roman" w:cs="Times New Roman" w:eastAsia="Times New Roman" w:hint="default"/>
        </w:rPr>
        <w:t>4</w:t>
      </w:r>
      <w:r>
        <w:rPr/>
        <w:t>）利息收入 按照他人使用本公司货币资金的时间和实际利率计算确定。</w:t>
      </w:r>
    </w:p>
    <w:p>
      <w:pPr>
        <w:spacing w:line="240" w:lineRule="auto" w:before="6"/>
        <w:rPr>
          <w:rFonts w:ascii="宋体" w:hAnsi="宋体" w:cs="宋体" w:eastAsia="宋体" w:hint="default"/>
          <w:sz w:val="23"/>
          <w:szCs w:val="23"/>
        </w:rPr>
      </w:pPr>
    </w:p>
    <w:p>
      <w:pPr>
        <w:pStyle w:val="Heading3"/>
        <w:spacing w:line="240" w:lineRule="auto"/>
        <w:ind w:right="1122"/>
        <w:jc w:val="left"/>
        <w:rPr>
          <w:b w:val="0"/>
          <w:bCs w:val="0"/>
        </w:rPr>
      </w:pPr>
      <w:bookmarkStart w:name="29、政府补助" w:id="224"/>
      <w:bookmarkEnd w:id="224"/>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31" w:firstLine="360"/>
        <w:jc w:val="both"/>
      </w:pPr>
      <w:r>
        <w:rPr>
          <w:spacing w:val="-2"/>
        </w:rPr>
        <w:t>政府补助是指本公司从政府无偿取得货币性资产和非货币性资产，不包括政府以投资者身份并享有相应所有者权益而投</w:t>
      </w:r>
      <w:r>
        <w:rPr/>
        <w:t> </w:t>
      </w:r>
      <w:r>
        <w:rPr>
          <w:spacing w:val="-2"/>
        </w:rPr>
        <w:t>入的资本。政府补助分为与资产相关的政府补助和与收益相关的政府补助。本公司将所取得的用于购建或以其他方式形成长</w:t>
      </w:r>
      <w:r>
        <w:rPr>
          <w:spacing w:val="-64"/>
        </w:rPr>
        <w:t> </w:t>
      </w:r>
      <w:r>
        <w:rPr>
          <w:spacing w:val="-64"/>
        </w:rPr>
      </w:r>
      <w:r>
        <w:rPr>
          <w:spacing w:val="-2"/>
        </w:rPr>
        <w:t>期资产的政府补助界定为与资产相关的政府补助；其余政府补助界定为与收益相关的政府补助。若政府文件未明确规定补助</w:t>
      </w:r>
      <w:r>
        <w:rPr>
          <w:spacing w:val="-64"/>
        </w:rPr>
        <w:t> </w:t>
      </w:r>
      <w:r>
        <w:rPr>
          <w:spacing w:val="-64"/>
        </w:rPr>
      </w:r>
      <w:r>
        <w:rPr/>
        <w:t>对象，则采用以下方式将补助款划分为与收益相关的政府补助和与资产相关的政府补助：（</w:t>
      </w:r>
      <w:r>
        <w:rPr>
          <w:rFonts w:ascii="Times New Roman" w:hAnsi="Times New Roman" w:cs="Times New Roman" w:eastAsia="Times New Roman" w:hint="default"/>
        </w:rPr>
        <w:t>1</w:t>
      </w:r>
      <w:r>
        <w:rPr/>
        <w:t>）政府文件明确了补助所针对 </w:t>
      </w:r>
      <w:r>
        <w:rPr>
          <w:spacing w:val="-2"/>
        </w:rPr>
        <w:t>的特定项目的，根据该特定项目的预算中将形成资产的支出金额和计入费用的支出金额的相对比例进行划分，对该划分比例</w:t>
      </w:r>
      <w:r>
        <w:rPr>
          <w:spacing w:val="-64"/>
        </w:rPr>
        <w:t> </w:t>
      </w:r>
      <w:r>
        <w:rPr>
          <w:spacing w:val="-64"/>
        </w:rPr>
      </w:r>
      <w:r>
        <w:rPr/>
        <w:t>需在每个资产负债表日进行复核，必要时进行变更；（</w:t>
      </w:r>
      <w:r>
        <w:rPr>
          <w:rFonts w:ascii="Times New Roman" w:hAnsi="Times New Roman" w:cs="Times New Roman" w:eastAsia="Times New Roman" w:hint="default"/>
        </w:rPr>
        <w:t>2</w:t>
      </w:r>
      <w:r>
        <w:rPr/>
        <w:t>）政府文件中对用途仅作一般性表述，没有指明特定项目的，作为 </w:t>
      </w:r>
      <w:r>
        <w:rPr>
          <w:spacing w:val="-2"/>
        </w:rPr>
        <w:t>与收益相关的政府补助。政府补助为货币性资产的，按照收到或应收的金额计量。政府补助为非货币性资产的，按照公允价</w:t>
      </w:r>
      <w:r>
        <w:rPr>
          <w:spacing w:val="-66"/>
        </w:rPr>
        <w:t> </w:t>
      </w:r>
      <w:r>
        <w:rPr>
          <w:spacing w:val="-66"/>
        </w:rPr>
      </w:r>
      <w:r>
        <w:rPr/>
        <w:t>值计量；公允价值不能够可靠取得的，按照名义金额计量。按照名义金额计量的政府补助，直接计入当期损益。</w:t>
      </w:r>
    </w:p>
    <w:p>
      <w:pPr>
        <w:pStyle w:val="BodyText"/>
        <w:spacing w:line="240" w:lineRule="auto" w:before="22"/>
        <w:ind w:left="514" w:right="0"/>
        <w:jc w:val="left"/>
      </w:pPr>
      <w:r>
        <w:rPr/>
        <w:t>本公司对于政府补助通常在实际收到时，按照实收金额予以确认和计量。但对于期末有确凿证据表明能够符合财政扶持</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政策规定的相关条件预计能够收到财政扶持资金</w:t>
      </w:r>
      <w:r>
        <w:rPr>
          <w:spacing w:val="-87"/>
        </w:rPr>
        <w:t>，</w:t>
      </w:r>
      <w:r>
        <w:rPr/>
        <w:t>按照应收的金额计量</w:t>
      </w:r>
      <w:r>
        <w:rPr>
          <w:spacing w:val="-87"/>
        </w:rPr>
        <w:t>。</w:t>
      </w:r>
      <w:r>
        <w:rPr/>
        <w:t>按照应收金额计量的政府补助应同时符合以下条件：</w:t>
      </w:r>
    </w:p>
    <w:p>
      <w:pPr>
        <w:pStyle w:val="BodyText"/>
        <w:spacing w:line="304" w:lineRule="auto" w:before="76"/>
        <w:ind w:right="0"/>
        <w:jc w:val="left"/>
      </w:pPr>
      <w:r>
        <w:rPr>
          <w:spacing w:val="-2"/>
        </w:rPr>
        <w:t>（</w:t>
      </w:r>
      <w:r>
        <w:rPr>
          <w:rFonts w:ascii="Times New Roman" w:hAnsi="Times New Roman" w:cs="Times New Roman" w:eastAsia="Times New Roman" w:hint="default"/>
          <w:spacing w:val="-2"/>
        </w:rPr>
        <w:t>1</w:t>
      </w:r>
      <w:r>
        <w:rPr>
          <w:spacing w:val="-2"/>
        </w:rPr>
        <w:t>）应收补助款的金额已经过有权政府部门发文确认，或者可根据正式发布的财政资金管理办法的有关规定自行合理测算，</w:t>
      </w:r>
      <w:r>
        <w:rPr>
          <w:spacing w:val="-62"/>
        </w:rPr>
        <w:t> </w:t>
      </w:r>
      <w:r>
        <w:rPr>
          <w:spacing w:val="-62"/>
        </w:rPr>
      </w:r>
      <w:r>
        <w:rPr/>
        <w:t>且预计其金额不存在重大不确定性；（</w:t>
      </w:r>
      <w:r>
        <w:rPr>
          <w:rFonts w:ascii="Times New Roman" w:hAnsi="Times New Roman" w:cs="Times New Roman" w:eastAsia="Times New Roman" w:hint="default"/>
        </w:rPr>
        <w:t>2</w:t>
      </w:r>
      <w:r>
        <w:rPr/>
        <w:t>）所依据的是当地财政部门正式发布并按照《政府信息公开条例》的规定予以主动 </w:t>
      </w:r>
      <w:r>
        <w:rPr>
          <w:spacing w:val="-2"/>
        </w:rPr>
        <w:t>公开的财政扶持项目及其财政资金管理办法，且该管理办法应当是普惠性的（任何符合规定条件的企业均可申请），而不是</w:t>
      </w:r>
      <w:r>
        <w:rPr>
          <w:spacing w:val="-66"/>
        </w:rPr>
        <w:t> </w:t>
      </w:r>
      <w:r>
        <w:rPr>
          <w:spacing w:val="-66"/>
        </w:rPr>
      </w:r>
      <w:r>
        <w:rPr/>
        <w:t>专门针对特定企业制定的；（</w:t>
      </w:r>
      <w:r>
        <w:rPr>
          <w:rFonts w:ascii="Times New Roman" w:hAnsi="Times New Roman" w:cs="Times New Roman" w:eastAsia="Times New Roman" w:hint="default"/>
        </w:rPr>
        <w:t>3</w:t>
      </w:r>
      <w:r>
        <w:rPr/>
        <w:t>）相关的补助款批文中已明确承诺了拨付期限，且该款项的拨付是有相应财政预算作为保障 </w:t>
      </w:r>
      <w:r>
        <w:rPr>
          <w:spacing w:val="-5"/>
        </w:rPr>
        <w:t>的，因而可以合理保证其可在规定期限内收到；（</w:t>
      </w:r>
      <w:r>
        <w:rPr>
          <w:rFonts w:ascii="Times New Roman" w:hAnsi="Times New Roman" w:cs="Times New Roman" w:eastAsia="Times New Roman" w:hint="default"/>
          <w:spacing w:val="-5"/>
        </w:rPr>
        <w:t>4</w:t>
      </w:r>
      <w:r>
        <w:rPr>
          <w:spacing w:val="-5"/>
        </w:rPr>
        <w:t>）根据本公司和该补助事项的具体情况，应满足的其他相关条件（如有）。</w:t>
      </w:r>
    </w:p>
    <w:p>
      <w:pPr>
        <w:pStyle w:val="BodyText"/>
        <w:spacing w:line="316" w:lineRule="auto" w:before="9"/>
        <w:ind w:right="1131" w:firstLine="360"/>
        <w:jc w:val="both"/>
      </w:pPr>
      <w:r>
        <w:rPr>
          <w:spacing w:val="-2"/>
        </w:rPr>
        <w:t>与资产相关的政府补助，确认为递延收益，并在相关资产的使用寿命内按照合理、系统的方法分期计入当期损益或冲减</w:t>
      </w:r>
      <w:r>
        <w:rPr/>
        <w:t> </w:t>
      </w:r>
      <w:r>
        <w:rPr>
          <w:spacing w:val="-2"/>
        </w:rPr>
        <w:t>相关资产的账面价值。与收益相关的政府补助，用于补偿以后期间的相关成本费用或损失的，确认为递延收益，并在确认相</w:t>
      </w:r>
      <w:r>
        <w:rPr>
          <w:spacing w:val="-66"/>
        </w:rPr>
        <w:t> </w:t>
      </w:r>
      <w:r>
        <w:rPr>
          <w:spacing w:val="-66"/>
        </w:rPr>
      </w:r>
      <w:r>
        <w:rPr/>
        <w:t>关成本费用或损失的期间计入当期损益；用于补偿已经发生的相关成本费用或损失的，直接计入当期损益。</w:t>
      </w:r>
    </w:p>
    <w:p>
      <w:pPr>
        <w:pStyle w:val="BodyText"/>
        <w:spacing w:line="316" w:lineRule="auto" w:before="19"/>
        <w:ind w:right="1133" w:firstLine="360"/>
        <w:jc w:val="both"/>
      </w:pPr>
      <w:r>
        <w:rPr>
          <w:spacing w:val="-2"/>
        </w:rPr>
        <w:t>同时包含与资产相关部分和与收益相关部分的政府补助，区分不同部分分别进行会计处理；难以区分的，将其整体归类</w:t>
      </w:r>
      <w:r>
        <w:rPr/>
        <w:t> 为与收益相关的政府补助。</w:t>
      </w:r>
    </w:p>
    <w:p>
      <w:pPr>
        <w:pStyle w:val="BodyText"/>
        <w:spacing w:line="316" w:lineRule="auto" w:before="19"/>
        <w:ind w:right="1133" w:firstLine="360"/>
        <w:jc w:val="both"/>
      </w:pPr>
      <w:r>
        <w:rPr>
          <w:spacing w:val="-2"/>
        </w:rPr>
        <w:t>与本公司日常活动相关的政府补助，按照经济业务的实质，计入其他收益或冲减相关成本费用；与日常活动无关的政府</w:t>
      </w:r>
      <w:r>
        <w:rPr/>
        <w:t> 补助，计入营业外收支。</w:t>
      </w:r>
    </w:p>
    <w:p>
      <w:pPr>
        <w:pStyle w:val="BodyText"/>
        <w:spacing w:line="316" w:lineRule="auto" w:before="19"/>
        <w:ind w:right="1131" w:firstLine="360"/>
        <w:jc w:val="both"/>
      </w:pPr>
      <w:r>
        <w:rPr>
          <w:spacing w:val="-2"/>
        </w:rPr>
        <w:t>已确认的政府补助需要退回时，存在相关递延收益余额的，冲减相关递延收益账面余额，超出部分计入当期损益或；属</w:t>
      </w:r>
      <w:r>
        <w:rPr/>
        <w:t> 于其他情况的，直接计入当期损益。</w:t>
      </w:r>
    </w:p>
    <w:p>
      <w:pPr>
        <w:spacing w:line="240" w:lineRule="auto" w:before="7"/>
        <w:rPr>
          <w:rFonts w:ascii="宋体" w:hAnsi="宋体" w:cs="宋体" w:eastAsia="宋体" w:hint="default"/>
          <w:sz w:val="22"/>
          <w:szCs w:val="22"/>
        </w:rPr>
      </w:pPr>
    </w:p>
    <w:p>
      <w:pPr>
        <w:pStyle w:val="Heading3"/>
        <w:spacing w:line="240" w:lineRule="auto"/>
        <w:ind w:right="1122"/>
        <w:jc w:val="left"/>
        <w:rPr>
          <w:b w:val="0"/>
          <w:bCs w:val="0"/>
        </w:rPr>
      </w:pPr>
      <w:bookmarkStart w:name="30、递延所得税资产/递延所得税负债" w:id="225"/>
      <w:bookmarkEnd w:id="225"/>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032"/>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316" w:lineRule="auto" w:before="31"/>
        <w:ind w:right="1122"/>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9"/>
        <w:ind w:left="514" w:right="1122"/>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6" w:lineRule="auto" w:before="31"/>
        <w:ind w:right="1122"/>
        <w:jc w:val="left"/>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316" w:lineRule="auto" w:before="19"/>
        <w:ind w:right="1131"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pStyle w:val="BodyText"/>
        <w:spacing w:line="316" w:lineRule="auto" w:before="19"/>
        <w:ind w:right="1131"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316" w:lineRule="auto" w:before="19"/>
        <w:ind w:right="1131"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6" w:lineRule="auto" w:before="19"/>
        <w:ind w:right="1132"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316" w:lineRule="auto" w:before="19"/>
        <w:ind w:right="1132"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300" w:lineRule="auto" w:before="19"/>
        <w:ind w:left="514" w:right="6972"/>
        <w:jc w:val="left"/>
      </w:pPr>
      <w:r>
        <w:rPr/>
        <w:t>（</w:t>
      </w:r>
      <w:r>
        <w:rPr>
          <w:rFonts w:ascii="Times New Roman" w:hAnsi="Times New Roman" w:cs="Times New Roman" w:eastAsia="Times New Roman" w:hint="default"/>
        </w:rPr>
        <w:t>3</w:t>
      </w:r>
      <w:r>
        <w:rPr/>
        <w:t>）所得税费用 所得税费用包括当期所得税和递延所得税。</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212" w:firstLine="360"/>
        <w:jc w:val="left"/>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00" w:lineRule="auto" w:before="19"/>
        <w:ind w:left="514" w:right="1122"/>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316" w:lineRule="auto" w:before="32"/>
        <w:ind w:right="1122"/>
        <w:jc w:val="left"/>
      </w:pPr>
      <w:r>
        <w:rPr/>
        <w:t>得税负债以抵销后的净额列报。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的期间内，涉及的纳税主体意图以净额结算当期所得税资产和负债或是同时取得资产、清偿负债时，本公司递延所得税资产</w:t>
      </w:r>
      <w:r>
        <w:rPr>
          <w:spacing w:val="-66"/>
        </w:rPr>
        <w:t> </w:t>
      </w:r>
      <w:r>
        <w:rPr>
          <w:spacing w:val="-66"/>
        </w:rPr>
      </w:r>
      <w:r>
        <w:rPr/>
        <w:t>及递延所得税负债以抵销后的净额列报。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1122"/>
        <w:jc w:val="left"/>
        <w:rPr>
          <w:b w:val="0"/>
          <w:bCs w:val="0"/>
        </w:rPr>
      </w:pPr>
      <w:bookmarkStart w:name="31、租赁" w:id="226"/>
      <w:bookmarkEnd w:id="226"/>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经营租赁的会计处理方法" w:id="227"/>
      <w:bookmarkEnd w:id="22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122"/>
        <w:jc w:val="left"/>
      </w:pPr>
      <w:r>
        <w:rPr/>
        <w:t>①</w:t>
      </w:r>
      <w:r>
        <w:rPr>
          <w:spacing w:val="-17"/>
        </w:rPr>
        <w:t> </w:t>
      </w:r>
      <w:r>
        <w:rPr/>
        <w:t>本公司作为承租人记录经营租赁业务</w:t>
      </w:r>
      <w:r>
        <w:rPr/>
        <w:t> </w:t>
      </w:r>
      <w:r>
        <w:rPr>
          <w:spacing w:val="-2"/>
        </w:rPr>
        <w:t>经营租赁的租金支出在租赁期内的各个期间按直线法计入相关资产成本或当期损益。初始直接费用计入当期损益。或有</w:t>
      </w:r>
    </w:p>
    <w:p>
      <w:pPr>
        <w:pStyle w:val="BodyText"/>
        <w:spacing w:line="240" w:lineRule="auto" w:before="19"/>
        <w:ind w:right="1122"/>
        <w:jc w:val="left"/>
      </w:pPr>
      <w:r>
        <w:rPr/>
        <w:t>租金于实际发生时计入当期损益。</w:t>
      </w:r>
    </w:p>
    <w:p>
      <w:pPr>
        <w:pStyle w:val="BodyText"/>
        <w:spacing w:line="316" w:lineRule="auto" w:before="76"/>
        <w:ind w:left="514" w:right="1212"/>
        <w:jc w:val="left"/>
      </w:pPr>
      <w:r>
        <w:rPr/>
        <w:t>②</w:t>
      </w:r>
      <w:r>
        <w:rPr>
          <w:spacing w:val="-17"/>
        </w:rPr>
        <w:t> </w:t>
      </w:r>
      <w:r>
        <w:rPr/>
        <w:t>本公司作为出租人记录经营租赁业务</w:t>
      </w:r>
      <w:r>
        <w:rPr/>
        <w:t> 经营租赁的租金收入在租赁期内的各个期间按直线法确认为当期损益。对金额较大的初始直接费用于发生时予以资本</w:t>
      </w:r>
    </w:p>
    <w:p>
      <w:pPr>
        <w:pStyle w:val="BodyText"/>
        <w:spacing w:line="316" w:lineRule="auto" w:before="19"/>
        <w:ind w:right="1122"/>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7"/>
        <w:rPr>
          <w:rFonts w:ascii="宋体" w:hAnsi="宋体" w:cs="宋体" w:eastAsia="宋体" w:hint="default"/>
          <w:sz w:val="22"/>
          <w:szCs w:val="22"/>
        </w:rPr>
      </w:pPr>
    </w:p>
    <w:p>
      <w:pPr>
        <w:pStyle w:val="Heading3"/>
        <w:spacing w:line="240" w:lineRule="auto"/>
        <w:ind w:right="1122"/>
        <w:jc w:val="left"/>
        <w:rPr>
          <w:b w:val="0"/>
          <w:bCs w:val="0"/>
        </w:rPr>
      </w:pPr>
      <w:bookmarkStart w:name="（2）融资租赁的会计处理方法" w:id="228"/>
      <w:bookmarkEnd w:id="22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122"/>
        <w:jc w:val="left"/>
      </w:pPr>
      <w:r>
        <w:rPr/>
        <w:t>①</w:t>
      </w:r>
      <w:r>
        <w:rPr>
          <w:spacing w:val="-17"/>
        </w:rPr>
        <w:t> </w:t>
      </w:r>
      <w:r>
        <w:rPr/>
        <w:t>本公司作为承租人记录融资租赁业务</w:t>
      </w:r>
      <w:r>
        <w:rPr/>
        <w:t> </w:t>
      </w:r>
      <w:r>
        <w:rPr>
          <w:spacing w:val="-2"/>
        </w:rPr>
        <w:t>于租赁期开始日，将租赁开始日租赁资产的公允价值与最低租赁付款额现值两者中较低者作为租入资产的入账价值，将</w:t>
      </w:r>
    </w:p>
    <w:p>
      <w:pPr>
        <w:pStyle w:val="BodyText"/>
        <w:spacing w:line="316" w:lineRule="auto" w:before="19"/>
        <w:ind w:right="0"/>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240" w:lineRule="auto" w:before="19"/>
        <w:ind w:left="514" w:right="1122"/>
        <w:jc w:val="left"/>
      </w:pPr>
      <w:r>
        <w:rPr/>
        <w:t>未确认融资费用在租赁期内采用实际利率法计算确认当期的融资费用。或有租金于实际发生时计入当期损益。</w:t>
      </w:r>
    </w:p>
    <w:p>
      <w:pPr>
        <w:pStyle w:val="BodyText"/>
        <w:spacing w:line="316" w:lineRule="auto" w:before="76"/>
        <w:ind w:left="514" w:right="1122"/>
        <w:jc w:val="left"/>
      </w:pPr>
      <w:r>
        <w:rPr/>
        <w:t>②</w:t>
      </w:r>
      <w:r>
        <w:rPr>
          <w:spacing w:val="-17"/>
        </w:rPr>
        <w:t> </w:t>
      </w:r>
      <w:r>
        <w:rPr/>
        <w:t>本公司作为出租人记录融资租赁业务</w:t>
      </w:r>
      <w:r>
        <w:rPr/>
        <w:t> </w:t>
      </w:r>
      <w:r>
        <w:rPr>
          <w:spacing w:val="-2"/>
        </w:rPr>
        <w:t>于租赁期开始日，将租赁开始日最低租赁收款额与初始直接费用之和作为应收融资租赁款的入账价值，同时记录未担保</w:t>
      </w:r>
    </w:p>
    <w:p>
      <w:pPr>
        <w:pStyle w:val="BodyText"/>
        <w:spacing w:line="316" w:lineRule="auto" w:before="19"/>
        <w:ind w:right="1122"/>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 未实现融资收益在租赁期内采用实际利率法计算确认当期的融资收入。或有租金于实际发生时计入当期损益。</w:t>
      </w:r>
    </w:p>
    <w:p>
      <w:pPr>
        <w:spacing w:line="240" w:lineRule="auto" w:before="7"/>
        <w:rPr>
          <w:rFonts w:ascii="宋体" w:hAnsi="宋体" w:cs="宋体" w:eastAsia="宋体" w:hint="default"/>
          <w:sz w:val="22"/>
          <w:szCs w:val="22"/>
        </w:rPr>
      </w:pPr>
    </w:p>
    <w:p>
      <w:pPr>
        <w:pStyle w:val="Heading3"/>
        <w:spacing w:line="240" w:lineRule="auto"/>
        <w:ind w:right="1122"/>
        <w:jc w:val="left"/>
        <w:rPr>
          <w:b w:val="0"/>
          <w:bCs w:val="0"/>
        </w:rPr>
      </w:pPr>
      <w:bookmarkStart w:name="32、其他重要的会计政策和会计估计" w:id="229"/>
      <w:bookmarkEnd w:id="229"/>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122"/>
        <w:jc w:val="left"/>
      </w:pPr>
      <w:r>
        <w:rPr/>
        <w:t>（</w:t>
      </w:r>
      <w:r>
        <w:rPr>
          <w:rFonts w:ascii="Times New Roman" w:hAnsi="Times New Roman" w:cs="Times New Roman" w:eastAsia="Times New Roman" w:hint="default"/>
        </w:rPr>
        <w:t>1</w:t>
      </w:r>
      <w:r>
        <w:rPr/>
        <w:t>）终止经营 </w:t>
      </w:r>
      <w:r>
        <w:rPr>
          <w:spacing w:val="-2"/>
        </w:rPr>
        <w:t>终止经营，是指满足下列条件之一的、能够单独区分且已被本公司处置或划分为持有待售类别的组成部分：①该组成部</w:t>
      </w:r>
    </w:p>
    <w:p>
      <w:pPr>
        <w:pStyle w:val="BodyText"/>
        <w:spacing w:line="316" w:lineRule="auto" w:before="32"/>
        <w:ind w:right="1122"/>
        <w:jc w:val="left"/>
      </w:pPr>
      <w:r>
        <w:rPr>
          <w:spacing w:val="-2"/>
        </w:rPr>
        <w:t>分代表一项独立的主要业务或一个单独的主要经营地区；②该组成部分是拟对一项独立的主要业务或一个单独的主要经营地</w:t>
      </w:r>
      <w:r>
        <w:rPr>
          <w:spacing w:val="-64"/>
        </w:rPr>
        <w:t> </w:t>
      </w:r>
      <w:r>
        <w:rPr>
          <w:spacing w:val="-64"/>
        </w:rPr>
      </w:r>
      <w:r>
        <w:rPr/>
        <w:t>区进行处置的一项相关联计划的一部分；③该组成部分是专为了转售而取得的子公司。</w:t>
      </w:r>
    </w:p>
    <w:p>
      <w:pPr>
        <w:pStyle w:val="BodyText"/>
        <w:spacing w:line="240" w:lineRule="auto" w:before="19"/>
        <w:ind w:left="514" w:right="1122"/>
        <w:jc w:val="left"/>
      </w:pPr>
      <w:r>
        <w:rPr/>
        <w:t>终止经营的会计处理方法参见本附注四、</w:t>
      </w:r>
      <w:r>
        <w:rPr>
          <w:rFonts w:ascii="Times New Roman" w:hAnsi="Times New Roman" w:cs="Times New Roman" w:eastAsia="Times New Roman" w:hint="default"/>
        </w:rPr>
        <w:t>12“</w:t>
      </w:r>
      <w:r>
        <w:rPr/>
        <w:t>持有待售资产和处置组</w:t>
      </w:r>
      <w:r>
        <w:rPr>
          <w:rFonts w:ascii="Times New Roman" w:hAnsi="Times New Roman" w:cs="Times New Roman" w:eastAsia="Times New Roman" w:hint="default"/>
        </w:rPr>
        <w:t>”</w:t>
      </w:r>
      <w:r>
        <w:rPr/>
        <w:t>相关描述。</w:t>
      </w:r>
    </w:p>
    <w:p>
      <w:pPr>
        <w:pStyle w:val="BodyText"/>
        <w:spacing w:line="300" w:lineRule="auto" w:before="63"/>
        <w:ind w:left="514" w:right="2112"/>
        <w:jc w:val="left"/>
      </w:pPr>
      <w:r>
        <w:rPr/>
        <w:t>（</w:t>
      </w:r>
      <w:r>
        <w:rPr>
          <w:rFonts w:ascii="Times New Roman" w:hAnsi="Times New Roman" w:cs="Times New Roman" w:eastAsia="Times New Roman" w:hint="default"/>
        </w:rPr>
        <w:t>2</w:t>
      </w:r>
      <w:r>
        <w:rPr/>
        <w:t>）回购股份 股份回购中支付的对价和交易费用减少股东权益，回购、转上或注销本公司股份时，不确认利得或损失。</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转让库存股，按实际收到的金额与库存股账面金额的差额，计入资本公积，资本公积不足冲减的，冲减盈余公积和未分</w:t>
      </w:r>
      <w:r>
        <w:rPr/>
        <w:t> </w:t>
      </w:r>
      <w:r>
        <w:rPr>
          <w:spacing w:val="-2"/>
        </w:rPr>
        <w:t>配利润。注销库存股，按股票面值和注销股数减少股本，按注销库存股的账面余额与面值的差额，冲减资本公积，资本公积</w:t>
      </w:r>
      <w:r>
        <w:rPr>
          <w:spacing w:val="-66"/>
        </w:rPr>
        <w:t> </w:t>
      </w:r>
      <w:r>
        <w:rPr>
          <w:spacing w:val="-66"/>
        </w:rPr>
      </w:r>
      <w:r>
        <w:rPr/>
        <w:t>不足冲减的，冲减盈余公积和未分配利润。</w:t>
      </w:r>
    </w:p>
    <w:p>
      <w:pPr>
        <w:spacing w:line="240" w:lineRule="auto" w:before="7"/>
        <w:rPr>
          <w:rFonts w:ascii="宋体" w:hAnsi="宋体" w:cs="宋体" w:eastAsia="宋体" w:hint="default"/>
          <w:sz w:val="22"/>
          <w:szCs w:val="22"/>
        </w:rPr>
      </w:pPr>
    </w:p>
    <w:p>
      <w:pPr>
        <w:pStyle w:val="Heading3"/>
        <w:spacing w:line="240" w:lineRule="auto"/>
        <w:ind w:right="1122"/>
        <w:jc w:val="left"/>
        <w:rPr>
          <w:b w:val="0"/>
          <w:bCs w:val="0"/>
        </w:rPr>
      </w:pPr>
      <w:bookmarkStart w:name="33、重要会计政策和会计估计变更" w:id="230"/>
      <w:bookmarkEnd w:id="230"/>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重要会计政策变更" w:id="231"/>
      <w:bookmarkEnd w:id="23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月发布了《关于修订</w:t>
            </w:r>
          </w:p>
          <w:p>
            <w:pPr>
              <w:pStyle w:val="TableParagraph"/>
              <w:spacing w:line="302" w:lineRule="auto" w:before="6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印发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年度一般企业财务报表格的通 </w:t>
            </w:r>
            <w:r>
              <w:rPr>
                <w:rFonts w:ascii="宋体" w:hAnsi="宋体" w:cs="宋体" w:eastAsia="宋体" w:hint="default"/>
                <w:spacing w:val="-8"/>
                <w:sz w:val="18"/>
                <w:szCs w:val="18"/>
              </w:rPr>
              <w:t>知》（财会</w:t>
            </w:r>
            <w:r>
              <w:rPr>
                <w:rFonts w:ascii="Times New Roman" w:hAnsi="Times New Roman" w:cs="Times New Roman" w:eastAsia="Times New Roman" w:hint="default"/>
                <w:spacing w:val="-8"/>
                <w:sz w:val="18"/>
                <w:szCs w:val="18"/>
              </w:rPr>
              <w:t>[2018]15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35"/>
              <w:jc w:val="both"/>
              <w:rPr>
                <w:rFonts w:ascii="宋体" w:hAnsi="宋体" w:cs="宋体" w:eastAsia="宋体" w:hint="default"/>
                <w:sz w:val="18"/>
                <w:szCs w:val="18"/>
              </w:rPr>
            </w:pPr>
            <w:r>
              <w:rPr>
                <w:rFonts w:ascii="宋体" w:hAnsi="宋体" w:cs="宋体" w:eastAsia="宋体" w:hint="default"/>
                <w:sz w:val="18"/>
                <w:szCs w:val="18"/>
              </w:rPr>
              <w:t>本公司根据相关要求按照一般企业财务 报表格式</w:t>
            </w:r>
            <w:r>
              <w:rPr>
                <w:rFonts w:ascii="Times New Roman" w:hAnsi="Times New Roman" w:cs="Times New Roman" w:eastAsia="Times New Roman" w:hint="default"/>
                <w:sz w:val="18"/>
                <w:szCs w:val="18"/>
              </w:rPr>
              <w:t>(</w:t>
            </w:r>
            <w:r>
              <w:rPr>
                <w:rFonts w:ascii="宋体" w:hAnsi="宋体" w:cs="宋体" w:eastAsia="宋体" w:hint="default"/>
                <w:sz w:val="18"/>
                <w:szCs w:val="18"/>
              </w:rPr>
              <w:t>适用于尚未执行新金融准则和 新收入准则的企业</w:t>
            </w:r>
            <w:r>
              <w:rPr>
                <w:rFonts w:ascii="Times New Roman" w:hAnsi="Times New Roman" w:cs="Times New Roman" w:eastAsia="Times New Roman" w:hint="default"/>
                <w:sz w:val="18"/>
                <w:szCs w:val="18"/>
              </w:rPr>
              <w:t>)</w:t>
            </w:r>
            <w:r>
              <w:rPr>
                <w:rFonts w:ascii="宋体" w:hAnsi="宋体" w:cs="宋体" w:eastAsia="宋体" w:hint="default"/>
                <w:sz w:val="18"/>
                <w:szCs w:val="18"/>
              </w:rPr>
              <w:t>编制财务报表。</w:t>
            </w:r>
          </w:p>
        </w:tc>
      </w:tr>
    </w:tbl>
    <w:p>
      <w:pPr>
        <w:pStyle w:val="BodyText"/>
        <w:spacing w:line="307" w:lineRule="auto" w:before="10"/>
        <w:ind w:right="1130" w:firstLine="360"/>
        <w:jc w:val="both"/>
      </w:pPr>
      <w:r>
        <w:rPr/>
        <w:t>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月发布了《关于修订印发</w:t>
      </w:r>
      <w:r>
        <w:rPr>
          <w:rFonts w:ascii="Times New Roman" w:hAnsi="Times New Roman" w:cs="Times New Roman" w:eastAsia="Times New Roman" w:hint="default"/>
        </w:rPr>
        <w:t>2018</w:t>
      </w:r>
      <w:r>
        <w:rPr/>
        <w:t>年度一般企业财务报表格的通知》（财会</w:t>
      </w:r>
      <w:r>
        <w:rPr>
          <w:rFonts w:ascii="Times New Roman" w:hAnsi="Times New Roman" w:cs="Times New Roman" w:eastAsia="Times New Roman" w:hint="default"/>
        </w:rPr>
        <w:t>[2018]15</w:t>
      </w:r>
      <w:r>
        <w:rPr/>
        <w:t>号</w:t>
      </w:r>
      <w:r>
        <w:rPr>
          <w:rFonts w:ascii="Times New Roman" w:hAnsi="Times New Roman" w:cs="Times New Roman" w:eastAsia="Times New Roman" w:hint="default"/>
        </w:rPr>
        <w:t>)</w:t>
      </w:r>
      <w:r>
        <w:rPr/>
        <w:t>，本公司根据相关 </w:t>
      </w:r>
      <w:r>
        <w:rPr>
          <w:spacing w:val="-1"/>
        </w:rPr>
        <w:t>要求按照一般企业财务报表格式</w:t>
      </w:r>
      <w:r>
        <w:rPr>
          <w:rFonts w:ascii="Times New Roman" w:hAnsi="Times New Roman" w:cs="Times New Roman" w:eastAsia="Times New Roman" w:hint="default"/>
          <w:spacing w:val="-1"/>
        </w:rPr>
        <w:t>(</w:t>
      </w:r>
      <w:r>
        <w:rPr>
          <w:spacing w:val="-1"/>
        </w:rPr>
        <w:t>适用于尚未执行新金融准则和新收入准则的企业</w:t>
      </w:r>
      <w:r>
        <w:rPr>
          <w:rFonts w:ascii="Times New Roman" w:hAnsi="Times New Roman" w:cs="Times New Roman" w:eastAsia="Times New Roman" w:hint="default"/>
          <w:spacing w:val="-1"/>
        </w:rPr>
        <w:t>)</w:t>
      </w:r>
      <w:r>
        <w:rPr>
          <w:spacing w:val="-1"/>
        </w:rPr>
        <w:t>编制财务报表。本公司根据通知的列报要</w:t>
      </w:r>
      <w:r>
        <w:rPr>
          <w:spacing w:val="-57"/>
        </w:rPr>
        <w:t> </w:t>
      </w:r>
      <w:r>
        <w:rPr>
          <w:spacing w:val="-57"/>
        </w:rPr>
      </w:r>
      <w:r>
        <w:rPr>
          <w:spacing w:val="-2"/>
        </w:rPr>
        <w:t>求相应追溯重述了比较报表，本期和比较期间财务报表的部分项目列报内容不同，但对本期和比较期间的本公司净利润和股</w:t>
      </w:r>
      <w:r>
        <w:rPr>
          <w:spacing w:val="-64"/>
        </w:rPr>
        <w:t> </w:t>
      </w:r>
      <w:r>
        <w:rPr>
          <w:spacing w:val="-64"/>
        </w:rPr>
      </w:r>
      <w:r>
        <w:rPr/>
        <w:t>东权益无影响。</w:t>
      </w:r>
    </w:p>
    <w:p>
      <w:pPr>
        <w:spacing w:line="240" w:lineRule="auto" w:before="1"/>
        <w:rPr>
          <w:rFonts w:ascii="宋体" w:hAnsi="宋体" w:cs="宋体" w:eastAsia="宋体" w:hint="default"/>
          <w:sz w:val="23"/>
          <w:szCs w:val="23"/>
        </w:rPr>
      </w:pPr>
    </w:p>
    <w:p>
      <w:pPr>
        <w:pStyle w:val="Heading3"/>
        <w:spacing w:line="240" w:lineRule="auto"/>
        <w:ind w:right="1122"/>
        <w:jc w:val="left"/>
        <w:rPr>
          <w:b w:val="0"/>
          <w:bCs w:val="0"/>
        </w:rPr>
      </w:pPr>
      <w:bookmarkStart w:name="（2）重要会计估计变更" w:id="232"/>
      <w:bookmarkEnd w:id="23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34、其他" w:id="233"/>
      <w:bookmarkEnd w:id="233"/>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032" w:firstLine="360"/>
        <w:jc w:val="left"/>
      </w:pPr>
      <w:r>
        <w:rPr>
          <w:spacing w:val="-2"/>
        </w:rPr>
        <w:t>本公司在运用会计政策过程中，由于经营活动内在的不确定性，本公司需要对无法准确计量的报表项目的账面价值进行</w:t>
      </w:r>
      <w:r>
        <w:rPr/>
        <w:t> 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6" w:lineRule="auto" w:before="19"/>
        <w:ind w:right="1122" w:firstLine="360"/>
        <w:jc w:val="left"/>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19"/>
        <w:ind w:left="514" w:right="1122"/>
        <w:jc w:val="left"/>
      </w:pPr>
      <w:r>
        <w:rPr/>
        <w:t>于资产负债表日，本公司需对财务报表项目金额进行判断、估计和假设的重要领域如下：</w:t>
      </w:r>
    </w:p>
    <w:p>
      <w:pPr>
        <w:pStyle w:val="BodyText"/>
        <w:spacing w:line="300" w:lineRule="auto" w:before="76"/>
        <w:ind w:left="514" w:right="1122"/>
        <w:jc w:val="left"/>
      </w:pPr>
      <w:r>
        <w:rPr/>
        <w:t>（</w:t>
      </w:r>
      <w:r>
        <w:rPr>
          <w:rFonts w:ascii="Times New Roman" w:hAnsi="Times New Roman" w:cs="Times New Roman" w:eastAsia="Times New Roman" w:hint="default"/>
        </w:rPr>
        <w:t>1</w:t>
      </w:r>
      <w:r>
        <w:rPr/>
        <w:t>）租赁的归类 </w:t>
      </w:r>
      <w:r>
        <w:rPr>
          <w:spacing w:val="-2"/>
        </w:rPr>
        <w:t>本公司根据《企业会计准则第</w:t>
      </w:r>
      <w:r>
        <w:rPr>
          <w:rFonts w:ascii="Times New Roman" w:hAnsi="Times New Roman" w:cs="Times New Roman" w:eastAsia="Times New Roman" w:hint="default"/>
          <w:spacing w:val="-2"/>
        </w:rPr>
        <w:t>21</w:t>
      </w:r>
      <w:r>
        <w:rPr>
          <w:spacing w:val="-2"/>
        </w:rPr>
        <w:t>号</w:t>
      </w:r>
      <w:r>
        <w:rPr>
          <w:rFonts w:ascii="Times New Roman" w:hAnsi="Times New Roman" w:cs="Times New Roman" w:eastAsia="Times New Roman" w:hint="default"/>
          <w:spacing w:val="-2"/>
        </w:rPr>
        <w:t>——</w:t>
      </w:r>
      <w:r>
        <w:rPr>
          <w:spacing w:val="-2"/>
        </w:rPr>
        <w:t>租赁》的规定，将租赁归类为经营租赁和融资租赁，在进行归类时，管理层需要</w:t>
      </w:r>
    </w:p>
    <w:p>
      <w:pPr>
        <w:pStyle w:val="BodyText"/>
        <w:spacing w:line="316" w:lineRule="auto" w:before="13"/>
        <w:ind w:right="1122"/>
        <w:jc w:val="left"/>
      </w:pPr>
      <w:r>
        <w:rPr>
          <w:spacing w:val="-2"/>
        </w:rPr>
        <w:t>对是否已将与租出资产所有权有关的全部风险和报酬实质上转移给承租人，或者本公司是否已经实质上承担与租入资产所有</w:t>
      </w:r>
      <w:r>
        <w:rPr>
          <w:spacing w:val="-64"/>
        </w:rPr>
        <w:t> </w:t>
      </w:r>
      <w:r>
        <w:rPr>
          <w:spacing w:val="-64"/>
        </w:rPr>
      </w:r>
      <w:r>
        <w:rPr/>
        <w:t>权有关的全部风险和报酬，作出分析和判断。</w:t>
      </w:r>
    </w:p>
    <w:p>
      <w:pPr>
        <w:pStyle w:val="BodyText"/>
        <w:spacing w:line="300" w:lineRule="auto" w:before="19"/>
        <w:ind w:left="514" w:right="1122"/>
        <w:jc w:val="left"/>
      </w:pPr>
      <w:r>
        <w:rPr/>
        <w:t>（</w:t>
      </w:r>
      <w:r>
        <w:rPr>
          <w:rFonts w:ascii="Times New Roman" w:hAnsi="Times New Roman" w:cs="Times New Roman" w:eastAsia="Times New Roman" w:hint="default"/>
        </w:rPr>
        <w:t>2</w:t>
      </w:r>
      <w:r>
        <w:rPr/>
        <w:t>）坏账准备计提 </w:t>
      </w:r>
      <w:r>
        <w:rPr>
          <w:spacing w:val="-2"/>
        </w:rPr>
        <w:t>本公司根据应收款项的会计政策，采用备抵法核算坏账损失。应收款项减值是基于评估应收款项的可收回性。鉴定应收</w:t>
      </w:r>
    </w:p>
    <w:p>
      <w:pPr>
        <w:pStyle w:val="BodyText"/>
        <w:spacing w:line="316" w:lineRule="auto" w:before="31"/>
        <w:ind w:right="1122"/>
        <w:jc w:val="left"/>
      </w:pPr>
      <w:r>
        <w:rPr>
          <w:spacing w:val="-2"/>
        </w:rPr>
        <w:t>款项减值要求管理层的判断和估计。实际的结果与原先估计的差异将在估计被改变的期间影响应收款项的账面价值及应收款</w:t>
      </w:r>
      <w:r>
        <w:rPr>
          <w:spacing w:val="-64"/>
        </w:rPr>
        <w:t> </w:t>
      </w:r>
      <w:r>
        <w:rPr>
          <w:spacing w:val="-64"/>
        </w:rPr>
      </w:r>
      <w:r>
        <w:rPr/>
        <w:t>项坏账准备的计提或转回。</w:t>
      </w:r>
    </w:p>
    <w:p>
      <w:pPr>
        <w:pStyle w:val="BodyText"/>
        <w:spacing w:line="300" w:lineRule="auto" w:before="19"/>
        <w:ind w:left="514" w:right="1122"/>
        <w:jc w:val="left"/>
      </w:pPr>
      <w:r>
        <w:rPr/>
        <w:t>（</w:t>
      </w:r>
      <w:r>
        <w:rPr>
          <w:rFonts w:ascii="Times New Roman" w:hAnsi="Times New Roman" w:cs="Times New Roman" w:eastAsia="Times New Roman" w:hint="default"/>
        </w:rPr>
        <w:t>3</w:t>
      </w:r>
      <w:r>
        <w:rPr/>
        <w:t>）存货跌价准备 </w:t>
      </w:r>
      <w:r>
        <w:rPr>
          <w:spacing w:val="-2"/>
        </w:rPr>
        <w:t>本公司根据存货会计政策，按照成本与可变现净值孰低计量，对成本高于可变现净值及陈旧和滞销的存货，计提存货跌</w:t>
      </w:r>
    </w:p>
    <w:p>
      <w:pPr>
        <w:pStyle w:val="BodyText"/>
        <w:spacing w:line="316" w:lineRule="auto" w:before="31"/>
        <w:ind w:right="1122"/>
        <w:jc w:val="left"/>
      </w:pPr>
      <w:r>
        <w:rPr>
          <w:spacing w:val="-2"/>
        </w:rPr>
        <w:t>价准备。存货减值至可变现净值是基于评估存货的可售性及其可变现净值。鉴定存货减值要求管理层在取得确凿证据，并且</w:t>
      </w:r>
      <w:r>
        <w:rPr>
          <w:spacing w:val="-66"/>
        </w:rPr>
        <w:t> </w:t>
      </w:r>
      <w:r>
        <w:rPr>
          <w:spacing w:val="-66"/>
        </w:rPr>
      </w:r>
      <w:r>
        <w:rPr>
          <w:spacing w:val="-2"/>
        </w:rPr>
        <w:t>考虑持有存货的目的、资产负债表日后事项的影响等因素的基础上作出判断和估计。实际的结果与原先估计的差异将在估计</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22"/>
        <w:jc w:val="left"/>
      </w:pPr>
      <w:r>
        <w:rPr/>
        <w:t>被改变的期间影响存货的账面价值及存货跌价准备的计提或转回。</w:t>
      </w:r>
    </w:p>
    <w:p>
      <w:pPr>
        <w:pStyle w:val="BodyText"/>
        <w:spacing w:line="300" w:lineRule="auto" w:before="76"/>
        <w:ind w:left="514" w:right="1122"/>
        <w:jc w:val="left"/>
      </w:pPr>
      <w:r>
        <w:rPr/>
        <w:t>（</w:t>
      </w:r>
      <w:r>
        <w:rPr>
          <w:rFonts w:ascii="Times New Roman" w:hAnsi="Times New Roman" w:cs="Times New Roman" w:eastAsia="Times New Roman" w:hint="default"/>
        </w:rPr>
        <w:t>4</w:t>
      </w:r>
      <w:r>
        <w:rPr/>
        <w:t>）金融工具公允价值 </w:t>
      </w:r>
      <w:r>
        <w:rPr>
          <w:spacing w:val="-2"/>
        </w:rPr>
        <w:t>对不存在活跃交易市场的金融工具，本公司通过各种估值方法确定其公允价值。这些估值方法包括贴现现金流模型分析</w:t>
      </w:r>
    </w:p>
    <w:p>
      <w:pPr>
        <w:pStyle w:val="BodyText"/>
        <w:spacing w:line="319" w:lineRule="auto" w:before="31"/>
        <w:ind w:right="1122"/>
        <w:jc w:val="left"/>
      </w:pPr>
      <w:r>
        <w:rPr>
          <w:spacing w:val="-2"/>
        </w:rPr>
        <w:t>等。估值时本公司需对未来现金流量、信用风险、市场波动率和相关性等方面进行估计，并选择适当的折现率。这些相关假</w:t>
      </w:r>
      <w:r>
        <w:rPr>
          <w:spacing w:val="-66"/>
        </w:rPr>
        <w:t> </w:t>
      </w:r>
      <w:r>
        <w:rPr>
          <w:spacing w:val="-66"/>
        </w:rPr>
      </w:r>
      <w:r>
        <w:rPr/>
        <w:t>设具有不确定性，其变化会对金融工具的公允价值产生影响。</w:t>
      </w:r>
    </w:p>
    <w:p>
      <w:pPr>
        <w:pStyle w:val="BodyText"/>
        <w:spacing w:line="300" w:lineRule="auto" w:before="17"/>
        <w:ind w:left="514" w:right="1122"/>
        <w:jc w:val="left"/>
      </w:pPr>
      <w:r>
        <w:rPr/>
        <w:t>（</w:t>
      </w:r>
      <w:r>
        <w:rPr>
          <w:rFonts w:ascii="Times New Roman" w:hAnsi="Times New Roman" w:cs="Times New Roman" w:eastAsia="Times New Roman" w:hint="default"/>
        </w:rPr>
        <w:t>5</w:t>
      </w:r>
      <w:r>
        <w:rPr/>
        <w:t>）长期资产减值准备 </w:t>
      </w:r>
      <w:r>
        <w:rPr>
          <w:spacing w:val="-2"/>
        </w:rPr>
        <w:t>本公司于资产负债表日对除金融资产之外的非流动资产判断是否存在可能发生减值的迹象。对使用寿命不确定的无形资</w:t>
      </w:r>
    </w:p>
    <w:p>
      <w:pPr>
        <w:pStyle w:val="BodyText"/>
        <w:spacing w:line="316" w:lineRule="auto" w:before="31"/>
        <w:ind w:right="1122"/>
        <w:jc w:val="left"/>
      </w:pPr>
      <w:r>
        <w:rPr>
          <w:spacing w:val="-2"/>
        </w:rPr>
        <w:t>产，除每年进行的减值测试外，当其存在减值迹象时，也进行减值测试。其他除金融资产之外的非流动资产，当存在迹象表</w:t>
      </w:r>
      <w:r>
        <w:rPr>
          <w:spacing w:val="-66"/>
        </w:rPr>
        <w:t> </w:t>
      </w:r>
      <w:r>
        <w:rPr>
          <w:spacing w:val="-66"/>
        </w:rPr>
      </w:r>
      <w:r>
        <w:rPr/>
        <w:t>明其账面金额不可收回时，进行减值测试。</w:t>
      </w:r>
    </w:p>
    <w:p>
      <w:pPr>
        <w:pStyle w:val="BodyText"/>
        <w:spacing w:line="316" w:lineRule="auto" w:before="19"/>
        <w:ind w:right="1122" w:firstLine="360"/>
        <w:jc w:val="left"/>
      </w:pPr>
      <w:r>
        <w:rPr/>
        <w:t>当资产或资产组的账面价值高于可收回金额，即公允价值减去处置费用后的净额和预计未来现金流量的现值中的较高 者，表明发生了减值。</w:t>
      </w:r>
    </w:p>
    <w:p>
      <w:pPr>
        <w:pStyle w:val="BodyText"/>
        <w:spacing w:line="316" w:lineRule="auto" w:before="19"/>
        <w:ind w:right="1122" w:firstLine="360"/>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316" w:lineRule="auto" w:before="19"/>
        <w:ind w:right="0" w:firstLine="360"/>
        <w:jc w:val="left"/>
      </w:pPr>
      <w:r>
        <w:rPr>
          <w:spacing w:val="-2"/>
        </w:rPr>
        <w:t>在预计未来现金流量现值时，需要对该资产（或资产组）的产量、售价、相关经营成本以及计算现值时使用的折现率等</w:t>
      </w:r>
      <w:r>
        <w:rPr/>
        <w:t> </w:t>
      </w:r>
      <w:r>
        <w:rPr>
          <w:spacing w:val="-4"/>
        </w:rPr>
        <w:t>作出重大判断。本公司在估计可收回金额时会采用所有能够获得的相关资料，包括根据合理和可支持的假设所作出有关产量、</w:t>
      </w:r>
      <w:r>
        <w:rPr>
          <w:spacing w:val="-44"/>
        </w:rPr>
        <w:t> </w:t>
      </w:r>
      <w:r>
        <w:rPr>
          <w:spacing w:val="-44"/>
        </w:rPr>
      </w:r>
      <w:r>
        <w:rPr/>
        <w:t>售价和相关经营成本的预测。</w:t>
      </w:r>
    </w:p>
    <w:p>
      <w:pPr>
        <w:pStyle w:val="BodyText"/>
        <w:spacing w:line="316" w:lineRule="auto" w:before="19"/>
        <w:ind w:right="1133" w:firstLine="360"/>
        <w:jc w:val="both"/>
      </w:pPr>
      <w:r>
        <w:rPr/>
        <w:t>本公司至少每年测试商誉是否发生减值。这要求对分配了商誉的资产组或者资产组组合的未来现金流量的现值进行预 </w:t>
      </w:r>
      <w:r>
        <w:rPr>
          <w:spacing w:val="-2"/>
        </w:rPr>
        <w:t>计。对未来现金流量的现值进行预计时，本公司需要预计未来资产组或者资产组组合产生的现金流量，同时选择恰当的折现</w:t>
      </w:r>
      <w:r>
        <w:rPr>
          <w:spacing w:val="-66"/>
        </w:rPr>
        <w:t> </w:t>
      </w:r>
      <w:r>
        <w:rPr>
          <w:spacing w:val="-66"/>
        </w:rPr>
      </w:r>
      <w:r>
        <w:rPr/>
        <w:t>率确定未来现金流量的现值。</w:t>
      </w:r>
    </w:p>
    <w:p>
      <w:pPr>
        <w:pStyle w:val="BodyText"/>
        <w:spacing w:line="300" w:lineRule="auto" w:before="19"/>
        <w:ind w:left="514" w:right="1122"/>
        <w:jc w:val="left"/>
      </w:pPr>
      <w:r>
        <w:rPr/>
        <w:t>（</w:t>
      </w:r>
      <w:r>
        <w:rPr>
          <w:rFonts w:ascii="Times New Roman" w:hAnsi="Times New Roman" w:cs="Times New Roman" w:eastAsia="Times New Roman" w:hint="default"/>
        </w:rPr>
        <w:t>6</w:t>
      </w:r>
      <w:r>
        <w:rPr/>
        <w:t>）折旧和摊销 </w:t>
      </w:r>
      <w:r>
        <w:rPr>
          <w:spacing w:val="-2"/>
        </w:rPr>
        <w:t>本公司对投资性房地产、固定资产和无形资产在考虑其残值后，在使用寿命内按直线法计提折旧和摊销。本公司定期复</w:t>
      </w:r>
    </w:p>
    <w:p>
      <w:pPr>
        <w:pStyle w:val="BodyText"/>
        <w:spacing w:line="319" w:lineRule="auto" w:before="31"/>
        <w:ind w:right="1122"/>
        <w:jc w:val="left"/>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300" w:lineRule="auto" w:before="17"/>
        <w:ind w:left="514" w:right="1122"/>
        <w:jc w:val="left"/>
      </w:pPr>
      <w:r>
        <w:rPr/>
        <w:t>（</w:t>
      </w:r>
      <w:r>
        <w:rPr>
          <w:rFonts w:ascii="Times New Roman" w:hAnsi="Times New Roman" w:cs="Times New Roman" w:eastAsia="Times New Roman" w:hint="default"/>
        </w:rPr>
        <w:t>7</w:t>
      </w:r>
      <w:r>
        <w:rPr/>
        <w:t>）递延所得税资产 </w:t>
      </w:r>
      <w:r>
        <w:rPr>
          <w:spacing w:val="-2"/>
        </w:rPr>
        <w:t>在很有可能有足够的应纳税利润来抵扣亏损的限度内，本公司就所有未利用的税务亏损确认递延所得税资产。这需要本</w:t>
      </w:r>
    </w:p>
    <w:p>
      <w:pPr>
        <w:pStyle w:val="BodyText"/>
        <w:spacing w:line="316" w:lineRule="auto" w:before="31"/>
        <w:ind w:right="1122"/>
        <w:jc w:val="left"/>
      </w:pPr>
      <w:r>
        <w:rPr>
          <w:spacing w:val="-2"/>
        </w:rPr>
        <w:t>公司管理层运用大量的判断来估计未来应纳税利润发生的时间和金额，结合纳税筹划策略，以决定应确认的递延所得税资产</w:t>
      </w:r>
      <w:r>
        <w:rPr>
          <w:spacing w:val="-64"/>
        </w:rPr>
        <w:t> </w:t>
      </w:r>
      <w:r>
        <w:rPr>
          <w:spacing w:val="-64"/>
        </w:rPr>
      </w:r>
      <w:r>
        <w:rPr/>
        <w:t>的金额。</w:t>
      </w:r>
    </w:p>
    <w:p>
      <w:pPr>
        <w:pStyle w:val="BodyText"/>
        <w:spacing w:line="300" w:lineRule="auto" w:before="19"/>
        <w:ind w:left="514" w:right="1122"/>
        <w:jc w:val="left"/>
      </w:pPr>
      <w:r>
        <w:rPr/>
        <w:t>（</w:t>
      </w:r>
      <w:r>
        <w:rPr>
          <w:rFonts w:ascii="Times New Roman" w:hAnsi="Times New Roman" w:cs="Times New Roman" w:eastAsia="Times New Roman" w:hint="default"/>
        </w:rPr>
        <w:t>8</w:t>
      </w:r>
      <w:r>
        <w:rPr/>
        <w:t>）所得税 </w:t>
      </w:r>
      <w:r>
        <w:rPr>
          <w:spacing w:val="-2"/>
        </w:rPr>
        <w:t>本公司在正常的经营活动中，有部分交易其最终的税务处理和计算存在一定的不确定性。部分项目是否能够在税前列支</w:t>
      </w:r>
    </w:p>
    <w:p>
      <w:pPr>
        <w:pStyle w:val="BodyText"/>
        <w:spacing w:line="316" w:lineRule="auto" w:before="31"/>
        <w:ind w:right="1122"/>
        <w:jc w:val="left"/>
      </w:pPr>
      <w:r>
        <w:rPr>
          <w:spacing w:val="-2"/>
        </w:rPr>
        <w:t>需要税收主管机关的审批。如果这些税务事项的最终认定结果同最初估计的金额存在差异，则该差异将对其最终认定期间的</w:t>
      </w:r>
      <w:r>
        <w:rPr>
          <w:spacing w:val="-64"/>
        </w:rPr>
        <w:t> </w:t>
      </w:r>
      <w:r>
        <w:rPr>
          <w:spacing w:val="-64"/>
        </w:rPr>
      </w:r>
      <w:r>
        <w:rPr/>
        <w:t>当期所得税和递延所得税产生影响。</w:t>
      </w:r>
    </w:p>
    <w:p>
      <w:pPr>
        <w:pStyle w:val="BodyText"/>
        <w:spacing w:line="300" w:lineRule="auto" w:before="19"/>
        <w:ind w:left="514" w:right="0"/>
        <w:jc w:val="left"/>
      </w:pPr>
      <w:r>
        <w:rPr/>
        <w:t>（</w:t>
      </w:r>
      <w:r>
        <w:rPr>
          <w:rFonts w:ascii="Times New Roman" w:hAnsi="Times New Roman" w:cs="Times New Roman" w:eastAsia="Times New Roman" w:hint="default"/>
        </w:rPr>
        <w:t>9</w:t>
      </w:r>
      <w:r>
        <w:rPr/>
        <w:t>）预计负债 </w:t>
      </w:r>
      <w:r>
        <w:rPr>
          <w:spacing w:val="-4"/>
        </w:rPr>
        <w:t>本公司根据合约条款、现有知识及历史经验，对产品质量保证、预计合同亏损、延迟交货违约金等估计并计提相应准备。</w:t>
      </w:r>
    </w:p>
    <w:p>
      <w:pPr>
        <w:pStyle w:val="BodyText"/>
        <w:spacing w:line="316" w:lineRule="auto" w:before="31"/>
        <w:ind w:right="1032"/>
        <w:jc w:val="left"/>
      </w:pPr>
      <w:r>
        <w:rPr>
          <w:spacing w:val="-2"/>
        </w:rPr>
        <w:t>在该等或有事项已经形成一项现时义务，且履行该等现时义务很可能导致经济利益流出本公司的情况下，本公司对或有事项</w:t>
      </w:r>
      <w:r>
        <w:rPr>
          <w:spacing w:val="-64"/>
        </w:rPr>
        <w:t> </w:t>
      </w:r>
      <w:r>
        <w:rPr>
          <w:spacing w:val="-64"/>
        </w:rPr>
      </w:r>
      <w:r>
        <w:rPr>
          <w:spacing w:val="-2"/>
        </w:rPr>
        <w:t>按履行相关现时义务所需支出的最佳估计数确认为预计负债。预计负债的确认和计量在很大程度上依赖于管理层的判断。在</w:t>
      </w:r>
      <w:r>
        <w:rPr>
          <w:spacing w:val="-64"/>
        </w:rPr>
        <w:t> </w:t>
      </w:r>
      <w:r>
        <w:rPr>
          <w:spacing w:val="-64"/>
        </w:rPr>
      </w:r>
      <w:r>
        <w:rPr/>
        <w:t>进行判断过程中本公司需评估该等或有事项相关的风险、不确定性及货币时间价值等因素。 </w:t>
      </w:r>
      <w:r>
        <w:rPr>
          <w:spacing w:val="-2"/>
        </w:rPr>
        <w:t>其中，本公司会就出售、维修及改造所售商品向客户提供的售后质量维修承诺预计负债。预计负债时已考虑本公司近期的维</w:t>
      </w:r>
      <w:r>
        <w:rPr>
          <w:spacing w:val="-66"/>
        </w:rPr>
        <w:t> </w:t>
      </w:r>
      <w:r>
        <w:rPr>
          <w:spacing w:val="-66"/>
        </w:rPr>
      </w:r>
      <w:r>
        <w:rPr/>
        <w:t>修经验数据，但近期的维修经验可能无法反映将来的维修情况。这项准备的任何增加或减少，均可能影响未来年度的损益。</w:t>
      </w:r>
    </w:p>
    <w:p>
      <w:pPr>
        <w:spacing w:line="240" w:lineRule="auto" w:before="10"/>
        <w:rPr>
          <w:rFonts w:ascii="宋体" w:hAnsi="宋体" w:cs="宋体" w:eastAsia="宋体" w:hint="default"/>
          <w:sz w:val="20"/>
          <w:szCs w:val="20"/>
        </w:rPr>
      </w:pPr>
    </w:p>
    <w:p>
      <w:pPr>
        <w:pStyle w:val="Heading2"/>
        <w:spacing w:line="240" w:lineRule="auto"/>
        <w:ind w:right="1122"/>
        <w:jc w:val="left"/>
        <w:rPr>
          <w:b w:val="0"/>
          <w:bCs w:val="0"/>
        </w:rPr>
      </w:pPr>
      <w:bookmarkStart w:name="六、税项" w:id="234"/>
      <w:bookmarkEnd w:id="234"/>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主要税种及税率" w:id="235"/>
      <w:bookmarkEnd w:id="23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10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5"/>
              <w:jc w:val="both"/>
              <w:rPr>
                <w:rFonts w:ascii="宋体" w:hAnsi="宋体" w:cs="宋体" w:eastAsia="宋体" w:hint="default"/>
                <w:sz w:val="18"/>
                <w:szCs w:val="18"/>
              </w:rPr>
            </w:pPr>
            <w:r>
              <w:rPr>
                <w:rFonts w:ascii="宋体" w:hAnsi="宋体" w:cs="宋体" w:eastAsia="宋体" w:hint="default"/>
                <w:sz w:val="18"/>
                <w:szCs w:val="18"/>
              </w:rPr>
              <w:t>应税收入按法定的税率计算销项税，并 按扣除当期允许抵扣的进项税额后的差 额计缴增值税。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r>
      <w:tr>
        <w:trPr>
          <w:trHeight w:val="133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本公司注册在中国境内子公司适用 </w:t>
            </w:r>
            <w:r>
              <w:rPr>
                <w:rFonts w:ascii="Times New Roman" w:hAnsi="Times New Roman" w:cs="Times New Roman" w:eastAsia="Times New Roman" w:hint="default"/>
                <w:sz w:val="18"/>
                <w:szCs w:val="18"/>
              </w:rPr>
              <w:t>25% </w:t>
            </w:r>
            <w:r>
              <w:rPr>
                <w:rFonts w:ascii="宋体" w:hAnsi="宋体" w:cs="宋体" w:eastAsia="宋体" w:hint="default"/>
                <w:sz w:val="18"/>
                <w:szCs w:val="18"/>
              </w:rPr>
              <w:t>的企业所得税税率。本公司注册在境外 的子公司根据当地税法要求适用当地企 业所得税税率。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1122"/>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2、税收优惠" w:id="236"/>
      <w:bookmarkEnd w:id="23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122" w:hanging="6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）太阳能光伏发电项目公司 根据财政部、海关总署、国家税务总局《关于深入实施西部大开发战略有关税收政策问题的通知》（财税〔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58</w:t>
      </w:r>
    </w:p>
    <w:p>
      <w:pPr>
        <w:pStyle w:val="BodyText"/>
        <w:spacing w:line="309" w:lineRule="auto" w:before="13"/>
        <w:ind w:right="1032"/>
        <w:jc w:val="left"/>
      </w:pPr>
      <w:r>
        <w:rPr/>
        <w:t>号）以及相关公告和通知，</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日，对设在西部地区的以《西部地区鼓励类产业目录》中规定</w:t>
      </w:r>
      <w:r>
        <w:rPr>
          <w:spacing w:val="-76"/>
        </w:rPr>
        <w:t> </w:t>
      </w:r>
      <w:r>
        <w:rPr>
          <w:spacing w:val="-76"/>
        </w:rPr>
      </w:r>
      <w:r>
        <w:rPr/>
        <w:t>的产业项目为主营业务，且其主营业务收入占企业收入总额</w:t>
      </w:r>
      <w:r>
        <w:rPr>
          <w:rFonts w:ascii="Times New Roman" w:hAnsi="Times New Roman" w:cs="Times New Roman" w:eastAsia="Times New Roman" w:hint="default"/>
        </w:rPr>
        <w:t>70%</w:t>
      </w:r>
      <w:r>
        <w:rPr/>
        <w:t>以上的企业减按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t>。本公司之孙</w:t>
      </w:r>
      <w:r>
        <w:rPr>
          <w:spacing w:val="-21"/>
        </w:rPr>
        <w:t> </w:t>
      </w:r>
      <w:r>
        <w:rPr>
          <w:spacing w:val="-21"/>
        </w:rPr>
      </w:r>
      <w:r>
        <w:rPr/>
        <w:t>公司新疆爱康电力开发有限公司、青海昱辉新能源有限公司、柯坪嘉盛阳光电力有限公司、九州方园博州新能源有限公司、 </w:t>
      </w:r>
      <w:r>
        <w:rPr>
          <w:spacing w:val="-2"/>
        </w:rPr>
        <w:t>九州方园博乐市新能源有限公司、新疆聚阳能源科技有限公司、特克斯昱辉太阳能开发有限公司、新疆伊阳能源科技有限公</w:t>
      </w:r>
      <w:r>
        <w:rPr>
          <w:spacing w:val="-66"/>
        </w:rPr>
        <w:t> </w:t>
      </w:r>
      <w:r>
        <w:rPr>
          <w:spacing w:val="-66"/>
        </w:rPr>
      </w:r>
      <w:r>
        <w:rPr/>
        <w:t>司符合西部大开发税收优惠政策条件，可按</w:t>
      </w:r>
      <w:r>
        <w:rPr>
          <w:rFonts w:ascii="Times New Roman" w:hAnsi="Times New Roman" w:cs="Times New Roman" w:eastAsia="Times New Roman" w:hint="default"/>
        </w:rPr>
        <w:t>15%</w:t>
      </w:r>
      <w:r>
        <w:rPr/>
        <w:t>的税率缴纳企业所得税。</w:t>
      </w:r>
    </w:p>
    <w:p>
      <w:pPr>
        <w:pStyle w:val="BodyText"/>
        <w:spacing w:line="300" w:lineRule="auto" w:before="5"/>
        <w:ind w:left="514" w:right="1122"/>
        <w:jc w:val="left"/>
      </w:pPr>
      <w:r>
        <w:rPr/>
        <w:t>（</w:t>
      </w:r>
      <w:r>
        <w:rPr>
          <w:rFonts w:ascii="Times New Roman" w:hAnsi="Times New Roman" w:cs="Times New Roman" w:eastAsia="Times New Roman" w:hint="default"/>
        </w:rPr>
        <w:t>2</w:t>
      </w:r>
      <w:r>
        <w:rPr/>
        <w:t>）太阳能光伏发电项目 </w:t>
      </w:r>
      <w:r>
        <w:rPr>
          <w:spacing w:val="-2"/>
        </w:rPr>
        <w:t>根据《中华人民共和国企业所得税法》第二十七条第二款、《企业所得税法实施条例》第八十七条及财政部、国家税务</w:t>
      </w:r>
    </w:p>
    <w:p>
      <w:pPr>
        <w:pStyle w:val="BodyText"/>
        <w:spacing w:line="300" w:lineRule="auto" w:before="31"/>
        <w:ind w:right="0"/>
        <w:jc w:val="left"/>
      </w:pPr>
      <w:r>
        <w:rPr>
          <w:spacing w:val="-2"/>
        </w:rPr>
        <w:t>总局、国家发展和改革委员会以财税〔</w:t>
      </w:r>
      <w:r>
        <w:rPr>
          <w:rFonts w:ascii="Times New Roman" w:hAnsi="Times New Roman" w:cs="Times New Roman" w:eastAsia="Times New Roman" w:hint="default"/>
          <w:spacing w:val="-2"/>
        </w:rPr>
        <w:t>2008</w:t>
      </w:r>
      <w:r>
        <w:rPr>
          <w:spacing w:val="-2"/>
        </w:rPr>
        <w:t>〕</w:t>
      </w:r>
      <w:r>
        <w:rPr>
          <w:rFonts w:ascii="Times New Roman" w:hAnsi="Times New Roman" w:cs="Times New Roman" w:eastAsia="Times New Roman" w:hint="default"/>
          <w:spacing w:val="-2"/>
        </w:rPr>
        <w:t>116</w:t>
      </w:r>
      <w:r>
        <w:rPr>
          <w:spacing w:val="-2"/>
        </w:rPr>
        <w:t>号文发布的《公共基础设施项目企业所得税优惠目录（</w:t>
      </w:r>
      <w:r>
        <w:rPr>
          <w:rFonts w:ascii="Times New Roman" w:hAnsi="Times New Roman" w:cs="Times New Roman" w:eastAsia="Times New Roman" w:hint="default"/>
          <w:spacing w:val="-2"/>
        </w:rPr>
        <w:t>2008</w:t>
      </w:r>
      <w:r>
        <w:rPr>
          <w:spacing w:val="-2"/>
        </w:rPr>
        <w:t>年版）》</w:t>
      </w:r>
      <w:r>
        <w:rPr>
          <w:rFonts w:ascii="Times New Roman" w:hAnsi="Times New Roman" w:cs="Times New Roman" w:eastAsia="Times New Roman" w:hint="default"/>
          <w:spacing w:val="-2"/>
        </w:rPr>
        <w:t>“</w:t>
      </w:r>
      <w:r>
        <w:rPr>
          <w:spacing w:val="-2"/>
        </w:rPr>
        <w:t>由政</w:t>
      </w:r>
      <w:r>
        <w:rPr>
          <w:spacing w:val="-45"/>
        </w:rPr>
        <w:t> </w:t>
      </w:r>
      <w:r>
        <w:rPr>
          <w:spacing w:val="-2"/>
        </w:rPr>
        <w:t>府投资主管部门核准的太阳能发电新建项目</w:t>
      </w:r>
      <w:r>
        <w:rPr>
          <w:rFonts w:ascii="Times New Roman" w:hAnsi="Times New Roman" w:cs="Times New Roman" w:eastAsia="Times New Roman" w:hint="default"/>
          <w:spacing w:val="-2"/>
        </w:rPr>
        <w:t>”</w:t>
      </w:r>
      <w:r>
        <w:rPr>
          <w:spacing w:val="-2"/>
        </w:rPr>
        <w:t>条件，自项目取得第一笔生产经营收入所属年度起，第一至第三年免征所得税，</w:t>
      </w:r>
      <w:r>
        <w:rPr>
          <w:spacing w:val="-52"/>
        </w:rPr>
        <w:t> </w:t>
      </w:r>
      <w:r>
        <w:rPr>
          <w:spacing w:val="-52"/>
        </w:rPr>
      </w:r>
      <w:r>
        <w:rPr/>
        <w:t>第四年至第六年减半征收企业所得税。该所得税优惠政策同时适用于本公司以下项目：</w:t>
      </w:r>
    </w:p>
    <w:tbl>
      <w:tblPr>
        <w:tblW w:w="0" w:type="auto"/>
        <w:jc w:val="left"/>
        <w:tblInd w:w="146" w:type="dxa"/>
        <w:tblLayout w:type="fixed"/>
        <w:tblCellMar>
          <w:top w:w="0" w:type="dxa"/>
          <w:left w:w="0" w:type="dxa"/>
          <w:bottom w:w="0" w:type="dxa"/>
          <w:right w:w="0" w:type="dxa"/>
        </w:tblCellMar>
        <w:tblLook w:val="01E0"/>
      </w:tblPr>
      <w:tblGrid>
        <w:gridCol w:w="3184"/>
        <w:gridCol w:w="3498"/>
        <w:gridCol w:w="2427"/>
      </w:tblGrid>
      <w:tr>
        <w:trPr>
          <w:trHeight w:val="356" w:hRule="exact"/>
        </w:trPr>
        <w:tc>
          <w:tcPr>
            <w:tcW w:w="31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项目优惠起始年度</w:t>
            </w:r>
          </w:p>
        </w:tc>
      </w:tr>
      <w:tr>
        <w:trPr>
          <w:trHeight w:val="352" w:hRule="exact"/>
        </w:trPr>
        <w:tc>
          <w:tcPr>
            <w:tcW w:w="3184" w:type="dxa"/>
            <w:vMerge w:val="restart"/>
            <w:tcBorders>
              <w:top w:val="single" w:sz="12" w:space="0" w:color="000000"/>
              <w:left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新疆爱康电力开发有限公司</w:t>
            </w:r>
          </w:p>
        </w:tc>
        <w:tc>
          <w:tcPr>
            <w:tcW w:w="3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新疆精河电厂一期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52" w:hRule="exact"/>
        </w:trPr>
        <w:tc>
          <w:tcPr>
            <w:tcW w:w="3184" w:type="dxa"/>
            <w:vMerge/>
            <w:tcBorders>
              <w:left w:val="single" w:sz="6" w:space="0" w:color="000000"/>
              <w:right w:val="single" w:sz="6" w:space="0" w:color="000000"/>
            </w:tcBorders>
          </w:tcPr>
          <w:p>
            <w:pPr/>
          </w:p>
        </w:tc>
        <w:tc>
          <w:tcPr>
            <w:tcW w:w="3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新疆精河电厂二期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53" w:hRule="exact"/>
        </w:trPr>
        <w:tc>
          <w:tcPr>
            <w:tcW w:w="3184" w:type="dxa"/>
            <w:vMerge/>
            <w:tcBorders>
              <w:left w:val="single" w:sz="6" w:space="0" w:color="000000"/>
              <w:bottom w:val="single" w:sz="12" w:space="0" w:color="000000"/>
              <w:right w:val="single" w:sz="6" w:space="0" w:color="000000"/>
            </w:tcBorders>
          </w:tcPr>
          <w:p>
            <w:pPr/>
          </w:p>
        </w:tc>
        <w:tc>
          <w:tcPr>
            <w:tcW w:w="3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新疆精河电厂三四期</w:t>
            </w:r>
            <w:r>
              <w:rPr>
                <w:rFonts w:ascii="Times New Roman" w:hAnsi="Times New Roman" w:cs="Times New Roman" w:eastAsia="Times New Roman" w:hint="default"/>
                <w:sz w:val="18"/>
                <w:szCs w:val="18"/>
              </w:rPr>
              <w:t>50MW</w:t>
            </w:r>
            <w:r>
              <w:rPr>
                <w:rFonts w:ascii="宋体" w:hAnsi="宋体" w:cs="宋体" w:eastAsia="宋体" w:hint="default"/>
                <w:sz w:val="18"/>
                <w:szCs w:val="18"/>
              </w:rPr>
              <w:t>项目</w:t>
            </w:r>
          </w:p>
        </w:tc>
        <w:tc>
          <w:tcPr>
            <w:tcW w:w="2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r>
        <w:trPr>
          <w:trHeight w:val="352" w:hRule="exact"/>
        </w:trPr>
        <w:tc>
          <w:tcPr>
            <w:tcW w:w="3184" w:type="dxa"/>
            <w:vMerge w:val="restart"/>
            <w:tcBorders>
              <w:top w:val="single" w:sz="12" w:space="0" w:color="000000"/>
              <w:left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青海昱辉新能源有限公司</w:t>
            </w:r>
          </w:p>
        </w:tc>
        <w:tc>
          <w:tcPr>
            <w:tcW w:w="3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青海乌兰电厂一期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r>
      <w:tr>
        <w:trPr>
          <w:trHeight w:val="352" w:hRule="exact"/>
        </w:trPr>
        <w:tc>
          <w:tcPr>
            <w:tcW w:w="3184" w:type="dxa"/>
            <w:vMerge/>
            <w:tcBorders>
              <w:left w:val="single" w:sz="6" w:space="0" w:color="000000"/>
              <w:bottom w:val="single" w:sz="12" w:space="0" w:color="000000"/>
              <w:right w:val="single" w:sz="6" w:space="0" w:color="000000"/>
            </w:tcBorders>
          </w:tcPr>
          <w:p>
            <w:pPr/>
          </w:p>
        </w:tc>
        <w:tc>
          <w:tcPr>
            <w:tcW w:w="3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青海乌兰电厂二期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53"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柯坪嘉盛阳光电力有限公司</w:t>
            </w:r>
          </w:p>
        </w:tc>
        <w:tc>
          <w:tcPr>
            <w:tcW w:w="3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新疆柯坪电厂一期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52" w:hRule="exact"/>
        </w:trPr>
        <w:tc>
          <w:tcPr>
            <w:tcW w:w="3184" w:type="dxa"/>
            <w:vMerge w:val="restart"/>
            <w:tcBorders>
              <w:top w:val="single" w:sz="12" w:space="0" w:color="000000"/>
              <w:left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九州方园博州新能源有限公司</w:t>
            </w:r>
          </w:p>
        </w:tc>
        <w:tc>
          <w:tcPr>
            <w:tcW w:w="3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博州电厂一期</w:t>
            </w:r>
            <w:r>
              <w:rPr>
                <w:rFonts w:ascii="Times New Roman" w:hAnsi="Times New Roman" w:cs="Times New Roman" w:eastAsia="Times New Roman" w:hint="default"/>
                <w:sz w:val="18"/>
                <w:szCs w:val="18"/>
              </w:rPr>
              <w:t>30MW</w:t>
            </w:r>
            <w:r>
              <w:rPr>
                <w:rFonts w:ascii="宋体" w:hAnsi="宋体" w:cs="宋体" w:eastAsia="宋体" w:hint="default"/>
                <w:sz w:val="18"/>
                <w:szCs w:val="18"/>
              </w:rPr>
              <w:t>项目</w:t>
            </w:r>
          </w:p>
        </w:tc>
        <w:tc>
          <w:tcPr>
            <w:tcW w:w="2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52" w:hRule="exact"/>
        </w:trPr>
        <w:tc>
          <w:tcPr>
            <w:tcW w:w="3184" w:type="dxa"/>
            <w:vMerge/>
            <w:tcBorders>
              <w:left w:val="single" w:sz="6" w:space="0" w:color="000000"/>
              <w:bottom w:val="single" w:sz="12" w:space="0" w:color="000000"/>
              <w:right w:val="single" w:sz="6" w:space="0" w:color="000000"/>
            </w:tcBorders>
          </w:tcPr>
          <w:p>
            <w:pPr/>
          </w:p>
        </w:tc>
        <w:tc>
          <w:tcPr>
            <w:tcW w:w="3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博州电厂二三四期</w:t>
            </w:r>
            <w:r>
              <w:rPr>
                <w:rFonts w:ascii="Times New Roman" w:hAnsi="Times New Roman" w:cs="Times New Roman" w:eastAsia="Times New Roman" w:hint="default"/>
                <w:sz w:val="18"/>
                <w:szCs w:val="18"/>
              </w:rPr>
              <w:t>70MW</w:t>
            </w:r>
            <w:r>
              <w:rPr>
                <w:rFonts w:ascii="宋体" w:hAnsi="宋体" w:cs="宋体" w:eastAsia="宋体" w:hint="default"/>
                <w:sz w:val="18"/>
                <w:szCs w:val="18"/>
              </w:rPr>
              <w:t>项目</w:t>
            </w:r>
          </w:p>
        </w:tc>
        <w:tc>
          <w:tcPr>
            <w:tcW w:w="2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r>
      <w:tr>
        <w:trPr>
          <w:trHeight w:val="353" w:hRule="exact"/>
        </w:trPr>
        <w:tc>
          <w:tcPr>
            <w:tcW w:w="3184" w:type="dxa"/>
            <w:vMerge w:val="restart"/>
            <w:tcBorders>
              <w:top w:val="single" w:sz="12" w:space="0" w:color="000000"/>
              <w:left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九州方园博乐市新能源有限公司</w:t>
            </w:r>
          </w:p>
        </w:tc>
        <w:tc>
          <w:tcPr>
            <w:tcW w:w="3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博州电厂五期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r>
      <w:tr>
        <w:trPr>
          <w:trHeight w:val="352" w:hRule="exact"/>
        </w:trPr>
        <w:tc>
          <w:tcPr>
            <w:tcW w:w="3184" w:type="dxa"/>
            <w:vMerge/>
            <w:tcBorders>
              <w:left w:val="single" w:sz="6" w:space="0" w:color="000000"/>
              <w:bottom w:val="single" w:sz="12" w:space="0" w:color="000000"/>
              <w:right w:val="single" w:sz="6" w:space="0" w:color="000000"/>
            </w:tcBorders>
          </w:tcPr>
          <w:p>
            <w:pPr/>
          </w:p>
        </w:tc>
        <w:tc>
          <w:tcPr>
            <w:tcW w:w="3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博州电厂六期</w:t>
            </w:r>
            <w:r>
              <w:rPr>
                <w:rFonts w:ascii="Times New Roman" w:hAnsi="Times New Roman" w:cs="Times New Roman" w:eastAsia="Times New Roman" w:hint="default"/>
                <w:sz w:val="18"/>
                <w:szCs w:val="18"/>
              </w:rPr>
              <w:t>60MW</w:t>
            </w:r>
            <w:r>
              <w:rPr>
                <w:rFonts w:ascii="宋体" w:hAnsi="宋体" w:cs="宋体" w:eastAsia="宋体" w:hint="default"/>
                <w:sz w:val="18"/>
                <w:szCs w:val="18"/>
              </w:rPr>
              <w:t>项目</w:t>
            </w:r>
          </w:p>
        </w:tc>
        <w:tc>
          <w:tcPr>
            <w:tcW w:w="2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r>
        <w:trPr>
          <w:trHeight w:val="352" w:hRule="exact"/>
        </w:trPr>
        <w:tc>
          <w:tcPr>
            <w:tcW w:w="3184" w:type="dxa"/>
            <w:vMerge w:val="restart"/>
            <w:tcBorders>
              <w:top w:val="single" w:sz="12" w:space="0" w:color="000000"/>
              <w:left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新疆聚阳能源科技有限公司</w:t>
            </w:r>
          </w:p>
        </w:tc>
        <w:tc>
          <w:tcPr>
            <w:tcW w:w="3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聚阳一期</w:t>
            </w:r>
            <w:r>
              <w:rPr>
                <w:rFonts w:ascii="Times New Roman" w:hAnsi="Times New Roman" w:cs="Times New Roman" w:eastAsia="Times New Roman" w:hint="default"/>
                <w:sz w:val="18"/>
                <w:szCs w:val="18"/>
              </w:rPr>
              <w:t>30MW</w:t>
            </w:r>
            <w:r>
              <w:rPr>
                <w:rFonts w:ascii="宋体" w:hAnsi="宋体" w:cs="宋体" w:eastAsia="宋体" w:hint="default"/>
                <w:sz w:val="18"/>
                <w:szCs w:val="18"/>
              </w:rPr>
              <w:t>项目</w:t>
            </w:r>
          </w:p>
        </w:tc>
        <w:tc>
          <w:tcPr>
            <w:tcW w:w="2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r>
      <w:tr>
        <w:trPr>
          <w:trHeight w:val="353" w:hRule="exact"/>
        </w:trPr>
        <w:tc>
          <w:tcPr>
            <w:tcW w:w="3184" w:type="dxa"/>
            <w:vMerge/>
            <w:tcBorders>
              <w:left w:val="single" w:sz="6" w:space="0" w:color="000000"/>
              <w:bottom w:val="single" w:sz="12" w:space="0" w:color="000000"/>
              <w:right w:val="single" w:sz="6" w:space="0" w:color="000000"/>
            </w:tcBorders>
          </w:tcPr>
          <w:p>
            <w:pPr/>
          </w:p>
        </w:tc>
        <w:tc>
          <w:tcPr>
            <w:tcW w:w="3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聚阳二期</w:t>
            </w:r>
            <w:r>
              <w:rPr>
                <w:rFonts w:ascii="Times New Roman" w:hAnsi="Times New Roman" w:cs="Times New Roman" w:eastAsia="Times New Roman" w:hint="default"/>
                <w:sz w:val="18"/>
                <w:szCs w:val="18"/>
              </w:rPr>
              <w:t>30MW</w:t>
            </w:r>
            <w:r>
              <w:rPr>
                <w:rFonts w:ascii="宋体" w:hAnsi="宋体" w:cs="宋体" w:eastAsia="宋体" w:hint="default"/>
                <w:sz w:val="18"/>
                <w:szCs w:val="18"/>
              </w:rPr>
              <w:t>项目</w:t>
            </w:r>
          </w:p>
        </w:tc>
        <w:tc>
          <w:tcPr>
            <w:tcW w:w="2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84"/>
        <w:gridCol w:w="3498"/>
        <w:gridCol w:w="2427"/>
      </w:tblGrid>
      <w:tr>
        <w:trPr>
          <w:trHeight w:val="355" w:hRule="exact"/>
        </w:trPr>
        <w:tc>
          <w:tcPr>
            <w:tcW w:w="31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特克斯昱辉太阳能开发有限公司</w:t>
            </w:r>
          </w:p>
        </w:tc>
        <w:tc>
          <w:tcPr>
            <w:tcW w:w="3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特克斯一期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r>
      <w:tr>
        <w:trPr>
          <w:trHeight w:val="353"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新疆伊阳能源科技有限公司</w:t>
            </w:r>
          </w:p>
        </w:tc>
        <w:tc>
          <w:tcPr>
            <w:tcW w:w="3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伊阳一期</w:t>
            </w:r>
            <w:r>
              <w:rPr>
                <w:rFonts w:ascii="Times New Roman" w:hAnsi="Times New Roman" w:cs="Times New Roman" w:eastAsia="Times New Roman" w:hint="default"/>
                <w:sz w:val="18"/>
                <w:szCs w:val="18"/>
              </w:rPr>
              <w:t>30MW</w:t>
            </w:r>
            <w:r>
              <w:rPr>
                <w:rFonts w:ascii="宋体" w:hAnsi="宋体" w:cs="宋体" w:eastAsia="宋体" w:hint="default"/>
                <w:sz w:val="18"/>
                <w:szCs w:val="18"/>
              </w:rPr>
              <w:t>项目</w:t>
            </w:r>
          </w:p>
        </w:tc>
        <w:tc>
          <w:tcPr>
            <w:tcW w:w="2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r>
      <w:tr>
        <w:trPr>
          <w:trHeight w:val="352"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凤庆县爱康电力有限公司</w:t>
            </w:r>
          </w:p>
        </w:tc>
        <w:tc>
          <w:tcPr>
            <w:tcW w:w="3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凤庆一二期</w:t>
            </w:r>
            <w:r>
              <w:rPr>
                <w:rFonts w:ascii="Times New Roman" w:hAnsi="Times New Roman" w:cs="Times New Roman" w:eastAsia="Times New Roman" w:hint="default"/>
                <w:sz w:val="18"/>
                <w:szCs w:val="18"/>
              </w:rPr>
              <w:t>40MW</w:t>
            </w:r>
            <w:r>
              <w:rPr>
                <w:rFonts w:ascii="宋体" w:hAnsi="宋体" w:cs="宋体" w:eastAsia="宋体" w:hint="default"/>
                <w:sz w:val="18"/>
                <w:szCs w:val="18"/>
              </w:rPr>
              <w:t>项目</w:t>
            </w:r>
          </w:p>
        </w:tc>
        <w:tc>
          <w:tcPr>
            <w:tcW w:w="2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r>
        <w:trPr>
          <w:trHeight w:val="352"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禄劝县爱康能源电力有限公司</w:t>
            </w:r>
          </w:p>
        </w:tc>
        <w:tc>
          <w:tcPr>
            <w:tcW w:w="3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禄劝一期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r>
        <w:trPr>
          <w:trHeight w:val="353"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宿州恒康新能源有限公司</w:t>
            </w:r>
          </w:p>
        </w:tc>
        <w:tc>
          <w:tcPr>
            <w:tcW w:w="3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宿州一期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r>
        <w:trPr>
          <w:trHeight w:val="352" w:hRule="exact"/>
        </w:trPr>
        <w:tc>
          <w:tcPr>
            <w:tcW w:w="31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南召县中机国能电力有限公司</w:t>
            </w:r>
          </w:p>
        </w:tc>
        <w:tc>
          <w:tcPr>
            <w:tcW w:w="3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南河店</w:t>
            </w:r>
            <w:r>
              <w:rPr>
                <w:rFonts w:ascii="Times New Roman" w:hAnsi="Times New Roman" w:cs="Times New Roman" w:eastAsia="Times New Roman" w:hint="default"/>
                <w:sz w:val="18"/>
                <w:szCs w:val="18"/>
              </w:rPr>
              <w:t>20MW</w:t>
            </w:r>
            <w:r>
              <w:rPr>
                <w:rFonts w:ascii="宋体" w:hAnsi="宋体" w:cs="宋体" w:eastAsia="宋体" w:hint="default"/>
                <w:sz w:val="18"/>
                <w:szCs w:val="18"/>
              </w:rPr>
              <w:t>等项目</w:t>
            </w:r>
          </w:p>
        </w:tc>
        <w:tc>
          <w:tcPr>
            <w:tcW w:w="24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bl>
    <w:p>
      <w:pPr>
        <w:pStyle w:val="BodyText"/>
        <w:spacing w:line="304" w:lineRule="auto" w:before="10"/>
        <w:ind w:right="0" w:firstLine="360"/>
        <w:jc w:val="left"/>
      </w:pPr>
      <w:r>
        <w:rPr/>
        <w:t>（</w:t>
      </w:r>
      <w:r>
        <w:rPr>
          <w:rFonts w:ascii="Times New Roman" w:hAnsi="Times New Roman" w:cs="Times New Roman" w:eastAsia="Times New Roman" w:hint="default"/>
        </w:rPr>
        <w:t>3</w:t>
      </w:r>
      <w:r>
        <w:rPr/>
        <w:t>）苏州爱康金属科技有限公司 </w:t>
      </w:r>
      <w:r>
        <w:rPr>
          <w:spacing w:val="-2"/>
        </w:rPr>
        <w:t>本公司之子公司苏州爱康金属科技有限公司被认定为高新技术企业，并收到江苏省科学技术厅、江苏省财政厅、江苏省国家</w:t>
      </w:r>
      <w:r>
        <w:rPr>
          <w:spacing w:val="-66"/>
        </w:rPr>
        <w:t> </w:t>
      </w:r>
      <w:r>
        <w:rPr>
          <w:spacing w:val="-66"/>
        </w:rPr>
      </w:r>
      <w:r>
        <w:rPr>
          <w:spacing w:val="-2"/>
        </w:rPr>
        <w:t>税务局、江苏省地方税务局联合下发的编号为</w:t>
      </w:r>
      <w:r>
        <w:rPr>
          <w:rFonts w:ascii="Times New Roman" w:hAnsi="Times New Roman" w:cs="Times New Roman" w:eastAsia="Times New Roman" w:hint="default"/>
          <w:spacing w:val="-2"/>
        </w:rPr>
        <w:t>GR201732001093</w:t>
      </w:r>
      <w:r>
        <w:rPr>
          <w:spacing w:val="-2"/>
        </w:rPr>
        <w:t>的高新技术企业证书。依照《中华人民共和国企业所得税法》</w:t>
      </w:r>
      <w:r>
        <w:rPr>
          <w:spacing w:val="-33"/>
        </w:rPr>
        <w:t> </w:t>
      </w:r>
      <w:r>
        <w:rPr>
          <w:spacing w:val="-33"/>
        </w:rPr>
      </w:r>
      <w:r>
        <w:rPr/>
        <w:t>第二十八条、国家税务总局《关于企业所得税减免税管理问题的通知》（国税发</w:t>
      </w:r>
      <w:r>
        <w:rPr>
          <w:rFonts w:ascii="Times New Roman" w:hAnsi="Times New Roman" w:cs="Times New Roman" w:eastAsia="Times New Roman" w:hint="default"/>
        </w:rPr>
        <w:t>[2008]111</w:t>
      </w:r>
      <w:r>
        <w:rPr/>
        <w:t>号），公司在</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年期</w:t>
      </w:r>
      <w:r>
        <w:rPr>
          <w:spacing w:val="-30"/>
        </w:rPr>
        <w:t> </w:t>
      </w:r>
      <w:r>
        <w:rPr/>
        <w:t>间可按照</w:t>
      </w:r>
      <w:r>
        <w:rPr>
          <w:rFonts w:ascii="Times New Roman" w:hAnsi="Times New Roman" w:cs="Times New Roman" w:eastAsia="Times New Roman" w:hint="default"/>
        </w:rPr>
        <w:t>15%</w:t>
      </w:r>
      <w:r>
        <w:rPr/>
        <w:t>的优惠税率缴纳企业所得税。</w:t>
      </w:r>
    </w:p>
    <w:p>
      <w:pPr>
        <w:spacing w:line="240" w:lineRule="auto" w:before="10"/>
        <w:rPr>
          <w:rFonts w:ascii="宋体" w:hAnsi="宋体" w:cs="宋体" w:eastAsia="宋体" w:hint="default"/>
          <w:sz w:val="21"/>
          <w:szCs w:val="21"/>
        </w:rPr>
      </w:pPr>
    </w:p>
    <w:p>
      <w:pPr>
        <w:pStyle w:val="Heading3"/>
        <w:spacing w:line="240" w:lineRule="auto"/>
        <w:ind w:right="1122"/>
        <w:jc w:val="left"/>
        <w:rPr>
          <w:b w:val="0"/>
          <w:bCs w:val="0"/>
        </w:rPr>
      </w:pPr>
      <w:bookmarkStart w:name="3、其他" w:id="237"/>
      <w:bookmarkEnd w:id="237"/>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2"/>
        <w:jc w:val="left"/>
      </w:pPr>
      <w:r>
        <w:rPr>
          <w:spacing w:val="-2"/>
        </w:rPr>
        <w:t>本公司发生增值税应税销售行为或者进口货物，原适用</w:t>
      </w:r>
      <w:r>
        <w:rPr>
          <w:rFonts w:ascii="Times New Roman" w:hAnsi="Times New Roman" w:cs="Times New Roman" w:eastAsia="Times New Roman" w:hint="default"/>
          <w:spacing w:val="-2"/>
        </w:rPr>
        <w:t>17%/11%</w:t>
      </w:r>
      <w:r>
        <w:rPr>
          <w:spacing w:val="-2"/>
        </w:rPr>
        <w:t>税率。根据《财政部、国家税务总局关于调整增值税税率的</w:t>
      </w:r>
      <w:r>
        <w:rPr>
          <w:spacing w:val="-48"/>
        </w:rPr>
        <w:t> </w:t>
      </w:r>
      <w:r>
        <w:rPr>
          <w:spacing w:val="-48"/>
        </w:rPr>
      </w:r>
      <w:r>
        <w:rPr/>
        <w:t>通知》（财税</w:t>
      </w:r>
      <w:r>
        <w:rPr>
          <w:rFonts w:ascii="Times New Roman" w:hAnsi="Times New Roman" w:cs="Times New Roman" w:eastAsia="Times New Roman" w:hint="default"/>
        </w:rPr>
        <w:t>[2018]32</w:t>
      </w:r>
      <w:r>
        <w:rPr/>
        <w:t>号）规定，自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日起，适用税率调整为</w:t>
      </w:r>
      <w:r>
        <w:rPr>
          <w:rFonts w:ascii="Times New Roman" w:hAnsi="Times New Roman" w:cs="Times New Roman" w:eastAsia="Times New Roman" w:hint="default"/>
        </w:rPr>
        <w:t>16%/10%</w:t>
      </w:r>
      <w:r>
        <w:rPr/>
        <w:t>。</w:t>
      </w:r>
    </w:p>
    <w:p>
      <w:pPr>
        <w:spacing w:line="240" w:lineRule="auto" w:before="4"/>
        <w:rPr>
          <w:rFonts w:ascii="宋体" w:hAnsi="宋体" w:cs="宋体" w:eastAsia="宋体" w:hint="default"/>
          <w:sz w:val="20"/>
          <w:szCs w:val="20"/>
        </w:rPr>
      </w:pPr>
    </w:p>
    <w:p>
      <w:pPr>
        <w:pStyle w:val="Heading2"/>
        <w:spacing w:line="240" w:lineRule="auto"/>
        <w:ind w:right="1122"/>
        <w:jc w:val="left"/>
        <w:rPr>
          <w:b w:val="0"/>
          <w:bCs w:val="0"/>
        </w:rPr>
      </w:pPr>
      <w:bookmarkStart w:name="七、合并财务报表项目注释" w:id="238"/>
      <w:bookmarkEnd w:id="238"/>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货币资金" w:id="239"/>
      <w:bookmarkEnd w:id="23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80,571.25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289,514.68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675,263,885.64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712,803,422.02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1,375,081,968.75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2,149,846,787.65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2,050,426,425.64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2,862,939,724.35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10,692,890.68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54,812,775.41</w:t>
            </w:r>
          </w:p>
        </w:tc>
      </w:tr>
    </w:tbl>
    <w:p>
      <w:pPr>
        <w:pStyle w:val="BodyText"/>
        <w:spacing w:line="240" w:lineRule="auto" w:before="51"/>
        <w:ind w:right="1122"/>
        <w:jc w:val="left"/>
      </w:pPr>
      <w:r>
        <w:rPr/>
        <w:t>其他说明</w:t>
      </w:r>
    </w:p>
    <w:p>
      <w:pPr>
        <w:pStyle w:val="BodyText"/>
        <w:spacing w:line="300" w:lineRule="auto" w:before="115"/>
        <w:ind w:right="1129" w:firstLine="482"/>
        <w:jc w:val="both"/>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日，本公司的所有权受到限制的货币资金为人民币</w:t>
      </w:r>
      <w:r>
        <w:rPr>
          <w:rFonts w:ascii="Times New Roman" w:hAnsi="Times New Roman" w:cs="Times New Roman" w:eastAsia="Times New Roman" w:hint="default"/>
        </w:rPr>
        <w:t>1,375,081,968.75</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 </w:t>
      </w:r>
      <w:r>
        <w:rPr>
          <w:spacing w:val="-2"/>
        </w:rPr>
        <w:t>民币</w:t>
      </w:r>
      <w:r>
        <w:rPr>
          <w:rFonts w:ascii="Times New Roman" w:hAnsi="Times New Roman" w:cs="Times New Roman" w:eastAsia="Times New Roman" w:hint="default"/>
          <w:spacing w:val="-2"/>
        </w:rPr>
        <w:t>2,149,846,787.65</w:t>
      </w:r>
      <w:r>
        <w:rPr>
          <w:spacing w:val="-2"/>
        </w:rPr>
        <w:t>元），其中票据保证金</w:t>
      </w:r>
      <w:r>
        <w:rPr>
          <w:rFonts w:ascii="Times New Roman" w:hAnsi="Times New Roman" w:cs="Times New Roman" w:eastAsia="Times New Roman" w:hint="default"/>
          <w:spacing w:val="-2"/>
        </w:rPr>
        <w:t>73,333,022.74</w:t>
      </w:r>
      <w:r>
        <w:rPr>
          <w:spacing w:val="-2"/>
        </w:rPr>
        <w:t>元，信用证保证金</w:t>
      </w:r>
      <w:r>
        <w:rPr>
          <w:rFonts w:ascii="Times New Roman" w:hAnsi="Times New Roman" w:cs="Times New Roman" w:eastAsia="Times New Roman" w:hint="default"/>
          <w:spacing w:val="-2"/>
        </w:rPr>
        <w:t>3,733,865.75</w:t>
      </w:r>
      <w:r>
        <w:rPr>
          <w:spacing w:val="-2"/>
        </w:rPr>
        <w:t>元，远期外汇合约保证金</w:t>
      </w:r>
      <w:r>
        <w:rPr>
          <w:rFonts w:ascii="Times New Roman" w:hAnsi="Times New Roman" w:cs="Times New Roman" w:eastAsia="Times New Roman" w:hint="default"/>
          <w:spacing w:val="-2"/>
        </w:rPr>
        <w:t>5,262,430.74</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元，质押定期存款</w:t>
      </w:r>
      <w:r>
        <w:rPr>
          <w:rFonts w:ascii="Times New Roman" w:hAnsi="Times New Roman" w:cs="Times New Roman" w:eastAsia="Times New Roman" w:hint="default"/>
        </w:rPr>
        <w:t>1,052,000,000.00</w:t>
      </w:r>
      <w:r>
        <w:rPr/>
        <w:t>元，保函保证金</w:t>
      </w:r>
      <w:r>
        <w:rPr>
          <w:rFonts w:ascii="Times New Roman" w:hAnsi="Times New Roman" w:cs="Times New Roman" w:eastAsia="Times New Roman" w:hint="default"/>
        </w:rPr>
        <w:t>73,438,815.55</w:t>
      </w:r>
      <w:r>
        <w:rPr/>
        <w:t>元，保理保证金</w:t>
      </w:r>
      <w:r>
        <w:rPr>
          <w:rFonts w:ascii="Times New Roman" w:hAnsi="Times New Roman" w:cs="Times New Roman" w:eastAsia="Times New Roman" w:hint="default"/>
        </w:rPr>
        <w:t>7,000,000.00</w:t>
      </w:r>
      <w:r>
        <w:rPr/>
        <w:t>元，融信通保证金</w:t>
      </w:r>
      <w:r>
        <w:rPr>
          <w:rFonts w:ascii="Times New Roman" w:hAnsi="Times New Roman" w:cs="Times New Roman" w:eastAsia="Times New Roman" w:hint="default"/>
        </w:rPr>
        <w:t>1,441.30</w:t>
      </w:r>
      <w:r>
        <w:rPr/>
        <w:t>元， </w:t>
      </w:r>
      <w:r>
        <w:rPr>
          <w:spacing w:val="5"/>
        </w:rPr>
        <w:t>贸易融资保证金</w:t>
      </w:r>
      <w:r>
        <w:rPr>
          <w:rFonts w:ascii="Times New Roman" w:hAnsi="Times New Roman" w:cs="Times New Roman" w:eastAsia="Times New Roman" w:hint="default"/>
          <w:spacing w:val="5"/>
        </w:rPr>
        <w:t>4,900,302.83</w:t>
      </w:r>
      <w:r>
        <w:rPr>
          <w:spacing w:val="5"/>
        </w:rPr>
        <w:t>元，私募基金保证金</w:t>
      </w:r>
      <w:r>
        <w:rPr>
          <w:rFonts w:ascii="Times New Roman" w:hAnsi="Times New Roman" w:cs="Times New Roman" w:eastAsia="Times New Roman" w:hint="default"/>
          <w:spacing w:val="5"/>
        </w:rPr>
        <w:t>100,000,000.00</w:t>
      </w:r>
      <w:r>
        <w:rPr>
          <w:spacing w:val="5"/>
        </w:rPr>
        <w:t>元，银行账户最低存款额</w:t>
      </w:r>
      <w:r>
        <w:rPr>
          <w:rFonts w:ascii="Times New Roman" w:hAnsi="Times New Roman" w:cs="Times New Roman" w:eastAsia="Times New Roman" w:hint="default"/>
          <w:spacing w:val="5"/>
        </w:rPr>
        <w:t>33,843,135.96</w:t>
      </w:r>
      <w:r>
        <w:rPr>
          <w:spacing w:val="5"/>
        </w:rPr>
        <w:t>元，证券户存款</w:t>
      </w:r>
      <w:r>
        <w:rPr>
          <w:spacing w:val="-75"/>
        </w:rPr>
        <w:t> </w:t>
      </w:r>
      <w:r>
        <w:rPr>
          <w:spacing w:val="-75"/>
        </w:rPr>
      </w:r>
      <w:r>
        <w:rPr>
          <w:rFonts w:ascii="Times New Roman" w:hAnsi="Times New Roman" w:cs="Times New Roman" w:eastAsia="Times New Roman" w:hint="default"/>
        </w:rPr>
        <w:t>21,568,953.88</w:t>
      </w:r>
      <w:r>
        <w:rPr/>
        <w:t>元。</w:t>
      </w:r>
    </w:p>
    <w:p>
      <w:pPr>
        <w:spacing w:line="240" w:lineRule="auto" w:before="1"/>
        <w:rPr>
          <w:rFonts w:ascii="宋体" w:hAnsi="宋体" w:cs="宋体" w:eastAsia="宋体" w:hint="default"/>
          <w:sz w:val="22"/>
          <w:szCs w:val="22"/>
        </w:rPr>
      </w:pPr>
    </w:p>
    <w:p>
      <w:pPr>
        <w:pStyle w:val="Heading3"/>
        <w:spacing w:line="240" w:lineRule="auto"/>
        <w:ind w:right="1122"/>
        <w:jc w:val="left"/>
        <w:rPr>
          <w:b w:val="0"/>
          <w:bCs w:val="0"/>
        </w:rPr>
      </w:pPr>
      <w:bookmarkStart w:name="2、以公允价值计量且其变动计入当期损益的金融资产" w:id="240"/>
      <w:bookmarkEnd w:id="240"/>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1,204,176.00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3,180,447.00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1,204,176.00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3,180,447.00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1,204,176.00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3,180,447.00</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3、衍生金融资产" w:id="241"/>
      <w:bookmarkEnd w:id="241"/>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4、应收票据及应收账款" w:id="242"/>
      <w:bookmarkEnd w:id="242"/>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136,526,072.87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139,370,929.81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1,785,438,271.55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1,899,270,363.06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1,921,964,344.42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2,038,641,292.87</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1）应收票据" w:id="243"/>
      <w:bookmarkEnd w:id="243"/>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110,803,492.18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42,370,942.31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25,722,580.69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96,999,987.50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136,526,072.87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139,370,929.81</w:t>
            </w:r>
          </w:p>
        </w:tc>
      </w:tr>
    </w:tbl>
    <w:p>
      <w:pPr>
        <w:pStyle w:val="BodyText"/>
        <w:spacing w:line="240" w:lineRule="auto" w:before="51"/>
        <w:ind w:right="1122"/>
        <w:jc w:val="left"/>
      </w:pPr>
      <w:r>
        <w:rPr>
          <w:rFonts w:ascii="Times New Roman" w:hAnsi="Times New Roman" w:cs="Times New Roman" w:eastAsia="Times New Roman" w:hint="default"/>
        </w:rPr>
        <w:t>2)</w:t>
      </w:r>
      <w:r>
        <w:rPr/>
        <w:t>期末公司已质押的应收票据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106,586,034.40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106,586,034.40</w:t>
            </w:r>
          </w:p>
        </w:tc>
      </w:tr>
    </w:tbl>
    <w:p>
      <w:pPr>
        <w:pStyle w:val="BodyText"/>
        <w:spacing w:line="240" w:lineRule="auto" w:before="51"/>
        <w:ind w:right="1122"/>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572,802,334.88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583,677,334.88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22"/>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32" w:hRule="exact"/>
        </w:trPr>
        <w:tc>
          <w:tcPr>
            <w:tcW w:w="4785" w:type="dxa"/>
            <w:tcBorders>
              <w:top w:val="nil" w:sz="6" w:space="0" w:color="auto"/>
              <w:left w:val="nil" w:sz="6" w:space="0" w:color="auto"/>
              <w:bottom w:val="single" w:sz="4" w:space="0" w:color="000000"/>
              <w:right w:val="nil" w:sz="6" w:space="0" w:color="auto"/>
            </w:tcBorders>
          </w:tcPr>
          <w:p>
            <w:pPr/>
          </w:p>
        </w:tc>
        <w:tc>
          <w:tcPr>
            <w:tcW w:w="478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1122"/>
        <w:jc w:val="left"/>
      </w:pPr>
      <w:r>
        <w:rPr/>
        <w:pict>
          <v:group style="position:absolute;margin-left:55.200001pt;margin-top:-36.978271pt;width:485pt;height:.1pt;mso-position-horizontal-relative:page;mso-position-vertical-relative:paragraph;z-index:-1592656" coordorigin="1104,-740" coordsize="9700,2">
            <v:shape style="position:absolute;left:1104;top:-740;width:9700;height:2" coordorigin="1104,-740" coordsize="9700,0" path="m1104,-740l10804,-740e" filled="false" stroked="true" strokeweight=".72pt" strokecolor="#000000">
              <v:path arrowok="t"/>
            </v:shape>
            <w10:wrap type="none"/>
          </v:group>
        </w:pict>
      </w: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2）应收账款" w:id="244"/>
      <w:bookmarkEnd w:id="244"/>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28,828,1</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45.35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14,646,5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72.96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50.81%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14,181,57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2.39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17,266,</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183.26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14,721,24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2.56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2,544,940.7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1,771,13</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9,623.57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1,771,139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,623.57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1,896,3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76,137.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98.77%</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1,896,376,1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37.70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7,953,12</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1.54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7,836,04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117,075.5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6,308,1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31.79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5,958,847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349,284.66</w:t>
            </w:r>
          </w:p>
        </w:tc>
      </w:tr>
      <w:tr>
        <w:trPr>
          <w:trHeight w:val="318"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1,807,92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0,890.46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22,482,6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18.91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1.24%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1,785,438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,271.55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1,919,9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50,452.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20,680,08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9.69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1.08%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1,899,270,3</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63.06</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中安玖玖（北京）新能 源科技有限公司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12,672,462.48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2,534,492.50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中冶集团武汉勘察研究 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3,574,592.00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714,918.40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98"/>
              <w:jc w:val="left"/>
              <w:rPr>
                <w:rFonts w:ascii="Times New Roman" w:hAnsi="Times New Roman" w:cs="Times New Roman" w:eastAsia="Times New Roman" w:hint="default"/>
                <w:sz w:val="18"/>
                <w:szCs w:val="18"/>
              </w:rPr>
            </w:pPr>
            <w:r>
              <w:rPr>
                <w:rFonts w:ascii="Times New Roman" w:hAnsi="Times New Roman"/>
                <w:sz w:val="18"/>
              </w:rPr>
              <w:t>SolarWorld</w:t>
            </w:r>
            <w:r>
              <w:rPr>
                <w:rFonts w:ascii="Times New Roman" w:hAnsi="Times New Roman"/>
                <w:spacing w:val="-13"/>
                <w:sz w:val="18"/>
              </w:rPr>
              <w:t> </w:t>
            </w:r>
            <w:r>
              <w:rPr>
                <w:rFonts w:ascii="Times New Roman" w:hAnsi="Times New Roman"/>
                <w:sz w:val="18"/>
              </w:rPr>
              <w:t>Industries</w:t>
            </w:r>
            <w:r>
              <w:rPr>
                <w:rFonts w:ascii="Times New Roman" w:hAnsi="Times New Roman"/>
                <w:w w:val="99"/>
                <w:sz w:val="18"/>
              </w:rPr>
              <w:t> </w:t>
            </w:r>
            <w:r>
              <w:rPr>
                <w:rFonts w:ascii="Times New Roman" w:hAnsi="Times New Roman"/>
                <w:sz w:val="18"/>
              </w:rPr>
              <w:t>Thüringen</w:t>
            </w:r>
            <w:r>
              <w:rPr>
                <w:rFonts w:ascii="Times New Roman" w:hAnsi="Times New Roman"/>
                <w:spacing w:val="-5"/>
                <w:sz w:val="18"/>
              </w:rPr>
              <w:t> </w:t>
            </w:r>
            <w:r>
              <w:rPr>
                <w:rFonts w:ascii="Times New Roman" w:hAnsi="Times New Roman"/>
                <w:sz w:val="18"/>
              </w:rPr>
              <w:t>GmbH</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2,060,355.91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2,060,355.91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山西华富星辰科技有限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1,982,240.00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1,234,460.00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广西建工集团第二安装 建设有限公司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1,894,685.21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1,605,500.00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Sovello</w:t>
            </w:r>
            <w:r>
              <w:rPr>
                <w:rFonts w:ascii="Times New Roman"/>
                <w:spacing w:val="-2"/>
                <w:sz w:val="18"/>
              </w:rPr>
              <w:t> </w:t>
            </w:r>
            <w:r>
              <w:rPr>
                <w:rFonts w:ascii="Times New Roman"/>
                <w:sz w:val="18"/>
              </w:rPr>
              <w:t>GMBH</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1,728,066.49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1,728,066.49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Wicro Plastics</w:t>
            </w:r>
            <w:r>
              <w:rPr>
                <w:rFonts w:ascii="Times New Roman"/>
                <w:spacing w:val="-12"/>
                <w:sz w:val="18"/>
              </w:rPr>
              <w:t> </w:t>
            </w:r>
            <w:r>
              <w:rPr>
                <w:rFonts w:ascii="Times New Roman"/>
                <w:sz w:val="18"/>
              </w:rPr>
              <w:t>BV</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1,273,042.41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1,273,042.41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常州市哈里路亚户外用 品有限公司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1,070,347.85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1,070,347.85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Hanwha Q.Cells</w:t>
            </w:r>
            <w:r>
              <w:rPr>
                <w:rFonts w:ascii="Times New Roman"/>
                <w:spacing w:val="-6"/>
                <w:sz w:val="18"/>
              </w:rPr>
              <w:t> </w:t>
            </w:r>
            <w:r>
              <w:rPr>
                <w:rFonts w:ascii="Times New Roman"/>
                <w:sz w:val="18"/>
              </w:rPr>
              <w:t>GmbH</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857,527.26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710,563.66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南京秉创新能源技术有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646,193.00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646,193.00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安徽颐和新能源科技股 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541,594.00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541,594.00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REC Solar Pte.</w:t>
            </w:r>
            <w:r>
              <w:rPr>
                <w:rFonts w:ascii="Times New Roman"/>
                <w:spacing w:val="-3"/>
                <w:sz w:val="18"/>
              </w:rPr>
              <w:t> </w:t>
            </w:r>
            <w:r>
              <w:rPr>
                <w:rFonts w:ascii="Times New Roman"/>
                <w:sz w:val="18"/>
              </w:rPr>
              <w:t>Ltd.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527,038.74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527,038.74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28,828,145.35</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14,646,572.96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22"/>
        <w:jc w:val="left"/>
      </w:pPr>
      <w:r>
        <w:rPr/>
        <w:t>组合中，按账龄分析法计提坏账准备的应收账款：</w:t>
      </w:r>
    </w:p>
    <w:p>
      <w:pPr>
        <w:pStyle w:val="BodyText"/>
        <w:spacing w:line="338" w:lineRule="auto" w:before="117"/>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338" w:lineRule="auto" w:before="43"/>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1"/>
        <w:ind w:left="514" w:right="1122"/>
        <w:jc w:val="left"/>
      </w:pPr>
      <w:r>
        <w:rPr>
          <w:rFonts w:ascii="Times New Roman" w:hAnsi="Times New Roman" w:cs="Times New Roman" w:eastAsia="Times New Roman" w:hint="default"/>
        </w:rPr>
        <w:t>B</w:t>
      </w:r>
      <w:r>
        <w:rPr/>
        <w:t>、年末单项金额不重大但单独计提坏账准备的主要应收款项</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443"/>
        <w:gridCol w:w="1540"/>
        <w:gridCol w:w="1574"/>
        <w:gridCol w:w="1372"/>
        <w:gridCol w:w="1285"/>
      </w:tblGrid>
      <w:tr>
        <w:trPr>
          <w:trHeight w:val="355" w:hRule="exact"/>
        </w:trPr>
        <w:tc>
          <w:tcPr>
            <w:tcW w:w="3443" w:type="dxa"/>
            <w:vMerge w:val="restart"/>
            <w:tcBorders>
              <w:top w:val="single" w:sz="6" w:space="0" w:color="000000"/>
              <w:left w:val="single" w:sz="6" w:space="0" w:color="000000"/>
              <w:right w:val="single" w:sz="6" w:space="0" w:color="000000"/>
            </w:tcBorders>
          </w:tcPr>
          <w:p>
            <w:pPr>
              <w:pStyle w:val="TableParagraph"/>
              <w:spacing w:line="240" w:lineRule="auto" w:before="21"/>
              <w:ind w:left="904"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5772"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53" w:hRule="exact"/>
        </w:trPr>
        <w:tc>
          <w:tcPr>
            <w:tcW w:w="3443" w:type="dxa"/>
            <w:vMerge/>
            <w:tcBorders>
              <w:left w:val="single" w:sz="6" w:space="0" w:color="000000"/>
              <w:bottom w:val="single" w:sz="12" w:space="0" w:color="000000"/>
              <w:right w:val="single" w:sz="6" w:space="0" w:color="000000"/>
            </w:tcBorders>
          </w:tcPr>
          <w:p>
            <w:pP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0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74"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2" w:hRule="exact"/>
        </w:trPr>
        <w:tc>
          <w:tcPr>
            <w:tcW w:w="34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SILLIA VL</w:t>
            </w:r>
            <w:r>
              <w:rPr>
                <w:rFonts w:ascii="Times New Roman"/>
                <w:spacing w:val="-2"/>
                <w:sz w:val="18"/>
              </w:rPr>
              <w:t> </w:t>
            </w:r>
            <w:r>
              <w:rPr>
                <w:rFonts w:ascii="Times New Roman"/>
                <w:sz w:val="18"/>
              </w:rPr>
              <w:t>SAS</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488,611.39</w:t>
            </w:r>
          </w:p>
        </w:tc>
        <w:tc>
          <w:tcPr>
            <w:tcW w:w="1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488,611.39</w:t>
            </w:r>
          </w:p>
        </w:tc>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52" w:hRule="exact"/>
        </w:trPr>
        <w:tc>
          <w:tcPr>
            <w:tcW w:w="34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Stepbirch</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470,322.67</w:t>
            </w:r>
          </w:p>
        </w:tc>
        <w:tc>
          <w:tcPr>
            <w:tcW w:w="1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470,322.67</w:t>
            </w:r>
          </w:p>
        </w:tc>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53" w:hRule="exact"/>
        </w:trPr>
        <w:tc>
          <w:tcPr>
            <w:tcW w:w="34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赣州天龙包装彩印有限公司</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411,126.59</w:t>
            </w:r>
          </w:p>
        </w:tc>
        <w:tc>
          <w:tcPr>
            <w:tcW w:w="1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411,126.59</w:t>
            </w:r>
          </w:p>
        </w:tc>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52" w:hRule="exact"/>
        </w:trPr>
        <w:tc>
          <w:tcPr>
            <w:tcW w:w="34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湖北追日电气股份有限公司</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388,039.72</w:t>
            </w:r>
          </w:p>
        </w:tc>
        <w:tc>
          <w:tcPr>
            <w:tcW w:w="1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288,039.72</w:t>
            </w:r>
          </w:p>
        </w:tc>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74.23</w:t>
            </w:r>
          </w:p>
        </w:tc>
        <w:tc>
          <w:tcPr>
            <w:tcW w:w="1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52" w:hRule="exact"/>
        </w:trPr>
        <w:tc>
          <w:tcPr>
            <w:tcW w:w="34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AU</w:t>
            </w:r>
            <w:r>
              <w:rPr>
                <w:rFonts w:ascii="Times New Roman"/>
                <w:spacing w:val="-4"/>
                <w:sz w:val="18"/>
              </w:rPr>
              <w:t> </w:t>
            </w:r>
            <w:r>
              <w:rPr>
                <w:rFonts w:ascii="Times New Roman"/>
                <w:sz w:val="18"/>
              </w:rPr>
              <w:t>Optronics(Czech)s.r.o</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373,824.85</w:t>
            </w:r>
          </w:p>
        </w:tc>
        <w:tc>
          <w:tcPr>
            <w:tcW w:w="1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373,824.85</w:t>
            </w:r>
          </w:p>
        </w:tc>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53" w:hRule="exact"/>
        </w:trPr>
        <w:tc>
          <w:tcPr>
            <w:tcW w:w="34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江苏万丰光伏有限公司</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350,486.40</w:t>
            </w:r>
          </w:p>
        </w:tc>
        <w:tc>
          <w:tcPr>
            <w:tcW w:w="1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350,486.40</w:t>
            </w:r>
          </w:p>
        </w:tc>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52" w:hRule="exact"/>
        </w:trPr>
        <w:tc>
          <w:tcPr>
            <w:tcW w:w="34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R&amp;L Co.,</w:t>
            </w:r>
            <w:r>
              <w:rPr>
                <w:rFonts w:ascii="Times New Roman"/>
                <w:spacing w:val="-3"/>
                <w:sz w:val="18"/>
              </w:rPr>
              <w:t> </w:t>
            </w:r>
            <w:r>
              <w:rPr>
                <w:rFonts w:ascii="Times New Roman"/>
                <w:sz w:val="18"/>
              </w:rPr>
              <w:t>LTD</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315,128.60</w:t>
            </w:r>
          </w:p>
        </w:tc>
        <w:tc>
          <w:tcPr>
            <w:tcW w:w="1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315,128.60</w:t>
            </w:r>
          </w:p>
        </w:tc>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52" w:hRule="exact"/>
        </w:trPr>
        <w:tc>
          <w:tcPr>
            <w:tcW w:w="34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北京科诺伟业科技有限公司</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300,000.00</w:t>
            </w:r>
          </w:p>
        </w:tc>
        <w:tc>
          <w:tcPr>
            <w:tcW w:w="1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300,000.00</w:t>
            </w:r>
          </w:p>
        </w:tc>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53" w:hRule="exact"/>
        </w:trPr>
        <w:tc>
          <w:tcPr>
            <w:tcW w:w="34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中国水电顾问集团中南勘测设计研究院</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294,796.75</w:t>
            </w:r>
          </w:p>
        </w:tc>
        <w:tc>
          <w:tcPr>
            <w:tcW w:w="1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294,796.75</w:t>
            </w:r>
          </w:p>
        </w:tc>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52" w:hRule="exact"/>
        </w:trPr>
        <w:tc>
          <w:tcPr>
            <w:tcW w:w="34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ASIA INFONET</w:t>
            </w:r>
            <w:r>
              <w:rPr>
                <w:rFonts w:ascii="Times New Roman"/>
                <w:spacing w:val="-2"/>
                <w:sz w:val="18"/>
              </w:rPr>
              <w:t> </w:t>
            </w:r>
            <w:r>
              <w:rPr>
                <w:rFonts w:ascii="Times New Roman"/>
                <w:sz w:val="18"/>
              </w:rPr>
              <w:t>INC</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289,452.17</w:t>
            </w:r>
          </w:p>
        </w:tc>
        <w:tc>
          <w:tcPr>
            <w:tcW w:w="1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289,452.17</w:t>
            </w:r>
          </w:p>
        </w:tc>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52" w:hRule="exact"/>
        </w:trPr>
        <w:tc>
          <w:tcPr>
            <w:tcW w:w="34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Jabil Assembly Poland Sp.z</w:t>
            </w:r>
            <w:r>
              <w:rPr>
                <w:rFonts w:ascii="Times New Roman"/>
                <w:spacing w:val="-6"/>
                <w:sz w:val="18"/>
              </w:rPr>
              <w:t> </w:t>
            </w:r>
            <w:r>
              <w:rPr>
                <w:rFonts w:ascii="Times New Roman"/>
                <w:sz w:val="18"/>
              </w:rPr>
              <w:t>o.o.</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277,008.09</w:t>
            </w:r>
          </w:p>
        </w:tc>
        <w:tc>
          <w:tcPr>
            <w:tcW w:w="1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266,864.33</w:t>
            </w:r>
          </w:p>
        </w:tc>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96.34</w:t>
            </w:r>
          </w:p>
        </w:tc>
        <w:tc>
          <w:tcPr>
            <w:tcW w:w="1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53" w:hRule="exact"/>
        </w:trPr>
        <w:tc>
          <w:tcPr>
            <w:tcW w:w="34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Q-CELLS</w:t>
            </w:r>
            <w:r>
              <w:rPr>
                <w:rFonts w:ascii="Times New Roman"/>
                <w:spacing w:val="-2"/>
                <w:sz w:val="18"/>
              </w:rPr>
              <w:t> </w:t>
            </w:r>
            <w:r>
              <w:rPr>
                <w:rFonts w:ascii="Times New Roman"/>
                <w:sz w:val="18"/>
              </w:rPr>
              <w:t>SE</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268,918.02</w:t>
            </w:r>
          </w:p>
        </w:tc>
        <w:tc>
          <w:tcPr>
            <w:tcW w:w="1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268,918.02</w:t>
            </w:r>
          </w:p>
        </w:tc>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52" w:hRule="exact"/>
        </w:trPr>
        <w:tc>
          <w:tcPr>
            <w:tcW w:w="34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赣州天盛彩印包装有限公司</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265,892.10</w:t>
            </w:r>
          </w:p>
        </w:tc>
        <w:tc>
          <w:tcPr>
            <w:tcW w:w="1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265,892.10</w:t>
            </w:r>
          </w:p>
        </w:tc>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52" w:hRule="exact"/>
        </w:trPr>
        <w:tc>
          <w:tcPr>
            <w:tcW w:w="34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润峰电力有限公司</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234,901.00</w:t>
            </w:r>
          </w:p>
        </w:tc>
        <w:tc>
          <w:tcPr>
            <w:tcW w:w="1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234,901.00</w:t>
            </w:r>
          </w:p>
        </w:tc>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53" w:hRule="exact"/>
        </w:trPr>
        <w:tc>
          <w:tcPr>
            <w:tcW w:w="34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河南神行保健科技股份有限公司</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222,934.77</w:t>
            </w:r>
          </w:p>
        </w:tc>
        <w:tc>
          <w:tcPr>
            <w:tcW w:w="1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222,934.77</w:t>
            </w:r>
          </w:p>
        </w:tc>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52" w:hRule="exact"/>
        </w:trPr>
        <w:tc>
          <w:tcPr>
            <w:tcW w:w="34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GreenBrilliance Energy Pvt.</w:t>
            </w:r>
            <w:r>
              <w:rPr>
                <w:rFonts w:ascii="Times New Roman"/>
                <w:spacing w:val="-8"/>
                <w:sz w:val="18"/>
              </w:rPr>
              <w:t> </w:t>
            </w:r>
            <w:r>
              <w:rPr>
                <w:rFonts w:ascii="Times New Roman"/>
                <w:sz w:val="18"/>
              </w:rPr>
              <w:t>Ltd</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205,182.23</w:t>
            </w:r>
          </w:p>
        </w:tc>
        <w:tc>
          <w:tcPr>
            <w:tcW w:w="1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205,182.23</w:t>
            </w:r>
          </w:p>
        </w:tc>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52" w:hRule="exact"/>
        </w:trPr>
        <w:tc>
          <w:tcPr>
            <w:tcW w:w="34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阳原东润新能源开发有限公司</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205,000.00</w:t>
            </w:r>
          </w:p>
        </w:tc>
        <w:tc>
          <w:tcPr>
            <w:tcW w:w="1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205,000.00</w:t>
            </w:r>
          </w:p>
        </w:tc>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53" w:hRule="exact"/>
        </w:trPr>
        <w:tc>
          <w:tcPr>
            <w:tcW w:w="34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金额小于</w:t>
            </w:r>
            <w:r>
              <w:rPr>
                <w:rFonts w:ascii="Times New Roman" w:hAnsi="Times New Roman" w:cs="Times New Roman" w:eastAsia="Times New Roman" w:hint="default"/>
                <w:sz w:val="18"/>
                <w:szCs w:val="18"/>
              </w:rPr>
              <w:t>20</w:t>
            </w:r>
            <w:r>
              <w:rPr>
                <w:rFonts w:ascii="宋体" w:hAnsi="宋体" w:cs="宋体" w:eastAsia="宋体" w:hint="default"/>
                <w:sz w:val="18"/>
                <w:szCs w:val="18"/>
              </w:rPr>
              <w:t>万的</w:t>
            </w:r>
            <w:r>
              <w:rPr>
                <w:rFonts w:ascii="Times New Roman" w:hAnsi="Times New Roman" w:cs="Times New Roman" w:eastAsia="Times New Roman" w:hint="default"/>
                <w:sz w:val="18"/>
                <w:szCs w:val="18"/>
              </w:rPr>
              <w:t>70</w:t>
            </w:r>
            <w:r>
              <w:rPr>
                <w:rFonts w:ascii="宋体" w:hAnsi="宋体" w:cs="宋体" w:eastAsia="宋体" w:hint="default"/>
                <w:sz w:val="18"/>
                <w:szCs w:val="18"/>
              </w:rPr>
              <w:t>家公司小计</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2,591,496.19</w:t>
            </w:r>
          </w:p>
        </w:tc>
        <w:tc>
          <w:tcPr>
            <w:tcW w:w="1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2,584,564.36</w:t>
            </w:r>
          </w:p>
        </w:tc>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99.73</w:t>
            </w:r>
          </w:p>
        </w:tc>
        <w:tc>
          <w:tcPr>
            <w:tcW w:w="12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52" w:hRule="exact"/>
        </w:trPr>
        <w:tc>
          <w:tcPr>
            <w:tcW w:w="34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7,953,121.54</w:t>
            </w:r>
          </w:p>
        </w:tc>
        <w:tc>
          <w:tcPr>
            <w:tcW w:w="15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7,836,045.95</w:t>
            </w:r>
          </w:p>
        </w:tc>
        <w:tc>
          <w:tcPr>
            <w:tcW w:w="1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98.53</w:t>
            </w:r>
          </w:p>
        </w:tc>
        <w:tc>
          <w:tcPr>
            <w:tcW w:w="1285" w:type="dxa"/>
            <w:tcBorders>
              <w:top w:val="single" w:sz="12" w:space="0" w:color="000000"/>
              <w:left w:val="single" w:sz="6" w:space="0" w:color="000000"/>
              <w:bottom w:val="single" w:sz="12" w:space="0" w:color="000000"/>
              <w:right w:val="nil" w:sz="6" w:space="0" w:color="auto"/>
            </w:tcBorders>
          </w:tcPr>
          <w:p>
            <w:pPr/>
          </w:p>
        </w:tc>
      </w:tr>
    </w:tbl>
    <w:p>
      <w:pPr>
        <w:pStyle w:val="BodyText"/>
        <w:spacing w:line="240" w:lineRule="auto" w:before="51"/>
        <w:ind w:right="1122"/>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122"/>
        <w:jc w:val="left"/>
      </w:pPr>
      <w:r>
        <w:rPr/>
        <w:t>本期计提坏账准备金额</w:t>
      </w:r>
      <w:r>
        <w:rPr>
          <w:spacing w:val="-50"/>
        </w:rPr>
        <w:t> </w:t>
      </w:r>
      <w:r>
        <w:rPr>
          <w:rFonts w:ascii="Times New Roman" w:hAnsi="Times New Roman" w:cs="Times New Roman" w:eastAsia="Times New Roman" w:hint="default"/>
        </w:rPr>
        <w:t>6,422,639.99</w:t>
      </w:r>
      <w:r>
        <w:rPr>
          <w:rFonts w:ascii="Times New Roman" w:hAnsi="Times New Roman" w:cs="Times New Roman" w:eastAsia="Times New Roman" w:hint="default"/>
          <w:spacing w:val="-5"/>
        </w:rPr>
        <w:t> </w:t>
      </w:r>
      <w:r>
        <w:rPr/>
        <w:t>元；本期收回或转回坏账准备金额</w:t>
      </w:r>
      <w:r>
        <w:rPr>
          <w:spacing w:val="-50"/>
        </w:rPr>
        <w:t> </w:t>
      </w:r>
      <w:r>
        <w:rPr>
          <w:rFonts w:ascii="Times New Roman" w:hAnsi="Times New Roman" w:cs="Times New Roman" w:eastAsia="Times New Roman" w:hint="default"/>
        </w:rPr>
        <w:t>3,023,711.29</w:t>
      </w:r>
      <w:r>
        <w:rPr>
          <w:rFonts w:ascii="Times New Roman" w:hAnsi="Times New Roman" w:cs="Times New Roman" w:eastAsia="Times New Roman" w:hint="default"/>
          <w:spacing w:val="-4"/>
        </w:rPr>
        <w:t> </w:t>
      </w:r>
      <w:r>
        <w:rPr/>
        <w:t>元。</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22"/>
        <w:jc w:val="left"/>
      </w:pPr>
      <w:r>
        <w:rPr/>
        <w:t>其中本期坏账准备收回或转回金额重要的：</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中国能源建设集团新疆电力建设公司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2,152,928.95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回款</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2,152,928.95</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22"/>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1,596,399.48</w:t>
            </w:r>
          </w:p>
        </w:tc>
      </w:tr>
    </w:tbl>
    <w:p>
      <w:pPr>
        <w:pStyle w:val="BodyText"/>
        <w:spacing w:line="240" w:lineRule="auto" w:before="51"/>
        <w:ind w:right="1122"/>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right="1122"/>
        <w:jc w:val="left"/>
      </w:pPr>
      <w:r>
        <w:rPr/>
        <w:t>应收账款核销说明：</w:t>
      </w:r>
    </w:p>
    <w:p>
      <w:pPr>
        <w:pStyle w:val="BodyText"/>
        <w:spacing w:line="338" w:lineRule="auto" w:before="116"/>
        <w:ind w:left="514" w:right="1122" w:hanging="360"/>
        <w:jc w:val="left"/>
      </w:pPr>
      <w:r>
        <w:rPr>
          <w:rFonts w:ascii="Times New Roman" w:hAnsi="Times New Roman" w:cs="Times New Roman" w:eastAsia="Times New Roman" w:hint="default"/>
        </w:rPr>
        <w:t>4)</w:t>
      </w:r>
      <w:r>
        <w:rPr/>
        <w:t>按欠款方归集的期末余额前五名的应收账款情况</w:t>
      </w:r>
      <w:r>
        <w:rPr>
          <w:w w:val="99"/>
        </w:rPr>
        <w:t> </w:t>
      </w:r>
      <w:r>
        <w:rPr/>
        <w:t>本公司本年按欠款方归集的年末余额前五名应收账款汇总金额为</w:t>
      </w:r>
      <w:r>
        <w:rPr>
          <w:rFonts w:ascii="Times New Roman" w:hAnsi="Times New Roman" w:cs="Times New Roman" w:eastAsia="Times New Roman" w:hint="default"/>
        </w:rPr>
        <w:t>783,362,981.00</w:t>
      </w:r>
      <w:r>
        <w:rPr/>
        <w:t>元，占应收账款年末余额合计数的</w:t>
      </w:r>
    </w:p>
    <w:p>
      <w:pPr>
        <w:pStyle w:val="BodyText"/>
        <w:spacing w:line="230" w:lineRule="exact"/>
        <w:ind w:right="1122"/>
        <w:jc w:val="left"/>
      </w:pPr>
      <w:r>
        <w:rPr/>
        <w:t>比例为</w:t>
      </w:r>
      <w:r>
        <w:rPr>
          <w:rFonts w:ascii="Times New Roman" w:hAnsi="Times New Roman" w:cs="Times New Roman" w:eastAsia="Times New Roman" w:hint="default"/>
        </w:rPr>
        <w:t>43.33%</w:t>
      </w:r>
      <w:r>
        <w:rPr/>
        <w:t>，相应计提的坏账准备年末余额汇总金额为</w:t>
      </w:r>
      <w:r>
        <w:rPr>
          <w:rFonts w:ascii="Times New Roman" w:hAnsi="Times New Roman" w:cs="Times New Roman" w:eastAsia="Times New Roman" w:hint="default"/>
        </w:rPr>
        <w:t>0.00</w:t>
      </w:r>
      <w:r>
        <w:rPr/>
        <w:t>元。</w:t>
      </w:r>
    </w:p>
    <w:p>
      <w:pPr>
        <w:pStyle w:val="BodyText"/>
        <w:spacing w:line="240" w:lineRule="auto" w:before="103"/>
        <w:ind w:right="1122"/>
        <w:jc w:val="left"/>
      </w:pPr>
      <w:r>
        <w:rPr>
          <w:rFonts w:ascii="Times New Roman" w:hAnsi="Times New Roman" w:cs="Times New Roman" w:eastAsia="Times New Roman" w:hint="default"/>
        </w:rPr>
        <w:t>5)</w:t>
      </w:r>
      <w:r>
        <w:rPr/>
        <w:t>因金融资产转移而终止确认的应收账款</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952"/>
        <w:gridCol w:w="2763"/>
        <w:gridCol w:w="3500"/>
      </w:tblGrid>
      <w:tr>
        <w:trPr>
          <w:trHeight w:val="355" w:hRule="exact"/>
        </w:trPr>
        <w:tc>
          <w:tcPr>
            <w:tcW w:w="29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747" w:right="0"/>
              <w:jc w:val="left"/>
              <w:rPr>
                <w:rFonts w:ascii="宋体" w:hAnsi="宋体" w:cs="宋体" w:eastAsia="宋体" w:hint="default"/>
                <w:sz w:val="18"/>
                <w:szCs w:val="18"/>
              </w:rPr>
            </w:pPr>
            <w:r>
              <w:rPr>
                <w:rFonts w:ascii="宋体" w:hAnsi="宋体" w:cs="宋体" w:eastAsia="宋体" w:hint="default"/>
                <w:sz w:val="18"/>
                <w:szCs w:val="18"/>
              </w:rPr>
              <w:t>金融资产转移方式</w:t>
            </w:r>
          </w:p>
        </w:tc>
        <w:tc>
          <w:tcPr>
            <w:tcW w:w="27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终止确认的应收账款金额</w:t>
            </w:r>
          </w:p>
        </w:tc>
        <w:tc>
          <w:tcPr>
            <w:tcW w:w="35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572"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353" w:hRule="exact"/>
        </w:trPr>
        <w:tc>
          <w:tcPr>
            <w:tcW w:w="2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应收账款买断保理</w:t>
            </w:r>
          </w:p>
        </w:tc>
        <w:tc>
          <w:tcPr>
            <w:tcW w:w="27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65,806,429.45</w:t>
            </w:r>
          </w:p>
        </w:tc>
        <w:tc>
          <w:tcPr>
            <w:tcW w:w="35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-1,600,569.25</w:t>
            </w:r>
          </w:p>
        </w:tc>
      </w:tr>
      <w:tr>
        <w:trPr>
          <w:trHeight w:val="352" w:hRule="exact"/>
        </w:trPr>
        <w:tc>
          <w:tcPr>
            <w:tcW w:w="2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7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65,806,429.45</w:t>
            </w:r>
          </w:p>
        </w:tc>
        <w:tc>
          <w:tcPr>
            <w:tcW w:w="35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-1,600,569.25</w:t>
            </w:r>
          </w:p>
        </w:tc>
      </w:tr>
    </w:tbl>
    <w:p>
      <w:pPr>
        <w:pStyle w:val="BodyText"/>
        <w:tabs>
          <w:tab w:pos="7059" w:val="left" w:leader="none"/>
        </w:tabs>
        <w:spacing w:line="300" w:lineRule="auto" w:before="10"/>
        <w:ind w:right="1312" w:firstLine="360"/>
        <w:jc w:val="left"/>
      </w:pPr>
      <w:r>
        <w:rPr>
          <w:spacing w:val="8"/>
        </w:rPr>
        <w:t>注：于</w:t>
      </w:r>
      <w:r>
        <w:rPr>
          <w:rFonts w:ascii="Times New Roman" w:hAnsi="Times New Roman" w:cs="Times New Roman" w:eastAsia="Times New Roman" w:hint="default"/>
          <w:spacing w:val="8"/>
        </w:rPr>
        <w:t>2018</w:t>
      </w:r>
      <w:r>
        <w:rPr>
          <w:spacing w:val="8"/>
        </w:rPr>
        <w:t>年，本公司向金融机构以不附追索权的方式转让了应收账款</w:t>
        <w:tab/>
      </w:r>
      <w:r>
        <w:rPr>
          <w:rFonts w:ascii="Times New Roman" w:hAnsi="Times New Roman" w:cs="Times New Roman" w:eastAsia="Times New Roman" w:hint="default"/>
          <w:spacing w:val="3"/>
        </w:rPr>
        <w:t>65,806,429.45</w:t>
      </w:r>
      <w:r>
        <w:rPr>
          <w:spacing w:val="3"/>
        </w:rPr>
        <w:t>元，相关的损失为</w:t>
      </w:r>
      <w:r>
        <w:rPr/>
        <w:t> </w:t>
      </w:r>
      <w:r>
        <w:rPr>
          <w:rFonts w:ascii="Times New Roman" w:hAnsi="Times New Roman" w:cs="Times New Roman" w:eastAsia="Times New Roman" w:hint="default"/>
        </w:rPr>
        <w:t>1,600,569.25</w:t>
      </w:r>
      <w:r>
        <w:rPr/>
        <w:t>元。</w:t>
      </w:r>
    </w:p>
    <w:p>
      <w:pPr>
        <w:pStyle w:val="BodyText"/>
        <w:spacing w:line="340" w:lineRule="auto" w:before="5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12"/>
        <w:rPr>
          <w:rFonts w:ascii="宋体" w:hAnsi="宋体" w:cs="宋体" w:eastAsia="宋体" w:hint="default"/>
          <w:sz w:val="20"/>
          <w:szCs w:val="20"/>
        </w:rPr>
      </w:pPr>
    </w:p>
    <w:p>
      <w:pPr>
        <w:pStyle w:val="Heading3"/>
        <w:spacing w:line="240" w:lineRule="auto"/>
        <w:ind w:right="1122"/>
        <w:jc w:val="left"/>
        <w:rPr>
          <w:b w:val="0"/>
          <w:bCs w:val="0"/>
        </w:rPr>
      </w:pPr>
      <w:bookmarkStart w:name="5、预付款项" w:id="245"/>
      <w:bookmarkEnd w:id="245"/>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预付款项按账龄列示" w:id="246"/>
      <w:bookmarkEnd w:id="24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48,588,793.93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53,951,646.29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7,144,311.73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103,346.03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43,787.21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4,865,275.10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5,002,819.10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257,448.00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60,779,711.97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59,177,715.42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22"/>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2）按预付对象归集的期末余额前五名的预付款情况" w:id="247"/>
      <w:bookmarkEnd w:id="24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22"/>
        <w:jc w:val="left"/>
      </w:pPr>
      <w:r>
        <w:rPr>
          <w:spacing w:val="8"/>
        </w:rPr>
        <w:t>本公司按预付对象归集的年末余额前五名预付款项汇总金额为</w:t>
      </w:r>
      <w:r>
        <w:rPr>
          <w:rFonts w:ascii="Times New Roman" w:hAnsi="Times New Roman" w:cs="Times New Roman" w:eastAsia="Times New Roman" w:hint="default"/>
          <w:spacing w:val="8"/>
        </w:rPr>
        <w:t>50,381,300.36</w:t>
      </w:r>
      <w:r>
        <w:rPr>
          <w:spacing w:val="8"/>
        </w:rPr>
        <w:t>元，占预付款项年末余额合计数的比例为</w:t>
      </w:r>
      <w:r>
        <w:rPr>
          <w:spacing w:val="-86"/>
        </w:rPr>
        <w:t> </w:t>
      </w:r>
      <w:r>
        <w:rPr>
          <w:spacing w:val="-86"/>
        </w:rPr>
      </w:r>
      <w:r>
        <w:rPr>
          <w:rFonts w:ascii="Times New Roman" w:hAnsi="Times New Roman" w:cs="Times New Roman" w:eastAsia="Times New Roman" w:hint="default"/>
        </w:rPr>
        <w:t>82.89%</w:t>
      </w:r>
      <w:r>
        <w:rPr/>
        <w:t>。</w:t>
      </w:r>
    </w:p>
    <w:p>
      <w:pPr>
        <w:pStyle w:val="BodyText"/>
        <w:spacing w:line="240" w:lineRule="auto" w:before="53"/>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6、其他应收款" w:id="248"/>
      <w:bookmarkEnd w:id="248"/>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16,459,632.68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23,890,050.05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158,465,156.48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1,569,460,447.96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413,275,310.70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1,744,385,237.12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437,165,360.75</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1）应收利息" w:id="249"/>
      <w:bookmarkEnd w:id="249"/>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1)</w:t>
      </w:r>
      <w:r>
        <w:rPr/>
        <w:t>应收利息分类</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16,459,632.68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23,890,050.05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16,459,632.68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23,890,050.05</w:t>
            </w:r>
          </w:p>
        </w:tc>
      </w:tr>
    </w:tbl>
    <w:p>
      <w:pPr>
        <w:pStyle w:val="BodyText"/>
        <w:spacing w:line="240" w:lineRule="auto" w:before="51"/>
        <w:ind w:right="1122"/>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2）应收股利" w:id="250"/>
      <w:bookmarkEnd w:id="250"/>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丹阳中康电力开发有限公司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2,402,280.68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赣州市南康区爱康新能源科技有限公司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1,581,741.63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济南统联新能源有限公司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6,540,341.31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内蒙古四子王旗神光能源发展有限公司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13,906,693.65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泰州中康新能源有限公司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5,721,446.91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特克斯昱辉太阳能开发有限公司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9,640,484.82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无锡中康电力开发有限公司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420,762.37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新疆聚阳能源科技有限公司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41,215,156.16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徐州统联新能源有限公司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2,398,492.99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浙江瑞旭投资有限公司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32,971,831.68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新疆伊阳能源科技有限公司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2,557,826.53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九州方园博州新能源有限公司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17,670,603.87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九州方园博乐市新能源有限公司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21,437,493.88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158,465,156.48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22"/>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3）其他应收款" w:id="251"/>
      <w:bookmarkEnd w:id="251"/>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5,481,16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5,481,16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2,681,1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2,681,165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1,569,46</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0,447.96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99.52%</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1,569,460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,447.96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413,275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,310.70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98.73%</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413,275,31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0.70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2,067,00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2,067,00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2,623,7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05.26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2,623,705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1,577,00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8,620.77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7,548,17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2.81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0.48%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1,569,460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,447.96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418,580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,180.96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5,304,870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1.27%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413,275,31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0.70</w:t>
            </w:r>
          </w:p>
        </w:tc>
      </w:tr>
      <w:tr>
        <w:trPr>
          <w:trHeight w:val="393"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长期挂账往来款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离职员工欠款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1,081,165.00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1,081,165.00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5,481,165.00</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5,481,165.00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22"/>
        <w:jc w:val="left"/>
      </w:pPr>
      <w:r>
        <w:rPr/>
        <w:t>组合中，按账龄分析法计提坏账准备的其他应收款：</w:t>
      </w:r>
    </w:p>
    <w:p>
      <w:pPr>
        <w:pStyle w:val="BodyText"/>
        <w:spacing w:line="338" w:lineRule="auto" w:before="117"/>
        <w:ind w:right="6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3"/>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4" w:right="1122"/>
        <w:jc w:val="left"/>
      </w:pPr>
      <w:r>
        <w:rPr>
          <w:rFonts w:ascii="Times New Roman" w:hAnsi="Times New Roman" w:cs="Times New Roman" w:eastAsia="Times New Roman" w:hint="default"/>
        </w:rPr>
        <w:t>B</w:t>
      </w:r>
      <w:r>
        <w:rPr/>
        <w:t>、年末单项金额不重大但单独计提坏账准备的其他应收款</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087"/>
        <w:gridCol w:w="1559"/>
        <w:gridCol w:w="1537"/>
        <w:gridCol w:w="1157"/>
        <w:gridCol w:w="1874"/>
      </w:tblGrid>
      <w:tr>
        <w:trPr>
          <w:trHeight w:val="355" w:hRule="exact"/>
        </w:trPr>
        <w:tc>
          <w:tcPr>
            <w:tcW w:w="3087" w:type="dxa"/>
            <w:vMerge w:val="restart"/>
            <w:tcBorders>
              <w:top w:val="single" w:sz="6" w:space="0" w:color="000000"/>
              <w:left w:val="single" w:sz="6" w:space="0" w:color="000000"/>
              <w:right w:val="single" w:sz="6" w:space="0" w:color="000000"/>
            </w:tcBorders>
          </w:tcPr>
          <w:p>
            <w:pPr>
              <w:pStyle w:val="TableParagraph"/>
              <w:spacing w:line="240" w:lineRule="auto" w:before="20"/>
              <w:ind w:left="635"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6128"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52" w:hRule="exact"/>
        </w:trPr>
        <w:tc>
          <w:tcPr>
            <w:tcW w:w="3087" w:type="dxa"/>
            <w:vMerge/>
            <w:tcBorders>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2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2" w:hRule="exact"/>
        </w:trPr>
        <w:tc>
          <w:tcPr>
            <w:tcW w:w="30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长期挂账往来款</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1,334,078.17</w:t>
            </w:r>
          </w:p>
        </w:tc>
        <w:tc>
          <w:tcPr>
            <w:tcW w:w="1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1,334,078.17</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53" w:hRule="exact"/>
        </w:trPr>
        <w:tc>
          <w:tcPr>
            <w:tcW w:w="30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离职员工欠款</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732,929.64</w:t>
            </w:r>
          </w:p>
        </w:tc>
        <w:tc>
          <w:tcPr>
            <w:tcW w:w="1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732,929.64</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52" w:hRule="exact"/>
        </w:trPr>
        <w:tc>
          <w:tcPr>
            <w:tcW w:w="30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2,067,007.81</w:t>
            </w:r>
          </w:p>
        </w:tc>
        <w:tc>
          <w:tcPr>
            <w:tcW w:w="15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2,067,007.81</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874"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0"/>
        </w:sectPr>
      </w:pPr>
    </w:p>
    <w:p>
      <w:pPr>
        <w:pStyle w:val="BodyText"/>
        <w:spacing w:line="240" w:lineRule="auto" w:before="51"/>
        <w:ind w:right="-14"/>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4"/>
        <w:jc w:val="left"/>
      </w:pPr>
      <w:r>
        <w:rPr/>
        <w:t>本期计提坏账准备金额</w:t>
      </w:r>
      <w:r>
        <w:rPr>
          <w:spacing w:val="-47"/>
        </w:rPr>
        <w:t> </w:t>
      </w:r>
      <w:r>
        <w:rPr>
          <w:rFonts w:ascii="Times New Roman" w:hAnsi="Times New Roman" w:cs="Times New Roman" w:eastAsia="Times New Roman" w:hint="default"/>
        </w:rPr>
        <w:t>4,328,783.50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1,260,000.00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7084" w:space="174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1122"/>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825,480.95</w:t>
            </w:r>
          </w:p>
        </w:tc>
      </w:tr>
    </w:tbl>
    <w:p>
      <w:pPr>
        <w:pStyle w:val="BodyText"/>
        <w:spacing w:line="240" w:lineRule="auto" w:before="51"/>
        <w:ind w:right="1122"/>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52"/>
        <w:ind w:right="-20"/>
        <w:jc w:val="left"/>
      </w:pPr>
      <w:r>
        <w:rPr/>
        <w:t>其他应收款核销说明：</w:t>
      </w:r>
    </w:p>
    <w:p>
      <w:pPr>
        <w:pStyle w:val="BodyText"/>
        <w:spacing w:line="240" w:lineRule="auto" w:before="116"/>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11,407,413.43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604,564,600.00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198,893,669.00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87,026,400.00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24,081,137.06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4,228,413.25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3,836,189.23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已出售子公司往来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840,240,536.97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68,939,870.04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40,948,670.55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111,421,902.20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1,577,008,620.77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418,580,180.96</w:t>
            </w:r>
          </w:p>
        </w:tc>
      </w:tr>
    </w:tbl>
    <w:p>
      <w:pPr>
        <w:pStyle w:val="BodyText"/>
        <w:spacing w:line="240" w:lineRule="auto" w:before="51"/>
        <w:ind w:right="1122"/>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浙江清能能源发展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570,526,750.00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浙江瑞旭投资有限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397,916,416.47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九州方园博州新能 源有限公司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119,727,176.08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新疆伊阳能源科技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94,593,567.00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赣州市南康区财政 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1,242,213,909.55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78.77%</w:t>
            </w: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22"/>
        <w:jc w:val="left"/>
      </w:pPr>
      <w:r>
        <w:rPr>
          <w:rFonts w:ascii="Times New Roman" w:hAnsi="Times New Roman" w:cs="Times New Roman" w:eastAsia="Times New Roman" w:hint="default"/>
        </w:rPr>
        <w:t>6)</w:t>
      </w:r>
      <w:r>
        <w:rPr/>
        <w:t>涉及政府补助的应收款项</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right="1122"/>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1"/>
        <w:rPr>
          <w:rFonts w:ascii="宋体" w:hAnsi="宋体" w:cs="宋体" w:eastAsia="宋体" w:hint="default"/>
          <w:sz w:val="21"/>
          <w:szCs w:val="21"/>
        </w:rPr>
      </w:pPr>
    </w:p>
    <w:p>
      <w:pPr>
        <w:pStyle w:val="Heading3"/>
        <w:spacing w:line="240" w:lineRule="auto"/>
        <w:ind w:right="1122"/>
        <w:jc w:val="left"/>
        <w:rPr>
          <w:b w:val="0"/>
          <w:bCs w:val="0"/>
        </w:rPr>
      </w:pPr>
      <w:bookmarkStart w:name="7、存货" w:id="252"/>
      <w:bookmarkEnd w:id="252"/>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right="1122"/>
        <w:jc w:val="left"/>
        <w:rPr>
          <w:b w:val="0"/>
          <w:bCs w:val="0"/>
        </w:rPr>
      </w:pPr>
      <w:bookmarkStart w:name="（1）存货分类" w:id="253"/>
      <w:bookmarkEnd w:id="25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7"/>
        <w:gridCol w:w="1367"/>
        <w:gridCol w:w="1367"/>
      </w:tblGrid>
      <w:tr>
        <w:trPr>
          <w:trHeight w:val="20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82,057,295.56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2,896,914.34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79,160,381.22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9" w:right="0"/>
              <w:jc w:val="left"/>
              <w:rPr>
                <w:rFonts w:ascii="Times New Roman" w:hAnsi="Times New Roman" w:cs="Times New Roman" w:eastAsia="Times New Roman" w:hint="default"/>
                <w:sz w:val="18"/>
                <w:szCs w:val="18"/>
              </w:rPr>
            </w:pPr>
            <w:r>
              <w:rPr>
                <w:rFonts w:ascii="Times New Roman"/>
                <w:sz w:val="18"/>
              </w:rPr>
              <w:t>102,111,411.10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6" w:right="0"/>
              <w:jc w:val="left"/>
              <w:rPr>
                <w:rFonts w:ascii="Times New Roman" w:hAnsi="Times New Roman" w:cs="Times New Roman" w:eastAsia="Times New Roman" w:hint="default"/>
                <w:sz w:val="18"/>
                <w:szCs w:val="18"/>
              </w:rPr>
            </w:pPr>
            <w:r>
              <w:rPr>
                <w:rFonts w:ascii="Times New Roman"/>
                <w:sz w:val="18"/>
              </w:rPr>
              <w:t>2,703,113.07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99,408,298.03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17,560,590.45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17,560,590.45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13,256,534.43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50,401.59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13,206,132.84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175,849,471.15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5,633,671.62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170,215,799.53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138,950,096.60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3,176,373.73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135,773,722.87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3,319,752.87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3,319,752.87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3,603,442.16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117,268.58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3,486,173.58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8,236,457.32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8,236,457.32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3,695,076.16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3,695,076.16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287,023,567.35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8,530,585.96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278,492,981.39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261,616,560.45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6,047,156.97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255,569,403.48</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2"/>
        <w:rPr>
          <w:rFonts w:ascii="宋体" w:hAnsi="宋体" w:cs="宋体" w:eastAsia="宋体" w:hint="default"/>
          <w:sz w:val="20"/>
          <w:szCs w:val="20"/>
        </w:rPr>
      </w:pPr>
    </w:p>
    <w:p>
      <w:pPr>
        <w:pStyle w:val="Heading3"/>
        <w:spacing w:line="240" w:lineRule="auto"/>
        <w:ind w:right="1122"/>
        <w:jc w:val="left"/>
        <w:rPr>
          <w:b w:val="0"/>
          <w:bCs w:val="0"/>
        </w:rPr>
      </w:pPr>
      <w:bookmarkStart w:name="（2）存货跌价准备" w:id="254"/>
      <w:bookmarkEnd w:id="25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2,703,113.07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2,668,003.94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2,474,202.67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2,896,914.34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50,401.59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50,401.59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3,176,373.73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4,448,654.72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1,991,356.83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5,633,671.62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117,268.58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117,268.58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6,047,156.97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7,116,658.66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4,633,229.67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8,530,585.96</w:t>
            </w:r>
          </w:p>
        </w:tc>
      </w:tr>
    </w:tbl>
    <w:p>
      <w:pPr>
        <w:pStyle w:val="BodyText"/>
        <w:spacing w:line="240" w:lineRule="auto" w:before="10"/>
        <w:ind w:left="514" w:right="1122"/>
        <w:jc w:val="left"/>
      </w:pPr>
      <w:r>
        <w:rPr/>
        <w:t>（</w:t>
      </w:r>
      <w:r>
        <w:rPr>
          <w:rFonts w:ascii="Times New Roman" w:hAnsi="Times New Roman" w:cs="Times New Roman" w:eastAsia="Times New Roman" w:hint="default"/>
        </w:rPr>
        <w:t>3</w:t>
      </w:r>
      <w:r>
        <w:rPr/>
        <w:t>）存货跌价准备计提依据及本年转回或转销原因</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066"/>
        <w:gridCol w:w="2727"/>
        <w:gridCol w:w="2099"/>
        <w:gridCol w:w="2211"/>
      </w:tblGrid>
      <w:tr>
        <w:trPr>
          <w:trHeight w:val="668" w:hRule="exact"/>
        </w:trPr>
        <w:tc>
          <w:tcPr>
            <w:tcW w:w="2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7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85" w:right="0"/>
              <w:jc w:val="left"/>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209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862" w:right="49" w:hanging="810"/>
              <w:jc w:val="left"/>
              <w:rPr>
                <w:rFonts w:ascii="宋体" w:hAnsi="宋体" w:cs="宋体" w:eastAsia="宋体" w:hint="default"/>
                <w:sz w:val="18"/>
                <w:szCs w:val="18"/>
              </w:rPr>
            </w:pPr>
            <w:r>
              <w:rPr>
                <w:rFonts w:ascii="宋体" w:hAnsi="宋体" w:cs="宋体" w:eastAsia="宋体" w:hint="default"/>
                <w:sz w:val="18"/>
                <w:szCs w:val="18"/>
              </w:rPr>
              <w:t>本年转回存货跌价准备的 原因</w:t>
            </w:r>
          </w:p>
        </w:tc>
        <w:tc>
          <w:tcPr>
            <w:tcW w:w="2211"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1008" w:right="23" w:hanging="991"/>
              <w:jc w:val="left"/>
              <w:rPr>
                <w:rFonts w:ascii="宋体" w:hAnsi="宋体" w:cs="宋体" w:eastAsia="宋体" w:hint="default"/>
                <w:sz w:val="18"/>
                <w:szCs w:val="18"/>
              </w:rPr>
            </w:pPr>
            <w:r>
              <w:rPr>
                <w:rFonts w:ascii="宋体" w:hAnsi="宋体" w:cs="宋体" w:eastAsia="宋体" w:hint="default"/>
                <w:sz w:val="18"/>
                <w:szCs w:val="18"/>
              </w:rPr>
              <w:t>本年转销存货跌价准备的原 因</w:t>
            </w:r>
          </w:p>
        </w:tc>
      </w:tr>
      <w:tr>
        <w:trPr>
          <w:trHeight w:val="664" w:hRule="exact"/>
        </w:trPr>
        <w:tc>
          <w:tcPr>
            <w:tcW w:w="20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72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3"/>
              <w:jc w:val="left"/>
              <w:rPr>
                <w:rFonts w:ascii="宋体" w:hAnsi="宋体" w:cs="宋体" w:eastAsia="宋体" w:hint="default"/>
                <w:sz w:val="18"/>
                <w:szCs w:val="18"/>
              </w:rPr>
            </w:pPr>
            <w:r>
              <w:rPr>
                <w:rFonts w:ascii="宋体" w:hAnsi="宋体" w:cs="宋体" w:eastAsia="宋体" w:hint="default"/>
                <w:sz w:val="18"/>
                <w:szCs w:val="18"/>
              </w:rPr>
              <w:t>存货中部分原材料的可变现净值低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于存货成本</w:t>
            </w:r>
          </w:p>
        </w:tc>
        <w:tc>
          <w:tcPr>
            <w:tcW w:w="2099" w:type="dxa"/>
            <w:tcBorders>
              <w:top w:val="single" w:sz="12" w:space="0" w:color="000000"/>
              <w:left w:val="single" w:sz="6" w:space="0" w:color="000000"/>
              <w:bottom w:val="single" w:sz="12" w:space="0" w:color="000000"/>
              <w:right w:val="single" w:sz="6" w:space="0" w:color="000000"/>
            </w:tcBorders>
          </w:tcPr>
          <w:p>
            <w:pPr/>
          </w:p>
        </w:tc>
        <w:tc>
          <w:tcPr>
            <w:tcW w:w="22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本年已销售</w:t>
            </w:r>
          </w:p>
        </w:tc>
      </w:tr>
      <w:tr>
        <w:trPr>
          <w:trHeight w:val="352" w:hRule="exact"/>
        </w:trPr>
        <w:tc>
          <w:tcPr>
            <w:tcW w:w="20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727" w:type="dxa"/>
            <w:tcBorders>
              <w:top w:val="single" w:sz="12" w:space="0" w:color="000000"/>
              <w:left w:val="single" w:sz="6" w:space="0" w:color="000000"/>
              <w:bottom w:val="single" w:sz="12" w:space="0" w:color="000000"/>
              <w:right w:val="single" w:sz="6" w:space="0" w:color="000000"/>
            </w:tcBorders>
          </w:tcPr>
          <w:p>
            <w:pPr/>
          </w:p>
        </w:tc>
        <w:tc>
          <w:tcPr>
            <w:tcW w:w="2099" w:type="dxa"/>
            <w:tcBorders>
              <w:top w:val="single" w:sz="12" w:space="0" w:color="000000"/>
              <w:left w:val="single" w:sz="6" w:space="0" w:color="000000"/>
              <w:bottom w:val="single" w:sz="12" w:space="0" w:color="000000"/>
              <w:right w:val="single" w:sz="6" w:space="0" w:color="000000"/>
            </w:tcBorders>
          </w:tcPr>
          <w:p>
            <w:pPr/>
          </w:p>
        </w:tc>
        <w:tc>
          <w:tcPr>
            <w:tcW w:w="22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本年已销售</w:t>
            </w:r>
          </w:p>
        </w:tc>
      </w:tr>
      <w:tr>
        <w:trPr>
          <w:trHeight w:val="665" w:hRule="exact"/>
        </w:trPr>
        <w:tc>
          <w:tcPr>
            <w:tcW w:w="20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72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3"/>
              <w:jc w:val="left"/>
              <w:rPr>
                <w:rFonts w:ascii="宋体" w:hAnsi="宋体" w:cs="宋体" w:eastAsia="宋体" w:hint="default"/>
                <w:sz w:val="18"/>
                <w:szCs w:val="18"/>
              </w:rPr>
            </w:pPr>
            <w:r>
              <w:rPr>
                <w:rFonts w:ascii="宋体" w:hAnsi="宋体" w:cs="宋体" w:eastAsia="宋体" w:hint="default"/>
                <w:sz w:val="18"/>
                <w:szCs w:val="18"/>
              </w:rPr>
              <w:t>存货中部分库存商品的可变现净值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低于存货成本</w:t>
            </w:r>
          </w:p>
        </w:tc>
        <w:tc>
          <w:tcPr>
            <w:tcW w:w="2099" w:type="dxa"/>
            <w:tcBorders>
              <w:top w:val="single" w:sz="12" w:space="0" w:color="000000"/>
              <w:left w:val="single" w:sz="6" w:space="0" w:color="000000"/>
              <w:bottom w:val="single" w:sz="12" w:space="0" w:color="000000"/>
              <w:right w:val="single" w:sz="6" w:space="0" w:color="000000"/>
            </w:tcBorders>
          </w:tcPr>
          <w:p>
            <w:pPr/>
          </w:p>
        </w:tc>
        <w:tc>
          <w:tcPr>
            <w:tcW w:w="22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本年已销售</w:t>
            </w:r>
          </w:p>
        </w:tc>
      </w:tr>
      <w:tr>
        <w:trPr>
          <w:trHeight w:val="352" w:hRule="exact"/>
        </w:trPr>
        <w:tc>
          <w:tcPr>
            <w:tcW w:w="20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2727" w:type="dxa"/>
            <w:tcBorders>
              <w:top w:val="single" w:sz="12" w:space="0" w:color="000000"/>
              <w:left w:val="single" w:sz="6" w:space="0" w:color="000000"/>
              <w:bottom w:val="single" w:sz="12" w:space="0" w:color="000000"/>
              <w:right w:val="single" w:sz="6" w:space="0" w:color="000000"/>
            </w:tcBorders>
          </w:tcPr>
          <w:p>
            <w:pPr/>
          </w:p>
        </w:tc>
        <w:tc>
          <w:tcPr>
            <w:tcW w:w="2099" w:type="dxa"/>
            <w:tcBorders>
              <w:top w:val="single" w:sz="12" w:space="0" w:color="000000"/>
              <w:left w:val="single" w:sz="6" w:space="0" w:color="000000"/>
              <w:bottom w:val="single" w:sz="12" w:space="0" w:color="000000"/>
              <w:right w:val="single" w:sz="6" w:space="0" w:color="000000"/>
            </w:tcBorders>
          </w:tcPr>
          <w:p>
            <w:pPr/>
          </w:p>
        </w:tc>
        <w:tc>
          <w:tcPr>
            <w:tcW w:w="22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本年已销售</w:t>
            </w:r>
          </w:p>
        </w:tc>
      </w:tr>
    </w:tbl>
    <w:p>
      <w:pPr>
        <w:pStyle w:val="BodyText"/>
        <w:spacing w:line="240" w:lineRule="auto" w:before="10"/>
        <w:ind w:left="514" w:right="1122"/>
        <w:jc w:val="left"/>
      </w:pPr>
      <w:r>
        <w:rPr/>
        <w:t>（</w:t>
      </w:r>
      <w:r>
        <w:rPr>
          <w:rFonts w:ascii="Times New Roman" w:hAnsi="Times New Roman" w:cs="Times New Roman" w:eastAsia="Times New Roman" w:hint="default"/>
        </w:rPr>
        <w:t>4</w:t>
      </w:r>
      <w:r>
        <w:rPr/>
        <w:t>）年末用于债务担保的存货余额为</w:t>
      </w:r>
      <w:r>
        <w:rPr>
          <w:rFonts w:ascii="Times New Roman" w:hAnsi="Times New Roman" w:cs="Times New Roman" w:eastAsia="Times New Roman" w:hint="default"/>
        </w:rPr>
        <w:t>68,965,517.24</w:t>
      </w:r>
      <w:r>
        <w:rPr/>
        <w:t>元。</w:t>
      </w:r>
    </w:p>
    <w:p>
      <w:pPr>
        <w:spacing w:line="240" w:lineRule="auto" w:before="11"/>
        <w:rPr>
          <w:rFonts w:ascii="宋体" w:hAnsi="宋体" w:cs="宋体" w:eastAsia="宋体" w:hint="default"/>
          <w:sz w:val="25"/>
          <w:szCs w:val="25"/>
        </w:rPr>
      </w:pPr>
    </w:p>
    <w:p>
      <w:pPr>
        <w:pStyle w:val="Heading3"/>
        <w:spacing w:line="240" w:lineRule="auto"/>
        <w:ind w:right="1122"/>
        <w:jc w:val="left"/>
        <w:rPr>
          <w:b w:val="0"/>
          <w:bCs w:val="0"/>
        </w:rPr>
      </w:pPr>
      <w:bookmarkStart w:name="（3）存货期末余额含有借款费用资本化金额的说明" w:id="255"/>
      <w:bookmarkEnd w:id="255"/>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4）期末建造合同形成的已完工未结算资产情况" w:id="256"/>
      <w:bookmarkEnd w:id="25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112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8、持有待售资产" w:id="257"/>
      <w:bookmarkEnd w:id="257"/>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9、一年内到期的非流动资产" w:id="258"/>
      <w:bookmarkEnd w:id="258"/>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202,184,855.00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139,983,416.00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202,184,855.00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139,983,416.00</w:t>
            </w:r>
          </w:p>
        </w:tc>
      </w:tr>
    </w:tbl>
    <w:p>
      <w:pPr>
        <w:pStyle w:val="BodyText"/>
        <w:spacing w:line="240" w:lineRule="auto" w:before="51"/>
        <w:ind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10、其他流动资产" w:id="259"/>
      <w:bookmarkEnd w:id="259"/>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pict>
          <v:group style="position:absolute;margin-left:216.320007pt;margin-top:59.931709pt;width:159.1pt;height:28.05pt;mso-position-horizontal-relative:page;mso-position-vertical-relative:paragraph;z-index:-1592608" coordorigin="4326,1199" coordsize="3182,561">
            <v:group style="position:absolute;left:4326;top:1199;width:3182;height:156" coordorigin="4326,1199" coordsize="3182,156">
              <v:shape style="position:absolute;left:4326;top:1199;width:3182;height:156" coordorigin="4326,1199" coordsize="3182,156" path="m4326,1355l7508,1355,7508,1199,4326,1199,4326,1355xe" filled="true" fillcolor="#ffffff" stroked="false">
                <v:path arrowok="t"/>
                <v:fill type="solid"/>
              </v:shape>
            </v:group>
            <v:group style="position:absolute;left:4338;top:1355;width:2;height:393" coordorigin="4338,1355" coordsize="2,393">
              <v:shape style="position:absolute;left:4338;top:1355;width:2;height:393" coordorigin="4338,1355" coordsize="0,393" path="m4338,1355l4338,1747e" filled="false" stroked="true" strokeweight="1.140pt" strokecolor="#ffffff">
                <v:path arrowok="t"/>
              </v:shape>
            </v:group>
            <v:group style="position:absolute;left:4349;top:1355;width:3136;height:393" coordorigin="4349,1355" coordsize="3136,393">
              <v:shape style="position:absolute;left:4349;top:1355;width:3136;height:393" coordorigin="4349,1355" coordsize="3136,393" path="m4349,1747l7485,1747,7485,1355,4349,1355,4349,1747xe" filled="true" fillcolor="#ffffff" stroked="false">
                <v:path arrowok="t"/>
                <v:fill type="solid"/>
              </v:shape>
            </v:group>
            <w10:wrap type="none"/>
          </v:group>
        </w:pict>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34,105,822.79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32,916,733.51</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待抵扣增值税进项税额（注释见附注七</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2034" w:right="0"/>
              <w:jc w:val="left"/>
              <w:rPr>
                <w:rFonts w:ascii="Times New Roman" w:hAnsi="Times New Roman" w:cs="Times New Roman" w:eastAsia="Times New Roman" w:hint="default"/>
                <w:sz w:val="18"/>
                <w:szCs w:val="18"/>
              </w:rPr>
            </w:pPr>
            <w:r>
              <w:rPr>
                <w:rFonts w:ascii="Times New Roman"/>
                <w:sz w:val="18"/>
              </w:rPr>
              <w:t>142,573,778.82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178,151,657.83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1,237,850.87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18,782,235.27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177,917,452.48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229,850,626.61</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11、可供出售金融资产" w:id="260"/>
      <w:bookmarkEnd w:id="260"/>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可供出售金融资产情况" w:id="261"/>
      <w:bookmarkEnd w:id="261"/>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4,734,400.00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4,734,400.00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4,734,400.00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4,734,400.00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2）期末按公允价值计量的可供出售金融资产" w:id="262"/>
      <w:bookmarkEnd w:id="262"/>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3）期末按成本计量的可供出售金融资产" w:id="263"/>
      <w:bookmarkEnd w:id="263"/>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江苏爱通 新能源科 技有限公 司（注）</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信托保障 基金</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4,734,400.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4,734,400.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4,734,400.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4,734,400.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4）报告期内可供出售金融资产减值的变动情况" w:id="264"/>
      <w:bookmarkEnd w:id="264"/>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5"/>
        <w:ind w:right="1122"/>
        <w:jc w:val="left"/>
        <w:rPr>
          <w:b w:val="0"/>
          <w:bCs w:val="0"/>
        </w:rPr>
      </w:pPr>
      <w:bookmarkStart w:name="（5）可供出售权益工具期末公允价值严重下跌或非暂时性下跌但未计提减值准备的相关说" w:id="265"/>
      <w:bookmarkEnd w:id="265"/>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right="1122"/>
        <w:jc w:val="left"/>
      </w:pPr>
      <w:r>
        <w:rPr/>
        <w:t>其他说明</w:t>
      </w:r>
    </w:p>
    <w:p>
      <w:pPr>
        <w:pStyle w:val="BodyText"/>
        <w:spacing w:line="300" w:lineRule="auto" w:before="116"/>
        <w:ind w:right="1122"/>
        <w:jc w:val="left"/>
      </w:pPr>
      <w:r>
        <w:rPr/>
        <w:t>注：</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月本公司对爱通公司的持股比例由</w:t>
      </w:r>
      <w:r>
        <w:rPr>
          <w:rFonts w:ascii="Times New Roman" w:hAnsi="Times New Roman" w:cs="Times New Roman" w:eastAsia="Times New Roman" w:hint="default"/>
        </w:rPr>
        <w:t>40%</w:t>
      </w:r>
      <w:r>
        <w:rPr/>
        <w:t>降为</w:t>
      </w:r>
      <w:r>
        <w:rPr>
          <w:rFonts w:ascii="Times New Roman" w:hAnsi="Times New Roman" w:cs="Times New Roman" w:eastAsia="Times New Roman" w:hint="default"/>
        </w:rPr>
        <w:t>10%</w:t>
      </w:r>
      <w:r>
        <w:rPr/>
        <w:t>，股权转让后本公司退出爱通公司董事会，不再对爱通公司有 </w:t>
      </w:r>
      <w:r>
        <w:rPr>
          <w:spacing w:val="-2"/>
        </w:rPr>
        <w:t>重大影响，对长期股权投资核算方法由权益法转换成成本法，处置后的剩余股权改按《企业会计准则第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w:t>
      </w:r>
      <w:r>
        <w:rPr>
          <w:spacing w:val="-64"/>
        </w:rPr>
        <w:t> </w:t>
      </w:r>
      <w:r>
        <w:rPr/>
        <w:t>认和计量》核算。</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日，本公司对爱通公司的投资成本为</w:t>
      </w:r>
      <w:r>
        <w:rPr>
          <w:rFonts w:ascii="Times New Roman" w:hAnsi="Times New Roman" w:cs="Times New Roman" w:eastAsia="Times New Roman" w:hint="default"/>
        </w:rPr>
        <w:t>0.00</w:t>
      </w:r>
      <w:r>
        <w:rPr/>
        <w:t>元，持股比例为</w:t>
      </w:r>
      <w:r>
        <w:rPr>
          <w:rFonts w:ascii="Times New Roman" w:hAnsi="Times New Roman" w:cs="Times New Roman" w:eastAsia="Times New Roman" w:hint="default"/>
        </w:rPr>
        <w:t>10%</w:t>
      </w:r>
      <w:r>
        <w:rPr/>
        <w:t>。</w:t>
      </w:r>
    </w:p>
    <w:p>
      <w:pPr>
        <w:spacing w:line="240" w:lineRule="auto" w:before="1"/>
        <w:rPr>
          <w:rFonts w:ascii="宋体" w:hAnsi="宋体" w:cs="宋体" w:eastAsia="宋体" w:hint="default"/>
          <w:sz w:val="22"/>
          <w:szCs w:val="22"/>
        </w:rPr>
      </w:pPr>
    </w:p>
    <w:p>
      <w:pPr>
        <w:pStyle w:val="Heading3"/>
        <w:spacing w:line="240" w:lineRule="auto"/>
        <w:ind w:right="1122"/>
        <w:jc w:val="left"/>
        <w:rPr>
          <w:b w:val="0"/>
          <w:bCs w:val="0"/>
        </w:rPr>
      </w:pPr>
      <w:bookmarkStart w:name="12、持有至到期投资" w:id="266"/>
      <w:bookmarkEnd w:id="266"/>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持有至到期投资情况" w:id="267"/>
      <w:bookmarkEnd w:id="267"/>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1122"/>
        <w:jc w:val="left"/>
        <w:rPr>
          <w:b w:val="0"/>
          <w:bCs w:val="0"/>
        </w:rPr>
      </w:pPr>
      <w:bookmarkStart w:name="（2）期末重要的持有至到期投资" w:id="268"/>
      <w:bookmarkEnd w:id="268"/>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3）本期重分类的持有至到期投资" w:id="269"/>
      <w:bookmarkEnd w:id="269"/>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13、长期应收款" w:id="270"/>
      <w:bookmarkEnd w:id="270"/>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长期应收款情况" w:id="271"/>
      <w:bookmarkEnd w:id="271"/>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206" w:hRule="exact"/>
        </w:trPr>
        <w:tc>
          <w:tcPr>
            <w:tcW w:w="1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4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0" w:hRule="exact"/>
        </w:trPr>
        <w:tc>
          <w:tcPr>
            <w:tcW w:w="1403"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85,683,834.18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85,683,834.18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73,361,326.12</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73,361,326.12</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8"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-33,531,745.82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-33,531,745.82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-16,382,673.88</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-16,382,673.88</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分期应收股权转 让款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202,184,855.0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202,184,855.0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295,485,963.0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295,485,963.0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102"/>
              <w:jc w:val="left"/>
              <w:rPr>
                <w:rFonts w:ascii="Times New Roman" w:hAnsi="Times New Roman" w:cs="Times New Roman" w:eastAsia="Times New Roman" w:hint="default"/>
                <w:sz w:val="18"/>
                <w:szCs w:val="18"/>
              </w:rPr>
            </w:pPr>
            <w:r>
              <w:rPr>
                <w:rFonts w:ascii="宋体" w:hAnsi="宋体" w:cs="宋体" w:eastAsia="宋体" w:hint="default"/>
                <w:sz w:val="18"/>
                <w:szCs w:val="18"/>
              </w:rPr>
              <w:t>减：一年内到期 </w:t>
            </w:r>
            <w:r>
              <w:rPr>
                <w:rFonts w:ascii="宋体" w:hAnsi="宋体" w:cs="宋体" w:eastAsia="宋体" w:hint="default"/>
                <w:spacing w:val="-12"/>
                <w:sz w:val="18"/>
                <w:szCs w:val="18"/>
              </w:rPr>
              <w:t>部分（附注七、</w:t>
            </w:r>
            <w:r>
              <w:rPr>
                <w:rFonts w:ascii="Times New Roman" w:hAnsi="Times New Roman" w:cs="Times New Roman" w:eastAsia="Times New Roman" w:hint="default"/>
                <w:spacing w:val="-12"/>
                <w:sz w:val="18"/>
                <w:szCs w:val="18"/>
              </w:rPr>
              <w:t>9</w:t>
            </w:r>
          </w:p>
        </w:tc>
        <w:tc>
          <w:tcPr>
            <w:tcW w:w="116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-202,184,855.0</w:t>
            </w:r>
          </w:p>
          <w:p>
            <w:pPr>
              <w:pStyle w:val="TableParagraph"/>
              <w:tabs>
                <w:tab w:pos="1037" w:val="left" w:leader="none"/>
              </w:tabs>
              <w:spacing w:line="240" w:lineRule="auto" w:before="66"/>
              <w:ind w:left="-131"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w:t>
            </w:r>
          </w:p>
          <w:p>
            <w:pPr>
              <w:pStyle w:val="TableParagraph"/>
              <w:spacing w:line="240" w:lineRule="auto" w:before="13"/>
              <w:ind w:right="0"/>
              <w:jc w:val="left"/>
              <w:rPr>
                <w:rFonts w:ascii="宋体" w:hAnsi="宋体" w:cs="宋体" w:eastAsia="宋体" w:hint="default"/>
                <w:sz w:val="26"/>
                <w:szCs w:val="26"/>
              </w:rPr>
            </w:pPr>
          </w:p>
          <w:p>
            <w:pPr>
              <w:pStyle w:val="TableParagraph"/>
              <w:spacing w:line="351" w:lineRule="exact"/>
              <w:ind w:left="16" w:right="-27"/>
              <w:jc w:val="left"/>
              <w:rPr>
                <w:rFonts w:ascii="宋体" w:hAnsi="宋体" w:cs="宋体" w:eastAsia="宋体" w:hint="default"/>
                <w:sz w:val="20"/>
                <w:szCs w:val="20"/>
              </w:rPr>
            </w:pPr>
            <w:r>
              <w:rPr>
                <w:rFonts w:ascii="宋体" w:hAnsi="宋体" w:cs="宋体" w:eastAsia="宋体" w:hint="default"/>
                <w:position w:val="-6"/>
                <w:sz w:val="20"/>
                <w:szCs w:val="20"/>
              </w:rPr>
              <w:pict>
                <v:group style="width:55.6pt;height:17.6pt;mso-position-horizontal-relative:char;mso-position-vertical-relative:line" coordorigin="0,0" coordsize="1112,352">
                  <v:group style="position:absolute;left:0;top:0;width:1112;height:352" coordorigin="0,0" coordsize="1112,352">
                    <v:shape style="position:absolute;left:0;top:0;width:1112;height:352" coordorigin="0,0" coordsize="1112,352" path="m0,352l1111,352,1111,0,0,0,0,352xe" filled="true" fillcolor="#ffffff" stroked="false">
                      <v:path arrowok="t"/>
                      <v:fill type="solid"/>
                    </v:shape>
                  </v:group>
                </v:group>
              </w:pict>
            </w:r>
            <w:r>
              <w:rPr>
                <w:rFonts w:ascii="宋体" w:hAnsi="宋体" w:cs="宋体" w:eastAsia="宋体" w:hint="default"/>
                <w:position w:val="-6"/>
                <w:sz w:val="20"/>
                <w:szCs w:val="20"/>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-202,184,855.0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-139,983,416.0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-139,983,416.0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85,683,834.18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85,683,834.18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228,863,873.1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228,863,873.1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2）因金融资产转移而终止确认的长期应收款" w:id="272"/>
      <w:bookmarkEnd w:id="272"/>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3）转移长期应收款且继续涉入形成的资产、负债金额" w:id="273"/>
      <w:bookmarkEnd w:id="273"/>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14、长期股权投资" w:id="274"/>
      <w:bookmarkEnd w:id="27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苏州爱康 能源工程 技术股份</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813,767,8</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09.71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205,036,0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62,541,11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-1,978,79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-9,322,34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1,070,043</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,782.79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赣州发展 融资租赁 有限责任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355,722,6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71.08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168,870,0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33,861,66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558,454,3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35.08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金昌清能 电力有限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209,538,7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5,314,937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3"/>
                <w:sz w:val="18"/>
              </w:rPr>
              <w:t>.11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214,853,6</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37.11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7"/>
              <w:jc w:val="left"/>
              <w:rPr>
                <w:rFonts w:ascii="Times New Roman" w:hAnsi="Times New Roman" w:cs="Times New Roman" w:eastAsia="Times New Roman" w:hint="default"/>
                <w:sz w:val="18"/>
                <w:szCs w:val="18"/>
              </w:rPr>
            </w:pPr>
            <w:r>
              <w:rPr>
                <w:rFonts w:ascii="Times New Roman"/>
                <w:sz w:val="18"/>
              </w:rPr>
              <w:t>MAKI</w:t>
            </w:r>
            <w:r>
              <w:rPr>
                <w:rFonts w:ascii="Times New Roman"/>
                <w:w w:val="99"/>
                <w:sz w:val="18"/>
              </w:rPr>
              <w:t> </w:t>
            </w:r>
            <w:r>
              <w:rPr>
                <w:rFonts w:ascii="Times New Roman"/>
                <w:sz w:val="18"/>
              </w:rPr>
              <w:t>SUNCO</w:t>
            </w:r>
            <w:r>
              <w:rPr>
                <w:rFonts w:ascii="Times New Roman"/>
                <w:w w:val="99"/>
                <w:sz w:val="18"/>
              </w:rPr>
              <w:t> </w:t>
            </w:r>
            <w:r>
              <w:rPr>
                <w:rFonts w:ascii="Times New Roman"/>
                <w:sz w:val="18"/>
              </w:rPr>
              <w:t>ME</w:t>
            </w:r>
            <w:r>
              <w:rPr>
                <w:rFonts w:ascii="Times New Roman"/>
                <w:w w:val="99"/>
                <w:sz w:val="18"/>
              </w:rPr>
              <w:t> </w:t>
            </w:r>
            <w:r>
              <w:rPr>
                <w:rFonts w:ascii="Times New Roman"/>
                <w:sz w:val="18"/>
              </w:rPr>
              <w:t>SOLAR</w:t>
            </w:r>
            <w:r>
              <w:rPr>
                <w:rFonts w:ascii="Times New Roman"/>
                <w:w w:val="99"/>
                <w:sz w:val="18"/>
              </w:rPr>
              <w:t> </w:t>
            </w:r>
            <w:r>
              <w:rPr>
                <w:rFonts w:ascii="Times New Roman"/>
                <w:spacing w:val="-3"/>
                <w:sz w:val="18"/>
              </w:rPr>
              <w:t>CO.,LTD</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2,583,055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225,349.0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21,209.36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2,829,614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江西省金 控融资租 赁股份有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167,889,5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27.76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8,480,086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176,369,6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14.62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苏州爱康 新能投资 管理有限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九州方园 博乐市新 能源有限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29,057.06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53,448,00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53,477,05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7.06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1,381,612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,236.47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541,795,5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27.76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101,972,1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27.17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-1,957,59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52,605,73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2,076,028</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,040.78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1,381,612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,236.47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541,795,5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27.76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101,972,1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27.17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-1,957,59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52,605,73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2,076,028</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,040.78</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both"/>
      </w:pPr>
      <w:r>
        <w:rPr/>
        <w:t>其他说明</w:t>
      </w:r>
    </w:p>
    <w:p>
      <w:pPr>
        <w:pStyle w:val="BodyText"/>
        <w:spacing w:line="307" w:lineRule="auto" w:before="116"/>
        <w:ind w:right="1131"/>
        <w:jc w:val="both"/>
      </w:pPr>
      <w:r>
        <w:rPr/>
        <w:t>其他变动原因：本公司将日本爱康株式会社</w:t>
      </w:r>
      <w:r>
        <w:rPr>
          <w:rFonts w:ascii="Times New Roman" w:hAnsi="Times New Roman" w:cs="Times New Roman" w:eastAsia="Times New Roman" w:hint="default"/>
        </w:rPr>
        <w:t>100%</w:t>
      </w:r>
      <w:r>
        <w:rPr/>
        <w:t>股权出售给苏州爱康能源工程技术股份有限公司，按持股比例抵消投资收 </w:t>
      </w:r>
      <w:r>
        <w:rPr>
          <w:spacing w:val="-1"/>
        </w:rPr>
        <w:t>益，调整长期股权投资账面价值；收购江苏爱康实业集团有限公司持有的江西省金控融资租赁股份有限公司</w:t>
      </w:r>
      <w:r>
        <w:rPr>
          <w:rFonts w:ascii="Times New Roman" w:hAnsi="Times New Roman" w:cs="Times New Roman" w:eastAsia="Times New Roman" w:hint="default"/>
          <w:spacing w:val="-1"/>
        </w:rPr>
        <w:t>30%</w:t>
      </w:r>
      <w:r>
        <w:rPr>
          <w:spacing w:val="-1"/>
        </w:rPr>
        <w:t>股权时出资</w:t>
      </w:r>
      <w:r>
        <w:rPr>
          <w:spacing w:val="-88"/>
        </w:rPr>
        <w:t> </w:t>
      </w:r>
      <w:r>
        <w:rPr>
          <w:spacing w:val="-2"/>
        </w:rPr>
        <w:t>额与交割日净资产的差额调整账面价值；原控股孙公司九州方园博乐市新能源有限公司因减资由成本法改为权益法核算调整</w:t>
      </w:r>
      <w:r>
        <w:rPr>
          <w:spacing w:val="-64"/>
        </w:rPr>
        <w:t> </w:t>
      </w:r>
      <w:r>
        <w:rPr>
          <w:spacing w:val="-64"/>
        </w:rPr>
      </w:r>
      <w:r>
        <w:rPr/>
        <w:t>账面价值。</w:t>
      </w:r>
    </w:p>
    <w:p>
      <w:pPr>
        <w:spacing w:line="240" w:lineRule="auto" w:before="1"/>
        <w:rPr>
          <w:rFonts w:ascii="宋体" w:hAnsi="宋体" w:cs="宋体" w:eastAsia="宋体" w:hint="default"/>
          <w:sz w:val="23"/>
          <w:szCs w:val="23"/>
        </w:rPr>
      </w:pPr>
    </w:p>
    <w:p>
      <w:pPr>
        <w:pStyle w:val="Heading3"/>
        <w:spacing w:line="240" w:lineRule="auto"/>
        <w:ind w:right="0"/>
        <w:jc w:val="both"/>
        <w:rPr>
          <w:b w:val="0"/>
          <w:bCs w:val="0"/>
        </w:rPr>
      </w:pPr>
      <w:bookmarkStart w:name="15、投资性房地产" w:id="275"/>
      <w:bookmarkEnd w:id="27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采用成本计量模式的投资性房地产" w:id="276"/>
      <w:bookmarkEnd w:id="27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17,285,121.14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17,285,121.14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17,285,121.14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17,285,121.14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17,285,121.14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17,285,121.14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6,879,806.77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6,879,806.77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310,620.81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310,620.81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固定资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产转入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6,569,185.96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6,569,185.96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6,879,806.77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6,879,806.77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10,405,314.37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10,405,314.37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22"/>
        <w:jc w:val="left"/>
        <w:rPr>
          <w:b w:val="0"/>
          <w:bCs w:val="0"/>
        </w:rPr>
      </w:pPr>
      <w:bookmarkStart w:name="（2）采用公允价值计量模式的投资性房地产" w:id="277"/>
      <w:bookmarkEnd w:id="27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22"/>
        <w:jc w:val="left"/>
        <w:rPr>
          <w:b w:val="0"/>
          <w:bCs w:val="0"/>
        </w:rPr>
      </w:pPr>
      <w:bookmarkStart w:name="（3）未办妥产权证书的投资性房地产情况" w:id="278"/>
      <w:bookmarkEnd w:id="278"/>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16、固定资产" w:id="279"/>
      <w:bookmarkEnd w:id="27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4,322,737,584.86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7,232,797,715.04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4,322,737,584.86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7,232,797,715.04</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1）固定资产情况" w:id="280"/>
      <w:bookmarkEnd w:id="28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光电设备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办公及其他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2,044,580,419.88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583,407,338.46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5,814,733,350.43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15,097,860.95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37,700,972.30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8,495,519,942.02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90,462,889.52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105,716,187.85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996,039,561.61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678,479.82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8,172,474.81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1,201,069,593.61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14,834,069.28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18,019,057.47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4,326,369.93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678,479.82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6,465,621.82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44,323,598.32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75,628,820.24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87,697,130.38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991,713,191.68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1,706,852.99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1,156,745,995.29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1,060,009,382.92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26,868,614.06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3,411,046,784.57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2,664,505.55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3,069,180.34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4,503,658,467.44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8,219,020.74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26,192,992.76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7,493,858.49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373,185.09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1,602,524.87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43,881,581.95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）转让</w:t>
            </w:r>
            <w:r>
              <w:rPr>
                <w:rFonts w:ascii="宋体" w:hAnsi="宋体" w:cs="宋体" w:eastAsia="宋体" w:hint="default"/>
                <w:sz w:val="18"/>
                <w:szCs w:val="18"/>
              </w:rPr>
              <w:t> 公司减少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1,034,505,241.04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675,621.30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3,403,552,926.08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2,291,320.46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1,466,655.47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4,442,491,764.35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）转为</w:t>
            </w:r>
            <w:r>
              <w:rPr>
                <w:rFonts w:ascii="宋体" w:hAnsi="宋体" w:cs="宋体" w:eastAsia="宋体" w:hint="default"/>
                <w:sz w:val="18"/>
                <w:szCs w:val="18"/>
              </w:rPr>
              <w:t> 投资性房地产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17,285,121.14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17,285,121.14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1,075,033,926.48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662,254,912.25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3,399,726,127.47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13,111,835.22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42,804,266.77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5,192,931,068.19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330,452,324.56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234,982,171.54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652,879,100.56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6,577,990.76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25,925,303.74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1,250,816,891.16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96,566,624.65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58,290,920.31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273,923,334.58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2,166,371.09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3,731,865.39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434,679,116.02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96,566,624.65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58,290,920.31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273,923,334.58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2,166,371.09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3,731,865.39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434,679,116.02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214,181,934.56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11,738,351.17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660,174,731.49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1,975,080.11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1,928,880.01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889,998,977.34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989,334.77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11,432,338.74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1,022,375.78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327,599.78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1,069,184.73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14,840,833.80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）转让</w:t>
            </w:r>
            <w:r>
              <w:rPr>
                <w:rFonts w:ascii="宋体" w:hAnsi="宋体" w:cs="宋体" w:eastAsia="宋体" w:hint="default"/>
                <w:sz w:val="18"/>
                <w:szCs w:val="18"/>
              </w:rPr>
              <w:t> 公司减少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206,623,413.83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306,012.43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659,152,355.71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1,647,480.33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859,695.28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868,588,957.58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）转为</w:t>
            </w:r>
            <w:r>
              <w:rPr>
                <w:rFonts w:ascii="宋体" w:hAnsi="宋体" w:cs="宋体" w:eastAsia="宋体" w:hint="default"/>
                <w:sz w:val="18"/>
                <w:szCs w:val="18"/>
              </w:rPr>
              <w:t> 投资性房地产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6,569,185.96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6,569,185.96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212,837,014.65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281,534,740.68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266,627,703.65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6,769,281.74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27,728,289.12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795,497,029.84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651,157.47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2,309,463.62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8,944,714.73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11,905,335.82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3,986,413.16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561,381.71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60,552,786.42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65,100,581.29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3,986,413.16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561,381.71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60,552,786.42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65,100,581.29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2,309,463.62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2,309,463.62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2,309,463.62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2,309,463.62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4,637,570.63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561,381.71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69,497,501.15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74,696,453.49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857,559,341.20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380,158,789.86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3,063,600,922.67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6,342,553.48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15,075,977.65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4,322,737,584.86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1,713,476,937.85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346,115,703.30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5,152,909,535.14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8,519,870.19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11,775,668.56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7,232,797,715.04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1122"/>
        <w:jc w:val="left"/>
        <w:rPr>
          <w:b w:val="0"/>
          <w:bCs w:val="0"/>
        </w:rPr>
      </w:pPr>
      <w:bookmarkStart w:name="（2）暂时闲置的固定资产情况" w:id="281"/>
      <w:bookmarkEnd w:id="281"/>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5"/>
        <w:ind w:right="1122"/>
        <w:jc w:val="left"/>
        <w:rPr>
          <w:b w:val="0"/>
          <w:bCs w:val="0"/>
        </w:rPr>
      </w:pPr>
      <w:bookmarkStart w:name="（3）通过融资租赁租入的固定资产情况" w:id="282"/>
      <w:bookmarkEnd w:id="282"/>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4）通过经营租赁租出的固定资产" w:id="283"/>
      <w:bookmarkEnd w:id="283"/>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5）未办妥产权证书的固定资产情况" w:id="284"/>
      <w:bookmarkEnd w:id="284"/>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1122"/>
        <w:jc w:val="left"/>
      </w:pPr>
      <w:r>
        <w:rPr/>
        <w:t>其他说明</w:t>
      </w:r>
    </w:p>
    <w:p>
      <w:pPr>
        <w:pStyle w:val="BodyText"/>
        <w:spacing w:line="312" w:lineRule="auto" w:before="116"/>
        <w:ind w:right="1127"/>
        <w:jc w:val="left"/>
      </w:pPr>
      <w:r>
        <w:rPr>
          <w:rFonts w:ascii="Times New Roman" w:hAnsi="Times New Roman" w:cs="Times New Roman" w:eastAsia="Times New Roman" w:hint="default"/>
        </w:rPr>
        <w:t>A</w:t>
      </w:r>
      <w:r>
        <w:rPr/>
        <w:t>、本公司本年确认了人民币</w:t>
      </w:r>
      <w:r>
        <w:rPr>
          <w:rFonts w:ascii="Times New Roman" w:hAnsi="Times New Roman" w:cs="Times New Roman" w:eastAsia="Times New Roman" w:hint="default"/>
        </w:rPr>
        <w:t>64,539,199.58</w:t>
      </w:r>
      <w:r>
        <w:rPr/>
        <w:t>元的固定资产减值损失，是由于盈利不及预期对嘉祥公司、伊川公司和明光公司</w:t>
      </w:r>
      <w:r>
        <w:rPr>
          <w:spacing w:val="-85"/>
        </w:rPr>
        <w:t> </w:t>
      </w:r>
      <w:r>
        <w:rPr>
          <w:spacing w:val="-85"/>
        </w:rPr>
      </w:r>
      <w:r>
        <w:rPr>
          <w:spacing w:val="-2"/>
        </w:rPr>
        <w:t>的固定资产提取了减值准备。可收回金额是根据资产组的预计未来现金流量的现值确定的。该资产组由电站运营分部位于嘉</w:t>
      </w:r>
      <w:r>
        <w:rPr>
          <w:spacing w:val="-64"/>
        </w:rPr>
        <w:t> </w:t>
      </w:r>
      <w:r>
        <w:rPr>
          <w:spacing w:val="-64"/>
        </w:rPr>
      </w:r>
      <w:r>
        <w:rPr>
          <w:spacing w:val="-2"/>
        </w:rPr>
        <w:t>祥、伊川、明光的资产组成。根据历史经验及对市场发展的预测确定增长率和毛利率，并采用能够反映相关资产组和资产组</w:t>
      </w:r>
      <w:r>
        <w:rPr>
          <w:spacing w:val="-66"/>
        </w:rPr>
        <w:t> </w:t>
      </w:r>
      <w:r>
        <w:rPr>
          <w:spacing w:val="-66"/>
        </w:rPr>
      </w:r>
      <w:r>
        <w:rPr>
          <w:spacing w:val="-2"/>
        </w:rPr>
        <w:t>组合的特定风险的期望投资回报率为折现率。折现率采用了与预测未来现金流量相匹配的税前加权平均资金成本，对于权益</w:t>
      </w:r>
      <w:r>
        <w:rPr>
          <w:spacing w:val="-64"/>
        </w:rPr>
        <w:t> </w:t>
      </w:r>
      <w:r>
        <w:rPr>
          <w:spacing w:val="-64"/>
        </w:rPr>
      </w:r>
      <w:r>
        <w:rPr/>
        <w:t>资本成本采用了资本定价模型，考虑了无风险报酬率、市场风险以及企业特定风险的影响。 </w:t>
      </w:r>
      <w:r>
        <w:rPr>
          <w:rFonts w:ascii="Times New Roman" w:hAnsi="Times New Roman" w:cs="Times New Roman" w:eastAsia="Times New Roman" w:hint="default"/>
          <w:spacing w:val="-1"/>
        </w:rPr>
        <w:t>B</w:t>
      </w:r>
      <w:r>
        <w:rPr>
          <w:spacing w:val="-1"/>
        </w:rPr>
        <w:t>、本公司对拟处置的部分设备按其公允价值减去处置费用后的净额确定其可收回金额并计提相应的资产减值准备，其公允</w:t>
      </w:r>
      <w:r>
        <w:rPr>
          <w:spacing w:val="-59"/>
        </w:rPr>
        <w:t> </w:t>
      </w:r>
      <w:r>
        <w:rPr>
          <w:spacing w:val="-59"/>
        </w:rPr>
      </w:r>
      <w:r>
        <w:rPr/>
        <w:t>价值按该类资产在二手交易市场中的报价确定，无报价的按报废价值处理。</w:t>
      </w:r>
    </w:p>
    <w:p>
      <w:pPr>
        <w:spacing w:line="240" w:lineRule="auto" w:before="10"/>
        <w:rPr>
          <w:rFonts w:ascii="宋体" w:hAnsi="宋体" w:cs="宋体" w:eastAsia="宋体" w:hint="default"/>
          <w:sz w:val="22"/>
          <w:szCs w:val="22"/>
        </w:rPr>
      </w:pPr>
    </w:p>
    <w:p>
      <w:pPr>
        <w:pStyle w:val="Heading3"/>
        <w:spacing w:line="240" w:lineRule="auto"/>
        <w:ind w:right="1122"/>
        <w:jc w:val="left"/>
        <w:rPr>
          <w:b w:val="0"/>
          <w:bCs w:val="0"/>
        </w:rPr>
      </w:pPr>
      <w:bookmarkStart w:name="（6）固定资产清理" w:id="285"/>
      <w:bookmarkEnd w:id="285"/>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17、在建工程" w:id="286"/>
      <w:bookmarkEnd w:id="28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95,513,195.05</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1,146,664,179.81</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3,285,711.22</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1,235,848.24</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98,798,906.27</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1,147,900,028.05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1）在建工程情况" w:id="287"/>
      <w:bookmarkEnd w:id="28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浙江光电项目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86,599,897.10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86,599,897.10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PERC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车间技改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4,587,954.46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4,587,954.46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47,118,525.20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47,118,525.20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03"/>
              <w:jc w:val="left"/>
              <w:rPr>
                <w:rFonts w:ascii="宋体" w:hAnsi="宋体" w:cs="宋体" w:eastAsia="宋体" w:hint="default"/>
                <w:sz w:val="18"/>
                <w:szCs w:val="18"/>
              </w:rPr>
            </w:pPr>
            <w:r>
              <w:rPr>
                <w:rFonts w:ascii="宋体" w:hAnsi="宋体" w:cs="宋体" w:eastAsia="宋体" w:hint="default"/>
                <w:sz w:val="18"/>
                <w:szCs w:val="18"/>
              </w:rPr>
              <w:t>赣州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600MW </w:t>
            </w:r>
            <w:r>
              <w:rPr>
                <w:rFonts w:ascii="宋体" w:hAnsi="宋体" w:cs="宋体" w:eastAsia="宋体" w:hint="default"/>
                <w:sz w:val="18"/>
                <w:szCs w:val="18"/>
              </w:rPr>
              <w:t>组 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90,352.25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90,352.25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40,185,763.92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40,185,763.92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新疆五家渠电站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379,485,498.50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379,485,498.50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新疆利源电站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339,683,942.95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339,683,942.95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山东无棣电站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120,911,847.27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120,911,847.27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广西崇左电站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82,259,906.86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82,259,906.86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河南伊川电站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50,231,458.20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50,231,458.20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山东莒南电站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28,451,577.37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28,451,577.37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云南禄劝电站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620,884.65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620,884.65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19,955,369.29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19,955,369.29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4,434,102.54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819,995.95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3,614,106.59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40,149,856.20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1,769,565.95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38,380,290.25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96,333,191.00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819,995.95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95,513,195.05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1,148,433,745.76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1,769,565.95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1,146,664,179.81</w:t>
            </w:r>
          </w:p>
        </w:tc>
      </w:tr>
    </w:tbl>
    <w:p>
      <w:pPr>
        <w:spacing w:line="240" w:lineRule="auto" w:before="3"/>
        <w:rPr>
          <w:rFonts w:ascii="宋体" w:hAnsi="宋体" w:cs="宋体" w:eastAsia="宋体" w:hint="default"/>
          <w:sz w:val="19"/>
          <w:szCs w:val="19"/>
        </w:rPr>
      </w:pPr>
    </w:p>
    <w:p>
      <w:pPr>
        <w:pStyle w:val="Heading3"/>
        <w:spacing w:line="240" w:lineRule="auto" w:before="35"/>
        <w:ind w:right="1122"/>
        <w:jc w:val="left"/>
        <w:rPr>
          <w:b w:val="0"/>
          <w:bCs w:val="0"/>
        </w:rPr>
      </w:pPr>
      <w:bookmarkStart w:name="（2）重要在建工程项目本期变动情况" w:id="288"/>
      <w:bookmarkEnd w:id="28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浙江光 电项目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1,099,00</w:t>
            </w:r>
          </w:p>
          <w:p>
            <w:pPr>
              <w:pStyle w:val="TableParagraph"/>
              <w:spacing w:line="240" w:lineRule="auto" w:before="106"/>
              <w:ind w:left="73"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86,599,8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97.10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86,599,8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97.10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PERC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车</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间技改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107,940,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47,118,5</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25.20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37,625,2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94.84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80,155,8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65.58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4,587,95</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4.46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赣州</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600MW</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157,600,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40,185,7</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63.92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17,347,2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56.27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57,442,6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67.94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90,352.2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3,440,24</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6.91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3,121,58</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5.70%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新疆五 家渠电 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426,500,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379,485,</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498.50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4,526,20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384,011,</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705.92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并网</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新疆利 源电站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426,500,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339,683,</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942.95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39,884,5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29.71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377,190,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694.88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2,377,77</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7.78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并网</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山东无 棣电站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651,000,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120,911,</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847.27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2,350,80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123,262,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654.43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并网</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广西崇 左电站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82,259,9</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06.86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188,672.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18,767,6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28.09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63,680,9</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50.96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并网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448,931.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河南伊 川电站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404,657,</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900.00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50,231,4</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58.20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13,725,3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71.64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2,371,39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61,585,4</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31.43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并网</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山东莒 南电站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82,000,0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28,451,5</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77.37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21,981,1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99.04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50,432,7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76.41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并网</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云南禄 劝电站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414,686,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19,955,3</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69.29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1,166,29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2.13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20,500,7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76.77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620,884.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并网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422,880.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江西赣 州电站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24,096,0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15,161,4</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66.80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15,161,4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66.80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并网</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3,993,98</w:t>
            </w:r>
          </w:p>
          <w:p>
            <w:pPr>
              <w:pStyle w:val="TableParagraph"/>
              <w:spacing w:line="240" w:lineRule="auto" w:before="106"/>
              <w:ind w:left="73"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1,123,44</w:t>
            </w:r>
          </w:p>
          <w:p>
            <w:pPr>
              <w:pStyle w:val="TableParagraph"/>
              <w:spacing w:line="240" w:lineRule="auto" w:before="106"/>
              <w:ind w:left="74" w:right="0"/>
              <w:jc w:val="left"/>
              <w:rPr>
                <w:rFonts w:ascii="Times New Roman" w:hAnsi="Times New Roman" w:cs="Times New Roman" w:eastAsia="Times New Roman" w:hint="default"/>
                <w:sz w:val="18"/>
                <w:szCs w:val="18"/>
              </w:rPr>
            </w:pPr>
            <w:r>
              <w:rPr>
                <w:rFonts w:ascii="Times New Roman"/>
                <w:sz w:val="18"/>
              </w:rPr>
              <w:t>5,356.36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225,395,</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527.50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1,129,29</w:t>
            </w:r>
          </w:p>
          <w:p>
            <w:pPr>
              <w:pStyle w:val="TableParagraph"/>
              <w:spacing w:line="240" w:lineRule="auto" w:before="106"/>
              <w:ind w:left="73" w:right="0"/>
              <w:jc w:val="left"/>
              <w:rPr>
                <w:rFonts w:ascii="Times New Roman" w:hAnsi="Times New Roman" w:cs="Times New Roman" w:eastAsia="Times New Roman" w:hint="default"/>
                <w:sz w:val="18"/>
                <w:szCs w:val="18"/>
              </w:rPr>
            </w:pPr>
            <w:r>
              <w:rPr>
                <w:rFonts w:ascii="Times New Roman"/>
                <w:sz w:val="18"/>
              </w:rPr>
              <w:t>7,635.23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127,644,</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160.17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91,899,0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88.46</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4,312,05</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9.87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3,121,58</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8.62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3）本期计提在建工程减值准备情况" w:id="289"/>
      <w:bookmarkEnd w:id="289"/>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4）工程物资" w:id="290"/>
      <w:bookmarkEnd w:id="290"/>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0"/>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专用设备材料</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3,285,711.22</w:t>
            </w:r>
          </w:p>
        </w:tc>
        <w:tc>
          <w:tcPr>
            <w:tcW w:w="132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4" w:right="0"/>
              <w:jc w:val="left"/>
              <w:rPr>
                <w:rFonts w:ascii="Times New Roman" w:hAnsi="Times New Roman" w:cs="Times New Roman" w:eastAsia="Times New Roman" w:hint="default"/>
                <w:sz w:val="18"/>
                <w:szCs w:val="18"/>
              </w:rPr>
            </w:pPr>
            <w:r>
              <w:rPr>
                <w:rFonts w:ascii="Times New Roman"/>
                <w:sz w:val="18"/>
              </w:rPr>
              <w:t>3,285,711.22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1,235,848.24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1,235,848.24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45" w:right="0"/>
              <w:jc w:val="left"/>
              <w:rPr>
                <w:rFonts w:ascii="Times New Roman" w:hAnsi="Times New Roman" w:cs="Times New Roman" w:eastAsia="Times New Roman" w:hint="default"/>
                <w:sz w:val="18"/>
                <w:szCs w:val="18"/>
              </w:rPr>
            </w:pPr>
            <w:r>
              <w:rPr>
                <w:rFonts w:ascii="Times New Roman"/>
                <w:sz w:val="18"/>
              </w:rPr>
              <w:t>3,285,711.22</w:t>
            </w:r>
          </w:p>
        </w:tc>
        <w:tc>
          <w:tcPr>
            <w:tcW w:w="132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4" w:right="0"/>
              <w:jc w:val="left"/>
              <w:rPr>
                <w:rFonts w:ascii="Times New Roman" w:hAnsi="Times New Roman" w:cs="Times New Roman" w:eastAsia="Times New Roman" w:hint="default"/>
                <w:sz w:val="18"/>
                <w:szCs w:val="18"/>
              </w:rPr>
            </w:pPr>
            <w:r>
              <w:rPr>
                <w:rFonts w:ascii="Times New Roman"/>
                <w:sz w:val="18"/>
              </w:rPr>
              <w:t>3,285,711.22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1,235,848.24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1,235,848.24</w:t>
            </w:r>
          </w:p>
        </w:tc>
      </w:tr>
    </w:tbl>
    <w:p>
      <w:pPr>
        <w:pStyle w:val="BodyText"/>
        <w:spacing w:line="357" w:lineRule="auto" w:before="51"/>
        <w:ind w:right="1032"/>
        <w:jc w:val="left"/>
      </w:pPr>
      <w:r>
        <w:rPr/>
        <w:t>其他说明： 年中公司对工程物资进行清查，对存在减值迹象的光伏专用设备，按其差额计提减值准备。年末该部分设备已经报废处理。</w:t>
      </w:r>
    </w:p>
    <w:p>
      <w:pPr>
        <w:spacing w:line="240" w:lineRule="auto" w:before="2"/>
        <w:rPr>
          <w:rFonts w:ascii="宋体" w:hAnsi="宋体" w:cs="宋体" w:eastAsia="宋体" w:hint="default"/>
          <w:sz w:val="20"/>
          <w:szCs w:val="20"/>
        </w:rPr>
      </w:pPr>
    </w:p>
    <w:p>
      <w:pPr>
        <w:pStyle w:val="Heading3"/>
        <w:spacing w:line="240" w:lineRule="auto"/>
        <w:ind w:right="1122"/>
        <w:jc w:val="left"/>
        <w:rPr>
          <w:b w:val="0"/>
          <w:bCs w:val="0"/>
        </w:rPr>
      </w:pPr>
      <w:bookmarkStart w:name="18、生产性生物资产" w:id="291"/>
      <w:bookmarkEnd w:id="291"/>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采用成本计量模式的生产性生物资产" w:id="292"/>
      <w:bookmarkEnd w:id="292"/>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2）采用公允价值计量模式的生产性生物资产" w:id="293"/>
      <w:bookmarkEnd w:id="293"/>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19、油气资产" w:id="294"/>
      <w:bookmarkEnd w:id="294"/>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20、无形资产" w:id="295"/>
      <w:bookmarkEnd w:id="295"/>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无形资产情况" w:id="296"/>
      <w:bookmarkEnd w:id="29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3"/>
        <w:gridCol w:w="1207"/>
        <w:gridCol w:w="1196"/>
        <w:gridCol w:w="1197"/>
        <w:gridCol w:w="1195"/>
        <w:gridCol w:w="1197"/>
        <w:gridCol w:w="1196"/>
        <w:gridCol w:w="1195"/>
      </w:tblGrid>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软件</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特许经营权</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221,519,108.55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9,997,603.31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33,457,845.06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30,699,779.07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1,223,450.00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296,897,785.99</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3,652,261.10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6,390,364.37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11,267,625.47</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3,652,261.10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6,390,364.37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11,267,625.47</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3"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3"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1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33,056,206.16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3,342,387.63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25,299.14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27,339,779.07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63,763,672.00</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33,056,206.16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3,342,387.63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25,299.14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27,339,779.07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63,763,672.00</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192,115,163.49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6,655,215.68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39,822,910.29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4,585,000.00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1,223,450.00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244,401,739.46</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24,075,650.34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4,060,413.46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10,278,916.38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4,012,764.70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581,566.75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43,009,311.63</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4,374,152.43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999,760.32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4,068,434.54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1,180,561.81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122,608.12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10,745,517.22</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4,374,152.43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999,760.32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4,068,434.54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1,180,561.81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122,608.12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10,745,517.22</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4,243,096.40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3,008,148.84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1,474.93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4,521,326.51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11,774,046.68</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4,243,096.40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3,008,148.84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1,474.93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4,521,326.51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11,774,046.68</w:t>
            </w: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24,206,706.37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2,052,024.94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14,345,875.99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672,000.00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704,174.87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41,980,782.17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36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5,712,000.00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5,712,000.00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5,712,000.00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5,712,000.00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5,712,000.00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5,712,000.00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167,908,457.12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4,603,190.74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25,477,034.30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3,913,000.00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519,275.13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202,420,957.29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197,443,458.21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5,937,189.85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23,178,928.68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20,975,014.37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641,883.25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248,176,474.36</w:t>
            </w:r>
          </w:p>
        </w:tc>
      </w:tr>
    </w:tbl>
    <w:p>
      <w:pPr>
        <w:pStyle w:val="BodyText"/>
        <w:spacing w:line="240" w:lineRule="auto" w:before="51"/>
        <w:ind w:right="1122"/>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2.27%</w:t>
      </w:r>
      <w:r>
        <w:rPr/>
        <w:t>。</w:t>
      </w:r>
    </w:p>
    <w:p>
      <w:pPr>
        <w:spacing w:line="240" w:lineRule="auto" w:before="11"/>
        <w:rPr>
          <w:rFonts w:ascii="宋体" w:hAnsi="宋体" w:cs="宋体" w:eastAsia="宋体" w:hint="default"/>
          <w:sz w:val="25"/>
          <w:szCs w:val="25"/>
        </w:rPr>
      </w:pPr>
    </w:p>
    <w:p>
      <w:pPr>
        <w:pStyle w:val="Heading3"/>
        <w:spacing w:line="240" w:lineRule="auto"/>
        <w:ind w:right="1122"/>
        <w:jc w:val="left"/>
        <w:rPr>
          <w:b w:val="0"/>
          <w:bCs w:val="0"/>
        </w:rPr>
      </w:pPr>
      <w:bookmarkStart w:name="（2）未办妥产权证书的土地使用权情况" w:id="297"/>
      <w:bookmarkEnd w:id="297"/>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21、开发支出" w:id="298"/>
      <w:bookmarkEnd w:id="298"/>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22、商誉" w:id="299"/>
      <w:bookmarkEnd w:id="299"/>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商誉账面原值" w:id="300"/>
      <w:bookmarkEnd w:id="30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浙江瑞旭投资有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3,419,284.37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3,419,284.37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新疆聚阳能源科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835,663.96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835,663.96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柯坪嘉盛阳光电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180,446.29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180,446.29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北京碳诺科技有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2,312,386.18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2,312,386.18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江苏智鸿能源科 技发展有限公司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1,248,492.58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1,248,492.58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7,996,273.38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4,435,394.62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3,560,878.76</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2）商誉减值准备" w:id="301"/>
      <w:bookmarkEnd w:id="30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北京碳诺科技有 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2,312,386.18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2,312,386.18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江苏智鸿能源科 技发展有限公司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1,248,492.58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1,248,492.58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3,560,878.76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3,560,878.76</w:t>
            </w:r>
          </w:p>
        </w:tc>
      </w:tr>
    </w:tbl>
    <w:p>
      <w:pPr>
        <w:pStyle w:val="BodyText"/>
        <w:spacing w:line="357" w:lineRule="auto" w:before="51"/>
        <w:ind w:left="514" w:right="1122" w:hanging="360"/>
        <w:jc w:val="left"/>
      </w:pPr>
      <w:r>
        <w:rPr/>
        <w:t>商誉所在资产组或资产组组合的相关信息 </w:t>
      </w:r>
      <w:r>
        <w:rPr>
          <w:spacing w:val="-2"/>
        </w:rPr>
        <w:t>北京碳诺科技有公司、江苏智鸿能源科技发展有限公司产生的主要现金流均独立于本公司及其他子公司，且本公司对其</w:t>
      </w:r>
    </w:p>
    <w:p>
      <w:pPr>
        <w:pStyle w:val="BodyText"/>
        <w:spacing w:line="224" w:lineRule="exact"/>
        <w:ind w:right="1122"/>
        <w:jc w:val="left"/>
      </w:pPr>
      <w:r>
        <w:rPr/>
        <w:t>经营活动单独进行管理，因此，北京碳诺科技有限公司、江苏智鸿能源科技发展有限公司分别是一个独立资产组。</w:t>
      </w:r>
    </w:p>
    <w:p>
      <w:pPr>
        <w:pStyle w:val="BodyText"/>
        <w:spacing w:line="316" w:lineRule="auto" w:before="117"/>
        <w:ind w:right="1122"/>
        <w:jc w:val="left"/>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240" w:lineRule="auto" w:before="57"/>
        <w:ind w:left="514" w:right="1122"/>
        <w:jc w:val="left"/>
      </w:pPr>
      <w:r>
        <w:rPr>
          <w:rFonts w:ascii="Times New Roman" w:hAnsi="Times New Roman" w:cs="Times New Roman" w:eastAsia="Times New Roman" w:hint="default"/>
        </w:rPr>
        <w:t>1</w:t>
      </w:r>
      <w:r>
        <w:rPr/>
        <w:t>、北京碳诺科技有限公司经营业绩不佳，且预计暂不能取得盈利，公司处于谨慎判断全额计提商誉减值准备。</w:t>
      </w:r>
    </w:p>
    <w:p>
      <w:pPr>
        <w:pStyle w:val="BodyText"/>
        <w:spacing w:line="300" w:lineRule="auto" w:before="63"/>
        <w:ind w:right="1122" w:firstLine="360"/>
        <w:jc w:val="left"/>
      </w:pPr>
      <w:r>
        <w:rPr>
          <w:rFonts w:ascii="Times New Roman" w:hAnsi="Times New Roman" w:cs="Times New Roman" w:eastAsia="Times New Roman" w:hint="default"/>
        </w:rPr>
        <w:t>2</w:t>
      </w:r>
      <w:r>
        <w:rPr/>
        <w:t>、江苏智鸿能源科技发展有限公司经营业绩不佳，且已从电力交易市场正式推出，公司处于谨慎判断全额计提商誉减 值准备。</w:t>
      </w:r>
    </w:p>
    <w:p>
      <w:pPr>
        <w:pStyle w:val="BodyText"/>
        <w:spacing w:line="360" w:lineRule="auto" w:before="72"/>
        <w:ind w:right="8764"/>
        <w:jc w:val="left"/>
      </w:pPr>
      <w:r>
        <w:rPr/>
        <w:t>商誉减值测试的影响 其他说明</w:t>
      </w:r>
    </w:p>
    <w:p>
      <w:pPr>
        <w:spacing w:line="240" w:lineRule="auto" w:before="11"/>
        <w:rPr>
          <w:rFonts w:ascii="宋体" w:hAnsi="宋体" w:cs="宋体" w:eastAsia="宋体" w:hint="default"/>
          <w:sz w:val="19"/>
          <w:szCs w:val="19"/>
        </w:rPr>
      </w:pPr>
    </w:p>
    <w:p>
      <w:pPr>
        <w:pStyle w:val="Heading3"/>
        <w:spacing w:line="240" w:lineRule="auto"/>
        <w:ind w:right="1122"/>
        <w:jc w:val="left"/>
        <w:rPr>
          <w:b w:val="0"/>
          <w:bCs w:val="0"/>
        </w:rPr>
      </w:pPr>
      <w:bookmarkStart w:name="23、长期待摊费用" w:id="302"/>
      <w:bookmarkEnd w:id="302"/>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固定资产改良支出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4,206,309.88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234,887.77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2,169,779.32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2,271,418.33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9,268,358.60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3,252,233.34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4,211,403.59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8,309,188.35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41,450,118.91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9,972,485.11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9,896,026.57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9,351,987.97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32,174,589.48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融资管理费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28,338,969.64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12,690,148.31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15,648,821.33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993,841.82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1,118,293.72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360,211.96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752,519.43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999,404.15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84,257,598.85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14,577,899.94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29,327,569.75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10,104,507.40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59,403,421.64</w:t>
            </w:r>
          </w:p>
        </w:tc>
      </w:tr>
    </w:tbl>
    <w:p>
      <w:pPr>
        <w:pStyle w:val="BodyText"/>
        <w:spacing w:line="357" w:lineRule="auto" w:before="51"/>
        <w:ind w:right="8232"/>
        <w:jc w:val="left"/>
      </w:pPr>
      <w:r>
        <w:rPr/>
        <w:t>其他说明 其他减少系本年处置公司转出。</w:t>
      </w:r>
    </w:p>
    <w:p>
      <w:pPr>
        <w:spacing w:line="240" w:lineRule="auto" w:before="2"/>
        <w:rPr>
          <w:rFonts w:ascii="宋体" w:hAnsi="宋体" w:cs="宋体" w:eastAsia="宋体" w:hint="default"/>
          <w:sz w:val="20"/>
          <w:szCs w:val="20"/>
        </w:rPr>
      </w:pPr>
    </w:p>
    <w:p>
      <w:pPr>
        <w:pStyle w:val="Heading3"/>
        <w:spacing w:line="240" w:lineRule="auto"/>
        <w:ind w:right="1122"/>
        <w:jc w:val="left"/>
        <w:rPr>
          <w:b w:val="0"/>
          <w:bCs w:val="0"/>
        </w:rPr>
      </w:pPr>
      <w:bookmarkStart w:name="24、递延所得税资产/递延所得税负债" w:id="303"/>
      <w:bookmarkEnd w:id="303"/>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未经抵销的递延所得税资产" w:id="304"/>
      <w:bookmarkEnd w:id="30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109,466,831.17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22,216,376.84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56,160,923.77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12,283,762.24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178,717,170.44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37,884,470.21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221,491,868.20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45,301,523.37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189,156,170.43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46,588,313.66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45,784,480.48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11,391,765.61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32,931,322.16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8,058,269.13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30,578,345.15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7,470,024.87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34,061,205.21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7,690,332.31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50,367,307.47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12,233,326.77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资产出售溢价等</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17,435,679.27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4,167,127.35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股票激励费用摊销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8,326,227.97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2,081,556.99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552,658,927.38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124,519,319.14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421,818,604.34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92,847,530.21</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2）未经抵销的递延所得税负债" w:id="305"/>
      <w:bookmarkEnd w:id="30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远期外汇合约公允价值 变动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1,204,176.00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301,044.00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3,180,447.00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795,111.75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会计处理及税法要求的 折旧差异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28,695,218.99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7,173,804.75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1,800,037.44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423,953.97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抵销内部未实现利润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2,102,227.42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315,334.11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32,001,622.41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7,790,182.86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4,980,484.44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1,219,065.72</w:t>
            </w:r>
          </w:p>
        </w:tc>
      </w:tr>
    </w:tbl>
    <w:p>
      <w:pPr>
        <w:spacing w:line="240" w:lineRule="auto" w:before="3"/>
        <w:rPr>
          <w:rFonts w:ascii="宋体" w:hAnsi="宋体" w:cs="宋体" w:eastAsia="宋体" w:hint="default"/>
          <w:sz w:val="19"/>
          <w:szCs w:val="19"/>
        </w:rPr>
      </w:pPr>
    </w:p>
    <w:p>
      <w:pPr>
        <w:pStyle w:val="Heading3"/>
        <w:spacing w:line="240" w:lineRule="auto" w:before="35"/>
        <w:ind w:right="1122"/>
        <w:jc w:val="left"/>
        <w:rPr>
          <w:b w:val="0"/>
          <w:bCs w:val="0"/>
        </w:rPr>
      </w:pPr>
      <w:bookmarkStart w:name="（3）以抵销后净额列示的递延所得税资产或负债" w:id="306"/>
      <w:bookmarkEnd w:id="30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124,519,319.14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92,847,530.21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7,790,182.86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1,219,065.72</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4）未确认递延所得税资产明细" w:id="307"/>
      <w:bookmarkEnd w:id="307"/>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8,155,578.02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2,042,915.42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203,489,394.51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70,380,391.58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211,644,972.53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72,423,307.00</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5）未确认递延所得税资产的可抵扣亏损将于以下年度到期" w:id="308"/>
      <w:bookmarkEnd w:id="308"/>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13,810,736.81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263,141.16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263,141.16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490,630.98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490,630.98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51,470,523.36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55,815,882.63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151,265,099.01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203,489,394.51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70,380,391.58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25、其他非流动资产" w:id="309"/>
      <w:bookmarkEnd w:id="309"/>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长期资产预付款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170,624,592.85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216,306,622.59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248,512,602.38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269,863,468.93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537,427,391.84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减：一年内到期部分（见附注七、</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-54,410,316.03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-121,907,348.51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634,590,348.13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631,826,665.92</w:t>
            </w:r>
          </w:p>
        </w:tc>
      </w:tr>
    </w:tbl>
    <w:p>
      <w:pPr>
        <w:pStyle w:val="BodyText"/>
        <w:spacing w:line="240" w:lineRule="auto" w:before="51"/>
        <w:ind w:right="112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26、短期借款" w:id="310"/>
      <w:bookmarkEnd w:id="310"/>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短期借款分类" w:id="311"/>
      <w:bookmarkEnd w:id="31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747,650,000.00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1,260,880,000.00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1,570,600,000.00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1,390,500,000.00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575,500,000.00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1,031,639,111.66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质押、抵押、保证借款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3,205,250,000.00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4,137,819,111.66</w:t>
            </w:r>
          </w:p>
        </w:tc>
      </w:tr>
    </w:tbl>
    <w:p>
      <w:pPr>
        <w:pStyle w:val="BodyText"/>
        <w:spacing w:line="240" w:lineRule="auto" w:before="51"/>
        <w:ind w:right="1122"/>
        <w:jc w:val="left"/>
      </w:pPr>
      <w:r>
        <w:rPr/>
        <w:t>短期借款分类的说明：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2）已逾期未偿还的短期借款情况" w:id="312"/>
      <w:bookmarkEnd w:id="312"/>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22"/>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22"/>
        <w:jc w:val="left"/>
        <w:rPr>
          <w:b w:val="0"/>
          <w:bCs w:val="0"/>
        </w:rPr>
      </w:pPr>
      <w:bookmarkStart w:name="27、以公允价值计量且其变动计入当期损益的金融负债" w:id="313"/>
      <w:bookmarkEnd w:id="313"/>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28、衍生金融负债" w:id="314"/>
      <w:bookmarkEnd w:id="314"/>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29、应付票据及应付账款" w:id="315"/>
      <w:bookmarkEnd w:id="315"/>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164,889,556.26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413,248,846.74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1,078,390,904.90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1,219,317,319.59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1,243,280,461.16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7" w:right="0"/>
              <w:jc w:val="left"/>
              <w:rPr>
                <w:rFonts w:ascii="Times New Roman" w:hAnsi="Times New Roman" w:cs="Times New Roman" w:eastAsia="Times New Roman" w:hint="default"/>
                <w:sz w:val="18"/>
                <w:szCs w:val="18"/>
              </w:rPr>
            </w:pPr>
            <w:r>
              <w:rPr>
                <w:rFonts w:ascii="Times New Roman"/>
                <w:sz w:val="18"/>
              </w:rPr>
              <w:t>1,632,566,166.33</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1）应付票据分类列示" w:id="316"/>
      <w:bookmarkEnd w:id="316"/>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98,403,446.74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144,489,556.26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314,845,400.00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164,889,556.26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413,248,846.74</w:t>
            </w:r>
          </w:p>
        </w:tc>
      </w:tr>
    </w:tbl>
    <w:p>
      <w:pPr>
        <w:pStyle w:val="BodyText"/>
        <w:spacing w:line="240" w:lineRule="auto" w:before="51"/>
        <w:ind w:right="1122"/>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1122"/>
        <w:jc w:val="left"/>
        <w:rPr>
          <w:b w:val="0"/>
          <w:bCs w:val="0"/>
        </w:rPr>
      </w:pPr>
      <w:bookmarkStart w:name="（2）应付账款列示" w:id="317"/>
      <w:bookmarkEnd w:id="317"/>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881,307,339.69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600,719,038.89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197,083,565.21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618,598,280.70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1,078,390,904.90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1,219,317,319.59</w:t>
            </w:r>
          </w:p>
        </w:tc>
      </w:tr>
    </w:tbl>
    <w:p>
      <w:pPr>
        <w:spacing w:line="240" w:lineRule="auto" w:before="3"/>
        <w:rPr>
          <w:rFonts w:ascii="宋体" w:hAnsi="宋体" w:cs="宋体" w:eastAsia="宋体" w:hint="default"/>
          <w:sz w:val="19"/>
          <w:szCs w:val="19"/>
        </w:rPr>
      </w:pPr>
    </w:p>
    <w:p>
      <w:pPr>
        <w:pStyle w:val="Heading3"/>
        <w:spacing w:line="240" w:lineRule="auto" w:before="35"/>
        <w:ind w:right="1122"/>
        <w:jc w:val="left"/>
        <w:rPr>
          <w:b w:val="0"/>
          <w:bCs w:val="0"/>
        </w:rPr>
      </w:pPr>
      <w:bookmarkStart w:name="（3）账龄超过1年的重要应付账款" w:id="318"/>
      <w:bookmarkEnd w:id="318"/>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24,226,328.71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23,562,209.54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18,386,683.76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75,775,222.01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22"/>
        <w:jc w:val="left"/>
        <w:rPr>
          <w:b w:val="0"/>
          <w:bCs w:val="0"/>
        </w:rPr>
      </w:pPr>
      <w:bookmarkStart w:name="30、预收款项" w:id="319"/>
      <w:bookmarkEnd w:id="319"/>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预收款项列示" w:id="320"/>
      <w:bookmarkEnd w:id="32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59,930,678.67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69,338,322.24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59,930,678.67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69,338,322.24</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2）账龄超过1年的重要预收款项" w:id="321"/>
      <w:bookmarkEnd w:id="32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17,906,150.78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17,906,150.78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3）期末建造合同形成的已结算未完工项目情况" w:id="322"/>
      <w:bookmarkEnd w:id="322"/>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1122"/>
        <w:jc w:val="left"/>
      </w:pPr>
      <w:r>
        <w:rPr/>
        <w:t>其他说明：</w:t>
      </w:r>
    </w:p>
    <w:p>
      <w:pPr>
        <w:pStyle w:val="BodyText"/>
        <w:spacing w:line="300" w:lineRule="auto" w:before="115"/>
        <w:ind w:right="1122" w:firstLine="360"/>
        <w:jc w:val="left"/>
      </w:pPr>
      <w:r>
        <w:rPr/>
        <w:t>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日，账龄超过一年的预收款项为</w:t>
      </w:r>
      <w:r>
        <w:rPr>
          <w:rFonts w:ascii="Times New Roman" w:hAnsi="Times New Roman" w:cs="Times New Roman" w:eastAsia="Times New Roman" w:hint="default"/>
        </w:rPr>
        <w:t>17,906,150.78</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17,906,150.78</w:t>
      </w:r>
      <w:r>
        <w:rPr/>
        <w:t>元），主要为预 收葫芦岛项目的组件款，鉴于项目延期客户未提货，该款项尚未结清。截至财务报告批准报出日，全部金额已结转收入。</w:t>
      </w:r>
    </w:p>
    <w:p>
      <w:pPr>
        <w:spacing w:line="240" w:lineRule="auto" w:before="6"/>
        <w:rPr>
          <w:rFonts w:ascii="宋体" w:hAnsi="宋体" w:cs="宋体" w:eastAsia="宋体" w:hint="default"/>
          <w:sz w:val="23"/>
          <w:szCs w:val="23"/>
        </w:rPr>
      </w:pPr>
    </w:p>
    <w:p>
      <w:pPr>
        <w:pStyle w:val="Heading3"/>
        <w:spacing w:line="240" w:lineRule="auto"/>
        <w:ind w:right="1122"/>
        <w:jc w:val="left"/>
        <w:rPr>
          <w:b w:val="0"/>
          <w:bCs w:val="0"/>
        </w:rPr>
      </w:pPr>
      <w:bookmarkStart w:name="31、应付职工薪酬" w:id="323"/>
      <w:bookmarkEnd w:id="323"/>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应付职工薪酬列示" w:id="324"/>
      <w:bookmarkEnd w:id="32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25,065,803.26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304,195,441.35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304,983,873.69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24,277,370.92</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1,029,975.33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22,480,803.40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21,798,523.10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1,712,255.63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3,616,266.68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3,623,631.99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26,103,143.90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330,292,511.43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330,406,028.78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25,989,626.55</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2）短期薪酬列示" w:id="325"/>
      <w:bookmarkEnd w:id="32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22,680,735.44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260,159,795.90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261,015,065.90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21,825,465.44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714,051.93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19,810,979.93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20,525,031.86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573,505.68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12,160,644.88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11,763,173.32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970,977.24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467,987.81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9,949,858.13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9,639,402.24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778,443.70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73,758.50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1,294,098.63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1,245,416.60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122,440.53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31,759.37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916,688.12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878,354.48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70,093.01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103,976.22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9,681,741.68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9,677,276.26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108,441.64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993,533.99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2,382,278.96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2,003,326.35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1,372,486.60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25,065,803.26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304,195,441.35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304,983,873.69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24,277,370.92</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3）设定提存计划列示" w:id="326"/>
      <w:bookmarkEnd w:id="32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1,002,803.69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21,868,493.51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21,202,624.97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1,668,672.23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27,171.64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612,309.89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595,898.13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43,583.40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1,029,975.33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22,480,803.40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21,798,523.10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1,712,255.63</w:t>
            </w:r>
          </w:p>
        </w:tc>
      </w:tr>
    </w:tbl>
    <w:p>
      <w:pPr>
        <w:pStyle w:val="BodyText"/>
        <w:spacing w:line="240" w:lineRule="auto" w:before="51"/>
        <w:ind w:right="1122"/>
        <w:jc w:val="left"/>
      </w:pPr>
      <w:r>
        <w:rPr/>
        <w:t>其他说明：</w:t>
      </w:r>
    </w:p>
    <w:p>
      <w:pPr>
        <w:pStyle w:val="BodyText"/>
        <w:spacing w:line="316" w:lineRule="auto" w:before="116"/>
        <w:ind w:right="1133" w:firstLine="360"/>
        <w:jc w:val="both"/>
      </w:pPr>
      <w:r>
        <w:rPr>
          <w:spacing w:val="-2"/>
        </w:rPr>
        <w:t>本公司按规定参加由政府机构设立的养老保险、失业保险计划，根据该等计划，本公司分别按当地政府的规定每月向该</w:t>
      </w:r>
      <w:r>
        <w:rPr/>
        <w:t> </w:t>
      </w:r>
      <w:r>
        <w:rPr>
          <w:spacing w:val="-2"/>
        </w:rPr>
        <w:t>等计划缴存费用。除上述每月缴存费用外，本公司不再承担进一步支付义务。相应的支出于发生时计入当期损益或相关资产</w:t>
      </w:r>
      <w:r>
        <w:rPr>
          <w:spacing w:val="-66"/>
        </w:rPr>
        <w:t> </w:t>
      </w:r>
      <w:r>
        <w:rPr>
          <w:spacing w:val="-66"/>
        </w:rPr>
      </w:r>
      <w:r>
        <w:rPr/>
        <w:t>的成本。</w:t>
      </w:r>
    </w:p>
    <w:p>
      <w:pPr>
        <w:spacing w:line="240" w:lineRule="auto" w:before="7"/>
        <w:rPr>
          <w:rFonts w:ascii="宋体" w:hAnsi="宋体" w:cs="宋体" w:eastAsia="宋体" w:hint="default"/>
          <w:sz w:val="22"/>
          <w:szCs w:val="22"/>
        </w:rPr>
      </w:pPr>
    </w:p>
    <w:p>
      <w:pPr>
        <w:pStyle w:val="Heading3"/>
        <w:spacing w:line="240" w:lineRule="auto"/>
        <w:ind w:right="1122"/>
        <w:jc w:val="left"/>
        <w:rPr>
          <w:b w:val="0"/>
          <w:bCs w:val="0"/>
        </w:rPr>
      </w:pPr>
      <w:bookmarkStart w:name="32、应交税费" w:id="327"/>
      <w:bookmarkEnd w:id="327"/>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10,522,001.17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19,736,998.72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27,392,477.88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20,140,928.81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428,751.59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860,717.07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1,101,443.36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806,866.42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1,920,999.92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1,768,584.92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耕地占用税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9,006,704.14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737,989.81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539,306.41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969,236.34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823,556.30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637,826.67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477,499.57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426,497.67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318,361.66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19,444.98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567,462.73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44,137,224.41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55,066,431.73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33、其他应付款" w:id="328"/>
      <w:bookmarkEnd w:id="328"/>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20,945,610.58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11,993,831.64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452,791.83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281,020,208.88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830,451,032.50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302,418,611.29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842,444,864.14</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1）应付利息" w:id="329"/>
      <w:bookmarkEnd w:id="329"/>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3,445,908.84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11,993,831.64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债券、基金等利息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17,499,701.74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20,945,610.58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11,993,831.64</w:t>
            </w:r>
          </w:p>
        </w:tc>
      </w:tr>
    </w:tbl>
    <w:p>
      <w:pPr>
        <w:pStyle w:val="BodyText"/>
        <w:spacing w:line="240" w:lineRule="auto" w:before="51"/>
        <w:ind w:right="1122"/>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357" w:lineRule="auto" w:before="52"/>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22"/>
        <w:jc w:val="left"/>
        <w:rPr>
          <w:b w:val="0"/>
          <w:bCs w:val="0"/>
        </w:rPr>
      </w:pPr>
      <w:bookmarkStart w:name="（2）应付股利" w:id="330"/>
      <w:bookmarkEnd w:id="330"/>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孙公司少数股东</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452,791.83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452,791.83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right="4994"/>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line="240" w:lineRule="auto" w:before="4"/>
        <w:rPr>
          <w:rFonts w:ascii="宋体" w:hAnsi="宋体" w:cs="宋体" w:eastAsia="宋体" w:hint="default"/>
          <w:sz w:val="21"/>
          <w:szCs w:val="21"/>
        </w:rPr>
      </w:pPr>
    </w:p>
    <w:p>
      <w:pPr>
        <w:pStyle w:val="Heading3"/>
        <w:spacing w:line="240" w:lineRule="auto"/>
        <w:ind w:right="1122"/>
        <w:jc w:val="left"/>
        <w:rPr>
          <w:b w:val="0"/>
          <w:bCs w:val="0"/>
        </w:rPr>
      </w:pPr>
      <w:bookmarkStart w:name="（3）其他应付款" w:id="331"/>
      <w:bookmarkEnd w:id="331"/>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经营费用款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54,126,910.72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50,362,741.07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141,623,425.38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54,162,639.27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12,290,163.06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15,849,818.73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710,075,833.43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股权激励计划回购义务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20,969,709.72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281,020,208.88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830,451,032.50</w:t>
            </w:r>
          </w:p>
        </w:tc>
      </w:tr>
    </w:tbl>
    <w:p>
      <w:pPr>
        <w:pStyle w:val="BodyText"/>
        <w:spacing w:line="240" w:lineRule="auto" w:before="51"/>
        <w:ind w:right="1122"/>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温德军</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25,017,287.88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未付往来款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25,017,287.88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22"/>
        <w:jc w:val="left"/>
        <w:rPr>
          <w:b w:val="0"/>
          <w:bCs w:val="0"/>
        </w:rPr>
      </w:pPr>
      <w:bookmarkStart w:name="34、持有待售负债" w:id="332"/>
      <w:bookmarkEnd w:id="332"/>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35、一年内到期的非流动负债" w:id="333"/>
      <w:bookmarkEnd w:id="333"/>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290,070,000.00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452,663,618.29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652,015,135.30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658,913,618.29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942,085,135.30</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22"/>
        <w:jc w:val="left"/>
        <w:rPr>
          <w:b w:val="0"/>
          <w:bCs w:val="0"/>
        </w:rPr>
      </w:pPr>
      <w:bookmarkStart w:name="36、其他流动负债" w:id="334"/>
      <w:bookmarkEnd w:id="334"/>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预提费用</w:t>
            </w:r>
            <w:r>
              <w:rPr>
                <w:rFonts w:ascii="Times New Roman" w:hAnsi="Times New Roman" w:cs="Times New Roman" w:eastAsia="Times New Roman" w:hint="default"/>
                <w:sz w:val="18"/>
                <w:szCs w:val="18"/>
              </w:rPr>
              <w:t>-</w:t>
            </w:r>
            <w:r>
              <w:rPr>
                <w:rFonts w:ascii="宋体" w:hAnsi="宋体" w:cs="宋体" w:eastAsia="宋体" w:hint="default"/>
                <w:sz w:val="18"/>
                <w:szCs w:val="18"/>
              </w:rPr>
              <w:t>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8,963,055.57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5,411,332.65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预提费用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3,773,584.91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预提费用</w:t>
            </w:r>
            <w:r>
              <w:rPr>
                <w:rFonts w:ascii="Times New Roman" w:hAnsi="Times New Roman" w:cs="Times New Roman" w:eastAsia="Times New Roman" w:hint="default"/>
                <w:sz w:val="18"/>
                <w:szCs w:val="18"/>
              </w:rPr>
              <w:t>-</w:t>
            </w:r>
            <w:r>
              <w:rPr>
                <w:rFonts w:ascii="宋体" w:hAnsi="宋体" w:cs="宋体" w:eastAsia="宋体" w:hint="default"/>
                <w:sz w:val="18"/>
                <w:szCs w:val="18"/>
              </w:rPr>
              <w:t>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2,551,314.75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509,320.55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预提费用</w:t>
            </w:r>
            <w:r>
              <w:rPr>
                <w:rFonts w:ascii="Times New Roman" w:hAnsi="Times New Roman" w:cs="Times New Roman" w:eastAsia="Times New Roman" w:hint="default"/>
                <w:sz w:val="18"/>
                <w:szCs w:val="18"/>
              </w:rPr>
              <w:t>-</w:t>
            </w:r>
            <w:r>
              <w:rPr>
                <w:rFonts w:ascii="宋体" w:hAnsi="宋体" w:cs="宋体" w:eastAsia="宋体" w:hint="default"/>
                <w:sz w:val="18"/>
                <w:szCs w:val="18"/>
              </w:rPr>
              <w:t>其他费用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2,063,216.00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163,921.22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17,351,171.23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6,084,574.42</w:t>
            </w:r>
          </w:p>
        </w:tc>
      </w:tr>
    </w:tbl>
    <w:p>
      <w:pPr>
        <w:pStyle w:val="BodyText"/>
        <w:spacing w:line="240" w:lineRule="auto" w:before="51"/>
        <w:ind w:right="1122"/>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2"/>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22"/>
        <w:jc w:val="left"/>
        <w:rPr>
          <w:b w:val="0"/>
          <w:bCs w:val="0"/>
        </w:rPr>
      </w:pPr>
      <w:bookmarkStart w:name="37、长期借款" w:id="335"/>
      <w:bookmarkEnd w:id="335"/>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长期借款分类" w:id="336"/>
      <w:bookmarkEnd w:id="336"/>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212,020,000.00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8,089,241.71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质押、抵押、保证借款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1,071,100,000.00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减：一年内到期的长期借款（附注七、</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-206,250,000.00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-290,070,000.00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394,570,000.00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2,651,919,241.71</w:t>
            </w:r>
          </w:p>
        </w:tc>
      </w:tr>
    </w:tbl>
    <w:p>
      <w:pPr>
        <w:pStyle w:val="BodyText"/>
        <w:spacing w:line="357" w:lineRule="auto" w:before="51"/>
        <w:ind w:right="8952"/>
        <w:jc w:val="left"/>
      </w:pPr>
      <w:r>
        <w:rPr/>
        <w:t>长期借款分类的说明： 无</w:t>
      </w:r>
    </w:p>
    <w:p>
      <w:pPr>
        <w:pStyle w:val="BodyText"/>
        <w:spacing w:line="357" w:lineRule="auto" w:before="29"/>
        <w:ind w:right="8592"/>
        <w:jc w:val="left"/>
      </w:pPr>
      <w:r>
        <w:rPr/>
        <w:t>其他说明，包括利率区间： 无</w:t>
      </w:r>
    </w:p>
    <w:p>
      <w:pPr>
        <w:spacing w:line="240" w:lineRule="auto" w:before="2"/>
        <w:rPr>
          <w:rFonts w:ascii="宋体" w:hAnsi="宋体" w:cs="宋体" w:eastAsia="宋体" w:hint="default"/>
          <w:sz w:val="20"/>
          <w:szCs w:val="20"/>
        </w:rPr>
      </w:pPr>
    </w:p>
    <w:p>
      <w:pPr>
        <w:pStyle w:val="Heading3"/>
        <w:spacing w:line="240" w:lineRule="auto"/>
        <w:ind w:right="1122"/>
        <w:jc w:val="left"/>
        <w:rPr>
          <w:b w:val="0"/>
          <w:bCs w:val="0"/>
        </w:rPr>
      </w:pPr>
      <w:bookmarkStart w:name="38、应付债券" w:id="337"/>
      <w:bookmarkEnd w:id="337"/>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应付债券" w:id="338"/>
      <w:bookmarkEnd w:id="338"/>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爱康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299,078,295.35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299,078,295.35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1122"/>
        <w:jc w:val="left"/>
        <w:rPr>
          <w:b w:val="0"/>
          <w:bCs w:val="0"/>
        </w:rPr>
      </w:pPr>
      <w:bookmarkStart w:name="（2）应付债券的增减变动（不包括划分为金融负债的优先股、永续债等其他金融工具）" w:id="339"/>
      <w:bookmarkEnd w:id="339"/>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25"/>
        <w:gridCol w:w="736"/>
        <w:gridCol w:w="736"/>
        <w:gridCol w:w="736"/>
        <w:gridCol w:w="736"/>
        <w:gridCol w:w="737"/>
        <w:gridCol w:w="736"/>
        <w:gridCol w:w="736"/>
        <w:gridCol w:w="736"/>
        <w:gridCol w:w="736"/>
        <w:gridCol w:w="737"/>
        <w:gridCol w:w="736"/>
        <w:gridCol w:w="736"/>
      </w:tblGrid>
      <w:tr>
        <w:trPr>
          <w:trHeight w:val="382" w:hRule="exact"/>
        </w:trPr>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81" w:right="0"/>
              <w:jc w:val="left"/>
              <w:rPr>
                <w:rFonts w:ascii="宋体" w:hAnsi="宋体" w:cs="宋体" w:eastAsia="宋体" w:hint="default"/>
                <w:sz w:val="18"/>
                <w:szCs w:val="18"/>
              </w:rPr>
            </w:pPr>
            <w:r>
              <w:rPr>
                <w:rFonts w:ascii="宋体" w:hAnsi="宋体" w:cs="宋体" w:eastAsia="宋体" w:hint="default"/>
                <w:sz w:val="18"/>
                <w:szCs w:val="18"/>
              </w:rPr>
              <w:t>债券名</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8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债券期</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发行金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期初余</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本期发</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按面值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溢折价</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本期偿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期末余</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6"/>
        <w:gridCol w:w="736"/>
        <w:gridCol w:w="737"/>
        <w:gridCol w:w="736"/>
        <w:gridCol w:w="736"/>
        <w:gridCol w:w="737"/>
        <w:gridCol w:w="736"/>
        <w:gridCol w:w="736"/>
      </w:tblGrid>
      <w:tr>
        <w:trPr>
          <w:trHeight w:val="67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期</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71"/>
              <w:jc w:val="right"/>
              <w:rPr>
                <w:rFonts w:ascii="宋体" w:hAnsi="宋体" w:cs="宋体" w:eastAsia="宋体" w:hint="default"/>
                <w:sz w:val="18"/>
                <w:szCs w:val="18"/>
              </w:rPr>
            </w:pPr>
            <w:r>
              <w:rPr>
                <w:rFonts w:ascii="宋体" w:hAnsi="宋体" w:cs="宋体" w:eastAsia="宋体" w:hint="default"/>
                <w:sz w:val="18"/>
                <w:szCs w:val="18"/>
              </w:rPr>
              <w:t>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行</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73" w:right="91" w:hanging="180"/>
              <w:jc w:val="left"/>
              <w:rPr>
                <w:rFonts w:ascii="宋体" w:hAnsi="宋体" w:cs="宋体" w:eastAsia="宋体" w:hint="default"/>
                <w:sz w:val="18"/>
                <w:szCs w:val="18"/>
              </w:rPr>
            </w:pPr>
            <w:r>
              <w:rPr>
                <w:rFonts w:ascii="宋体" w:hAnsi="宋体" w:cs="宋体" w:eastAsia="宋体" w:hint="default"/>
                <w:sz w:val="18"/>
                <w:szCs w:val="18"/>
              </w:rPr>
              <w:t>计提利 息</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摊销</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还</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爱康</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三年</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-921,704</w:t>
            </w:r>
          </w:p>
          <w:p>
            <w:pPr>
              <w:pStyle w:val="TableParagraph"/>
              <w:spacing w:line="240" w:lineRule="auto" w:before="105"/>
              <w:ind w:left="480" w:right="0"/>
              <w:jc w:val="left"/>
              <w:rPr>
                <w:rFonts w:ascii="Times New Roman" w:hAnsi="Times New Roman" w:cs="Times New Roman" w:eastAsia="Times New Roman" w:hint="default"/>
                <w:sz w:val="18"/>
                <w:szCs w:val="18"/>
              </w:rPr>
            </w:pPr>
            <w:r>
              <w:rPr>
                <w:rFonts w:ascii="Times New Roman"/>
                <w:sz w:val="18"/>
              </w:rPr>
              <w:t>.65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299,078,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295.35</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减：一年</w:t>
            </w:r>
            <w:r>
              <w:rPr>
                <w:rFonts w:ascii="宋体" w:hAnsi="宋体" w:cs="宋体" w:eastAsia="宋体" w:hint="default"/>
                <w:sz w:val="18"/>
                <w:szCs w:val="18"/>
              </w:rPr>
              <w:t> 内到期 部分年 末余额</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-921,704</w:t>
            </w:r>
          </w:p>
          <w:p>
            <w:pPr>
              <w:pStyle w:val="TableParagraph"/>
              <w:spacing w:line="240" w:lineRule="auto" w:before="105"/>
              <w:ind w:left="480" w:right="0"/>
              <w:jc w:val="left"/>
              <w:rPr>
                <w:rFonts w:ascii="Times New Roman" w:hAnsi="Times New Roman" w:cs="Times New Roman" w:eastAsia="Times New Roman" w:hint="default"/>
                <w:sz w:val="18"/>
                <w:szCs w:val="18"/>
              </w:rPr>
            </w:pPr>
            <w:r>
              <w:rPr>
                <w:rFonts w:ascii="Times New Roman"/>
                <w:sz w:val="18"/>
              </w:rPr>
              <w:t>.65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299,078,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295.35</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3）可转换公司债券的转股条件、转股时间说明" w:id="340"/>
      <w:bookmarkEnd w:id="340"/>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4）划分为金融负债的其他金融工具说明" w:id="341"/>
      <w:bookmarkEnd w:id="341"/>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7512"/>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3"/>
        <w:spacing w:line="240" w:lineRule="auto"/>
        <w:ind w:right="1122"/>
        <w:jc w:val="left"/>
        <w:rPr>
          <w:b w:val="0"/>
          <w:bCs w:val="0"/>
        </w:rPr>
      </w:pPr>
      <w:bookmarkStart w:name="39、长期应付款" w:id="342"/>
      <w:bookmarkEnd w:id="342"/>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1,745,971,983.55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844,290,398.65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1,745,971,983.55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844,290,398.65</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1）按款项性质列示长期应付款" w:id="343"/>
      <w:bookmarkEnd w:id="34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分期付款购入股权（注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473,440,000.00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融资租赁款（注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1,581,195,601.84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1,208,305,533.95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其中：未确认融资费用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-508,943,895.34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-176,755,644.52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减：一年内到期部分（附注七、</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452,663,618.29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652,015,135.30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0" w:right="0"/>
              <w:jc w:val="left"/>
              <w:rPr>
                <w:rFonts w:ascii="Times New Roman" w:hAnsi="Times New Roman" w:cs="Times New Roman" w:eastAsia="Times New Roman" w:hint="default"/>
                <w:sz w:val="18"/>
                <w:szCs w:val="18"/>
              </w:rPr>
            </w:pPr>
            <w:r>
              <w:rPr>
                <w:rFonts w:ascii="Times New Roman"/>
                <w:sz w:val="18"/>
              </w:rPr>
              <w:t>1,745,971,983.55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844,290,398.65</w:t>
            </w:r>
          </w:p>
        </w:tc>
      </w:tr>
    </w:tbl>
    <w:p>
      <w:pPr>
        <w:pStyle w:val="BodyText"/>
        <w:spacing w:line="357" w:lineRule="auto" w:before="51"/>
        <w:ind w:left="227" w:right="8429" w:hanging="74"/>
        <w:jc w:val="left"/>
      </w:pPr>
      <w:r>
        <w:rPr/>
        <w:t>其他说明： 注：（</w:t>
      </w:r>
      <w:r>
        <w:rPr>
          <w:rFonts w:ascii="Times New Roman" w:hAnsi="Times New Roman" w:cs="Times New Roman" w:eastAsia="Times New Roman" w:hint="default"/>
        </w:rPr>
        <w:t>1</w:t>
      </w:r>
      <w:r>
        <w:rPr/>
        <w:t>）分期付款购入股权</w:t>
      </w:r>
    </w:p>
    <w:p>
      <w:pPr>
        <w:pStyle w:val="BodyText"/>
        <w:spacing w:line="201" w:lineRule="exact"/>
        <w:ind w:right="1122" w:firstLine="482"/>
        <w:jc w:val="left"/>
      </w:pPr>
      <w:r>
        <w:rPr>
          <w:spacing w:val="2"/>
        </w:rPr>
        <w:t>根据《江苏爱康科技股份有限公司与苏州爱康光电科技有限公司股东关于苏州爱康光电科技有限公司之购买资产协</w:t>
      </w:r>
    </w:p>
    <w:p>
      <w:pPr>
        <w:pStyle w:val="BodyText"/>
        <w:spacing w:line="300" w:lineRule="auto" w:before="77"/>
        <w:ind w:right="1129"/>
        <w:jc w:val="both"/>
      </w:pPr>
      <w:r>
        <w:rPr/>
        <w:t>议》规定，本公司收购苏州爱康光电科技有限公司（以下简称</w:t>
      </w:r>
      <w:r>
        <w:rPr>
          <w:rFonts w:ascii="Times New Roman" w:hAnsi="Times New Roman" w:cs="Times New Roman" w:eastAsia="Times New Roman" w:hint="default"/>
        </w:rPr>
        <w:t>“</w:t>
      </w:r>
      <w:r>
        <w:rPr/>
        <w:t>爱康光电公司</w:t>
      </w:r>
      <w:r>
        <w:rPr>
          <w:rFonts w:ascii="Times New Roman" w:hAnsi="Times New Roman" w:cs="Times New Roman" w:eastAsia="Times New Roman" w:hint="default"/>
        </w:rPr>
        <w:t>”</w:t>
      </w:r>
      <w:r>
        <w:rPr/>
        <w:t>）需支付爱康光电公司各股东合计</w:t>
      </w:r>
      <w:r>
        <w:rPr>
          <w:rFonts w:ascii="Times New Roman" w:hAnsi="Times New Roman" w:cs="Times New Roman" w:eastAsia="Times New Roman" w:hint="default"/>
        </w:rPr>
        <w:t>9.6</w:t>
      </w:r>
      <w:r>
        <w:rPr/>
        <w:t>亿元，</w:t>
      </w:r>
      <w:r>
        <w:rPr>
          <w:spacing w:val="-23"/>
        </w:rPr>
        <w:t> </w:t>
      </w:r>
      <w:r>
        <w:rPr/>
        <w:t>目前已支付</w:t>
      </w:r>
      <w:r>
        <w:rPr>
          <w:rFonts w:ascii="Times New Roman" w:hAnsi="Times New Roman" w:cs="Times New Roman" w:eastAsia="Times New Roman" w:hint="default"/>
        </w:rPr>
        <w:t>8.16</w:t>
      </w:r>
      <w:r>
        <w:rPr/>
        <w:t>亿元，还剩余</w:t>
      </w:r>
      <w:r>
        <w:rPr>
          <w:rFonts w:ascii="Times New Roman" w:hAnsi="Times New Roman" w:cs="Times New Roman" w:eastAsia="Times New Roman" w:hint="default"/>
        </w:rPr>
        <w:t>1.44</w:t>
      </w:r>
      <w:r>
        <w:rPr/>
        <w:t>亿未支付，剩余款项至爱康光电公司实现业绩承诺并在中国证监会指定媒体披露本次交易</w:t>
      </w:r>
      <w:r>
        <w:rPr>
          <w:spacing w:val="-85"/>
        </w:rPr>
        <w:t> </w:t>
      </w:r>
      <w:r>
        <w:rPr>
          <w:spacing w:val="-85"/>
        </w:rPr>
      </w:r>
      <w:r>
        <w:rPr/>
        <w:t>的</w:t>
      </w:r>
      <w:r>
        <w:rPr>
          <w:rFonts w:ascii="Times New Roman" w:hAnsi="Times New Roman" w:cs="Times New Roman" w:eastAsia="Times New Roman" w:hint="default"/>
        </w:rPr>
        <w:t>2018</w:t>
      </w:r>
      <w:r>
        <w:rPr/>
        <w:t>年度业绩补偿之审计报告后</w:t>
      </w:r>
      <w:r>
        <w:rPr>
          <w:rFonts w:ascii="Times New Roman" w:hAnsi="Times New Roman" w:cs="Times New Roman" w:eastAsia="Times New Roman" w:hint="default"/>
        </w:rPr>
        <w:t>15</w:t>
      </w:r>
      <w:r>
        <w:rPr/>
        <w:t>个工作日内支付。</w:t>
      </w:r>
    </w:p>
    <w:p>
      <w:pPr>
        <w:pStyle w:val="BodyText"/>
        <w:spacing w:line="300" w:lineRule="auto" w:before="13"/>
        <w:ind w:left="636" w:right="1122" w:hanging="3"/>
        <w:jc w:val="left"/>
      </w:pPr>
      <w:r>
        <w:rPr/>
        <w:t>（</w:t>
      </w:r>
      <w:r>
        <w:rPr>
          <w:rFonts w:ascii="Times New Roman" w:hAnsi="Times New Roman" w:cs="Times New Roman" w:eastAsia="Times New Roman" w:hint="default"/>
        </w:rPr>
        <w:t>2</w:t>
      </w:r>
      <w:r>
        <w:rPr/>
        <w:t>）长期借款 根据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月《爱康科技</w:t>
      </w:r>
      <w:r>
        <w:rPr>
          <w:rFonts w:ascii="Times New Roman" w:hAnsi="Times New Roman" w:cs="Times New Roman" w:eastAsia="Times New Roman" w:hint="default"/>
        </w:rPr>
        <w:t>2017</w:t>
      </w:r>
      <w:r>
        <w:rPr/>
        <w:t>新能源私募投资基金基金合同》及系列附属合同，爱康科技</w:t>
      </w:r>
      <w:r>
        <w:rPr>
          <w:rFonts w:ascii="Times New Roman" w:hAnsi="Times New Roman" w:cs="Times New Roman" w:eastAsia="Times New Roman" w:hint="default"/>
        </w:rPr>
        <w:t>2017</w:t>
      </w:r>
      <w:r>
        <w:rPr/>
        <w:t>新能源私募投资基金</w:t>
      </w:r>
    </w:p>
    <w:p>
      <w:pPr>
        <w:pStyle w:val="BodyText"/>
        <w:spacing w:line="307" w:lineRule="auto" w:before="13"/>
        <w:ind w:right="1128"/>
        <w:jc w:val="both"/>
      </w:pPr>
      <w:r>
        <w:rPr>
          <w:spacing w:val="-2"/>
        </w:rPr>
        <w:t>由本公司和江苏省国际信托有限责任公司（代</w:t>
      </w:r>
      <w:r>
        <w:rPr>
          <w:rFonts w:ascii="Times New Roman" w:hAnsi="Times New Roman" w:cs="Times New Roman" w:eastAsia="Times New Roman" w:hint="default"/>
          <w:spacing w:val="-2"/>
        </w:rPr>
        <w:t>“</w:t>
      </w:r>
      <w:r>
        <w:rPr>
          <w:spacing w:val="-2"/>
        </w:rPr>
        <w:t>爱康科技</w:t>
      </w:r>
      <w:r>
        <w:rPr>
          <w:rFonts w:ascii="Times New Roman" w:hAnsi="Times New Roman" w:cs="Times New Roman" w:eastAsia="Times New Roman" w:hint="default"/>
          <w:spacing w:val="-2"/>
        </w:rPr>
        <w:t>2017</w:t>
      </w:r>
      <w:r>
        <w:rPr>
          <w:spacing w:val="-2"/>
        </w:rPr>
        <w:t>新能源私募投资基金单一资金信托</w:t>
      </w:r>
      <w:r>
        <w:rPr>
          <w:rFonts w:ascii="Times New Roman" w:hAnsi="Times New Roman" w:cs="Times New Roman" w:eastAsia="Times New Roman" w:hint="default"/>
          <w:spacing w:val="-2"/>
        </w:rPr>
        <w:t>”</w:t>
      </w:r>
      <w:r>
        <w:rPr>
          <w:spacing w:val="-2"/>
        </w:rPr>
        <w:t>）共同出资设立的基金，本</w:t>
      </w:r>
      <w:r>
        <w:rPr>
          <w:spacing w:val="-41"/>
        </w:rPr>
        <w:t> </w:t>
      </w:r>
      <w:r>
        <w:rPr>
          <w:spacing w:val="-41"/>
        </w:rPr>
      </w:r>
      <w:r>
        <w:rPr>
          <w:spacing w:val="8"/>
        </w:rPr>
        <w:t>公司事实上享有或承担了该基金运作中的全部剩余风险和报酬，本公司将江苏省国际信托有限责任公司对基金出资款</w:t>
      </w:r>
      <w:r>
        <w:rPr>
          <w:spacing w:val="-54"/>
        </w:rPr>
        <w:t> </w:t>
      </w:r>
      <w:r>
        <w:rPr>
          <w:spacing w:val="-54"/>
        </w:rPr>
      </w:r>
      <w:r>
        <w:rPr>
          <w:rFonts w:ascii="Times New Roman" w:hAnsi="Times New Roman" w:cs="Times New Roman" w:eastAsia="Times New Roman" w:hint="default"/>
          <w:spacing w:val="-1"/>
        </w:rPr>
        <w:t>47,344.00</w:t>
      </w:r>
      <w:r>
        <w:rPr>
          <w:spacing w:val="-1"/>
        </w:rPr>
        <w:t>万元作为长期借款列报。根据合同约定，本公司需在基金成立的第</w:t>
      </w:r>
      <w:r>
        <w:rPr>
          <w:rFonts w:ascii="Times New Roman" w:hAnsi="Times New Roman" w:cs="Times New Roman" w:eastAsia="Times New Roman" w:hint="default"/>
          <w:spacing w:val="-1"/>
        </w:rPr>
        <w:t>12</w:t>
      </w:r>
      <w:r>
        <w:rPr>
          <w:spacing w:val="-1"/>
        </w:rPr>
        <w:t>个月、第</w:t>
      </w:r>
      <w:r>
        <w:rPr>
          <w:rFonts w:ascii="Times New Roman" w:hAnsi="Times New Roman" w:cs="Times New Roman" w:eastAsia="Times New Roman" w:hint="default"/>
          <w:spacing w:val="-1"/>
        </w:rPr>
        <w:t>24</w:t>
      </w:r>
      <w:r>
        <w:rPr>
          <w:spacing w:val="-1"/>
        </w:rPr>
        <w:t>个月和第</w:t>
      </w:r>
      <w:r>
        <w:rPr>
          <w:rFonts w:ascii="Times New Roman" w:hAnsi="Times New Roman" w:cs="Times New Roman" w:eastAsia="Times New Roman" w:hint="default"/>
          <w:spacing w:val="-1"/>
        </w:rPr>
        <w:t>36</w:t>
      </w:r>
      <w:r>
        <w:rPr>
          <w:spacing w:val="-1"/>
        </w:rPr>
        <w:t>个月分别偿还</w:t>
      </w:r>
      <w:r>
        <w:rPr>
          <w:rFonts w:ascii="Times New Roman" w:hAnsi="Times New Roman" w:cs="Times New Roman" w:eastAsia="Times New Roman" w:hint="default"/>
          <w:spacing w:val="-1"/>
        </w:rPr>
        <w:t>15,000</w:t>
      </w:r>
      <w:r>
        <w:rPr>
          <w:spacing w:val="-1"/>
        </w:rPr>
        <w:t>万</w:t>
      </w:r>
      <w:r>
        <w:rPr>
          <w:spacing w:val="-66"/>
        </w:rPr>
        <w:t> </w:t>
      </w:r>
      <w:r>
        <w:rPr/>
        <w:t>元、</w:t>
      </w:r>
      <w:r>
        <w:rPr>
          <w:rFonts w:ascii="Times New Roman" w:hAnsi="Times New Roman" w:cs="Times New Roman" w:eastAsia="Times New Roman" w:hint="default"/>
        </w:rPr>
        <w:t>15,000</w:t>
      </w:r>
      <w:r>
        <w:rPr/>
        <w:t>万元和剩余本金。</w:t>
      </w:r>
    </w:p>
    <w:p>
      <w:pPr>
        <w:pStyle w:val="BodyText"/>
        <w:spacing w:line="240" w:lineRule="auto" w:before="7"/>
        <w:ind w:left="634" w:right="1122"/>
        <w:jc w:val="left"/>
      </w:pPr>
      <w:r>
        <w:rPr/>
        <w:t>（</w:t>
      </w:r>
      <w:r>
        <w:rPr>
          <w:rFonts w:ascii="Times New Roman" w:hAnsi="Times New Roman" w:cs="Times New Roman" w:eastAsia="Times New Roman" w:hint="default"/>
        </w:rPr>
        <w:t>3</w:t>
      </w:r>
      <w:r>
        <w:rPr/>
        <w:t>）本公司采用融资租赁业务方式进行融资，具体情况如下：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415"/>
        <w:gridCol w:w="1123"/>
        <w:gridCol w:w="743"/>
        <w:gridCol w:w="1307"/>
        <w:gridCol w:w="972"/>
        <w:gridCol w:w="3654"/>
      </w:tblGrid>
      <w:tr>
        <w:trPr>
          <w:trHeight w:val="667" w:hRule="exact"/>
        </w:trPr>
        <w:tc>
          <w:tcPr>
            <w:tcW w:w="14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29" w:right="0"/>
              <w:jc w:val="left"/>
              <w:rPr>
                <w:rFonts w:ascii="宋体" w:hAnsi="宋体" w:cs="宋体" w:eastAsia="宋体" w:hint="default"/>
                <w:sz w:val="18"/>
                <w:szCs w:val="18"/>
              </w:rPr>
            </w:pPr>
            <w:r>
              <w:rPr>
                <w:rFonts w:ascii="宋体" w:hAnsi="宋体" w:cs="宋体" w:eastAsia="宋体" w:hint="default"/>
                <w:sz w:val="18"/>
                <w:szCs w:val="18"/>
              </w:rPr>
              <w:t>出租方</w:t>
            </w:r>
          </w:p>
        </w:tc>
        <w:tc>
          <w:tcPr>
            <w:tcW w:w="11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93" w:right="0"/>
              <w:jc w:val="left"/>
              <w:rPr>
                <w:rFonts w:ascii="宋体" w:hAnsi="宋体" w:cs="宋体" w:eastAsia="宋体" w:hint="default"/>
                <w:sz w:val="18"/>
                <w:szCs w:val="18"/>
              </w:rPr>
            </w:pPr>
            <w:r>
              <w:rPr>
                <w:rFonts w:ascii="宋体" w:hAnsi="宋体" w:cs="宋体" w:eastAsia="宋体" w:hint="default"/>
                <w:sz w:val="18"/>
                <w:szCs w:val="18"/>
              </w:rPr>
              <w:t>合同金额</w:t>
            </w:r>
          </w:p>
          <w:p>
            <w:pPr>
              <w:pStyle w:val="TableParagraph"/>
              <w:spacing w:line="240" w:lineRule="auto" w:before="76"/>
              <w:ind w:left="19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83" w:right="0"/>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9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18" w:right="0"/>
              <w:jc w:val="left"/>
              <w:rPr>
                <w:rFonts w:ascii="宋体" w:hAnsi="宋体" w:cs="宋体" w:eastAsia="宋体" w:hint="default"/>
                <w:sz w:val="18"/>
                <w:szCs w:val="18"/>
              </w:rPr>
            </w:pPr>
            <w:r>
              <w:rPr>
                <w:rFonts w:ascii="宋体" w:hAnsi="宋体" w:cs="宋体" w:eastAsia="宋体" w:hint="default"/>
                <w:sz w:val="18"/>
                <w:szCs w:val="18"/>
              </w:rPr>
              <w:t>还款方式</w:t>
            </w:r>
          </w:p>
        </w:tc>
        <w:tc>
          <w:tcPr>
            <w:tcW w:w="36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抵押担保说明</w:t>
            </w:r>
          </w:p>
        </w:tc>
      </w:tr>
      <w:tr>
        <w:trPr>
          <w:trHeight w:val="1288" w:hRule="exact"/>
        </w:trPr>
        <w:tc>
          <w:tcPr>
            <w:tcW w:w="141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36"/>
              <w:jc w:val="left"/>
              <w:rPr>
                <w:rFonts w:ascii="宋体" w:hAnsi="宋体" w:cs="宋体" w:eastAsia="宋体" w:hint="default"/>
                <w:sz w:val="18"/>
                <w:szCs w:val="18"/>
              </w:rPr>
            </w:pPr>
            <w:r>
              <w:rPr>
                <w:rFonts w:ascii="宋体" w:hAnsi="宋体" w:cs="宋体" w:eastAsia="宋体" w:hint="default"/>
                <w:sz w:val="18"/>
                <w:szCs w:val="18"/>
              </w:rPr>
              <w:t>华能天成融资租 赁股份有限公司</w:t>
            </w:r>
          </w:p>
        </w:tc>
        <w:tc>
          <w:tcPr>
            <w:tcW w:w="1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17,000.00</w:t>
            </w:r>
          </w:p>
        </w:tc>
        <w:tc>
          <w:tcPr>
            <w:tcW w:w="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7.40</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2015-12-9</w:t>
            </w:r>
            <w:r>
              <w:rPr>
                <w:rFonts w:ascii="宋体" w:hAnsi="宋体" w:cs="宋体" w:eastAsia="宋体" w:hint="default"/>
                <w:sz w:val="18"/>
                <w:szCs w:val="18"/>
              </w:rPr>
              <w:t>至</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2023-12-9</w:t>
            </w:r>
          </w:p>
        </w:tc>
        <w:tc>
          <w:tcPr>
            <w:tcW w:w="97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53"/>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12" w:space="0" w:color="000000"/>
              <w:left w:val="single" w:sz="6" w:space="0" w:color="000000"/>
              <w:bottom w:val="single" w:sz="12" w:space="0" w:color="000000"/>
              <w:right w:val="nil" w:sz="6" w:space="0" w:color="auto"/>
            </w:tcBorders>
          </w:tcPr>
          <w:p>
            <w:pPr>
              <w:pStyle w:val="TableParagraph"/>
              <w:spacing w:line="300" w:lineRule="auto" w:before="10"/>
              <w:ind w:left="3" w:right="71"/>
              <w:jc w:val="left"/>
              <w:rPr>
                <w:rFonts w:ascii="宋体" w:hAnsi="宋体" w:cs="宋体" w:eastAsia="宋体" w:hint="default"/>
                <w:sz w:val="18"/>
                <w:szCs w:val="18"/>
              </w:rPr>
            </w:pPr>
            <w:r>
              <w:rPr>
                <w:rFonts w:ascii="宋体" w:hAnsi="宋体" w:cs="宋体" w:eastAsia="宋体" w:hint="default"/>
                <w:sz w:val="18"/>
                <w:szCs w:val="18"/>
              </w:rPr>
              <w:t>以孝义太子能源</w:t>
            </w:r>
            <w:r>
              <w:rPr>
                <w:rFonts w:ascii="Times New Roman" w:hAnsi="Times New Roman" w:cs="Times New Roman" w:eastAsia="Times New Roman" w:hint="default"/>
                <w:sz w:val="18"/>
                <w:szCs w:val="18"/>
              </w:rPr>
              <w:t>30MW</w:t>
            </w:r>
            <w:r>
              <w:rPr>
                <w:rFonts w:ascii="宋体" w:hAnsi="宋体" w:cs="宋体" w:eastAsia="宋体" w:hint="default"/>
                <w:sz w:val="18"/>
                <w:szCs w:val="18"/>
              </w:rPr>
              <w:t>光伏并网发电设备作为 抵押并以其电费收费权作为质押</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本公司以其 持有的对孝义能源</w:t>
            </w:r>
            <w:r>
              <w:rPr>
                <w:rFonts w:ascii="Times New Roman" w:hAnsi="Times New Roman" w:cs="Times New Roman" w:eastAsia="Times New Roman" w:hint="default"/>
                <w:sz w:val="18"/>
                <w:szCs w:val="18"/>
              </w:rPr>
              <w:t>95%</w:t>
            </w:r>
            <w:r>
              <w:rPr>
                <w:rFonts w:ascii="宋体" w:hAnsi="宋体" w:cs="宋体" w:eastAsia="宋体" w:hint="default"/>
                <w:sz w:val="18"/>
                <w:szCs w:val="18"/>
              </w:rPr>
              <w:t>的股权作为质押物进行 质押担保。</w:t>
            </w:r>
          </w:p>
        </w:tc>
      </w:tr>
      <w:tr>
        <w:trPr>
          <w:trHeight w:val="977" w:hRule="exact"/>
        </w:trPr>
        <w:tc>
          <w:tcPr>
            <w:tcW w:w="1415"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2" w:right="136"/>
              <w:jc w:val="left"/>
              <w:rPr>
                <w:rFonts w:ascii="宋体" w:hAnsi="宋体" w:cs="宋体" w:eastAsia="宋体" w:hint="default"/>
                <w:sz w:val="18"/>
                <w:szCs w:val="18"/>
              </w:rPr>
            </w:pPr>
            <w:r>
              <w:rPr>
                <w:rFonts w:ascii="宋体" w:hAnsi="宋体" w:cs="宋体" w:eastAsia="宋体" w:hint="default"/>
                <w:sz w:val="18"/>
                <w:szCs w:val="18"/>
              </w:rPr>
              <w:t>赣州发展融资租 赁有限责任公司</w:t>
            </w:r>
          </w:p>
        </w:tc>
        <w:tc>
          <w:tcPr>
            <w:tcW w:w="1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12,000.00</w:t>
            </w:r>
          </w:p>
        </w:tc>
        <w:tc>
          <w:tcPr>
            <w:tcW w:w="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6.65</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2018-12-27</w:t>
            </w:r>
            <w:r>
              <w:rPr>
                <w:rFonts w:ascii="宋体" w:hAnsi="宋体" w:cs="宋体" w:eastAsia="宋体" w:hint="default"/>
                <w:sz w:val="18"/>
                <w:szCs w:val="18"/>
              </w:rPr>
              <w:t>至</w:t>
            </w:r>
          </w:p>
          <w:p>
            <w:pPr>
              <w:pStyle w:val="TableParagraph"/>
              <w:spacing w:line="240" w:lineRule="auto" w:before="103"/>
              <w:ind w:left="226" w:right="0"/>
              <w:jc w:val="left"/>
              <w:rPr>
                <w:rFonts w:ascii="Times New Roman" w:hAnsi="Times New Roman" w:cs="Times New Roman" w:eastAsia="Times New Roman" w:hint="default"/>
                <w:sz w:val="18"/>
                <w:szCs w:val="18"/>
              </w:rPr>
            </w:pPr>
            <w:r>
              <w:rPr>
                <w:rFonts w:ascii="Times New Roman"/>
                <w:sz w:val="18"/>
              </w:rPr>
              <w:t>2023-12-27</w:t>
            </w:r>
          </w:p>
        </w:tc>
        <w:tc>
          <w:tcPr>
            <w:tcW w:w="972"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2" w:right="53"/>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12" w:space="0" w:color="000000"/>
              <w:left w:val="single" w:sz="6" w:space="0" w:color="000000"/>
              <w:bottom w:val="single" w:sz="12" w:space="0" w:color="000000"/>
              <w:right w:val="nil" w:sz="6" w:space="0" w:color="auto"/>
            </w:tcBorders>
          </w:tcPr>
          <w:p>
            <w:pPr>
              <w:pStyle w:val="TableParagraph"/>
              <w:spacing w:line="309" w:lineRule="auto" w:before="10"/>
              <w:ind w:left="3" w:right="41"/>
              <w:jc w:val="both"/>
              <w:rPr>
                <w:rFonts w:ascii="宋体" w:hAnsi="宋体" w:cs="宋体" w:eastAsia="宋体" w:hint="default"/>
                <w:sz w:val="18"/>
                <w:szCs w:val="18"/>
              </w:rPr>
            </w:pPr>
            <w:r>
              <w:rPr>
                <w:rFonts w:ascii="宋体" w:hAnsi="宋体" w:cs="宋体" w:eastAsia="宋体" w:hint="default"/>
                <w:sz w:val="18"/>
                <w:szCs w:val="18"/>
              </w:rPr>
              <w:t>公司以伊川佳康一期</w:t>
            </w:r>
            <w:r>
              <w:rPr>
                <w:rFonts w:ascii="Times New Roman" w:hAnsi="Times New Roman" w:cs="Times New Roman" w:eastAsia="Times New Roman" w:hint="default"/>
                <w:sz w:val="18"/>
                <w:szCs w:val="18"/>
              </w:rPr>
              <w:t>22MW</w:t>
            </w:r>
            <w:r>
              <w:rPr>
                <w:rFonts w:ascii="宋体" w:hAnsi="宋体" w:cs="宋体" w:eastAsia="宋体" w:hint="default"/>
                <w:sz w:val="18"/>
                <w:szCs w:val="18"/>
              </w:rPr>
              <w:t>光伏电站设备做抵 押。邹承慧为本借款承担个人无限连带责任担 保。</w:t>
            </w:r>
          </w:p>
        </w:tc>
      </w:tr>
      <w:tr>
        <w:trPr>
          <w:trHeight w:val="664" w:hRule="exact"/>
        </w:trPr>
        <w:tc>
          <w:tcPr>
            <w:tcW w:w="141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36"/>
              <w:jc w:val="left"/>
              <w:rPr>
                <w:rFonts w:ascii="宋体" w:hAnsi="宋体" w:cs="宋体" w:eastAsia="宋体" w:hint="default"/>
                <w:sz w:val="18"/>
                <w:szCs w:val="18"/>
              </w:rPr>
            </w:pPr>
            <w:r>
              <w:rPr>
                <w:rFonts w:ascii="宋体" w:hAnsi="宋体" w:cs="宋体" w:eastAsia="宋体" w:hint="default"/>
                <w:sz w:val="18"/>
                <w:szCs w:val="18"/>
              </w:rPr>
              <w:t>赣州发展融资租 赁有限责任公司</w:t>
            </w:r>
          </w:p>
        </w:tc>
        <w:tc>
          <w:tcPr>
            <w:tcW w:w="1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10,000.00</w:t>
            </w:r>
          </w:p>
        </w:tc>
        <w:tc>
          <w:tcPr>
            <w:tcW w:w="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6.65</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2018-6-13</w:t>
            </w:r>
            <w:r>
              <w:rPr>
                <w:rFonts w:ascii="宋体" w:hAnsi="宋体" w:cs="宋体" w:eastAsia="宋体" w:hint="default"/>
                <w:sz w:val="18"/>
                <w:szCs w:val="18"/>
              </w:rPr>
              <w:t>至</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2023-6-12</w:t>
            </w:r>
          </w:p>
        </w:tc>
        <w:tc>
          <w:tcPr>
            <w:tcW w:w="97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53"/>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公司以苏州光电部分设备做抵押。</w:t>
            </w:r>
          </w:p>
        </w:tc>
      </w:tr>
      <w:tr>
        <w:trPr>
          <w:trHeight w:val="664" w:hRule="exact"/>
        </w:trPr>
        <w:tc>
          <w:tcPr>
            <w:tcW w:w="141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36"/>
              <w:jc w:val="left"/>
              <w:rPr>
                <w:rFonts w:ascii="宋体" w:hAnsi="宋体" w:cs="宋体" w:eastAsia="宋体" w:hint="default"/>
                <w:sz w:val="18"/>
                <w:szCs w:val="18"/>
              </w:rPr>
            </w:pPr>
            <w:r>
              <w:rPr>
                <w:rFonts w:ascii="宋体" w:hAnsi="宋体" w:cs="宋体" w:eastAsia="宋体" w:hint="default"/>
                <w:sz w:val="18"/>
                <w:szCs w:val="18"/>
              </w:rPr>
              <w:t>赣州发展融资租 赁有限责任公司</w:t>
            </w:r>
          </w:p>
        </w:tc>
        <w:tc>
          <w:tcPr>
            <w:tcW w:w="1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10,000.00</w:t>
            </w:r>
          </w:p>
        </w:tc>
        <w:tc>
          <w:tcPr>
            <w:tcW w:w="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6.65</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2018-6-13</w:t>
            </w:r>
            <w:r>
              <w:rPr>
                <w:rFonts w:ascii="宋体" w:hAnsi="宋体" w:cs="宋体" w:eastAsia="宋体" w:hint="default"/>
                <w:sz w:val="18"/>
                <w:szCs w:val="18"/>
              </w:rPr>
              <w:t>至</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2023-6-12</w:t>
            </w:r>
          </w:p>
        </w:tc>
        <w:tc>
          <w:tcPr>
            <w:tcW w:w="97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53"/>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公司以赣州光电部分设备做抵押。</w:t>
            </w:r>
          </w:p>
        </w:tc>
      </w:tr>
      <w:tr>
        <w:trPr>
          <w:trHeight w:val="1289" w:hRule="exact"/>
        </w:trPr>
        <w:tc>
          <w:tcPr>
            <w:tcW w:w="141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36"/>
              <w:jc w:val="left"/>
              <w:rPr>
                <w:rFonts w:ascii="宋体" w:hAnsi="宋体" w:cs="宋体" w:eastAsia="宋体" w:hint="default"/>
                <w:sz w:val="18"/>
                <w:szCs w:val="18"/>
              </w:rPr>
            </w:pPr>
            <w:r>
              <w:rPr>
                <w:rFonts w:ascii="宋体" w:hAnsi="宋体" w:cs="宋体" w:eastAsia="宋体" w:hint="default"/>
                <w:sz w:val="18"/>
                <w:szCs w:val="18"/>
              </w:rPr>
              <w:t>苏银金融租赁股 份有限公司</w:t>
            </w:r>
          </w:p>
        </w:tc>
        <w:tc>
          <w:tcPr>
            <w:tcW w:w="1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12,000.00</w:t>
            </w:r>
          </w:p>
        </w:tc>
        <w:tc>
          <w:tcPr>
            <w:tcW w:w="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浮动</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2016-4-28</w:t>
            </w:r>
            <w:r>
              <w:rPr>
                <w:rFonts w:ascii="宋体" w:hAnsi="宋体" w:cs="宋体" w:eastAsia="宋体" w:hint="default"/>
                <w:sz w:val="18"/>
                <w:szCs w:val="18"/>
              </w:rPr>
              <w:t>至</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2021-4-28</w:t>
            </w:r>
          </w:p>
        </w:tc>
        <w:tc>
          <w:tcPr>
            <w:tcW w:w="97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53"/>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12" w:space="0" w:color="000000"/>
              <w:left w:val="single" w:sz="6" w:space="0" w:color="000000"/>
              <w:bottom w:val="single" w:sz="12" w:space="0" w:color="000000"/>
              <w:right w:val="nil" w:sz="6" w:space="0" w:color="auto"/>
            </w:tcBorders>
          </w:tcPr>
          <w:p>
            <w:pPr>
              <w:pStyle w:val="TableParagraph"/>
              <w:spacing w:line="307" w:lineRule="auto" w:before="10"/>
              <w:ind w:left="3" w:right="41"/>
              <w:jc w:val="left"/>
              <w:rPr>
                <w:rFonts w:ascii="宋体" w:hAnsi="宋体" w:cs="宋体" w:eastAsia="宋体" w:hint="default"/>
                <w:sz w:val="18"/>
                <w:szCs w:val="18"/>
              </w:rPr>
            </w:pPr>
            <w:r>
              <w:rPr>
                <w:rFonts w:ascii="宋体" w:hAnsi="宋体" w:cs="宋体" w:eastAsia="宋体" w:hint="default"/>
                <w:sz w:val="18"/>
                <w:szCs w:val="18"/>
              </w:rPr>
              <w:t>邹承慧为本借款承担个人无限连带责任担保， 本公司以其持有的对凤庆爱康的</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 质押担保，公司以凤庆爱康一期</w:t>
            </w:r>
            <w:r>
              <w:rPr>
                <w:rFonts w:ascii="Times New Roman" w:hAnsi="Times New Roman" w:cs="Times New Roman" w:eastAsia="Times New Roman" w:hint="default"/>
                <w:sz w:val="18"/>
                <w:szCs w:val="18"/>
              </w:rPr>
              <w:t>22MW</w:t>
            </w:r>
            <w:r>
              <w:rPr>
                <w:rFonts w:ascii="宋体" w:hAnsi="宋体" w:cs="宋体" w:eastAsia="宋体" w:hint="default"/>
                <w:sz w:val="18"/>
                <w:szCs w:val="18"/>
              </w:rPr>
              <w:t>光伏电 站设备做抵押并以其电费收费权作为质押。</w:t>
            </w:r>
          </w:p>
        </w:tc>
      </w:tr>
      <w:tr>
        <w:trPr>
          <w:trHeight w:val="664" w:hRule="exact"/>
        </w:trPr>
        <w:tc>
          <w:tcPr>
            <w:tcW w:w="141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36"/>
              <w:jc w:val="left"/>
              <w:rPr>
                <w:rFonts w:ascii="宋体" w:hAnsi="宋体" w:cs="宋体" w:eastAsia="宋体" w:hint="default"/>
                <w:sz w:val="18"/>
                <w:szCs w:val="18"/>
              </w:rPr>
            </w:pPr>
            <w:r>
              <w:rPr>
                <w:rFonts w:ascii="宋体" w:hAnsi="宋体" w:cs="宋体" w:eastAsia="宋体" w:hint="default"/>
                <w:sz w:val="18"/>
                <w:szCs w:val="18"/>
              </w:rPr>
              <w:t>苏银金融租赁股 份有限公司</w:t>
            </w:r>
          </w:p>
        </w:tc>
        <w:tc>
          <w:tcPr>
            <w:tcW w:w="1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8,000.00</w:t>
            </w:r>
          </w:p>
        </w:tc>
        <w:tc>
          <w:tcPr>
            <w:tcW w:w="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浮动</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2016-6-29</w:t>
            </w:r>
            <w:r>
              <w:rPr>
                <w:rFonts w:ascii="宋体" w:hAnsi="宋体" w:cs="宋体" w:eastAsia="宋体" w:hint="default"/>
                <w:sz w:val="18"/>
                <w:szCs w:val="18"/>
              </w:rPr>
              <w:t>至</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2021-6-29</w:t>
            </w:r>
          </w:p>
        </w:tc>
        <w:tc>
          <w:tcPr>
            <w:tcW w:w="97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53"/>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12" w:space="0" w:color="000000"/>
              <w:left w:val="single" w:sz="6" w:space="0" w:color="000000"/>
              <w:bottom w:val="single" w:sz="12" w:space="0" w:color="000000"/>
              <w:right w:val="nil" w:sz="6" w:space="0" w:color="auto"/>
            </w:tcBorders>
          </w:tcPr>
          <w:p>
            <w:pPr>
              <w:pStyle w:val="TableParagraph"/>
              <w:spacing w:line="300" w:lineRule="auto" w:before="10"/>
              <w:ind w:left="3" w:right="161"/>
              <w:jc w:val="left"/>
              <w:rPr>
                <w:rFonts w:ascii="宋体" w:hAnsi="宋体" w:cs="宋体" w:eastAsia="宋体" w:hint="default"/>
                <w:sz w:val="18"/>
                <w:szCs w:val="18"/>
              </w:rPr>
            </w:pPr>
            <w:r>
              <w:rPr>
                <w:rFonts w:ascii="宋体" w:hAnsi="宋体" w:cs="宋体" w:eastAsia="宋体" w:hint="default"/>
                <w:sz w:val="18"/>
                <w:szCs w:val="18"/>
              </w:rPr>
              <w:t>公司以其持有的对凤庆爱康的</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的股权作 为质押物进行质押担保。</w:t>
            </w:r>
          </w:p>
        </w:tc>
      </w:tr>
      <w:tr>
        <w:trPr>
          <w:trHeight w:val="976" w:hRule="exact"/>
        </w:trPr>
        <w:tc>
          <w:tcPr>
            <w:tcW w:w="141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36"/>
              <w:jc w:val="left"/>
              <w:rPr>
                <w:rFonts w:ascii="宋体" w:hAnsi="宋体" w:cs="宋体" w:eastAsia="宋体" w:hint="default"/>
                <w:sz w:val="18"/>
                <w:szCs w:val="18"/>
              </w:rPr>
            </w:pPr>
            <w:r>
              <w:rPr>
                <w:rFonts w:ascii="宋体" w:hAnsi="宋体" w:cs="宋体" w:eastAsia="宋体" w:hint="default"/>
                <w:sz w:val="18"/>
                <w:szCs w:val="18"/>
              </w:rPr>
              <w:t>苏州金融租赁股 份有限公司</w:t>
            </w:r>
          </w:p>
        </w:tc>
        <w:tc>
          <w:tcPr>
            <w:tcW w:w="1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5,500.00</w:t>
            </w:r>
          </w:p>
        </w:tc>
        <w:tc>
          <w:tcPr>
            <w:tcW w:w="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浮动</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2016-3-20</w:t>
            </w:r>
            <w:r>
              <w:rPr>
                <w:rFonts w:ascii="宋体" w:hAnsi="宋体" w:cs="宋体" w:eastAsia="宋体" w:hint="default"/>
                <w:sz w:val="18"/>
                <w:szCs w:val="18"/>
              </w:rPr>
              <w:t>至</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2021-3-20</w:t>
            </w:r>
          </w:p>
        </w:tc>
        <w:tc>
          <w:tcPr>
            <w:tcW w:w="97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53"/>
              <w:jc w:val="left"/>
              <w:rPr>
                <w:rFonts w:ascii="宋体" w:hAnsi="宋体" w:cs="宋体" w:eastAsia="宋体" w:hint="default"/>
                <w:sz w:val="18"/>
                <w:szCs w:val="18"/>
              </w:rPr>
            </w:pPr>
            <w:r>
              <w:rPr>
                <w:rFonts w:ascii="宋体" w:hAnsi="宋体" w:cs="宋体" w:eastAsia="宋体" w:hint="default"/>
                <w:sz w:val="18"/>
                <w:szCs w:val="18"/>
              </w:rPr>
              <w:t>分季还本付 息</w:t>
            </w:r>
          </w:p>
        </w:tc>
        <w:tc>
          <w:tcPr>
            <w:tcW w:w="3654" w:type="dxa"/>
            <w:tcBorders>
              <w:top w:val="single" w:sz="12" w:space="0" w:color="000000"/>
              <w:left w:val="single" w:sz="6" w:space="0" w:color="000000"/>
              <w:bottom w:val="single" w:sz="12" w:space="0" w:color="000000"/>
              <w:right w:val="nil" w:sz="6" w:space="0" w:color="auto"/>
            </w:tcBorders>
          </w:tcPr>
          <w:p>
            <w:pPr>
              <w:pStyle w:val="TableParagraph"/>
              <w:spacing w:line="309" w:lineRule="auto" w:before="10"/>
              <w:ind w:left="3" w:right="-17"/>
              <w:jc w:val="both"/>
              <w:rPr>
                <w:rFonts w:ascii="宋体" w:hAnsi="宋体" w:cs="宋体" w:eastAsia="宋体" w:hint="default"/>
                <w:sz w:val="18"/>
                <w:szCs w:val="18"/>
              </w:rPr>
            </w:pPr>
            <w:r>
              <w:rPr>
                <w:rFonts w:ascii="宋体" w:hAnsi="宋体" w:cs="宋体" w:eastAsia="宋体" w:hint="default"/>
                <w:sz w:val="18"/>
                <w:szCs w:val="18"/>
              </w:rPr>
              <w:t>公司以朝阳爱康</w:t>
            </w:r>
            <w:r>
              <w:rPr>
                <w:rFonts w:ascii="Times New Roman" w:hAnsi="Times New Roman" w:cs="Times New Roman" w:eastAsia="Times New Roman" w:hint="default"/>
                <w:sz w:val="18"/>
                <w:szCs w:val="18"/>
              </w:rPr>
              <w:t>10MW</w:t>
            </w:r>
            <w:r>
              <w:rPr>
                <w:rFonts w:ascii="宋体" w:hAnsi="宋体" w:cs="宋体" w:eastAsia="宋体" w:hint="default"/>
                <w:sz w:val="18"/>
                <w:szCs w:val="18"/>
              </w:rPr>
              <w:t>电站设备做抵押并以其 电费收费权作为质押，本公司以其持有的对朝 阳爱康</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的股权作为质押物进行质押担保。</w:t>
            </w:r>
          </w:p>
        </w:tc>
      </w:tr>
      <w:tr>
        <w:trPr>
          <w:trHeight w:val="665" w:hRule="exact"/>
        </w:trPr>
        <w:tc>
          <w:tcPr>
            <w:tcW w:w="141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36"/>
              <w:jc w:val="left"/>
              <w:rPr>
                <w:rFonts w:ascii="宋体" w:hAnsi="宋体" w:cs="宋体" w:eastAsia="宋体" w:hint="default"/>
                <w:sz w:val="18"/>
                <w:szCs w:val="18"/>
              </w:rPr>
            </w:pPr>
            <w:r>
              <w:rPr>
                <w:rFonts w:ascii="宋体" w:hAnsi="宋体" w:cs="宋体" w:eastAsia="宋体" w:hint="default"/>
                <w:sz w:val="18"/>
                <w:szCs w:val="18"/>
              </w:rPr>
              <w:t>苏州金融租赁股 份有限公司</w:t>
            </w:r>
          </w:p>
        </w:tc>
        <w:tc>
          <w:tcPr>
            <w:tcW w:w="1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5,500.00</w:t>
            </w:r>
          </w:p>
        </w:tc>
        <w:tc>
          <w:tcPr>
            <w:tcW w:w="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5.56</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2016-7-20</w:t>
            </w:r>
            <w:r>
              <w:rPr>
                <w:rFonts w:ascii="宋体" w:hAnsi="宋体" w:cs="宋体" w:eastAsia="宋体" w:hint="default"/>
                <w:sz w:val="18"/>
                <w:szCs w:val="18"/>
              </w:rPr>
              <w:t>至</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2022-4-20</w:t>
            </w:r>
          </w:p>
        </w:tc>
        <w:tc>
          <w:tcPr>
            <w:tcW w:w="97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53"/>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光伏电站的收益权和苏州中康持有的大安爱康</w:t>
            </w:r>
          </w:p>
          <w:p>
            <w:pPr>
              <w:pStyle w:val="TableParagraph"/>
              <w:spacing w:line="240" w:lineRule="auto" w:before="76"/>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的股权作为质押担保。</w:t>
            </w:r>
          </w:p>
        </w:tc>
      </w:tr>
      <w:tr>
        <w:trPr>
          <w:trHeight w:val="664" w:hRule="exact"/>
        </w:trPr>
        <w:tc>
          <w:tcPr>
            <w:tcW w:w="141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2" w:right="136"/>
              <w:jc w:val="left"/>
              <w:rPr>
                <w:rFonts w:ascii="宋体" w:hAnsi="宋体" w:cs="宋体" w:eastAsia="宋体" w:hint="default"/>
                <w:sz w:val="18"/>
                <w:szCs w:val="18"/>
              </w:rPr>
            </w:pPr>
            <w:r>
              <w:rPr>
                <w:rFonts w:ascii="宋体" w:hAnsi="宋体" w:cs="宋体" w:eastAsia="宋体" w:hint="default"/>
                <w:sz w:val="18"/>
                <w:szCs w:val="18"/>
              </w:rPr>
              <w:t>苏州金融租赁股 份有限公司</w:t>
            </w:r>
          </w:p>
        </w:tc>
        <w:tc>
          <w:tcPr>
            <w:tcW w:w="1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10,000.00</w:t>
            </w:r>
          </w:p>
        </w:tc>
        <w:tc>
          <w:tcPr>
            <w:tcW w:w="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5.145</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2017-1-5</w:t>
            </w:r>
            <w:r>
              <w:rPr>
                <w:rFonts w:ascii="宋体" w:hAnsi="宋体" w:cs="宋体" w:eastAsia="宋体" w:hint="default"/>
                <w:sz w:val="18"/>
                <w:szCs w:val="18"/>
              </w:rPr>
              <w:t>至</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2022-7-20</w:t>
            </w:r>
          </w:p>
        </w:tc>
        <w:tc>
          <w:tcPr>
            <w:tcW w:w="97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2" w:right="53"/>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pacing w:val="-2"/>
                <w:sz w:val="18"/>
                <w:szCs w:val="18"/>
              </w:rPr>
              <w:t>公司以持有锦州爱康</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股权做质押，以锦州</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20MW</w:t>
            </w:r>
            <w:r>
              <w:rPr>
                <w:rFonts w:ascii="宋体" w:hAnsi="宋体" w:cs="宋体" w:eastAsia="宋体" w:hint="default"/>
                <w:sz w:val="18"/>
                <w:szCs w:val="18"/>
              </w:rPr>
              <w:t>电站电费收费权做质押。</w:t>
            </w:r>
          </w:p>
        </w:tc>
      </w:tr>
      <w:tr>
        <w:trPr>
          <w:trHeight w:val="664" w:hRule="exact"/>
        </w:trPr>
        <w:tc>
          <w:tcPr>
            <w:tcW w:w="141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36"/>
              <w:jc w:val="left"/>
              <w:rPr>
                <w:rFonts w:ascii="宋体" w:hAnsi="宋体" w:cs="宋体" w:eastAsia="宋体" w:hint="default"/>
                <w:sz w:val="18"/>
                <w:szCs w:val="18"/>
              </w:rPr>
            </w:pPr>
            <w:r>
              <w:rPr>
                <w:rFonts w:ascii="宋体" w:hAnsi="宋体" w:cs="宋体" w:eastAsia="宋体" w:hint="default"/>
                <w:sz w:val="18"/>
                <w:szCs w:val="18"/>
              </w:rPr>
              <w:t>华润租赁有限公 司</w:t>
            </w:r>
          </w:p>
        </w:tc>
        <w:tc>
          <w:tcPr>
            <w:tcW w:w="1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5,530.68</w:t>
            </w:r>
          </w:p>
        </w:tc>
        <w:tc>
          <w:tcPr>
            <w:tcW w:w="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4.90</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2016-12-29</w:t>
            </w:r>
            <w:r>
              <w:rPr>
                <w:rFonts w:ascii="宋体" w:hAnsi="宋体" w:cs="宋体" w:eastAsia="宋体" w:hint="default"/>
                <w:sz w:val="18"/>
                <w:szCs w:val="18"/>
              </w:rPr>
              <w:t>至</w:t>
            </w:r>
          </w:p>
          <w:p>
            <w:pPr>
              <w:pStyle w:val="TableParagraph"/>
              <w:spacing w:line="240" w:lineRule="auto" w:before="102"/>
              <w:ind w:left="226" w:right="0"/>
              <w:jc w:val="left"/>
              <w:rPr>
                <w:rFonts w:ascii="Times New Roman" w:hAnsi="Times New Roman" w:cs="Times New Roman" w:eastAsia="Times New Roman" w:hint="default"/>
                <w:sz w:val="18"/>
                <w:szCs w:val="18"/>
              </w:rPr>
            </w:pPr>
            <w:r>
              <w:rPr>
                <w:rFonts w:ascii="Times New Roman"/>
                <w:sz w:val="18"/>
              </w:rPr>
              <w:t>2026-12-29</w:t>
            </w:r>
          </w:p>
        </w:tc>
        <w:tc>
          <w:tcPr>
            <w:tcW w:w="97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53"/>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12" w:space="0" w:color="000000"/>
              <w:left w:val="single" w:sz="6" w:space="0" w:color="000000"/>
              <w:bottom w:val="single" w:sz="12" w:space="0" w:color="000000"/>
              <w:right w:val="nil" w:sz="6" w:space="0" w:color="auto"/>
            </w:tcBorders>
          </w:tcPr>
          <w:p>
            <w:pPr>
              <w:pStyle w:val="TableParagraph"/>
              <w:spacing w:line="300" w:lineRule="auto" w:before="10"/>
              <w:ind w:left="3" w:right="7"/>
              <w:jc w:val="left"/>
              <w:rPr>
                <w:rFonts w:ascii="宋体" w:hAnsi="宋体" w:cs="宋体" w:eastAsia="宋体" w:hint="default"/>
                <w:sz w:val="18"/>
                <w:szCs w:val="18"/>
              </w:rPr>
            </w:pPr>
            <w:r>
              <w:rPr>
                <w:rFonts w:ascii="宋体" w:hAnsi="宋体" w:cs="宋体" w:eastAsia="宋体" w:hint="default"/>
                <w:spacing w:val="-2"/>
                <w:sz w:val="18"/>
                <w:szCs w:val="18"/>
              </w:rPr>
              <w:t>质押担保物为明光爱康</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股权，公司以明光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爱康</w:t>
            </w:r>
            <w:r>
              <w:rPr>
                <w:rFonts w:ascii="Times New Roman" w:hAnsi="Times New Roman" w:cs="Times New Roman" w:eastAsia="Times New Roman" w:hint="default"/>
                <w:sz w:val="18"/>
                <w:szCs w:val="18"/>
              </w:rPr>
              <w:t>20MW</w:t>
            </w:r>
            <w:r>
              <w:rPr>
                <w:rFonts w:ascii="宋体" w:hAnsi="宋体" w:cs="宋体" w:eastAsia="宋体" w:hint="default"/>
                <w:sz w:val="18"/>
                <w:szCs w:val="18"/>
              </w:rPr>
              <w:t>光伏电站设备做抵押并以其电费收</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415"/>
        <w:gridCol w:w="1123"/>
        <w:gridCol w:w="743"/>
        <w:gridCol w:w="1307"/>
        <w:gridCol w:w="972"/>
        <w:gridCol w:w="3654"/>
      </w:tblGrid>
      <w:tr>
        <w:trPr>
          <w:trHeight w:val="355" w:hRule="exact"/>
        </w:trPr>
        <w:tc>
          <w:tcPr>
            <w:tcW w:w="1415" w:type="dxa"/>
            <w:tcBorders>
              <w:top w:val="single" w:sz="6" w:space="0" w:color="000000"/>
              <w:left w:val="single" w:sz="6" w:space="0" w:color="000000"/>
              <w:bottom w:val="single" w:sz="12" w:space="0" w:color="000000"/>
              <w:right w:val="single" w:sz="6" w:space="0" w:color="000000"/>
            </w:tcBorders>
          </w:tcPr>
          <w:p>
            <w:pPr/>
          </w:p>
        </w:tc>
        <w:tc>
          <w:tcPr>
            <w:tcW w:w="1123" w:type="dxa"/>
            <w:tcBorders>
              <w:top w:val="single" w:sz="6" w:space="0" w:color="000000"/>
              <w:left w:val="single" w:sz="6" w:space="0" w:color="000000"/>
              <w:bottom w:val="single" w:sz="12" w:space="0" w:color="000000"/>
              <w:right w:val="single" w:sz="6" w:space="0" w:color="000000"/>
            </w:tcBorders>
          </w:tcPr>
          <w:p>
            <w:pPr/>
          </w:p>
        </w:tc>
        <w:tc>
          <w:tcPr>
            <w:tcW w:w="743" w:type="dxa"/>
            <w:tcBorders>
              <w:top w:val="single" w:sz="6" w:space="0" w:color="000000"/>
              <w:left w:val="single" w:sz="6" w:space="0" w:color="000000"/>
              <w:bottom w:val="single" w:sz="12" w:space="0" w:color="000000"/>
              <w:right w:val="single" w:sz="6" w:space="0" w:color="000000"/>
            </w:tcBorders>
          </w:tcPr>
          <w:p>
            <w:pPr/>
          </w:p>
        </w:tc>
        <w:tc>
          <w:tcPr>
            <w:tcW w:w="1307" w:type="dxa"/>
            <w:tcBorders>
              <w:top w:val="single" w:sz="6" w:space="0" w:color="000000"/>
              <w:left w:val="single" w:sz="6" w:space="0" w:color="000000"/>
              <w:bottom w:val="single" w:sz="12" w:space="0" w:color="000000"/>
              <w:right w:val="single" w:sz="6" w:space="0" w:color="000000"/>
            </w:tcBorders>
          </w:tcPr>
          <w:p>
            <w:pPr/>
          </w:p>
        </w:tc>
        <w:tc>
          <w:tcPr>
            <w:tcW w:w="972" w:type="dxa"/>
            <w:tcBorders>
              <w:top w:val="single" w:sz="6" w:space="0" w:color="000000"/>
              <w:left w:val="single" w:sz="6" w:space="0" w:color="000000"/>
              <w:bottom w:val="single" w:sz="12" w:space="0" w:color="000000"/>
              <w:right w:val="single" w:sz="6" w:space="0" w:color="000000"/>
            </w:tcBorders>
          </w:tcPr>
          <w:p>
            <w:pPr/>
          </w:p>
        </w:tc>
        <w:tc>
          <w:tcPr>
            <w:tcW w:w="36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费权作为质押。</w:t>
            </w:r>
          </w:p>
        </w:tc>
      </w:tr>
      <w:tr>
        <w:trPr>
          <w:trHeight w:val="976" w:hRule="exact"/>
        </w:trPr>
        <w:tc>
          <w:tcPr>
            <w:tcW w:w="141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36"/>
              <w:jc w:val="left"/>
              <w:rPr>
                <w:rFonts w:ascii="宋体" w:hAnsi="宋体" w:cs="宋体" w:eastAsia="宋体" w:hint="default"/>
                <w:sz w:val="18"/>
                <w:szCs w:val="18"/>
              </w:rPr>
            </w:pPr>
            <w:r>
              <w:rPr>
                <w:rFonts w:ascii="宋体" w:hAnsi="宋体" w:cs="宋体" w:eastAsia="宋体" w:hint="default"/>
                <w:sz w:val="18"/>
                <w:szCs w:val="18"/>
              </w:rPr>
              <w:t>华夏金融租赁有 限公司</w:t>
            </w:r>
          </w:p>
        </w:tc>
        <w:tc>
          <w:tcPr>
            <w:tcW w:w="1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12,000.00</w:t>
            </w:r>
          </w:p>
        </w:tc>
        <w:tc>
          <w:tcPr>
            <w:tcW w:w="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6.62</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2018-4-27</w:t>
            </w:r>
            <w:r>
              <w:rPr>
                <w:rFonts w:ascii="宋体" w:hAnsi="宋体" w:cs="宋体" w:eastAsia="宋体" w:hint="default"/>
                <w:sz w:val="18"/>
                <w:szCs w:val="18"/>
              </w:rPr>
              <w:t>至</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2018-4-27</w:t>
            </w:r>
          </w:p>
        </w:tc>
        <w:tc>
          <w:tcPr>
            <w:tcW w:w="97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53"/>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12" w:space="0" w:color="000000"/>
              <w:left w:val="single" w:sz="6" w:space="0" w:color="000000"/>
              <w:bottom w:val="single" w:sz="12" w:space="0" w:color="000000"/>
              <w:right w:val="nil" w:sz="6" w:space="0" w:color="auto"/>
            </w:tcBorders>
          </w:tcPr>
          <w:p>
            <w:pPr>
              <w:pStyle w:val="TableParagraph"/>
              <w:spacing w:line="300" w:lineRule="auto" w:before="10"/>
              <w:ind w:left="3" w:right="7"/>
              <w:jc w:val="left"/>
              <w:rPr>
                <w:rFonts w:ascii="宋体" w:hAnsi="宋体" w:cs="宋体" w:eastAsia="宋体" w:hint="default"/>
                <w:sz w:val="18"/>
                <w:szCs w:val="18"/>
              </w:rPr>
            </w:pPr>
            <w:r>
              <w:rPr>
                <w:rFonts w:ascii="宋体" w:hAnsi="宋体" w:cs="宋体" w:eastAsia="宋体" w:hint="default"/>
                <w:spacing w:val="-2"/>
                <w:sz w:val="18"/>
                <w:szCs w:val="18"/>
              </w:rPr>
              <w:t>质押担保物为无棣爱康</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股权，公司以无棣</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光伏电站设备做抵押并以其电费收 费权作为质押。</w:t>
            </w:r>
          </w:p>
        </w:tc>
      </w:tr>
      <w:tr>
        <w:trPr>
          <w:trHeight w:val="977" w:hRule="exact"/>
        </w:trPr>
        <w:tc>
          <w:tcPr>
            <w:tcW w:w="141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2" w:right="137"/>
              <w:jc w:val="left"/>
              <w:rPr>
                <w:rFonts w:ascii="宋体" w:hAnsi="宋体" w:cs="宋体" w:eastAsia="宋体" w:hint="default"/>
                <w:sz w:val="18"/>
                <w:szCs w:val="18"/>
              </w:rPr>
            </w:pPr>
            <w:r>
              <w:rPr>
                <w:rFonts w:ascii="宋体" w:hAnsi="宋体" w:cs="宋体" w:eastAsia="宋体" w:hint="default"/>
                <w:sz w:val="18"/>
                <w:szCs w:val="18"/>
              </w:rPr>
              <w:t>华夏金融租赁有 限公司</w:t>
            </w:r>
          </w:p>
        </w:tc>
        <w:tc>
          <w:tcPr>
            <w:tcW w:w="1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5,000.00</w:t>
            </w:r>
          </w:p>
        </w:tc>
        <w:tc>
          <w:tcPr>
            <w:tcW w:w="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6.71</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2018-6-8</w:t>
            </w:r>
            <w:r>
              <w:rPr>
                <w:rFonts w:ascii="宋体" w:hAnsi="宋体" w:cs="宋体" w:eastAsia="宋体" w:hint="default"/>
                <w:sz w:val="18"/>
                <w:szCs w:val="18"/>
              </w:rPr>
              <w:t>至</w:t>
            </w:r>
          </w:p>
          <w:p>
            <w:pPr>
              <w:pStyle w:val="TableParagraph"/>
              <w:spacing w:line="240" w:lineRule="auto" w:before="102"/>
              <w:ind w:left="316" w:right="0"/>
              <w:jc w:val="left"/>
              <w:rPr>
                <w:rFonts w:ascii="Times New Roman" w:hAnsi="Times New Roman" w:cs="Times New Roman" w:eastAsia="Times New Roman" w:hint="default"/>
                <w:sz w:val="18"/>
                <w:szCs w:val="18"/>
              </w:rPr>
            </w:pPr>
            <w:r>
              <w:rPr>
                <w:rFonts w:ascii="Times New Roman"/>
                <w:sz w:val="18"/>
              </w:rPr>
              <w:t>2028-6-8</w:t>
            </w:r>
          </w:p>
        </w:tc>
        <w:tc>
          <w:tcPr>
            <w:tcW w:w="97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2" w:right="53"/>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12" w:space="0" w:color="000000"/>
              <w:left w:val="single" w:sz="6" w:space="0" w:color="000000"/>
              <w:bottom w:val="single" w:sz="12" w:space="0" w:color="000000"/>
              <w:right w:val="nil" w:sz="6" w:space="0" w:color="auto"/>
            </w:tcBorders>
          </w:tcPr>
          <w:p>
            <w:pPr>
              <w:pStyle w:val="TableParagraph"/>
              <w:spacing w:line="300" w:lineRule="auto" w:before="11"/>
              <w:ind w:left="3" w:right="7"/>
              <w:jc w:val="left"/>
              <w:rPr>
                <w:rFonts w:ascii="宋体" w:hAnsi="宋体" w:cs="宋体" w:eastAsia="宋体" w:hint="default"/>
                <w:sz w:val="18"/>
                <w:szCs w:val="18"/>
              </w:rPr>
            </w:pPr>
            <w:r>
              <w:rPr>
                <w:rFonts w:ascii="宋体" w:hAnsi="宋体" w:cs="宋体" w:eastAsia="宋体" w:hint="default"/>
                <w:spacing w:val="-2"/>
                <w:sz w:val="18"/>
                <w:szCs w:val="18"/>
              </w:rPr>
              <w:t>质押担保物为无棣爱康</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股权，公司以无棣</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二期</w:t>
            </w:r>
            <w:r>
              <w:rPr>
                <w:rFonts w:ascii="Times New Roman" w:hAnsi="Times New Roman" w:cs="Times New Roman" w:eastAsia="Times New Roman" w:hint="default"/>
                <w:sz w:val="18"/>
                <w:szCs w:val="18"/>
              </w:rPr>
              <w:t>10MW</w:t>
            </w:r>
            <w:r>
              <w:rPr>
                <w:rFonts w:ascii="宋体" w:hAnsi="宋体" w:cs="宋体" w:eastAsia="宋体" w:hint="default"/>
                <w:sz w:val="18"/>
                <w:szCs w:val="18"/>
              </w:rPr>
              <w:t>光伏电站设备做抵押并以其电费收 费权作为质押。</w:t>
            </w:r>
          </w:p>
        </w:tc>
      </w:tr>
      <w:tr>
        <w:trPr>
          <w:trHeight w:val="976" w:hRule="exact"/>
        </w:trPr>
        <w:tc>
          <w:tcPr>
            <w:tcW w:w="141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36"/>
              <w:jc w:val="left"/>
              <w:rPr>
                <w:rFonts w:ascii="宋体" w:hAnsi="宋体" w:cs="宋体" w:eastAsia="宋体" w:hint="default"/>
                <w:sz w:val="18"/>
                <w:szCs w:val="18"/>
              </w:rPr>
            </w:pPr>
            <w:r>
              <w:rPr>
                <w:rFonts w:ascii="宋体" w:hAnsi="宋体" w:cs="宋体" w:eastAsia="宋体" w:hint="default"/>
                <w:sz w:val="18"/>
                <w:szCs w:val="18"/>
              </w:rPr>
              <w:t>华夏金融租赁有 限公司</w:t>
            </w:r>
          </w:p>
        </w:tc>
        <w:tc>
          <w:tcPr>
            <w:tcW w:w="1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5,000.00</w:t>
            </w:r>
          </w:p>
        </w:tc>
        <w:tc>
          <w:tcPr>
            <w:tcW w:w="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6.71</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2018-6-8</w:t>
            </w:r>
            <w:r>
              <w:rPr>
                <w:rFonts w:ascii="宋体" w:hAnsi="宋体" w:cs="宋体" w:eastAsia="宋体" w:hint="default"/>
                <w:sz w:val="18"/>
                <w:szCs w:val="18"/>
              </w:rPr>
              <w:t>至</w:t>
            </w:r>
          </w:p>
          <w:p>
            <w:pPr>
              <w:pStyle w:val="TableParagraph"/>
              <w:spacing w:line="240" w:lineRule="auto" w:before="102"/>
              <w:ind w:left="316" w:right="0"/>
              <w:jc w:val="left"/>
              <w:rPr>
                <w:rFonts w:ascii="Times New Roman" w:hAnsi="Times New Roman" w:cs="Times New Roman" w:eastAsia="Times New Roman" w:hint="default"/>
                <w:sz w:val="18"/>
                <w:szCs w:val="18"/>
              </w:rPr>
            </w:pPr>
            <w:r>
              <w:rPr>
                <w:rFonts w:ascii="Times New Roman"/>
                <w:sz w:val="18"/>
              </w:rPr>
              <w:t>2028-6-8</w:t>
            </w:r>
          </w:p>
        </w:tc>
        <w:tc>
          <w:tcPr>
            <w:tcW w:w="97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53"/>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12" w:space="0" w:color="000000"/>
              <w:left w:val="single" w:sz="6" w:space="0" w:color="000000"/>
              <w:bottom w:val="single" w:sz="12" w:space="0" w:color="000000"/>
              <w:right w:val="nil" w:sz="6" w:space="0" w:color="auto"/>
            </w:tcBorders>
          </w:tcPr>
          <w:p>
            <w:pPr>
              <w:pStyle w:val="TableParagraph"/>
              <w:spacing w:line="300" w:lineRule="auto" w:before="10"/>
              <w:ind w:left="3" w:right="7"/>
              <w:jc w:val="left"/>
              <w:rPr>
                <w:rFonts w:ascii="宋体" w:hAnsi="宋体" w:cs="宋体" w:eastAsia="宋体" w:hint="default"/>
                <w:sz w:val="18"/>
                <w:szCs w:val="18"/>
              </w:rPr>
            </w:pPr>
            <w:r>
              <w:rPr>
                <w:rFonts w:ascii="宋体" w:hAnsi="宋体" w:cs="宋体" w:eastAsia="宋体" w:hint="default"/>
                <w:spacing w:val="-2"/>
                <w:sz w:val="18"/>
                <w:szCs w:val="18"/>
              </w:rPr>
              <w:t>质押担保物为无棣爱康</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股权，公司以无棣</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三期</w:t>
            </w:r>
            <w:r>
              <w:rPr>
                <w:rFonts w:ascii="Times New Roman" w:hAnsi="Times New Roman" w:cs="Times New Roman" w:eastAsia="Times New Roman" w:hint="default"/>
                <w:sz w:val="18"/>
                <w:szCs w:val="18"/>
              </w:rPr>
              <w:t>10MW</w:t>
            </w:r>
            <w:r>
              <w:rPr>
                <w:rFonts w:ascii="宋体" w:hAnsi="宋体" w:cs="宋体" w:eastAsia="宋体" w:hint="default"/>
                <w:sz w:val="18"/>
                <w:szCs w:val="18"/>
              </w:rPr>
              <w:t>光伏电站设备做抵押并以其电费收 费权作为质押。</w:t>
            </w:r>
          </w:p>
        </w:tc>
      </w:tr>
      <w:tr>
        <w:trPr>
          <w:trHeight w:val="976" w:hRule="exact"/>
        </w:trPr>
        <w:tc>
          <w:tcPr>
            <w:tcW w:w="141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36"/>
              <w:jc w:val="left"/>
              <w:rPr>
                <w:rFonts w:ascii="宋体" w:hAnsi="宋体" w:cs="宋体" w:eastAsia="宋体" w:hint="default"/>
                <w:sz w:val="18"/>
                <w:szCs w:val="18"/>
              </w:rPr>
            </w:pPr>
            <w:r>
              <w:rPr>
                <w:rFonts w:ascii="宋体" w:hAnsi="宋体" w:cs="宋体" w:eastAsia="宋体" w:hint="default"/>
                <w:sz w:val="18"/>
                <w:szCs w:val="18"/>
              </w:rPr>
              <w:t>华夏金融租赁有 限公司</w:t>
            </w:r>
          </w:p>
        </w:tc>
        <w:tc>
          <w:tcPr>
            <w:tcW w:w="1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20,000.00</w:t>
            </w:r>
          </w:p>
        </w:tc>
        <w:tc>
          <w:tcPr>
            <w:tcW w:w="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6.71</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2018-6-8</w:t>
            </w:r>
            <w:r>
              <w:rPr>
                <w:rFonts w:ascii="宋体" w:hAnsi="宋体" w:cs="宋体" w:eastAsia="宋体" w:hint="default"/>
                <w:sz w:val="18"/>
                <w:szCs w:val="18"/>
              </w:rPr>
              <w:t>至</w:t>
            </w:r>
          </w:p>
          <w:p>
            <w:pPr>
              <w:pStyle w:val="TableParagraph"/>
              <w:spacing w:line="240" w:lineRule="auto" w:before="102"/>
              <w:ind w:left="316" w:right="0"/>
              <w:jc w:val="left"/>
              <w:rPr>
                <w:rFonts w:ascii="Times New Roman" w:hAnsi="Times New Roman" w:cs="Times New Roman" w:eastAsia="Times New Roman" w:hint="default"/>
                <w:sz w:val="18"/>
                <w:szCs w:val="18"/>
              </w:rPr>
            </w:pPr>
            <w:r>
              <w:rPr>
                <w:rFonts w:ascii="Times New Roman"/>
                <w:sz w:val="18"/>
              </w:rPr>
              <w:t>2028-6-8</w:t>
            </w:r>
          </w:p>
        </w:tc>
        <w:tc>
          <w:tcPr>
            <w:tcW w:w="97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53"/>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12" w:space="0" w:color="000000"/>
              <w:left w:val="single" w:sz="6" w:space="0" w:color="000000"/>
              <w:bottom w:val="single" w:sz="12" w:space="0" w:color="000000"/>
              <w:right w:val="nil" w:sz="6" w:space="0" w:color="auto"/>
            </w:tcBorders>
          </w:tcPr>
          <w:p>
            <w:pPr>
              <w:pStyle w:val="TableParagraph"/>
              <w:spacing w:line="300" w:lineRule="auto" w:before="10"/>
              <w:ind w:left="3" w:right="7"/>
              <w:jc w:val="left"/>
              <w:rPr>
                <w:rFonts w:ascii="宋体" w:hAnsi="宋体" w:cs="宋体" w:eastAsia="宋体" w:hint="default"/>
                <w:sz w:val="18"/>
                <w:szCs w:val="18"/>
              </w:rPr>
            </w:pPr>
            <w:r>
              <w:rPr>
                <w:rFonts w:ascii="宋体" w:hAnsi="宋体" w:cs="宋体" w:eastAsia="宋体" w:hint="default"/>
                <w:spacing w:val="-2"/>
                <w:sz w:val="18"/>
                <w:szCs w:val="18"/>
              </w:rPr>
              <w:t>质押担保物为无棣爱康</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股权，公司以无棣</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四期</w:t>
            </w:r>
            <w:r>
              <w:rPr>
                <w:rFonts w:ascii="Times New Roman" w:hAnsi="Times New Roman" w:cs="Times New Roman" w:eastAsia="Times New Roman" w:hint="default"/>
                <w:sz w:val="18"/>
                <w:szCs w:val="18"/>
              </w:rPr>
              <w:t>20MW</w:t>
            </w:r>
            <w:r>
              <w:rPr>
                <w:rFonts w:ascii="宋体" w:hAnsi="宋体" w:cs="宋体" w:eastAsia="宋体" w:hint="default"/>
                <w:sz w:val="18"/>
                <w:szCs w:val="18"/>
              </w:rPr>
              <w:t>光伏电站设备做抵押并以其电费收 费权作为质押。</w:t>
            </w:r>
          </w:p>
        </w:tc>
      </w:tr>
      <w:tr>
        <w:trPr>
          <w:trHeight w:val="977" w:hRule="exact"/>
        </w:trPr>
        <w:tc>
          <w:tcPr>
            <w:tcW w:w="141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36"/>
              <w:jc w:val="both"/>
              <w:rPr>
                <w:rFonts w:ascii="宋体" w:hAnsi="宋体" w:cs="宋体" w:eastAsia="宋体" w:hint="default"/>
                <w:sz w:val="18"/>
                <w:szCs w:val="18"/>
              </w:rPr>
            </w:pPr>
            <w:r>
              <w:rPr>
                <w:rFonts w:ascii="宋体" w:hAnsi="宋体" w:cs="宋体" w:eastAsia="宋体" w:hint="default"/>
                <w:sz w:val="18"/>
                <w:szCs w:val="18"/>
              </w:rPr>
              <w:t>上海爱康富罗纳 融资租赁有限公 司</w:t>
            </w:r>
          </w:p>
        </w:tc>
        <w:tc>
          <w:tcPr>
            <w:tcW w:w="1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36,000.00</w:t>
            </w:r>
          </w:p>
        </w:tc>
        <w:tc>
          <w:tcPr>
            <w:tcW w:w="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6.71</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2018-9-21</w:t>
            </w:r>
            <w:r>
              <w:rPr>
                <w:rFonts w:ascii="宋体" w:hAnsi="宋体" w:cs="宋体" w:eastAsia="宋体" w:hint="default"/>
                <w:sz w:val="18"/>
                <w:szCs w:val="18"/>
              </w:rPr>
              <w:t>至</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2028-9-21</w:t>
            </w:r>
          </w:p>
        </w:tc>
        <w:tc>
          <w:tcPr>
            <w:tcW w:w="97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53"/>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12" w:space="0" w:color="000000"/>
              <w:left w:val="single" w:sz="6" w:space="0" w:color="000000"/>
              <w:bottom w:val="single" w:sz="12" w:space="0" w:color="000000"/>
              <w:right w:val="nil" w:sz="6" w:space="0" w:color="auto"/>
            </w:tcBorders>
          </w:tcPr>
          <w:p>
            <w:pPr>
              <w:pStyle w:val="TableParagraph"/>
              <w:spacing w:line="300" w:lineRule="auto" w:before="10"/>
              <w:ind w:left="3" w:right="71"/>
              <w:jc w:val="left"/>
              <w:rPr>
                <w:rFonts w:ascii="宋体" w:hAnsi="宋体" w:cs="宋体" w:eastAsia="宋体" w:hint="default"/>
                <w:sz w:val="18"/>
                <w:szCs w:val="18"/>
              </w:rPr>
            </w:pPr>
            <w:r>
              <w:rPr>
                <w:rFonts w:ascii="宋体" w:hAnsi="宋体" w:cs="宋体" w:eastAsia="宋体" w:hint="default"/>
                <w:sz w:val="18"/>
                <w:szCs w:val="18"/>
              </w:rPr>
              <w:t>质押担保物为南召</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股权，公司以南召 </w:t>
            </w:r>
            <w:r>
              <w:rPr>
                <w:rFonts w:ascii="Times New Roman" w:hAnsi="Times New Roman" w:cs="Times New Roman" w:eastAsia="Times New Roman" w:hint="default"/>
                <w:sz w:val="18"/>
                <w:szCs w:val="18"/>
              </w:rPr>
              <w:t>80MW</w:t>
            </w:r>
            <w:r>
              <w:rPr>
                <w:rFonts w:ascii="宋体" w:hAnsi="宋体" w:cs="宋体" w:eastAsia="宋体" w:hint="default"/>
                <w:sz w:val="18"/>
                <w:szCs w:val="18"/>
              </w:rPr>
              <w:t>光伏电站设备做抵押并以其电费收费权 作为质押。</w:t>
            </w:r>
          </w:p>
        </w:tc>
      </w:tr>
      <w:tr>
        <w:trPr>
          <w:trHeight w:val="976" w:hRule="exact"/>
        </w:trPr>
        <w:tc>
          <w:tcPr>
            <w:tcW w:w="141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36"/>
              <w:jc w:val="both"/>
              <w:rPr>
                <w:rFonts w:ascii="宋体" w:hAnsi="宋体" w:cs="宋体" w:eastAsia="宋体" w:hint="default"/>
                <w:sz w:val="18"/>
                <w:szCs w:val="18"/>
              </w:rPr>
            </w:pPr>
            <w:r>
              <w:rPr>
                <w:rFonts w:ascii="宋体" w:hAnsi="宋体" w:cs="宋体" w:eastAsia="宋体" w:hint="default"/>
                <w:sz w:val="18"/>
                <w:szCs w:val="18"/>
              </w:rPr>
              <w:t>上海爱康富罗纳 融资租赁有限公 司</w:t>
            </w:r>
          </w:p>
        </w:tc>
        <w:tc>
          <w:tcPr>
            <w:tcW w:w="1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4,500.00</w:t>
            </w:r>
          </w:p>
        </w:tc>
        <w:tc>
          <w:tcPr>
            <w:tcW w:w="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6.71</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2018-9-21</w:t>
            </w:r>
            <w:r>
              <w:rPr>
                <w:rFonts w:ascii="宋体" w:hAnsi="宋体" w:cs="宋体" w:eastAsia="宋体" w:hint="default"/>
                <w:sz w:val="18"/>
                <w:szCs w:val="18"/>
              </w:rPr>
              <w:t>至</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2028-9-21</w:t>
            </w:r>
          </w:p>
        </w:tc>
        <w:tc>
          <w:tcPr>
            <w:tcW w:w="97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53"/>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12" w:space="0" w:color="000000"/>
              <w:left w:val="single" w:sz="6" w:space="0" w:color="000000"/>
              <w:bottom w:val="single" w:sz="12" w:space="0" w:color="000000"/>
              <w:right w:val="nil" w:sz="6" w:space="0" w:color="auto"/>
            </w:tcBorders>
          </w:tcPr>
          <w:p>
            <w:pPr>
              <w:pStyle w:val="TableParagraph"/>
              <w:spacing w:line="300" w:lineRule="auto" w:before="10"/>
              <w:ind w:left="3" w:right="7"/>
              <w:jc w:val="left"/>
              <w:rPr>
                <w:rFonts w:ascii="宋体" w:hAnsi="宋体" w:cs="宋体" w:eastAsia="宋体" w:hint="default"/>
                <w:sz w:val="18"/>
                <w:szCs w:val="18"/>
              </w:rPr>
            </w:pPr>
            <w:r>
              <w:rPr>
                <w:rFonts w:ascii="宋体" w:hAnsi="宋体" w:cs="宋体" w:eastAsia="宋体" w:hint="default"/>
                <w:spacing w:val="-2"/>
                <w:sz w:val="18"/>
                <w:szCs w:val="18"/>
              </w:rPr>
              <w:t>质押担保物为莒南鑫顺风</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股权，公司以莒</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南</w:t>
            </w:r>
            <w:r>
              <w:rPr>
                <w:rFonts w:ascii="Times New Roman" w:hAnsi="Times New Roman" w:cs="Times New Roman" w:eastAsia="Times New Roman" w:hint="default"/>
                <w:sz w:val="18"/>
                <w:szCs w:val="18"/>
              </w:rPr>
              <w:t>10MW</w:t>
            </w:r>
            <w:r>
              <w:rPr>
                <w:rFonts w:ascii="宋体" w:hAnsi="宋体" w:cs="宋体" w:eastAsia="宋体" w:hint="default"/>
                <w:sz w:val="18"/>
                <w:szCs w:val="18"/>
              </w:rPr>
              <w:t>光伏电站设备做抵押并以其电费收费 权作为质押。</w:t>
            </w:r>
          </w:p>
        </w:tc>
      </w:tr>
      <w:tr>
        <w:trPr>
          <w:trHeight w:val="1600" w:hRule="exact"/>
        </w:trPr>
        <w:tc>
          <w:tcPr>
            <w:tcW w:w="141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136"/>
              <w:jc w:val="left"/>
              <w:rPr>
                <w:rFonts w:ascii="宋体" w:hAnsi="宋体" w:cs="宋体" w:eastAsia="宋体" w:hint="default"/>
                <w:sz w:val="18"/>
                <w:szCs w:val="18"/>
              </w:rPr>
            </w:pPr>
            <w:r>
              <w:rPr>
                <w:rFonts w:ascii="宋体" w:hAnsi="宋体" w:cs="宋体" w:eastAsia="宋体" w:hint="default"/>
                <w:sz w:val="18"/>
                <w:szCs w:val="18"/>
              </w:rPr>
              <w:t>信达金融租赁有 限公司</w:t>
            </w:r>
          </w:p>
        </w:tc>
        <w:tc>
          <w:tcPr>
            <w:tcW w:w="1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10,000.00</w:t>
            </w:r>
          </w:p>
        </w:tc>
        <w:tc>
          <w:tcPr>
            <w:tcW w:w="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4.90</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2018-7-6</w:t>
            </w:r>
            <w:r>
              <w:rPr>
                <w:rFonts w:ascii="宋体" w:hAnsi="宋体" w:cs="宋体" w:eastAsia="宋体" w:hint="default"/>
                <w:sz w:val="18"/>
                <w:szCs w:val="18"/>
              </w:rPr>
              <w:t>至</w:t>
            </w:r>
          </w:p>
          <w:p>
            <w:pPr>
              <w:pStyle w:val="TableParagraph"/>
              <w:spacing w:line="240" w:lineRule="auto" w:before="102"/>
              <w:ind w:left="316" w:right="0"/>
              <w:jc w:val="left"/>
              <w:rPr>
                <w:rFonts w:ascii="Times New Roman" w:hAnsi="Times New Roman" w:cs="Times New Roman" w:eastAsia="Times New Roman" w:hint="default"/>
                <w:sz w:val="18"/>
                <w:szCs w:val="18"/>
              </w:rPr>
            </w:pPr>
            <w:r>
              <w:rPr>
                <w:rFonts w:ascii="Times New Roman"/>
                <w:sz w:val="18"/>
              </w:rPr>
              <w:t>2026-7-6</w:t>
            </w:r>
          </w:p>
        </w:tc>
        <w:tc>
          <w:tcPr>
            <w:tcW w:w="97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53"/>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12" w:space="0" w:color="000000"/>
              <w:left w:val="single" w:sz="6" w:space="0" w:color="000000"/>
              <w:bottom w:val="single" w:sz="12" w:space="0" w:color="000000"/>
              <w:right w:val="nil" w:sz="6" w:space="0" w:color="auto"/>
            </w:tcBorders>
          </w:tcPr>
          <w:p>
            <w:pPr>
              <w:pStyle w:val="TableParagraph"/>
              <w:spacing w:line="309" w:lineRule="auto" w:before="10"/>
              <w:ind w:left="3" w:right="41"/>
              <w:jc w:val="left"/>
              <w:rPr>
                <w:rFonts w:ascii="宋体" w:hAnsi="宋体" w:cs="宋体" w:eastAsia="宋体" w:hint="default"/>
                <w:sz w:val="18"/>
                <w:szCs w:val="18"/>
              </w:rPr>
            </w:pPr>
            <w:r>
              <w:rPr>
                <w:rFonts w:ascii="宋体" w:hAnsi="宋体" w:cs="宋体" w:eastAsia="宋体" w:hint="default"/>
                <w:sz w:val="18"/>
                <w:szCs w:val="18"/>
              </w:rPr>
              <w:t>邹承慧为本借款承担个人无限连带责任担保， 本公司以其持有的对禄劝爱康的</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 作为质押物进行质押担保，公司以禄劝爱康 </w:t>
            </w:r>
            <w:r>
              <w:rPr>
                <w:rFonts w:ascii="Times New Roman" w:hAnsi="Times New Roman" w:cs="Times New Roman" w:eastAsia="Times New Roman" w:hint="default"/>
                <w:sz w:val="18"/>
                <w:szCs w:val="18"/>
              </w:rPr>
              <w:t>20MW</w:t>
            </w:r>
            <w:r>
              <w:rPr>
                <w:rFonts w:ascii="宋体" w:hAnsi="宋体" w:cs="宋体" w:eastAsia="宋体" w:hint="default"/>
                <w:sz w:val="18"/>
                <w:szCs w:val="18"/>
              </w:rPr>
              <w:t>光伏电站设备做抵押并以其电费收费权 作为质押。</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2）专项应付款" w:id="344"/>
      <w:bookmarkEnd w:id="344"/>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单位：人民币元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40、长期应付职工薪酬" w:id="345"/>
      <w:bookmarkEnd w:id="345"/>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长期应付职工薪酬表" w:id="346"/>
      <w:bookmarkEnd w:id="346"/>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1122"/>
        <w:jc w:val="left"/>
        <w:rPr>
          <w:b w:val="0"/>
          <w:bCs w:val="0"/>
        </w:rPr>
      </w:pPr>
      <w:bookmarkStart w:name="（2）设定受益计划变动情况" w:id="347"/>
      <w:bookmarkEnd w:id="347"/>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2"/>
        <w:jc w:val="left"/>
      </w:pPr>
      <w:r>
        <w:rPr/>
        <w:t>设定受益计划义务现值：</w:t>
      </w:r>
    </w:p>
    <w:p>
      <w:pPr>
        <w:pStyle w:val="BodyText"/>
        <w:spacing w:line="240" w:lineRule="auto" w:before="117"/>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122"/>
        <w:jc w:val="left"/>
      </w:pPr>
      <w:r>
        <w:rPr/>
        <w:t>计划资产：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1122"/>
        <w:jc w:val="left"/>
      </w:pPr>
      <w:r>
        <w:rPr/>
        <w:t>设定受益计划净负债（净资产）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right="3552"/>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6"/>
        <w:ind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41、预计负债" w:id="348"/>
      <w:bookmarkEnd w:id="348"/>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32,931,322.16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30,578,345.15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股转合同义务（消缺支出）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37,351,214.37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70,282,536.53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30,578,345.15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6072"/>
        <w:jc w:val="left"/>
      </w:pPr>
      <w:r>
        <w:rPr/>
        <w:t>其他说明，包括重要预计负债的相关重要假设、估计说明： 无</w:t>
      </w:r>
    </w:p>
    <w:p>
      <w:pPr>
        <w:spacing w:line="240" w:lineRule="auto" w:before="2"/>
        <w:rPr>
          <w:rFonts w:ascii="宋体" w:hAnsi="宋体" w:cs="宋体" w:eastAsia="宋体" w:hint="default"/>
          <w:sz w:val="20"/>
          <w:szCs w:val="20"/>
        </w:rPr>
      </w:pPr>
    </w:p>
    <w:p>
      <w:pPr>
        <w:pStyle w:val="Heading3"/>
        <w:spacing w:line="240" w:lineRule="auto"/>
        <w:ind w:right="1122"/>
        <w:jc w:val="left"/>
        <w:rPr>
          <w:b w:val="0"/>
          <w:bCs w:val="0"/>
        </w:rPr>
      </w:pPr>
      <w:bookmarkStart w:name="42、递延收益" w:id="349"/>
      <w:bookmarkEnd w:id="349"/>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55,665,336.96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6,387,480.00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22,981,585.51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39,071,231.45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55,665,336.96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6,387,480.00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22,981,585.51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39,071,231.45</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22"/>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基建建设投 资返还款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32,129,599.9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14,640,663.8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17,488,936.1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9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张家港市光 伏发电专项 扶持资金 </w:t>
            </w:r>
            <w:r>
              <w:rPr>
                <w:rFonts w:ascii="Times New Roman" w:hAnsi="Times New Roman" w:cs="Times New Roman" w:eastAsia="Times New Roman" w:hint="default"/>
                <w:sz w:val="18"/>
                <w:szCs w:val="18"/>
              </w:rPr>
              <w:t>(5.73MW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4,583,999.76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286,500.12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4,297,499.64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张家港市服 务业发展与 改革引导资 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58,510.65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441,489.35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商信委扶持 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197,826.09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-3,002,173.91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分布式光伏 发电项目区 域战略推进 专项资金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1,854,666.67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104,986.57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-1,749,680.10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新兴产业投 资基金专项 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9,619,599.75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1,697,576.40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7,922,023.35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先进制造业 补贴资金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449,107.96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48,552.24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400,555.72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地方特色产 业中小企业 发展专项资 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243,362.83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12,560.16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-230,802.67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组件项目厂 房设备和基 础设施奖励 补贴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5,608,300.00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943,610.00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8,249,690.00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西安市推进 分布式光伏 发电应用补 贴</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279,180.00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8,142.75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271,037.25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55,665,336.9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6,387,480.00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17,998,928.8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-4,982,656.68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39,071,231.4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pStyle w:val="BodyText"/>
        <w:spacing w:line="357" w:lineRule="auto" w:before="51"/>
        <w:ind w:left="514" w:right="9852" w:hanging="360"/>
        <w:jc w:val="left"/>
      </w:pPr>
      <w:r>
        <w:rPr/>
        <w:t>其他说明： 注：</w:t>
      </w:r>
    </w:p>
    <w:p>
      <w:pPr>
        <w:pStyle w:val="BodyText"/>
        <w:spacing w:line="237" w:lineRule="exact"/>
        <w:ind w:right="0" w:firstLine="360"/>
        <w:jc w:val="left"/>
      </w:pPr>
      <w:r>
        <w:rPr/>
        <w:t>（</w:t>
      </w:r>
      <w:r>
        <w:rPr>
          <w:rFonts w:ascii="Times New Roman" w:hAnsi="Times New Roman" w:cs="Times New Roman" w:eastAsia="Times New Roman" w:hint="default"/>
        </w:rPr>
        <w:t>1</w:t>
      </w:r>
      <w:r>
        <w:rPr/>
        <w:t>）本公司之子公司南通爱康金属科技有限公司</w:t>
      </w:r>
      <w:r>
        <w:rPr>
          <w:rFonts w:ascii="Times New Roman" w:hAnsi="Times New Roman" w:cs="Times New Roman" w:eastAsia="Times New Roman" w:hint="default"/>
        </w:rPr>
        <w:t>2011</w:t>
      </w:r>
      <w:r>
        <w:rPr/>
        <w:t>年根据与江苏省如皋经济开发区管委会签订的有关协议取得基建</w:t>
      </w:r>
    </w:p>
    <w:p>
      <w:pPr>
        <w:pStyle w:val="BodyText"/>
        <w:spacing w:line="300" w:lineRule="auto" w:before="63"/>
        <w:ind w:right="1122"/>
        <w:jc w:val="left"/>
      </w:pPr>
      <w:r>
        <w:rPr>
          <w:spacing w:val="-2"/>
        </w:rPr>
        <w:t>建设投资返还款</w:t>
      </w:r>
      <w:r>
        <w:rPr>
          <w:rFonts w:ascii="Times New Roman" w:hAnsi="Times New Roman" w:cs="Times New Roman" w:eastAsia="Times New Roman" w:hint="default"/>
          <w:spacing w:val="-2"/>
        </w:rPr>
        <w:t>3,736.00</w:t>
      </w:r>
      <w:r>
        <w:rPr>
          <w:spacing w:val="-2"/>
        </w:rPr>
        <w:t>万元，在相关资产寿命内分配计入当期损益</w:t>
      </w:r>
      <w:r>
        <w:rPr>
          <w:rFonts w:ascii="Times New Roman" w:hAnsi="Times New Roman" w:cs="Times New Roman" w:eastAsia="Times New Roman" w:hint="default"/>
          <w:spacing w:val="-2"/>
        </w:rPr>
        <w:t>581,801.62</w:t>
      </w:r>
      <w:r>
        <w:rPr>
          <w:spacing w:val="-2"/>
        </w:rPr>
        <w:t>元，因相关资产处置而同比例一次性转入当期</w:t>
      </w:r>
      <w:r>
        <w:rPr>
          <w:spacing w:val="-50"/>
        </w:rPr>
        <w:t> </w:t>
      </w:r>
      <w:r>
        <w:rPr>
          <w:spacing w:val="-50"/>
        </w:rPr>
      </w:r>
      <w:r>
        <w:rPr/>
        <w:t>损益</w:t>
      </w:r>
      <w:r>
        <w:rPr>
          <w:rFonts w:ascii="Times New Roman" w:hAnsi="Times New Roman" w:cs="Times New Roman" w:eastAsia="Times New Roman" w:hint="default"/>
        </w:rPr>
        <w:t>14,058,862.23</w:t>
      </w:r>
      <w:r>
        <w:rPr/>
        <w:t>元。</w:t>
      </w:r>
    </w:p>
    <w:p>
      <w:pPr>
        <w:pStyle w:val="BodyText"/>
        <w:spacing w:line="300" w:lineRule="auto" w:before="13"/>
        <w:ind w:right="0" w:firstLine="360"/>
        <w:jc w:val="left"/>
      </w:pPr>
      <w:r>
        <w:rPr>
          <w:spacing w:val="-4"/>
        </w:rPr>
        <w:t>（</w:t>
      </w:r>
      <w:r>
        <w:rPr>
          <w:rFonts w:ascii="Times New Roman" w:hAnsi="Times New Roman" w:cs="Times New Roman" w:eastAsia="Times New Roman" w:hint="default"/>
          <w:spacing w:val="-4"/>
        </w:rPr>
        <w:t>2</w:t>
      </w:r>
      <w:r>
        <w:rPr>
          <w:spacing w:val="-4"/>
        </w:rPr>
        <w:t>）根据张家港市人民政府《关于印发关于鼓励太阳能光伏发电示范工程建设工作意见的通知》（张政发</w:t>
      </w:r>
      <w:r>
        <w:rPr>
          <w:rFonts w:ascii="Times New Roman" w:hAnsi="Times New Roman" w:cs="Times New Roman" w:eastAsia="Times New Roman" w:hint="default"/>
          <w:spacing w:val="-4"/>
        </w:rPr>
        <w:t>[2012]10</w:t>
      </w:r>
      <w:r>
        <w:rPr>
          <w:spacing w:val="-4"/>
        </w:rPr>
        <w:t>号），</w:t>
      </w:r>
      <w:r>
        <w:rPr/>
        <w:t> </w:t>
      </w:r>
      <w:r>
        <w:rPr>
          <w:spacing w:val="2"/>
        </w:rPr>
        <w:t>本公司之子公司苏州中康电力开发有限公司建设的苏州盛康科技有限公司</w:t>
      </w:r>
      <w:r>
        <w:rPr>
          <w:rFonts w:ascii="Times New Roman" w:hAnsi="Times New Roman" w:cs="Times New Roman" w:eastAsia="Times New Roman" w:hint="default"/>
          <w:spacing w:val="2"/>
        </w:rPr>
        <w:t>2.23MW</w:t>
      </w:r>
      <w:r>
        <w:rPr>
          <w:spacing w:val="2"/>
        </w:rPr>
        <w:t>屋顶项目、苏州爱康金属科技有限公司</w:t>
      </w:r>
      <w:r>
        <w:rPr>
          <w:spacing w:val="-55"/>
        </w:rPr>
        <w:t> </w:t>
      </w:r>
      <w:r>
        <w:rPr>
          <w:spacing w:val="-55"/>
        </w:rPr>
      </w:r>
      <w:r>
        <w:rPr>
          <w:rFonts w:ascii="Times New Roman" w:hAnsi="Times New Roman" w:cs="Times New Roman" w:eastAsia="Times New Roman" w:hint="default"/>
        </w:rPr>
        <w:t>1MW</w:t>
      </w:r>
      <w:r>
        <w:rPr/>
        <w:t>屋顶项目、苏州爱康薄膜新材料有限公司</w:t>
      </w:r>
      <w:r>
        <w:rPr>
          <w:rFonts w:ascii="Times New Roman" w:hAnsi="Times New Roman" w:cs="Times New Roman" w:eastAsia="Times New Roman" w:hint="default"/>
        </w:rPr>
        <w:t>1MW</w:t>
      </w:r>
      <w:r>
        <w:rPr/>
        <w:t>屋顶项目和江苏神州铝业有限公司</w:t>
      </w:r>
      <w:r>
        <w:rPr>
          <w:rFonts w:ascii="Times New Roman" w:hAnsi="Times New Roman" w:cs="Times New Roman" w:eastAsia="Times New Roman" w:hint="default"/>
        </w:rPr>
        <w:t>1.5MW</w:t>
      </w:r>
      <w:r>
        <w:rPr/>
        <w:t>屋顶项目等四个分布式光伏发 电项目，由市政府按照</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瓦给予新兴产业投资基金光伏发电专项扶持资金补贴，累计收到</w:t>
      </w:r>
      <w:r>
        <w:rPr>
          <w:rFonts w:ascii="Times New Roman" w:hAnsi="Times New Roman" w:cs="Times New Roman" w:eastAsia="Times New Roman" w:hint="default"/>
        </w:rPr>
        <w:t>573.00</w:t>
      </w:r>
      <w:r>
        <w:rPr/>
        <w:t>万元的补贴。本年转入当 期损益</w:t>
      </w:r>
      <w:r>
        <w:rPr>
          <w:rFonts w:ascii="Times New Roman" w:hAnsi="Times New Roman" w:cs="Times New Roman" w:eastAsia="Times New Roman" w:hint="default"/>
        </w:rPr>
        <w:t>286,500.12</w:t>
      </w:r>
      <w:r>
        <w:rPr/>
        <w:t>元。</w:t>
      </w:r>
    </w:p>
    <w:p>
      <w:pPr>
        <w:pStyle w:val="BodyText"/>
        <w:spacing w:line="240" w:lineRule="auto" w:before="13"/>
        <w:ind w:left="514" w:right="0"/>
        <w:jc w:val="left"/>
      </w:pPr>
      <w:r>
        <w:rPr/>
        <w:t>（</w:t>
      </w:r>
      <w:r>
        <w:rPr>
          <w:rFonts w:ascii="Times New Roman" w:hAnsi="Times New Roman" w:cs="Times New Roman" w:eastAsia="Times New Roman" w:hint="default"/>
        </w:rPr>
        <w:t>3</w:t>
      </w:r>
      <w:r>
        <w:rPr/>
        <w:t>）根据张家港市财政局《关于拨付</w:t>
      </w:r>
      <w:r>
        <w:rPr>
          <w:rFonts w:ascii="Times New Roman" w:hAnsi="Times New Roman" w:cs="Times New Roman" w:eastAsia="Times New Roman" w:hint="default"/>
        </w:rPr>
        <w:t>2017</w:t>
      </w:r>
      <w:r>
        <w:rPr/>
        <w:t>年市服务业发展与改革引导资金的通知》（张财企</w:t>
      </w:r>
      <w:r>
        <w:rPr>
          <w:rFonts w:ascii="Times New Roman" w:hAnsi="Times New Roman" w:cs="Times New Roman" w:eastAsia="Times New Roman" w:hint="default"/>
        </w:rPr>
        <w:t>[2018]2</w:t>
      </w:r>
      <w:r>
        <w:rPr/>
        <w:t>号），本公司之子</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公司苏州中康电力开发有限公司收到</w:t>
      </w:r>
      <w:r>
        <w:rPr>
          <w:rFonts w:ascii="Times New Roman" w:hAnsi="Times New Roman" w:cs="Times New Roman" w:eastAsia="Times New Roman" w:hint="default"/>
        </w:rPr>
        <w:t>2017</w:t>
      </w:r>
      <w:r>
        <w:rPr/>
        <w:t>年张家港市服务业发展与改革引导资金</w:t>
      </w:r>
      <w:r>
        <w:rPr>
          <w:rFonts w:ascii="Times New Roman" w:hAnsi="Times New Roman" w:cs="Times New Roman" w:eastAsia="Times New Roman" w:hint="default"/>
        </w:rPr>
        <w:t>50.00</w:t>
      </w:r>
      <w:r>
        <w:rPr/>
        <w:t>万元。本年转入当期损益</w:t>
      </w:r>
      <w:r>
        <w:rPr>
          <w:rFonts w:ascii="Times New Roman" w:hAnsi="Times New Roman" w:cs="Times New Roman" w:eastAsia="Times New Roman" w:hint="default"/>
        </w:rPr>
        <w:t>58,510.65</w:t>
      </w:r>
      <w:r>
        <w:rPr/>
        <w:t>元。</w:t>
      </w:r>
    </w:p>
    <w:p>
      <w:pPr>
        <w:pStyle w:val="BodyText"/>
        <w:spacing w:line="300" w:lineRule="auto" w:before="63"/>
        <w:ind w:right="1134" w:firstLine="360"/>
        <w:jc w:val="both"/>
      </w:pPr>
      <w:r>
        <w:rPr/>
        <w:t>（</w:t>
      </w:r>
      <w:r>
        <w:rPr>
          <w:rFonts w:ascii="Times New Roman" w:hAnsi="Times New Roman" w:cs="Times New Roman" w:eastAsia="Times New Roman" w:hint="default"/>
        </w:rPr>
        <w:t>4</w:t>
      </w:r>
      <w:r>
        <w:rPr/>
        <w:t>）本公司之孙公司九州方园博州新能源有限公司取得商信委扶持资金</w:t>
      </w:r>
      <w:r>
        <w:rPr>
          <w:rFonts w:ascii="Times New Roman" w:hAnsi="Times New Roman" w:cs="Times New Roman" w:eastAsia="Times New Roman" w:hint="default"/>
        </w:rPr>
        <w:t>400.00</w:t>
      </w:r>
      <w:r>
        <w:rPr/>
        <w:t>万元，在相关资产摊销年限内分配计入 当期损益。本年转入当期损益</w:t>
      </w:r>
      <w:r>
        <w:rPr>
          <w:rFonts w:ascii="Times New Roman" w:hAnsi="Times New Roman" w:cs="Times New Roman" w:eastAsia="Times New Roman" w:hint="default"/>
        </w:rPr>
        <w:t>197,826.09</w:t>
      </w:r>
      <w:r>
        <w:rPr/>
        <w:t>元，因本公司转让该公司股权导致补助资金余额转出。</w:t>
      </w:r>
    </w:p>
    <w:p>
      <w:pPr>
        <w:pStyle w:val="BodyText"/>
        <w:spacing w:line="240" w:lineRule="auto" w:before="13"/>
        <w:ind w:left="514" w:right="0"/>
        <w:jc w:val="left"/>
      </w:pPr>
      <w:r>
        <w:rPr/>
        <w:t>（</w:t>
      </w:r>
      <w:r>
        <w:rPr>
          <w:rFonts w:ascii="Times New Roman" w:hAnsi="Times New Roman" w:cs="Times New Roman" w:eastAsia="Times New Roman" w:hint="default"/>
        </w:rPr>
        <w:t>5</w:t>
      </w:r>
      <w:r>
        <w:rPr/>
        <w:t>）根据山东省财政厅发展和改革委员会文件《关于下达分布式光伏发电项目区域战略推进专项资金预算指标的通知》</w:t>
      </w:r>
    </w:p>
    <w:p>
      <w:pPr>
        <w:pStyle w:val="BodyText"/>
        <w:spacing w:line="300" w:lineRule="auto" w:before="63"/>
        <w:ind w:right="1122"/>
        <w:jc w:val="left"/>
      </w:pPr>
      <w:r>
        <w:rPr/>
        <w:t>（鲁财建指</w:t>
      </w:r>
      <w:r>
        <w:rPr>
          <w:rFonts w:ascii="Times New Roman" w:hAnsi="Times New Roman" w:cs="Times New Roman" w:eastAsia="Times New Roman" w:hint="default"/>
        </w:rPr>
        <w:t>[2015]150</w:t>
      </w:r>
      <w:r>
        <w:rPr/>
        <w:t>号），本公司之孙公司济南统联新能源有限公司</w:t>
      </w:r>
      <w:r>
        <w:rPr>
          <w:rFonts w:ascii="Times New Roman" w:hAnsi="Times New Roman" w:cs="Times New Roman" w:eastAsia="Times New Roman" w:hint="default"/>
        </w:rPr>
        <w:t>4.62MW</w:t>
      </w:r>
      <w:r>
        <w:rPr/>
        <w:t>分布式光伏发电项目获得专项资金补贴</w:t>
      </w:r>
      <w:r>
        <w:rPr>
          <w:rFonts w:ascii="Times New Roman" w:hAnsi="Times New Roman" w:cs="Times New Roman" w:eastAsia="Times New Roman" w:hint="default"/>
        </w:rPr>
        <w:t>214.00</w:t>
      </w:r>
      <w:r>
        <w:rPr>
          <w:rFonts w:ascii="Times New Roman" w:hAnsi="Times New Roman" w:cs="Times New Roman" w:eastAsia="Times New Roman" w:hint="default"/>
          <w:spacing w:val="-40"/>
        </w:rPr>
        <w:t> </w:t>
      </w:r>
      <w:r>
        <w:rPr/>
        <w:t>万元。本年转入当期损益</w:t>
      </w:r>
      <w:r>
        <w:rPr>
          <w:rFonts w:ascii="Times New Roman" w:hAnsi="Times New Roman" w:cs="Times New Roman" w:eastAsia="Times New Roman" w:hint="default"/>
        </w:rPr>
        <w:t>104,986.57</w:t>
      </w:r>
      <w:r>
        <w:rPr/>
        <w:t>元，因本公司转让该公司股权导致补助资金余额转出。</w:t>
      </w:r>
    </w:p>
    <w:p>
      <w:pPr>
        <w:pStyle w:val="BodyText"/>
        <w:spacing w:line="300" w:lineRule="auto" w:before="13"/>
        <w:ind w:right="1132" w:firstLine="360"/>
        <w:jc w:val="both"/>
      </w:pPr>
      <w:r>
        <w:rPr>
          <w:spacing w:val="-2"/>
        </w:rPr>
        <w:t>（</w:t>
      </w:r>
      <w:r>
        <w:rPr>
          <w:rFonts w:ascii="Times New Roman" w:hAnsi="Times New Roman" w:cs="Times New Roman" w:eastAsia="Times New Roman" w:hint="default"/>
          <w:spacing w:val="-2"/>
        </w:rPr>
        <w:t>6</w:t>
      </w:r>
      <w:r>
        <w:rPr>
          <w:spacing w:val="-2"/>
        </w:rPr>
        <w:t>）根据</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19</w:t>
      </w:r>
      <w:r>
        <w:rPr>
          <w:spacing w:val="-2"/>
        </w:rPr>
        <w:t>日张家港市财政局、张家港市经济和信息化委员会、张家港市发展改革委员会、张家港市科技局</w:t>
      </w:r>
      <w:r>
        <w:rPr/>
        <w:t> </w:t>
      </w:r>
      <w:r>
        <w:rPr>
          <w:spacing w:val="-1"/>
        </w:rPr>
        <w:t>文件《关于下达</w:t>
      </w:r>
      <w:r>
        <w:rPr>
          <w:rFonts w:ascii="Times New Roman" w:hAnsi="Times New Roman" w:cs="Times New Roman" w:eastAsia="Times New Roman" w:hint="default"/>
          <w:spacing w:val="-1"/>
        </w:rPr>
        <w:t>2013</w:t>
      </w:r>
      <w:r>
        <w:rPr>
          <w:spacing w:val="-1"/>
        </w:rPr>
        <w:t>年度张家港市新兴产业投资基金无偿资助项目第一批资金的通知》（张财企</w:t>
      </w:r>
      <w:r>
        <w:rPr>
          <w:rFonts w:ascii="Times New Roman" w:hAnsi="Times New Roman" w:cs="Times New Roman" w:eastAsia="Times New Roman" w:hint="default"/>
          <w:spacing w:val="-1"/>
        </w:rPr>
        <w:t>[2013]35</w:t>
      </w:r>
      <w:r>
        <w:rPr>
          <w:spacing w:val="-1"/>
        </w:rPr>
        <w:t>号），本公司累计</w:t>
      </w:r>
      <w:r>
        <w:rPr>
          <w:spacing w:val="-54"/>
        </w:rPr>
        <w:t> </w:t>
      </w:r>
      <w:r>
        <w:rPr>
          <w:spacing w:val="-54"/>
        </w:rPr>
      </w:r>
      <w:r>
        <w:rPr/>
        <w:t>收到补助资金</w:t>
      </w:r>
      <w:r>
        <w:rPr>
          <w:rFonts w:ascii="Times New Roman" w:hAnsi="Times New Roman" w:cs="Times New Roman" w:eastAsia="Times New Roman" w:hint="default"/>
        </w:rPr>
        <w:t>1,616.13</w:t>
      </w:r>
      <w:r>
        <w:rPr/>
        <w:t>万元。本期转入当期损益</w:t>
      </w:r>
      <w:r>
        <w:rPr>
          <w:rFonts w:ascii="Times New Roman" w:hAnsi="Times New Roman" w:cs="Times New Roman" w:eastAsia="Times New Roman" w:hint="default"/>
        </w:rPr>
        <w:t>1,697,576.40</w:t>
      </w:r>
      <w:r>
        <w:rPr/>
        <w:t>元。</w:t>
      </w:r>
    </w:p>
    <w:p>
      <w:pPr>
        <w:pStyle w:val="BodyText"/>
        <w:spacing w:line="300" w:lineRule="auto" w:before="13"/>
        <w:ind w:right="1130" w:firstLine="360"/>
        <w:jc w:val="both"/>
      </w:pPr>
      <w:r>
        <w:rPr/>
        <w:t>（</w:t>
      </w:r>
      <w:r>
        <w:rPr>
          <w:rFonts w:ascii="Times New Roman" w:hAnsi="Times New Roman" w:cs="Times New Roman" w:eastAsia="Times New Roman" w:hint="default"/>
        </w:rPr>
        <w:t>7</w:t>
      </w:r>
      <w:r>
        <w:rPr/>
        <w:t>）根据张家港市财政局、张家港市经济和信息化委员会文件《关于拨付</w:t>
      </w:r>
      <w:r>
        <w:rPr>
          <w:rFonts w:ascii="Times New Roman" w:hAnsi="Times New Roman" w:cs="Times New Roman" w:eastAsia="Times New Roman" w:hint="default"/>
        </w:rPr>
        <w:t>2016</w:t>
      </w:r>
      <w:r>
        <w:rPr/>
        <w:t>年先进制造产业项目和电商平台奖补资 </w:t>
      </w:r>
      <w:r>
        <w:rPr>
          <w:spacing w:val="-2"/>
        </w:rPr>
        <w:t>金（第一批）的通知》（张财企</w:t>
      </w:r>
      <w:r>
        <w:rPr>
          <w:rFonts w:ascii="Times New Roman" w:hAnsi="Times New Roman" w:cs="Times New Roman" w:eastAsia="Times New Roman" w:hint="default"/>
          <w:spacing w:val="-2"/>
        </w:rPr>
        <w:t>[2017]26</w:t>
      </w:r>
      <w:r>
        <w:rPr>
          <w:spacing w:val="-2"/>
        </w:rPr>
        <w:t>号），本公司之子公司苏州爱康光电科技有限公司收到年产</w:t>
      </w:r>
      <w:r>
        <w:rPr>
          <w:rFonts w:ascii="Times New Roman" w:hAnsi="Times New Roman" w:cs="Times New Roman" w:eastAsia="Times New Roman" w:hint="default"/>
          <w:spacing w:val="-2"/>
        </w:rPr>
        <w:t>300MW</w:t>
      </w:r>
      <w:r>
        <w:rPr>
          <w:spacing w:val="-2"/>
        </w:rPr>
        <w:t>太阳能电池组件</w:t>
      </w:r>
      <w:r>
        <w:rPr>
          <w:spacing w:val="-60"/>
        </w:rPr>
        <w:t> </w:t>
      </w:r>
      <w:r>
        <w:rPr>
          <w:spacing w:val="-60"/>
        </w:rPr>
      </w:r>
      <w:r>
        <w:rPr/>
        <w:t>扩建项目补贴</w:t>
      </w:r>
      <w:r>
        <w:rPr>
          <w:rFonts w:ascii="Times New Roman" w:hAnsi="Times New Roman" w:cs="Times New Roman" w:eastAsia="Times New Roman" w:hint="default"/>
        </w:rPr>
        <w:t>45.72</w:t>
      </w:r>
      <w:r>
        <w:rPr/>
        <w:t>万元，本期转入当期损益</w:t>
      </w:r>
      <w:r>
        <w:rPr>
          <w:rFonts w:ascii="Times New Roman" w:hAnsi="Times New Roman" w:cs="Times New Roman" w:eastAsia="Times New Roman" w:hint="default"/>
        </w:rPr>
        <w:t>48,552.24</w:t>
      </w:r>
      <w:r>
        <w:rPr/>
        <w:t>元。</w:t>
      </w:r>
    </w:p>
    <w:p>
      <w:pPr>
        <w:pStyle w:val="BodyText"/>
        <w:spacing w:line="300" w:lineRule="auto" w:before="13"/>
        <w:ind w:right="1129" w:firstLine="360"/>
        <w:jc w:val="both"/>
      </w:pPr>
      <w:r>
        <w:rPr/>
        <w:t>（</w:t>
      </w:r>
      <w:r>
        <w:rPr>
          <w:rFonts w:ascii="Times New Roman" w:hAnsi="Times New Roman" w:cs="Times New Roman" w:eastAsia="Times New Roman" w:hint="default"/>
        </w:rPr>
        <w:t>8</w:t>
      </w:r>
      <w:r>
        <w:rPr/>
        <w:t>）根据《关于印发〈新疆维吾尔自治区地方特色产业中小企业发展资金管理实施细则〉的通知》和《关于下达</w:t>
      </w:r>
      <w:r>
        <w:rPr>
          <w:rFonts w:ascii="Times New Roman" w:hAnsi="Times New Roman" w:cs="Times New Roman" w:eastAsia="Times New Roman" w:hint="default"/>
        </w:rPr>
        <w:t>2017 </w:t>
      </w:r>
      <w:r>
        <w:rPr>
          <w:spacing w:val="-1"/>
        </w:rPr>
        <w:t>年自治区地方特色产业中小企业发展专项资金的通知》（新财企</w:t>
      </w:r>
      <w:r>
        <w:rPr>
          <w:rFonts w:ascii="Times New Roman" w:hAnsi="Times New Roman" w:cs="Times New Roman" w:eastAsia="Times New Roman" w:hint="default"/>
          <w:spacing w:val="-1"/>
        </w:rPr>
        <w:t>[2017]47</w:t>
      </w:r>
      <w:r>
        <w:rPr>
          <w:spacing w:val="-1"/>
        </w:rPr>
        <w:t>号）文件，本公司之孙公司新疆爱康电力开发有限</w:t>
      </w:r>
      <w:r>
        <w:rPr>
          <w:spacing w:val="-57"/>
        </w:rPr>
        <w:t> </w:t>
      </w:r>
      <w:r>
        <w:rPr>
          <w:spacing w:val="-57"/>
        </w:rPr>
      </w:r>
      <w:r>
        <w:rPr/>
        <w:t>公司累计收到新疆维吾尔自治区地方特色产业中小企业发展专项资金</w:t>
      </w:r>
      <w:r>
        <w:rPr>
          <w:rFonts w:ascii="Times New Roman" w:hAnsi="Times New Roman" w:cs="Times New Roman" w:eastAsia="Times New Roman" w:hint="default"/>
        </w:rPr>
        <w:t>25.00</w:t>
      </w:r>
      <w:r>
        <w:rPr/>
        <w:t>万元。本年转入当期损益</w:t>
      </w:r>
      <w:r>
        <w:rPr>
          <w:rFonts w:ascii="Times New Roman" w:hAnsi="Times New Roman" w:cs="Times New Roman" w:eastAsia="Times New Roman" w:hint="default"/>
        </w:rPr>
        <w:t>12,560.16</w:t>
      </w:r>
      <w:r>
        <w:rPr/>
        <w:t>元，因本公司</w:t>
      </w:r>
      <w:r>
        <w:rPr>
          <w:spacing w:val="-50"/>
        </w:rPr>
        <w:t> </w:t>
      </w:r>
      <w:r>
        <w:rPr>
          <w:spacing w:val="-50"/>
        </w:rPr>
      </w:r>
      <w:r>
        <w:rPr/>
        <w:t>转让该公司股权导致补助资金余额转出。</w:t>
      </w:r>
    </w:p>
    <w:p>
      <w:pPr>
        <w:pStyle w:val="BodyText"/>
        <w:spacing w:line="300" w:lineRule="auto" w:before="31"/>
        <w:ind w:right="1131" w:firstLine="360"/>
        <w:jc w:val="both"/>
      </w:pPr>
      <w:r>
        <w:rPr/>
        <w:t>（</w:t>
      </w:r>
      <w:r>
        <w:rPr>
          <w:rFonts w:ascii="Times New Roman" w:hAnsi="Times New Roman" w:cs="Times New Roman" w:eastAsia="Times New Roman" w:hint="default"/>
        </w:rPr>
        <w:t>9</w:t>
      </w:r>
      <w:r>
        <w:rPr/>
        <w:t>）根据本公司之孙公司赣州爱康光电科技有限公司与赣州市南康区人民政府签订的有关协议，本公司收到对组件项 目厂房设备和基础设施的补贴款等</w:t>
      </w:r>
      <w:r>
        <w:rPr>
          <w:rFonts w:ascii="Times New Roman" w:hAnsi="Times New Roman" w:cs="Times New Roman" w:eastAsia="Times New Roman" w:hint="default"/>
        </w:rPr>
        <w:t>920.83</w:t>
      </w:r>
      <w:r>
        <w:rPr/>
        <w:t>万元，本期转入当期损益</w:t>
      </w:r>
      <w:r>
        <w:rPr>
          <w:rFonts w:ascii="Times New Roman" w:hAnsi="Times New Roman" w:cs="Times New Roman" w:eastAsia="Times New Roman" w:hint="default"/>
        </w:rPr>
        <w:t>943,610.00</w:t>
      </w:r>
      <w:r>
        <w:rPr/>
        <w:t>元。</w:t>
      </w:r>
    </w:p>
    <w:p>
      <w:pPr>
        <w:pStyle w:val="BodyText"/>
        <w:spacing w:line="300" w:lineRule="auto" w:before="13"/>
        <w:ind w:right="1129" w:firstLine="360"/>
        <w:jc w:val="both"/>
      </w:pPr>
      <w:r>
        <w:rPr>
          <w:spacing w:val="-2"/>
        </w:rPr>
        <w:t>（</w:t>
      </w:r>
      <w:r>
        <w:rPr>
          <w:rFonts w:ascii="Times New Roman" w:hAnsi="Times New Roman" w:cs="Times New Roman" w:eastAsia="Times New Roman" w:hint="default"/>
          <w:spacing w:val="-2"/>
        </w:rPr>
        <w:t>10</w:t>
      </w:r>
      <w:r>
        <w:rPr>
          <w:spacing w:val="-2"/>
        </w:rPr>
        <w:t>）根据西安市人民政府办公厅文件《关于印发推进分布式光伏发电应用实施方案（</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2017</w:t>
      </w:r>
      <w:r>
        <w:rPr>
          <w:spacing w:val="-2"/>
        </w:rPr>
        <w:t>年）的通知》（市政</w:t>
      </w:r>
      <w:r>
        <w:rPr/>
        <w:t> 办发</w:t>
      </w:r>
      <w:r>
        <w:rPr>
          <w:rFonts w:ascii="Times New Roman" w:hAnsi="Times New Roman" w:cs="Times New Roman" w:eastAsia="Times New Roman" w:hint="default"/>
        </w:rPr>
        <w:t>[2015]57</w:t>
      </w:r>
      <w:r>
        <w:rPr/>
        <w:t>号），本公司之子公司西安爱康智慧能源管理有限公司收到分布式光伏发电项目一次性投资补助</w:t>
      </w:r>
      <w:r>
        <w:rPr>
          <w:rFonts w:ascii="Times New Roman" w:hAnsi="Times New Roman" w:cs="Times New Roman" w:eastAsia="Times New Roman" w:hint="default"/>
        </w:rPr>
        <w:t>27.918</w:t>
      </w:r>
      <w:r>
        <w:rPr/>
        <w:t>万元，</w:t>
      </w:r>
      <w:r>
        <w:rPr>
          <w:spacing w:val="-73"/>
        </w:rPr>
        <w:t> </w:t>
      </w:r>
      <w:r>
        <w:rPr/>
        <w:t>本期转入当期损益</w:t>
      </w:r>
      <w:r>
        <w:rPr>
          <w:rFonts w:ascii="Times New Roman" w:hAnsi="Times New Roman" w:cs="Times New Roman" w:eastAsia="Times New Roman" w:hint="default"/>
        </w:rPr>
        <w:t>8,142.75</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1122"/>
        <w:jc w:val="left"/>
        <w:rPr>
          <w:b w:val="0"/>
          <w:bCs w:val="0"/>
        </w:rPr>
      </w:pPr>
      <w:bookmarkStart w:name="43、其他非流动负债" w:id="350"/>
      <w:bookmarkEnd w:id="350"/>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44、股本" w:id="351"/>
      <w:bookmarkEnd w:id="351"/>
      <w:r>
        <w:rPr>
          <w:b w:val="0"/>
          <w:bCs w:val="0"/>
        </w:rPr>
      </w:r>
      <w:r>
        <w:rPr>
          <w:rFonts w:ascii="Times New Roman" w:hAnsi="Times New Roman" w:cs="Times New Roman" w:eastAsia="Times New Roman" w:hint="default"/>
        </w:rPr>
        <w:t>44</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4,490,861,600.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-892,588.00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-892,588.00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4,489,969,012.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122"/>
        <w:jc w:val="left"/>
      </w:pPr>
      <w:r>
        <w:rPr/>
        <w:t>其他说明：</w:t>
      </w:r>
    </w:p>
    <w:p>
      <w:pPr>
        <w:pStyle w:val="BodyText"/>
        <w:spacing w:line="240" w:lineRule="auto" w:before="115"/>
        <w:ind w:left="514" w:right="1122"/>
        <w:jc w:val="left"/>
      </w:pPr>
      <w:r>
        <w:rPr/>
        <w:t>注：股本变动说明详见七、</w:t>
      </w:r>
      <w:r>
        <w:rPr>
          <w:rFonts w:ascii="Times New Roman" w:hAnsi="Times New Roman" w:cs="Times New Roman" w:eastAsia="Times New Roman" w:hint="default"/>
        </w:rPr>
        <w:t>47</w:t>
      </w:r>
      <w:r>
        <w:rPr/>
        <w:t>。</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45、其他权益工具" w:id="352"/>
      <w:bookmarkEnd w:id="352"/>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期末发行在外的优先股、永续债等其他金融工具基本情况" w:id="353"/>
      <w:bookmarkEnd w:id="353"/>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2）期末发行在外的优先股、永续债等金融工具变动情况表" w:id="354"/>
      <w:bookmarkEnd w:id="354"/>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2"/>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1122"/>
        <w:jc w:val="left"/>
        <w:rPr>
          <w:b w:val="0"/>
          <w:bCs w:val="0"/>
        </w:rPr>
      </w:pPr>
      <w:bookmarkStart w:name="46、资本公积" w:id="355"/>
      <w:bookmarkEnd w:id="355"/>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860,947,037.22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12,251,133.66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27,769,763.07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845,428,407.81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9,117,468.63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791,240.66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8,326,227.97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860,947,037.22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21,368,602.29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28,561,003.73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853,754,635.78</w:t>
            </w:r>
          </w:p>
        </w:tc>
      </w:tr>
    </w:tbl>
    <w:p>
      <w:pPr>
        <w:pStyle w:val="BodyText"/>
        <w:spacing w:line="357" w:lineRule="auto" w:before="51"/>
        <w:ind w:left="514" w:right="1122" w:hanging="360"/>
        <w:jc w:val="left"/>
      </w:pPr>
      <w:r>
        <w:rPr/>
        <w:t>其他说明，包括本期增减变动情况、变动原因说明： </w:t>
      </w:r>
      <w:r>
        <w:rPr>
          <w:spacing w:val="-1"/>
        </w:rPr>
        <w:t>注：（</w:t>
      </w:r>
      <w:r>
        <w:rPr>
          <w:rFonts w:ascii="Times New Roman" w:hAnsi="Times New Roman" w:cs="Times New Roman" w:eastAsia="Times New Roman" w:hint="default"/>
          <w:spacing w:val="-1"/>
        </w:rPr>
        <w:t>1</w:t>
      </w:r>
      <w:r>
        <w:rPr>
          <w:spacing w:val="-1"/>
        </w:rPr>
        <w:t>）资本溢价本年增加中</w:t>
      </w:r>
      <w:r>
        <w:rPr>
          <w:rFonts w:ascii="Times New Roman" w:hAnsi="Times New Roman" w:cs="Times New Roman" w:eastAsia="Times New Roman" w:hint="default"/>
          <w:spacing w:val="-1"/>
        </w:rPr>
        <w:t>3,771,000.00</w:t>
      </w:r>
      <w:r>
        <w:rPr>
          <w:spacing w:val="-1"/>
        </w:rPr>
        <w:t>元为收到江苏爱康实业集团有限公司支付的赣发租赁业绩承诺未实现金额部</w:t>
      </w:r>
    </w:p>
    <w:p>
      <w:pPr>
        <w:pStyle w:val="BodyText"/>
        <w:spacing w:line="214" w:lineRule="exact"/>
        <w:ind w:right="1122"/>
        <w:jc w:val="left"/>
      </w:pPr>
      <w:r>
        <w:rPr/>
        <w:t>分的补偿款；增加中</w:t>
      </w:r>
      <w:r>
        <w:rPr>
          <w:rFonts w:ascii="Times New Roman" w:hAnsi="Times New Roman" w:cs="Times New Roman" w:eastAsia="Times New Roman" w:hint="default"/>
        </w:rPr>
        <w:t>8,480,086.86</w:t>
      </w:r>
      <w:r>
        <w:rPr/>
        <w:t>元为本公司向江苏爱康实业集团有限公司收购其持有的江西金控公司</w:t>
      </w:r>
      <w:r>
        <w:rPr>
          <w:rFonts w:ascii="Times New Roman" w:hAnsi="Times New Roman" w:cs="Times New Roman" w:eastAsia="Times New Roman" w:hint="default"/>
        </w:rPr>
        <w:t>30%</w:t>
      </w:r>
      <w:r>
        <w:rPr/>
        <w:t>股权过程中投资</w:t>
      </w:r>
    </w:p>
    <w:p>
      <w:pPr>
        <w:pStyle w:val="BodyText"/>
        <w:spacing w:line="240" w:lineRule="auto" w:before="63"/>
        <w:ind w:right="1122"/>
        <w:jc w:val="left"/>
      </w:pPr>
      <w:r>
        <w:rPr/>
        <w:t>成本小于净资产的差额部分；其余增减变动为限制性股票激励计划影响，说明详见七、</w:t>
      </w:r>
      <w:r>
        <w:rPr>
          <w:rFonts w:ascii="Times New Roman" w:hAnsi="Times New Roman" w:cs="Times New Roman" w:eastAsia="Times New Roman" w:hint="default"/>
        </w:rPr>
        <w:t>47</w:t>
      </w:r>
      <w:r>
        <w:rPr/>
        <w:t>。</w:t>
      </w:r>
    </w:p>
    <w:p>
      <w:pPr>
        <w:pStyle w:val="BodyText"/>
        <w:spacing w:line="300" w:lineRule="auto" w:before="63"/>
        <w:ind w:right="1122" w:firstLine="360"/>
        <w:jc w:val="left"/>
      </w:pPr>
      <w:r>
        <w:rPr/>
        <w:t>（</w:t>
      </w:r>
      <w:r>
        <w:rPr>
          <w:rFonts w:ascii="Times New Roman" w:hAnsi="Times New Roman" w:cs="Times New Roman" w:eastAsia="Times New Roman" w:hint="default"/>
        </w:rPr>
        <w:t>2</w:t>
      </w:r>
      <w:r>
        <w:rPr/>
        <w:t>）其他资本公积本年增加为确认的股票激励费用，本年减少为将已不符合激励条件的激励对象已获授但尚未解锁的 限制性股票确认的股票激励费用冲回。</w:t>
      </w:r>
    </w:p>
    <w:p>
      <w:pPr>
        <w:spacing w:line="240" w:lineRule="auto" w:before="6"/>
        <w:rPr>
          <w:rFonts w:ascii="宋体" w:hAnsi="宋体" w:cs="宋体" w:eastAsia="宋体" w:hint="default"/>
          <w:sz w:val="23"/>
          <w:szCs w:val="23"/>
        </w:rPr>
      </w:pPr>
    </w:p>
    <w:p>
      <w:pPr>
        <w:pStyle w:val="Heading3"/>
        <w:spacing w:line="240" w:lineRule="auto"/>
        <w:ind w:right="1122"/>
        <w:jc w:val="left"/>
        <w:rPr>
          <w:b w:val="0"/>
          <w:bCs w:val="0"/>
        </w:rPr>
      </w:pPr>
      <w:bookmarkStart w:name="47、库存股" w:id="356"/>
      <w:bookmarkEnd w:id="356"/>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将股份用于员工持股计 划或者股权激励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49,632,060.79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21,516,201.11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50,178,552.18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20,969,709.72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49,632,060.79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21,516,201.11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50,178,552.18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20,969,709.72</w:t>
            </w:r>
          </w:p>
        </w:tc>
      </w:tr>
    </w:tbl>
    <w:p>
      <w:pPr>
        <w:pStyle w:val="BodyText"/>
        <w:spacing w:line="357" w:lineRule="auto" w:before="51"/>
        <w:ind w:left="514" w:right="1197" w:hanging="360"/>
        <w:jc w:val="left"/>
      </w:pPr>
      <w:r>
        <w:rPr/>
        <w:t>其他说明，包括本期增减变动情况、变动原因说明： 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月公司实施了股份回购，实际购买公司股票</w:t>
      </w:r>
      <w:r>
        <w:rPr>
          <w:rFonts w:ascii="Times New Roman" w:hAnsi="Times New Roman" w:cs="Times New Roman" w:eastAsia="Times New Roman" w:hint="default"/>
        </w:rPr>
        <w:t>16,900,000</w:t>
      </w:r>
      <w:r>
        <w:rPr/>
        <w:t>股，约占公司股本总额的</w:t>
      </w:r>
      <w:r>
        <w:rPr>
          <w:rFonts w:ascii="Times New Roman" w:hAnsi="Times New Roman" w:cs="Times New Roman" w:eastAsia="Times New Roman" w:hint="default"/>
        </w:rPr>
        <w:t>0.38%</w:t>
      </w:r>
      <w:r>
        <w:rPr/>
        <w:t>；实际支付资</w:t>
      </w:r>
    </w:p>
    <w:p>
      <w:pPr>
        <w:pStyle w:val="BodyText"/>
        <w:spacing w:line="214" w:lineRule="exact"/>
        <w:ind w:right="1122"/>
        <w:jc w:val="left"/>
      </w:pPr>
      <w:r>
        <w:rPr/>
        <w:t>金总额为人民币</w:t>
      </w:r>
      <w:r>
        <w:rPr>
          <w:rFonts w:ascii="Times New Roman" w:hAnsi="Times New Roman" w:cs="Times New Roman" w:eastAsia="Times New Roman" w:hint="default"/>
        </w:rPr>
        <w:t>49,632,060.79</w:t>
      </w:r>
      <w:r>
        <w:rPr/>
        <w:t>元。</w:t>
      </w:r>
    </w:p>
    <w:p>
      <w:pPr>
        <w:pStyle w:val="BodyText"/>
        <w:spacing w:line="300" w:lineRule="auto" w:before="63"/>
        <w:ind w:right="1122" w:firstLine="360"/>
        <w:jc w:val="left"/>
      </w:pPr>
      <w:r>
        <w:rPr/>
        <w:t>（</w:t>
      </w:r>
      <w:r>
        <w:rPr>
          <w:rFonts w:ascii="Times New Roman" w:hAnsi="Times New Roman" w:cs="Times New Roman" w:eastAsia="Times New Roman" w:hint="default"/>
        </w:rPr>
        <w:t>2</w:t>
      </w:r>
      <w:r>
        <w:rPr/>
        <w:t>）本年增加：本年公司执行</w:t>
      </w:r>
      <w:r>
        <w:rPr>
          <w:rFonts w:ascii="Times New Roman" w:hAnsi="Times New Roman" w:cs="Times New Roman" w:eastAsia="Times New Roman" w:hint="default"/>
        </w:rPr>
        <w:t>2018</w:t>
      </w:r>
      <w:r>
        <w:rPr/>
        <w:t>年度限制性股票激励计划，向激励对象授予限制性股票，于收到激励对象缴付的出 资额时增加了股本和资本公积（附注七、</w:t>
      </w:r>
      <w:r>
        <w:rPr>
          <w:rFonts w:ascii="Times New Roman" w:hAnsi="Times New Roman" w:cs="Times New Roman" w:eastAsia="Times New Roman" w:hint="default"/>
        </w:rPr>
        <w:t>46</w:t>
      </w:r>
      <w:r>
        <w:rPr/>
        <w:t>），同时就回购义务确认库存股和其他应付款（附注七、</w:t>
      </w:r>
      <w:r>
        <w:rPr>
          <w:rFonts w:ascii="Times New Roman" w:hAnsi="Times New Roman" w:cs="Times New Roman" w:eastAsia="Times New Roman" w:hint="default"/>
        </w:rPr>
        <w:t>33</w:t>
      </w:r>
      <w:r>
        <w:rPr/>
        <w:t>）。</w:t>
      </w:r>
    </w:p>
    <w:p>
      <w:pPr>
        <w:pStyle w:val="BodyText"/>
        <w:spacing w:line="300" w:lineRule="auto" w:before="13"/>
        <w:ind w:left="514" w:right="1122"/>
        <w:jc w:val="left"/>
      </w:pPr>
      <w:r>
        <w:rPr/>
        <w:t>（</w:t>
      </w:r>
      <w:r>
        <w:rPr>
          <w:rFonts w:ascii="Times New Roman" w:hAnsi="Times New Roman" w:cs="Times New Roman" w:eastAsia="Times New Roman" w:hint="default"/>
        </w:rPr>
        <w:t>3</w:t>
      </w:r>
      <w:r>
        <w:rPr/>
        <w:t>）本年减少： 本年公司执行</w:t>
      </w:r>
      <w:r>
        <w:rPr>
          <w:rFonts w:ascii="Times New Roman" w:hAnsi="Times New Roman" w:cs="Times New Roman" w:eastAsia="Times New Roman" w:hint="default"/>
        </w:rPr>
        <w:t>2018</w:t>
      </w:r>
      <w:r>
        <w:rPr/>
        <w:t>年度限制性股票激励计划，实际授予员工限制性股票</w:t>
      </w:r>
      <w:r>
        <w:rPr>
          <w:rFonts w:ascii="Times New Roman" w:hAnsi="Times New Roman" w:cs="Times New Roman" w:eastAsia="Times New Roman" w:hint="default"/>
        </w:rPr>
        <w:t>16,424,581</w:t>
      </w:r>
      <w:r>
        <w:rPr/>
        <w:t>股，授予时减少股本，减少资本公积</w:t>
      </w:r>
    </w:p>
    <w:p>
      <w:pPr>
        <w:pStyle w:val="BodyText"/>
        <w:spacing w:line="240" w:lineRule="auto" w:before="13"/>
        <w:ind w:right="1122"/>
        <w:jc w:val="left"/>
      </w:pPr>
      <w:r>
        <w:rPr>
          <w:rFonts w:ascii="Times New Roman" w:hAnsi="Times New Roman" w:cs="Times New Roman" w:eastAsia="Times New Roman" w:hint="default"/>
        </w:rPr>
        <w:t>31,811,265.31</w:t>
      </w:r>
      <w:r>
        <w:rPr/>
        <w:t>元，同时转回了库存股</w:t>
      </w:r>
      <w:r>
        <w:rPr>
          <w:rFonts w:ascii="Times New Roman" w:hAnsi="Times New Roman" w:cs="Times New Roman" w:eastAsia="Times New Roman" w:hint="default"/>
        </w:rPr>
        <w:t>48,235,846.31</w:t>
      </w:r>
      <w:r>
        <w:rPr/>
        <w:t>元。</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9" w:firstLine="360"/>
        <w:jc w:val="both"/>
      </w:pPr>
      <w:r>
        <w:rPr/>
        <w:t>本年公司将部分激励对象因个人原因自愿放弃认购公司拟授予的全部或部分限制性股票进行注销，减少股本</w:t>
      </w:r>
      <w:r>
        <w:rPr>
          <w:rFonts w:ascii="Times New Roman" w:hAnsi="Times New Roman" w:cs="Times New Roman" w:eastAsia="Times New Roman" w:hint="default"/>
        </w:rPr>
        <w:t>475,419.00 </w:t>
      </w:r>
      <w:r>
        <w:rPr/>
        <w:t>元（附注七、</w:t>
      </w:r>
      <w:r>
        <w:rPr>
          <w:rFonts w:ascii="Times New Roman" w:hAnsi="Times New Roman" w:cs="Times New Roman" w:eastAsia="Times New Roman" w:hint="default"/>
        </w:rPr>
        <w:t>44</w:t>
      </w:r>
      <w:r>
        <w:rPr/>
        <w:t>），减少资本公积</w:t>
      </w:r>
      <w:r>
        <w:rPr>
          <w:rFonts w:ascii="Times New Roman" w:hAnsi="Times New Roman" w:cs="Times New Roman" w:eastAsia="Times New Roman" w:hint="default"/>
        </w:rPr>
        <w:t>920,795.48</w:t>
      </w:r>
      <w:r>
        <w:rPr/>
        <w:t>元（附注七、</w:t>
      </w:r>
      <w:r>
        <w:rPr>
          <w:rFonts w:ascii="Times New Roman" w:hAnsi="Times New Roman" w:cs="Times New Roman" w:eastAsia="Times New Roman" w:hint="default"/>
        </w:rPr>
        <w:t>46</w:t>
      </w:r>
      <w:r>
        <w:rPr/>
        <w:t>）；同时转回了库存股</w:t>
      </w:r>
      <w:r>
        <w:rPr>
          <w:rFonts w:ascii="Times New Roman" w:hAnsi="Times New Roman" w:cs="Times New Roman" w:eastAsia="Times New Roman" w:hint="default"/>
        </w:rPr>
        <w:t>1,396,214.48</w:t>
      </w:r>
      <w:r>
        <w:rPr/>
        <w:t>元。</w:t>
      </w:r>
    </w:p>
    <w:p>
      <w:pPr>
        <w:pStyle w:val="BodyText"/>
        <w:spacing w:line="309" w:lineRule="auto" w:before="13"/>
        <w:ind w:right="1131" w:firstLine="360"/>
        <w:jc w:val="both"/>
      </w:pPr>
      <w:r>
        <w:rPr>
          <w:spacing w:val="-2"/>
        </w:rPr>
        <w:t>本年公司将已不符合激励条件的激励对象已获授但尚未解锁的限制性股票进行回购注销，向回购对象支付回购款时减少</w:t>
      </w:r>
      <w:r>
        <w:rPr/>
        <w:t> 股本</w:t>
      </w:r>
      <w:r>
        <w:rPr>
          <w:rFonts w:ascii="Times New Roman" w:hAnsi="Times New Roman" w:cs="Times New Roman" w:eastAsia="Times New Roman" w:hint="default"/>
        </w:rPr>
        <w:t>417,169.00</w:t>
      </w:r>
      <w:r>
        <w:rPr/>
        <w:t>元（附注七、</w:t>
      </w:r>
      <w:r>
        <w:rPr>
          <w:rFonts w:ascii="Times New Roman" w:hAnsi="Times New Roman" w:cs="Times New Roman" w:eastAsia="Times New Roman" w:hint="default"/>
        </w:rPr>
        <w:t>44</w:t>
      </w:r>
      <w:r>
        <w:rPr/>
        <w:t>），减少资本公积</w:t>
      </w:r>
      <w:r>
        <w:rPr>
          <w:rFonts w:ascii="Times New Roman" w:hAnsi="Times New Roman" w:cs="Times New Roman" w:eastAsia="Times New Roman" w:hint="default"/>
        </w:rPr>
        <w:t>129,322.39</w:t>
      </w:r>
      <w:r>
        <w:rPr/>
        <w:t>元（附注七、</w:t>
      </w:r>
      <w:r>
        <w:rPr>
          <w:rFonts w:ascii="Times New Roman" w:hAnsi="Times New Roman" w:cs="Times New Roman" w:eastAsia="Times New Roman" w:hint="default"/>
        </w:rPr>
        <w:t>46</w:t>
      </w:r>
      <w:r>
        <w:rPr/>
        <w:t>）；同时转回了库存股和其他应付款</w:t>
      </w:r>
      <w:r>
        <w:rPr>
          <w:rFonts w:ascii="Times New Roman" w:hAnsi="Times New Roman" w:cs="Times New Roman" w:eastAsia="Times New Roman" w:hint="default"/>
        </w:rPr>
        <w:t>546,491.39 </w:t>
      </w:r>
      <w:r>
        <w:rPr/>
        <w:t>元。</w:t>
      </w:r>
    </w:p>
    <w:p>
      <w:pPr>
        <w:spacing w:line="240" w:lineRule="auto" w:before="12"/>
        <w:rPr>
          <w:rFonts w:ascii="宋体" w:hAnsi="宋体" w:cs="宋体" w:eastAsia="宋体" w:hint="default"/>
          <w:sz w:val="22"/>
          <w:szCs w:val="22"/>
        </w:rPr>
      </w:pPr>
    </w:p>
    <w:p>
      <w:pPr>
        <w:pStyle w:val="Heading3"/>
        <w:spacing w:line="240" w:lineRule="auto"/>
        <w:ind w:right="1122"/>
        <w:jc w:val="left"/>
        <w:rPr>
          <w:b w:val="0"/>
          <w:bCs w:val="0"/>
        </w:rPr>
      </w:pPr>
      <w:bookmarkStart w:name="48、其他综合收益" w:id="357"/>
      <w:bookmarkEnd w:id="357"/>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-7,764,284.24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-977,641.81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-7,076,078.04</w:t>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6,098,458.8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-1,665,82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5.40</w:t>
            </w: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其中：权益法下可转损益的其他综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-1,978,799.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-1,978,799.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-1,978,79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9.38</w:t>
            </w: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-7,764,284.24</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1,001,157.5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-7,076,078.04</w:t>
            </w: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8,077,258.2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-22.61</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319,711.3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-7,764,284.24</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-977,641.81</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-7,076,078.04</w:t>
            </w: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6,098,458.8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-22.61</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-1,665,82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5.40</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122"/>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49、专项储备" w:id="358"/>
      <w:bookmarkEnd w:id="358"/>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1122"/>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50、盈余公积" w:id="359"/>
      <w:bookmarkEnd w:id="359"/>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54,046,588.34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15,617,190.50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69,663,778.84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54,046,588.34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15,617,190.50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69,663,778.84</w:t>
            </w:r>
          </w:p>
        </w:tc>
      </w:tr>
    </w:tbl>
    <w:p>
      <w:pPr>
        <w:pStyle w:val="BodyText"/>
        <w:spacing w:line="357" w:lineRule="auto" w:before="51"/>
        <w:ind w:left="514" w:right="1115" w:hanging="360"/>
        <w:jc w:val="left"/>
      </w:pPr>
      <w:r>
        <w:rPr/>
        <w:t>盈余公积说明，包括本期增减变动情况、变动原因说明： </w:t>
      </w:r>
      <w:r>
        <w:rPr>
          <w:spacing w:val="-1"/>
        </w:rPr>
        <w:t>注：根据《公司法》、公司章程的规定，本公司按净利润的</w:t>
      </w:r>
      <w:r>
        <w:rPr>
          <w:rFonts w:ascii="Times New Roman" w:hAnsi="Times New Roman" w:cs="Times New Roman" w:eastAsia="Times New Roman" w:hint="default"/>
          <w:spacing w:val="-1"/>
        </w:rPr>
        <w:t>10%</w:t>
      </w:r>
      <w:r>
        <w:rPr>
          <w:spacing w:val="-1"/>
        </w:rPr>
        <w:t>提取法定盈余公积。法定盈余公积累计额达到本公司注</w:t>
      </w:r>
    </w:p>
    <w:p>
      <w:pPr>
        <w:pStyle w:val="BodyText"/>
        <w:spacing w:line="214" w:lineRule="exact"/>
        <w:ind w:right="1122"/>
        <w:jc w:val="left"/>
      </w:pPr>
      <w:r>
        <w:rPr/>
        <w:t>册资本</w:t>
      </w:r>
      <w:r>
        <w:rPr>
          <w:rFonts w:ascii="Times New Roman" w:hAnsi="Times New Roman" w:cs="Times New Roman" w:eastAsia="Times New Roman" w:hint="default"/>
        </w:rPr>
        <w:t>50%</w:t>
      </w:r>
      <w:r>
        <w:rPr/>
        <w:t>以上的，不再提取。</w:t>
      </w:r>
    </w:p>
    <w:p>
      <w:pPr>
        <w:spacing w:after="0" w:line="214" w:lineRule="exact"/>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51、未分配利润" w:id="360"/>
      <w:bookmarkEnd w:id="360"/>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366,607,749.00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264,329,822.15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366,607,749.00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125,342,472.05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113,455,312.64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15,617,190.50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11,177,385.79</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476,333,030.55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366,607,749.00</w:t>
            </w:r>
          </w:p>
        </w:tc>
      </w:tr>
    </w:tbl>
    <w:p>
      <w:pPr>
        <w:pStyle w:val="BodyText"/>
        <w:spacing w:line="240" w:lineRule="auto" w:before="51"/>
        <w:ind w:right="1122"/>
        <w:jc w:val="left"/>
      </w:pPr>
      <w:r>
        <w:rPr/>
        <w:t>调整期初未分配利润明细：</w:t>
      </w:r>
    </w:p>
    <w:p>
      <w:pPr>
        <w:pStyle w:val="BodyText"/>
        <w:spacing w:line="240" w:lineRule="auto" w:before="116"/>
        <w:ind w:right="1122"/>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1122"/>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122"/>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122"/>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1122"/>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52、营业收入和营业成本" w:id="361"/>
      <w:bookmarkEnd w:id="361"/>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7"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4,714,432,951.85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3,837,347,112.33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4,498,184,507.65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3,651,188,066.11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128,274,377.66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134,075,398.68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358,308,741.89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357,716,189.45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4,842,707,329.51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3,971,422,511.01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4,856,493,249.54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4,008,904,255.56</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53、税金及附加" w:id="362"/>
      <w:bookmarkEnd w:id="362"/>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3,221,816.45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8,134,557.34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1,735,418.46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4,684,626.38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7,305,153.97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5,664,794.72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4,738,074.33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17,723,450.13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13,137.76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11,003.68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3,893,724.33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3,707,600.04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1,156,833.75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3,123,084.25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652,401.10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128,965.20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22,716,560.15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43,178,081.74</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54、销售费用" w:id="363"/>
      <w:bookmarkEnd w:id="363"/>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60,952,344.02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62,051,354.87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28,855,857.17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18,515,666.13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16,508,067.52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2,447,170.92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6,670,279.97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1,367,773.20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6,068,839.68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4,006,027.09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5,674,794.11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5,364,990.62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3,947,250.83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1,181,978.08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产品质量保证金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2,352,977.01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9,005,741.61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1,941,901.41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2,066,913.14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1,928,887.79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1,353,652.13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4,857,704.47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4,174,243.68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139,758,903.98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111,535,511.47</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55、管理费用" w:id="364"/>
      <w:bookmarkEnd w:id="364"/>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98,301,569.98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105,550,451.39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43,361,849.21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12,964,273.05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16,697,565.63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11,162,325.53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12,227,794.44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10,349,842.28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10,127,307.41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8,075,180.13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8,492,869.98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9,301,022.57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股票激励费用摊销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8,326,227.97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5,906,952.90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9,343,687.99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5,500,409.92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8,743,566.51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环境保护费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4,549,760.81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2,566,775.03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3,099,081.25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2,731,715.74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19,385,648.98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25,262,501.06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235,977,038.48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206,051,341.28</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56、研发费用" w:id="365"/>
      <w:bookmarkEnd w:id="365"/>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12,041,997.25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6,948,630.41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20,681,256.43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17,815,045.04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1,604,746.71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2,072,771.11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928,891.62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601,912.58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认证费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5,609,521.03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2,956,763.29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1,052,200.32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928,861.12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41,918,613.36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31,323,983.55</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57、财务费用" w:id="366"/>
      <w:bookmarkEnd w:id="366"/>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516,912,634.12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487,021,129.28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49,278,036.84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37,229,247.86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减：利息资本化金额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3,121,588.62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25,144,446.98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-30,242,350.56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21,254,269.65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5,849,307.61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5,724,239.68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439,732,047.54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451,625,943.77</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58、资产减值损失" w:id="367"/>
      <w:bookmarkEnd w:id="367"/>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6,467,712.20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11,646,653.52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7,116,658.66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4,851,388.01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65,100,581.29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11,905,335.82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790,979.52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3,817,360.30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5,712,000.00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3,560,878.76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83,036,810.43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37,932,737.65</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59、其他收益" w:id="368"/>
      <w:bookmarkEnd w:id="368"/>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政府补助（明细详见附注七、</w:t>
            </w:r>
            <w:r>
              <w:rPr>
                <w:rFonts w:ascii="Times New Roman" w:hAnsi="Times New Roman" w:cs="Times New Roman" w:eastAsia="Times New Roman" w:hint="default"/>
                <w:sz w:val="18"/>
                <w:szCs w:val="18"/>
              </w:rPr>
              <w:t>73</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121,640,205.12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57,357,378.77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代缴税金手续费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761,484.97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129,877.60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122,401,690.09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57,487,256.37</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60、投资收益" w:id="369"/>
      <w:bookmarkEnd w:id="369"/>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92,274,773.64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18,013,394.12</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64,808,952.13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35,168,999.07</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-7,694,149.80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99,760.00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37,086.13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1,848,000.00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16,182,569.45</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151,274,662.10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69,464,722.64</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61、公允价值变动收益" w:id="370"/>
      <w:bookmarkEnd w:id="370"/>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-1,976,271.00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3,180,447.00</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0"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-1,976,271.00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3,180,447.00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-1,976,271.00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3,180,447.00</w:t>
            </w:r>
          </w:p>
        </w:tc>
      </w:tr>
    </w:tbl>
    <w:p>
      <w:pPr>
        <w:pStyle w:val="BodyText"/>
        <w:spacing w:line="240" w:lineRule="auto" w:before="51"/>
        <w:ind w:right="112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62、资产处置收益" w:id="371"/>
      <w:bookmarkEnd w:id="371"/>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466,552.66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20,905,514.43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-4,610,510.92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-4,817,353.18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-4,143,958.26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16,088,161.25</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63、营业外收入" w:id="372"/>
      <w:bookmarkEnd w:id="372"/>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947,735.92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1,379,930.22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947,735.92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180,407.00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33,767.86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180,407.00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索赔收入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395,665.37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1,079,921.98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395,665.37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279,899.90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42,735,042.74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279,899.90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无法支付的款项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1,181,148.38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237,112.73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1,181,148.38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151,234.01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818,907.29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151,234.01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3,136,590.58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46,245,128.88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22"/>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基建建设投 资返还款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14,640,663.8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2"/>
              <w:jc w:val="left"/>
              <w:rPr>
                <w:rFonts w:ascii="宋体" w:hAnsi="宋体" w:cs="宋体" w:eastAsia="宋体" w:hint="default"/>
                <w:sz w:val="18"/>
                <w:szCs w:val="18"/>
              </w:rPr>
            </w:pPr>
            <w:r>
              <w:rPr>
                <w:rFonts w:ascii="宋体" w:hAnsi="宋体" w:cs="宋体" w:eastAsia="宋体" w:hint="default"/>
                <w:sz w:val="18"/>
                <w:szCs w:val="18"/>
              </w:rPr>
              <w:t>张家港市光 伏发电专项 扶持资金 </w:t>
            </w:r>
            <w:r>
              <w:rPr>
                <w:rFonts w:ascii="Times New Roman" w:hAnsi="Times New Roman" w:cs="Times New Roman" w:eastAsia="Times New Roman" w:hint="default"/>
                <w:sz w:val="18"/>
                <w:szCs w:val="18"/>
              </w:rPr>
              <w:t>(5.73MW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286,500.12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31"/>
              <w:jc w:val="both"/>
              <w:rPr>
                <w:rFonts w:ascii="宋体" w:hAnsi="宋体" w:cs="宋体" w:eastAsia="宋体" w:hint="default"/>
                <w:sz w:val="18"/>
                <w:szCs w:val="18"/>
              </w:rPr>
            </w:pPr>
            <w:r>
              <w:rPr>
                <w:rFonts w:ascii="宋体" w:hAnsi="宋体" w:cs="宋体" w:eastAsia="宋体" w:hint="default"/>
                <w:sz w:val="18"/>
                <w:szCs w:val="18"/>
              </w:rPr>
              <w:t>张家港市服 务业发展与 改革引导资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58,510.65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商信委扶持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197,826.09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分布式光伏 发电项目区 域战略推进 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104,986.57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新兴产业投 资基金专项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1,697,576.40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先进制造业 补贴资金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48,552.24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地方特色产 业中小企业 发展专项资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12,560.16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组件项目厂 房设备和基 础设施奖励 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943,610.00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年西安 市推进分布 式光伏发电 应用补贴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8,142.75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年商务 发展专项资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532,300.00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 业研究开发 费用省级财 政奖励资金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77,200.00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年商务 发展专项资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2,643,300.00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年江阴 市工业和信 息化专项资 金（中小微、 服务型制造）</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65pt;height:31.2pt;mso-position-horizontal-relative:char;mso-position-vertical-relative:line" coordorigin="0,0" coordsize="1053,624">
                  <v:group style="position:absolute;left:0;top:0;width:1053;height:624" coordorigin="0,0" coordsize="1053,624">
                    <v:shape style="position:absolute;left:0;top:0;width:1053;height:624" coordorigin="0,0" coordsize="1053,624" path="m0,624l1052,624,1052,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产业强镇政 策奖励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开发区安全 生产二级标 准化验收合 格奖励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失业保险稳 定岗位补贴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117,947.00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年度张 家港市企业 科技创新积 分资助资金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882,800.00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经开区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年度科技创 </w:t>
            </w:r>
            <w:r>
              <w:rPr>
                <w:rFonts w:ascii="宋体" w:hAnsi="宋体" w:cs="宋体" w:eastAsia="宋体" w:hint="default"/>
                <w:spacing w:val="-12"/>
                <w:sz w:val="18"/>
                <w:szCs w:val="18"/>
              </w:rPr>
              <w:t>新、品牌创优</w:t>
            </w:r>
            <w:r>
              <w:rPr>
                <w:rFonts w:ascii="宋体" w:hAnsi="宋体" w:cs="宋体" w:eastAsia="宋体" w:hint="default"/>
                <w:sz w:val="18"/>
                <w:szCs w:val="18"/>
              </w:rPr>
              <w:t> 资助资金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34,500.00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2"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年绿色 发展等工业 经济扶持资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 业研究开发 费用省级财 政奖励资金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209,700.00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经开区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年度科技创 </w:t>
            </w:r>
            <w:r>
              <w:rPr>
                <w:rFonts w:ascii="宋体" w:hAnsi="宋体" w:cs="宋体" w:eastAsia="宋体" w:hint="default"/>
                <w:spacing w:val="-12"/>
                <w:sz w:val="18"/>
                <w:szCs w:val="18"/>
              </w:rPr>
              <w:t>新、品牌创优</w:t>
            </w:r>
            <w:r>
              <w:rPr>
                <w:rFonts w:ascii="宋体" w:hAnsi="宋体" w:cs="宋体" w:eastAsia="宋体" w:hint="default"/>
                <w:sz w:val="18"/>
                <w:szCs w:val="18"/>
              </w:rPr>
              <w:t> 资助资金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9,200.00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 级工业和信 息产业转型 升级专项资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张家港市智 能制造三年 行动计划补 助资金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15,000,000.0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年省重 点研发计划</w:t>
            </w:r>
          </w:p>
          <w:p>
            <w:pPr>
              <w:pStyle w:val="TableParagraph"/>
              <w:spacing w:line="319" w:lineRule="auto" w:before="31"/>
              <w:ind w:left="22" w:right="22"/>
              <w:jc w:val="left"/>
              <w:rPr>
                <w:rFonts w:ascii="宋体" w:hAnsi="宋体" w:cs="宋体" w:eastAsia="宋体" w:hint="default"/>
                <w:sz w:val="18"/>
                <w:szCs w:val="18"/>
              </w:rPr>
            </w:pPr>
            <w:r>
              <w:rPr>
                <w:rFonts w:ascii="宋体" w:hAnsi="宋体" w:cs="宋体" w:eastAsia="宋体" w:hint="default"/>
                <w:sz w:val="18"/>
                <w:szCs w:val="18"/>
              </w:rPr>
              <w:t>（产业前瞻 与共性关键 </w:t>
            </w:r>
            <w:r>
              <w:rPr>
                <w:rFonts w:ascii="宋体" w:hAnsi="宋体" w:cs="宋体" w:eastAsia="宋体" w:hint="default"/>
                <w:spacing w:val="-12"/>
                <w:sz w:val="18"/>
                <w:szCs w:val="18"/>
              </w:rPr>
              <w:t>技术）项目资</w:t>
            </w:r>
            <w:r>
              <w:rPr>
                <w:rFonts w:ascii="宋体" w:hAnsi="宋体" w:cs="宋体" w:eastAsia="宋体" w:hint="default"/>
                <w:sz w:val="18"/>
                <w:szCs w:val="18"/>
              </w:rPr>
              <w:t>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双重预防机 制系统平台 建设补助资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南康科技局 中小企业培 育经费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7" w:lineRule="auto"/>
              <w:ind w:left="22" w:right="57"/>
              <w:jc w:val="left"/>
              <w:rPr>
                <w:rFonts w:ascii="宋体" w:hAnsi="宋体" w:cs="宋体" w:eastAsia="宋体" w:hint="default"/>
                <w:sz w:val="18"/>
                <w:szCs w:val="18"/>
              </w:rPr>
            </w:pPr>
            <w:r>
              <w:rPr>
                <w:rFonts w:ascii="宋体" w:hAnsi="宋体" w:cs="宋体" w:eastAsia="宋体" w:hint="default"/>
                <w:sz w:val="18"/>
                <w:szCs w:val="18"/>
              </w:rPr>
              <w:t>南康统计局</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四上</w:t>
            </w:r>
            <w:r>
              <w:rPr>
                <w:rFonts w:ascii="Times New Roman" w:hAnsi="Times New Roman" w:cs="Times New Roman" w:eastAsia="Times New Roman" w:hint="default"/>
                <w:sz w:val="18"/>
                <w:szCs w:val="18"/>
              </w:rPr>
              <w:t>"</w:t>
            </w:r>
            <w:r>
              <w:rPr>
                <w:rFonts w:ascii="宋体" w:hAnsi="宋体" w:cs="宋体" w:eastAsia="宋体" w:hint="default"/>
                <w:sz w:val="18"/>
                <w:szCs w:val="18"/>
              </w:rPr>
              <w:t>企业入 规配套奖励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工信局工业 转型升级专 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招商引资补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78,740,000.0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张家港财政 局规模企业 管理内训补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7"/>
              <w:jc w:val="left"/>
              <w:rPr>
                <w:rFonts w:ascii="宋体" w:hAnsi="宋体" w:cs="宋体" w:eastAsia="宋体" w:hint="default"/>
                <w:sz w:val="18"/>
                <w:szCs w:val="18"/>
              </w:rPr>
            </w:pPr>
            <w:r>
              <w:rPr>
                <w:rFonts w:ascii="宋体" w:hAnsi="宋体" w:cs="宋体" w:eastAsia="宋体" w:hint="default"/>
                <w:sz w:val="18"/>
                <w:szCs w:val="18"/>
              </w:rPr>
              <w:t>光伏发电项 目建设补贴 资金（电量）</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65pt;height:31.2pt;mso-position-horizontal-relative:char;mso-position-vertical-relative:line" coordorigin="0,0" coordsize="1053,624">
                  <v:group style="position:absolute;left:0;top:0;width:1053;height:624" coordorigin="0,0" coordsize="1053,624">
                    <v:shape style="position:absolute;left:0;top:0;width:1053;height:624" coordorigin="0,0" coordsize="1053,624" path="m0,624l1052,624,1052,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160,466.90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年上海 市科技型中 小企业技术 创新资金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砖墙总部经 济产业园招 商引资税收 返还</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33,960.00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江西省省级 度电补贴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729,610.39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年上海 新文化创意 产业园企业 扶持资金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六师社保局 新参保人员 养老补贴款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14,592.00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凤庆县财政 局新增规模 以上企业扶 持资金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年江阴 市商务发展 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年商务 发展专项资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2,777,600.00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上市挂牌公 司做大做强 做优资金补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11,080,000.0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产业强镇政 策奖励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年外经 贸发展专项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对外经贸发 展专项资金 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2"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年度全 市经济工作 先进企业奖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南通商务发 展专项资金 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基建建设投 资返还款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747,200.00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张家港市企 业科技创新 积分资助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385,000.00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 业经济和信 息化专项资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6"/>
              <w:jc w:val="both"/>
              <w:rPr>
                <w:rFonts w:ascii="宋体" w:hAnsi="宋体" w:cs="宋体" w:eastAsia="宋体" w:hint="default"/>
                <w:sz w:val="18"/>
                <w:szCs w:val="18"/>
              </w:rPr>
            </w:pPr>
            <w:r>
              <w:rPr>
                <w:rFonts w:ascii="宋体" w:hAnsi="宋体" w:cs="宋体" w:eastAsia="宋体" w:hint="default"/>
                <w:sz w:val="18"/>
                <w:szCs w:val="18"/>
              </w:rPr>
              <w:t>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年商务发展 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年度江 阴市知识产 权专项资金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年度张 家港市科技 进步奖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年外经 贸发展专项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年张家 港市科技保 险保费补贴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28,052.68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 重点研发专 项资金补助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 业经济和信 息化专项资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年商务 发展专项资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新兴产业投 资基金专项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1,697,576.40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31"/>
              <w:jc w:val="left"/>
              <w:rPr>
                <w:rFonts w:ascii="宋体" w:hAnsi="宋体" w:cs="宋体" w:eastAsia="宋体" w:hint="default"/>
                <w:sz w:val="18"/>
                <w:szCs w:val="18"/>
              </w:rPr>
            </w:pPr>
            <w:r>
              <w:rPr>
                <w:rFonts w:ascii="宋体" w:hAnsi="宋体" w:cs="宋体" w:eastAsia="宋体" w:hint="default"/>
                <w:sz w:val="18"/>
                <w:szCs w:val="18"/>
              </w:rPr>
              <w:t>先进制造业 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8,092.04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光伏并网发 电</w:t>
            </w:r>
            <w:r>
              <w:rPr>
                <w:rFonts w:ascii="Times New Roman" w:hAnsi="Times New Roman" w:cs="Times New Roman" w:eastAsia="Times New Roman" w:hint="default"/>
                <w:sz w:val="18"/>
                <w:szCs w:val="18"/>
              </w:rPr>
              <w:t>(5MW)</w:t>
            </w:r>
            <w:r>
              <w:rPr>
                <w:rFonts w:ascii="宋体" w:hAnsi="宋体" w:cs="宋体" w:eastAsia="宋体" w:hint="default"/>
                <w:sz w:val="18"/>
                <w:szCs w:val="18"/>
              </w:rPr>
              <w:t>项</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2,795,138.94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地方特色产 业中小企业 发展专项资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6,637.17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张家港市光 伏发电专项 扶持资金 </w:t>
            </w:r>
            <w:r>
              <w:rPr>
                <w:rFonts w:ascii="Times New Roman" w:hAnsi="Times New Roman" w:cs="Times New Roman" w:eastAsia="Times New Roman" w:hint="default"/>
                <w:sz w:val="18"/>
                <w:szCs w:val="18"/>
              </w:rPr>
              <w:t>(5.73MW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286,500.12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江西省省级</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因符合地方 政府招商引</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215,006.55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度电补贴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31"/>
              <w:jc w:val="left"/>
              <w:rPr>
                <w:rFonts w:ascii="宋体" w:hAnsi="宋体" w:cs="宋体" w:eastAsia="宋体" w:hint="default"/>
                <w:sz w:val="18"/>
                <w:szCs w:val="18"/>
              </w:rPr>
            </w:pPr>
            <w:r>
              <w:rPr>
                <w:rFonts w:ascii="宋体" w:hAnsi="宋体" w:cs="宋体" w:eastAsia="宋体" w:hint="default"/>
                <w:sz w:val="18"/>
                <w:szCs w:val="18"/>
              </w:rPr>
              <w:t>县政府维稳 补贴费用</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商信委扶持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新能源产业 扶持奖励款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组件项目厂 房设备和基 础设施奖励 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分布式光伏 发电项目区 域战略推进 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境外公司消 费税返还</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5,074.87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121,640,205.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57,357,378.7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64、营业外支出" w:id="373"/>
      <w:bookmarkEnd w:id="373"/>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580,999.95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19,485,987.67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23,089,600.70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19,485,987.67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1,772,073.88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887,801.79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1,772,073.88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赔偿补偿支出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29,270.02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1,119,537.29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29,270.02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60,470.78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87,702.89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60,470.78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21,387,802.35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25,765,642.62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65、所得税费用" w:id="374"/>
      <w:bookmarkEnd w:id="374"/>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所得税费用表" w:id="375"/>
      <w:bookmarkEnd w:id="37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48,364,841.96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35,119,158.87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-28,843,845.17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-14,236,574.87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19,520,996.79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20,882,584.00</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2）会计利润与所得税费用调整过程" w:id="376"/>
      <w:bookmarkEnd w:id="37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157,449,755.72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39,362,438.93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-52,812,332.69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11,258,872.60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-16,127,153.07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2,967,816.67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-193,042.80</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36,659,402.16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额外可扣除费用的影响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-1,595,005.01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19,520,996.79</w:t>
            </w:r>
          </w:p>
        </w:tc>
      </w:tr>
    </w:tbl>
    <w:p>
      <w:pPr>
        <w:pStyle w:val="BodyText"/>
        <w:spacing w:line="240" w:lineRule="auto" w:before="51"/>
        <w:ind w:right="112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547" w:lineRule="auto" w:before="35"/>
        <w:ind w:left="154" w:right="8592" w:firstLine="0"/>
        <w:jc w:val="left"/>
        <w:rPr>
          <w:rFonts w:ascii="宋体" w:hAnsi="宋体" w:cs="宋体" w:eastAsia="宋体" w:hint="default"/>
          <w:sz w:val="21"/>
          <w:szCs w:val="21"/>
        </w:rPr>
      </w:pPr>
      <w:bookmarkStart w:name="66、其他综合收益" w:id="377"/>
      <w:bookmarkEnd w:id="377"/>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详见附注详见附注七、</w:t>
      </w:r>
      <w:r>
        <w:rPr>
          <w:rFonts w:ascii="Times New Roman" w:hAnsi="Times New Roman" w:cs="Times New Roman" w:eastAsia="Times New Roman" w:hint="default"/>
          <w:sz w:val="18"/>
          <w:szCs w:val="18"/>
        </w:rPr>
        <w:t>48</w:t>
      </w:r>
      <w:r>
        <w:rPr>
          <w:rFonts w:ascii="宋体" w:hAnsi="宋体" w:cs="宋体" w:eastAsia="宋体" w:hint="default"/>
          <w:sz w:val="18"/>
          <w:szCs w:val="18"/>
        </w:rPr>
        <w:t>。 </w:t>
      </w:r>
      <w:bookmarkStart w:name="67、现金流量表项目" w:id="378"/>
      <w:bookmarkEnd w:id="378"/>
      <w:r>
        <w:rPr>
          <w:rFonts w:ascii="宋体" w:hAnsi="宋体" w:cs="宋体" w:eastAsia="宋体" w:hint="default"/>
          <w:sz w:val="18"/>
          <w:szCs w:val="18"/>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1122"/>
        <w:jc w:val="left"/>
        <w:rPr>
          <w:b w:val="0"/>
          <w:bCs w:val="0"/>
        </w:rPr>
      </w:pPr>
      <w:bookmarkStart w:name="（1）收到的其他与经营活动有关的现金" w:id="379"/>
      <w:bookmarkEnd w:id="37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票据保证金等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112,053,859.88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124,521,750.97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110,790,241.26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51,624,111.70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44,988,783.86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17,122,344.68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往来款及违约金等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500,513,342.76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86,877,851.34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768,346,227.76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280,146,058.69</w:t>
            </w:r>
          </w:p>
        </w:tc>
      </w:tr>
    </w:tbl>
    <w:p>
      <w:pPr>
        <w:pStyle w:val="BodyText"/>
        <w:spacing w:line="240" w:lineRule="auto" w:before="51"/>
        <w:ind w:right="1122"/>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2）支付的其他与经营活动有关的现金" w:id="380"/>
      <w:bookmarkEnd w:id="38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支付费用等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202,314,777.98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127,244,690.73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130,167,196.02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159,254,880.22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票据保证金等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79,312,212.51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206,727,123.39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411,794,186.51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493,226,694.34</w:t>
            </w:r>
          </w:p>
        </w:tc>
      </w:tr>
    </w:tbl>
    <w:p>
      <w:pPr>
        <w:pStyle w:val="BodyText"/>
        <w:spacing w:line="240" w:lineRule="auto" w:before="51"/>
        <w:ind w:right="1122"/>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3）收到的其他与投资活动有关的现金" w:id="381"/>
      <w:bookmarkEnd w:id="38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返还预付设备款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3,771,000.00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28,041,000.00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bl>
    <w:p>
      <w:pPr>
        <w:pStyle w:val="BodyText"/>
        <w:spacing w:line="240" w:lineRule="auto" w:before="51"/>
        <w:ind w:right="1122"/>
        <w:jc w:val="left"/>
      </w:pPr>
      <w:r>
        <w:rPr/>
        <w:t>收到的其他与投资活动有关的现金说明：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4）支付的其他与投资活动有关的现金" w:id="382"/>
      <w:bookmarkEnd w:id="38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处置公司现金流量净额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34,574,024.65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101,092,141.92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24,270,000.00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26,952,000.00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4,800,408.20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61,526,024.65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130,162,550.12</w:t>
            </w:r>
          </w:p>
        </w:tc>
      </w:tr>
    </w:tbl>
    <w:p>
      <w:pPr>
        <w:pStyle w:val="BodyText"/>
        <w:spacing w:line="240" w:lineRule="auto" w:before="51"/>
        <w:ind w:right="1122"/>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5）收到的其他与筹资活动有关的现金" w:id="383"/>
      <w:bookmarkEnd w:id="38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848,233,334.16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私募基金借款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473,440,000.00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提前还款退回利息手续费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24,747,861.73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直租保证金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5,242,319.00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4,307,200.00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1,351,663,514.89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164,307,200.00</w:t>
            </w:r>
          </w:p>
        </w:tc>
      </w:tr>
    </w:tbl>
    <w:p>
      <w:pPr>
        <w:pStyle w:val="BodyText"/>
        <w:spacing w:line="240" w:lineRule="auto" w:before="51"/>
        <w:ind w:right="1122"/>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6）支付的其他与筹资活动有关的现金" w:id="384"/>
      <w:bookmarkEnd w:id="38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借款、租赁保证金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134,750,000.00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1,447,465,745.37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融资租赁直租付款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88,907,288.11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187,987,549.52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支付债券发行相关费用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收购同一控制下公司股权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144,889,400.00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回购库存股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49,632,060.79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收购少数股东股权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5,569,260.00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374,536,548.11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1,829,974,755.68</w:t>
            </w:r>
          </w:p>
        </w:tc>
      </w:tr>
    </w:tbl>
    <w:p>
      <w:pPr>
        <w:pStyle w:val="BodyText"/>
        <w:spacing w:line="240" w:lineRule="auto" w:before="51"/>
        <w:ind w:right="1122"/>
        <w:jc w:val="left"/>
      </w:pPr>
      <w:r>
        <w:rPr/>
        <w:t>支付的其他与筹资活动有关的现金说明：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223.339996pt;margin-top:423.309998pt;width:151.25pt;height:40.8pt;mso-position-horizontal-relative:page;mso-position-vertical-relative:page;z-index:-1592224" coordorigin="4467,8466" coordsize="3025,816">
            <v:group style="position:absolute;left:4478;top:8478;width:2;height:392" coordorigin="4478,8478" coordsize="2,392">
              <v:shape style="position:absolute;left:4478;top:8478;width:2;height:392" coordorigin="4478,8478" coordsize="0,392" path="m4478,8478l4478,8869e" filled="false" stroked="true" strokeweight="1.140pt" strokecolor="#ffffff">
                <v:path arrowok="t"/>
              </v:shape>
            </v:group>
            <v:group style="position:absolute;left:4490;top:8478;width:3002;height:392" coordorigin="4490,8478" coordsize="3002,392">
              <v:shape style="position:absolute;left:4490;top:8478;width:3002;height:392" coordorigin="4490,8478" coordsize="3002,392" path="m4490,8869l7491,8869,7491,8478,4490,8478,4490,8869xe" filled="true" fillcolor="#ffffff" stroked="false">
                <v:path arrowok="t"/>
                <v:fill type="solid"/>
              </v:shape>
            </v:group>
            <v:group style="position:absolute;left:4478;top:8880;width:2;height:392" coordorigin="4478,8880" coordsize="2,392">
              <v:shape style="position:absolute;left:4478;top:8880;width:2;height:392" coordorigin="4478,8880" coordsize="0,392" path="m4478,8880l4478,9271e" filled="false" stroked="true" strokeweight="1.140pt" strokecolor="#ffffff">
                <v:path arrowok="t"/>
              </v:shape>
            </v:group>
            <v:group style="position:absolute;left:4490;top:8880;width:3002;height:392" coordorigin="4490,8880" coordsize="3002,392">
              <v:shape style="position:absolute;left:4490;top:8880;width:3002;height:392" coordorigin="4490,8880" coordsize="3002,392" path="m4490,9271l7491,9271,7491,8880,4490,8880,4490,9271xe" filled="true" fillcolor="#ffffff" stroked="false">
                <v:path arrowok="t"/>
                <v:fill type="solid"/>
              </v:shape>
            </v:group>
            <w10:wrap type="none"/>
          </v:group>
        </w:pict>
      </w:r>
    </w:p>
    <w:p>
      <w:pPr>
        <w:pStyle w:val="Heading3"/>
        <w:spacing w:line="240" w:lineRule="auto" w:before="35"/>
        <w:ind w:right="1122"/>
        <w:jc w:val="left"/>
        <w:rPr>
          <w:b w:val="0"/>
          <w:bCs w:val="0"/>
        </w:rPr>
      </w:pPr>
      <w:bookmarkStart w:name="68、现金流量表补充资料" w:id="385"/>
      <w:bookmarkEnd w:id="385"/>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现金流量表补充资料" w:id="386"/>
      <w:bookmarkEnd w:id="38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10"/>
        <w:gridCol w:w="205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137,928,758.93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111,799,397.98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83,036,810.43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37,932,737.65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434,989,736.83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488,655,273.01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10,745,517.22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9,895,872.15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16,637,421.44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17,098,800.88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4,143,958.26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-16,088,161.25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19,485,487.67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23,088,640.70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1,976,271.00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-3,180,447.00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513,506,665.23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469,751,522.42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-151,274,662.10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-69,464,722.64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-33,459,058.26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-15,455,640.59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6,571,117.14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1,219,065.72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-27,905,108.81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152,312,407.78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04" w:right="0"/>
              <w:jc w:val="left"/>
              <w:rPr>
                <w:rFonts w:ascii="Times New Roman" w:hAnsi="Times New Roman" w:cs="Times New Roman" w:eastAsia="Times New Roman" w:hint="default"/>
                <w:sz w:val="18"/>
                <w:szCs w:val="18"/>
              </w:rPr>
            </w:pPr>
            <w:r>
              <w:rPr>
                <w:rFonts w:ascii="Times New Roman"/>
                <w:sz w:val="18"/>
              </w:rPr>
              <w:t>-1,408,470,470.30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-614,666,590.78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64" w:right="0"/>
              <w:jc w:val="left"/>
              <w:rPr>
                <w:rFonts w:ascii="Times New Roman" w:hAnsi="Times New Roman" w:cs="Times New Roman" w:eastAsia="Times New Roman" w:hint="default"/>
                <w:sz w:val="18"/>
                <w:szCs w:val="18"/>
              </w:rPr>
            </w:pPr>
            <w:r>
              <w:rPr>
                <w:rFonts w:ascii="Times New Roman"/>
                <w:sz w:val="18"/>
              </w:rPr>
              <w:t>1,252,299,820.53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278,441,709.95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8,326,227.97</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868,538,493.18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871,339,865.98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675,344,456.89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713,092,936.70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713,092,936.70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1,902,276,169.44</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-37,748,479.81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-1,189,183,232.74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2）本期支付的取得子公司的现金净额" w:id="387"/>
      <w:bookmarkEnd w:id="38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3）本期收到的处置子公司的现金净额" w:id="388"/>
      <w:bookmarkEnd w:id="38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428,488,350.00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赣州市南康区爱康新能源科技有限公司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浙江瑞旭投资有限公司（含子公司）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46,436,750.00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特克斯昱辉太阳能开发有限公司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35,775,000.00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新疆伊阳能源科技有限公司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新疆聚阳能源科技有限公司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116,060,000.00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九州方园博州新能源有限公司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九州方园博乐市新能源有限公司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62,356,000.00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无锡中康电力开发有限公司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宿州恒康新能源有限公司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106,386,000.00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内蒙古四子王旗神光能源发展有限公司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32,005,000.00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徐州统联新能源有限公司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济南统联新能源有限公司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泰州中康新能源有限公司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丹阳中康电力开发有限公司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日本爱康株式会社</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32,379,600.00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平泉市仁辉光伏发电有限公司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54,450,644.29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赣州市南康区爱康新能源科技有限公司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184,301.18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浙江瑞旭投资有限公司（含子公司）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5,495,548.63</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特克斯昱辉太阳能开发有限公司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13,799.63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新疆伊阳能源科技有限公司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18,690,635.88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新疆聚阳能源科技有限公司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17,567.25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九州方园博州新能源有限公司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12,592,388.16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九州方园博乐市新能源有限公司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49,040.53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无锡中康电力开发有限公司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28,675.73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宿州恒康新能源有限公司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17,379.31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内蒙古四子王旗神光能源发展有限公司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37,531.75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徐州统联新能源有限公司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5,510.31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济南统联新能源有限公司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85,250.33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泰州中康新能源有限公司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33,820.68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丹阳中康电力开发有限公司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5,475.70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日本爱康株式会社</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17,155,752.54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平泉市仁辉光伏发电有限公司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37,966.68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291,425,180.00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青海蓓翔新能源开发有限公司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93,301,108.00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新疆爱康慧诚信息技术有限公司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通化中康电力开发有限公司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金昌清能电力有限公司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168,024,072.00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665,462,885.71</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4）现金和现金等价物的构成" w:id="389"/>
      <w:bookmarkEnd w:id="38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675,344,456.89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713,092,936.70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80,571.25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289,514.68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675,263,885.64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712,803,422.02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675,344,456.89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713,092,936.70</w:t>
            </w:r>
          </w:p>
        </w:tc>
      </w:tr>
    </w:tbl>
    <w:p>
      <w:pPr>
        <w:pStyle w:val="BodyText"/>
        <w:spacing w:line="240" w:lineRule="auto" w:before="51"/>
        <w:ind w:right="1122"/>
        <w:jc w:val="left"/>
      </w:pPr>
      <w:r>
        <w:rPr/>
        <w:t>其他说明：</w:t>
      </w:r>
    </w:p>
    <w:p>
      <w:pPr>
        <w:pStyle w:val="BodyText"/>
        <w:spacing w:line="240" w:lineRule="auto" w:before="116"/>
        <w:ind w:left="514" w:right="1122"/>
        <w:jc w:val="left"/>
      </w:pPr>
      <w:r>
        <w:rPr/>
        <w:t>注：现金和现金等价物不含母公司或集团内子公司使用受限制的现金和现金等价物。</w:t>
      </w:r>
    </w:p>
    <w:p>
      <w:pPr>
        <w:spacing w:line="240" w:lineRule="auto" w:before="12"/>
        <w:rPr>
          <w:rFonts w:ascii="宋体" w:hAnsi="宋体" w:cs="宋体" w:eastAsia="宋体" w:hint="default"/>
          <w:sz w:val="26"/>
          <w:szCs w:val="26"/>
        </w:rPr>
      </w:pPr>
    </w:p>
    <w:p>
      <w:pPr>
        <w:pStyle w:val="Heading3"/>
        <w:spacing w:line="240" w:lineRule="auto"/>
        <w:ind w:right="1122"/>
        <w:jc w:val="left"/>
        <w:rPr>
          <w:b w:val="0"/>
          <w:bCs w:val="0"/>
        </w:rPr>
      </w:pPr>
      <w:bookmarkStart w:name="69、所有者权益变动表项目注释" w:id="390"/>
      <w:bookmarkEnd w:id="390"/>
      <w:r>
        <w:rPr>
          <w:b w:val="0"/>
          <w:bCs w:val="0"/>
        </w:rPr>
      </w:r>
      <w:r>
        <w:rPr>
          <w:rFonts w:ascii="Times New Roman" w:hAnsi="Times New Roman" w:cs="Times New Roman" w:eastAsia="Times New Roman" w:hint="default"/>
        </w:rPr>
        <w:t>69</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70、所有权或使用权受到限制的资产" w:id="391"/>
      <w:bookmarkEnd w:id="391"/>
      <w:r>
        <w:rPr>
          <w:b w:val="0"/>
          <w:bCs w:val="0"/>
        </w:rPr>
      </w:r>
      <w:r>
        <w:rPr>
          <w:rFonts w:ascii="Times New Roman" w:hAnsi="Times New Roman" w:cs="Times New Roman" w:eastAsia="Times New Roman" w:hint="default"/>
        </w:rPr>
        <w:t>70</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18"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7" w:right="0"/>
              <w:jc w:val="left"/>
              <w:rPr>
                <w:rFonts w:ascii="Times New Roman" w:hAnsi="Times New Roman" w:cs="Times New Roman" w:eastAsia="Times New Roman" w:hint="default"/>
                <w:sz w:val="18"/>
                <w:szCs w:val="18"/>
              </w:rPr>
            </w:pPr>
            <w:r>
              <w:rPr>
                <w:rFonts w:ascii="Times New Roman"/>
                <w:sz w:val="18"/>
              </w:rPr>
              <w:t>1,375,081,968.75</w:t>
            </w:r>
          </w:p>
        </w:tc>
        <w:tc>
          <w:tcPr>
            <w:tcW w:w="3184"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89"/>
              <w:jc w:val="both"/>
              <w:rPr>
                <w:rFonts w:ascii="宋体" w:hAnsi="宋体" w:cs="宋体" w:eastAsia="宋体" w:hint="default"/>
                <w:sz w:val="18"/>
                <w:szCs w:val="18"/>
              </w:rPr>
            </w:pPr>
            <w:r>
              <w:rPr>
                <w:rFonts w:ascii="宋体" w:hAnsi="宋体" w:cs="宋体" w:eastAsia="宋体" w:hint="default"/>
                <w:sz w:val="18"/>
                <w:szCs w:val="18"/>
              </w:rPr>
              <w:t>银行承兑汇票保证金、信用证保证金、 质押定期存款、保函保证金、远期外汇 合约保证金等</w:t>
            </w:r>
          </w:p>
        </w:tc>
      </w:tr>
      <w:tr>
        <w:trPr>
          <w:trHeight w:val="391"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317"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106,586,034.40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68,965,517.24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2,348,101,069.56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作为借款的抵押物</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44,924,506.77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作为借款的抵押物</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420,821,651.62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4,364,480,748.34</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71、外币货币性项目" w:id="392"/>
      <w:bookmarkEnd w:id="392"/>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外币货币性项目" w:id="393"/>
      <w:bookmarkEnd w:id="39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67,996,764.46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6,734,236.65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46,218,412.98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1,362,975.21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10,695,675.36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5.006200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83,038,782.00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0.061887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5,139,021.10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150,282,902.00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0.006125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920,482.78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1,040,909.46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4.825000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5,022,388.14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6.949400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753.31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314,278,802.25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24,454,913.08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167,838,959.45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1,577,376.87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12,378,149.55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2,126,674,115.74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0.061887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131,611,327.76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507,847.77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4.825000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2,450,365.49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35,618,458.25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568,730,093.40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0.061887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35,196,999.29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42,321,880.00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0.006125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259,221.52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33,624.34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4.825000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162,237.44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6,575,455.33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185,802.12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1,275,197.10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367,137.21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4.825000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1,771,437.04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6.949400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433,372.00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4.825000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3,400,800.10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2,068,125.60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0.061887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127,990.10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1,094,690.67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25,158.45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137,701,542.00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0.006125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843,421.96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46,188.00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222,857.10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3,253.16</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1122"/>
        <w:jc w:val="left"/>
        <w:rPr>
          <w:b w:val="0"/>
          <w:bCs w:val="0"/>
        </w:rPr>
      </w:pPr>
      <w:bookmarkStart w:name="（2）境外经营实体说明，包括对于重要的境外经营实体，应披露其境外主要经营地、记账" w:id="394"/>
      <w:bookmarkEnd w:id="39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4"/>
        </w:rPr>
        <w:t> </w:t>
      </w:r>
      <w:r>
        <w:rPr>
          <w:spacing w:val="-6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72、套期" w:id="395"/>
      <w:bookmarkEnd w:id="395"/>
      <w:r>
        <w:rPr>
          <w:b w:val="0"/>
          <w:bCs w:val="0"/>
        </w:rPr>
      </w: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73、政府补助" w:id="396"/>
      <w:bookmarkEnd w:id="396"/>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政府补助基本情况" w:id="397"/>
      <w:bookmarkEnd w:id="397"/>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基建建设投资返还款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14,640,663.85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14,640,663.85</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张家港市光伏发电专项扶持 资金</w:t>
            </w:r>
            <w:r>
              <w:rPr>
                <w:rFonts w:ascii="Times New Roman" w:hAnsi="Times New Roman" w:cs="Times New Roman" w:eastAsia="Times New Roman" w:hint="default"/>
                <w:sz w:val="18"/>
                <w:szCs w:val="18"/>
              </w:rPr>
              <w:t>(5.73MW </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286,500.12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286,500.12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张家港市服务业发展与改革 引导资金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58,510.65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58,510.65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商信委扶持资金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197,826.09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197,826.09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分布式光伏发电项目区域战 略推进专项资金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104,986.57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104,986.57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新兴产业投资基金专项资金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1,697,576.40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1,697,576.40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先进制造业补贴资金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48,552.24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48,552.24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地方特色产业中小企业发展 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12,560.16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12,560.16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组件项目厂房设备和基础设 施奖励补贴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943,610.00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943,610.00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西安市推进分布式光伏发电 应用补贴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8,142.75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8,142.75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年商务发展专项资金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532,300.00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年度企业研究开发费用 省级财政奖励资金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77,200.00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年商务发展专项资金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2,643,300.00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年江阴市工业和信息化 专项资金（中小微、服务型制 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产业强镇政策奖励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开发区安全生产二级标准化 验收合格奖励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失业保险稳定岗位补贴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117,947.00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117,947.00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年度张家港市企业科技 创新积分资助资金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882,800.00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882,800.00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经开区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年度科技创新、 品牌创优资助资金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年绿色发展等工业经济 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年度企业研究开发费用 省级财政奖励资金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209,700.00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经开区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年度科技创新、 品牌创优资助资金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年度省级工业和信息产 业转型升级专项资金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张家港市智能制造三年行动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计划补助资金</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年省重点研发计划（产业</w:t>
            </w:r>
            <w:r>
              <w:rPr>
                <w:rFonts w:ascii="宋体" w:hAnsi="宋体" w:cs="宋体" w:eastAsia="宋体" w:hint="default"/>
                <w:sz w:val="18"/>
                <w:szCs w:val="18"/>
              </w:rPr>
              <w:t> 前瞻与共性关键技术）项目资 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301,800.00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双重预防机制系统平台建设 补助资金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南康科技局中小企业培育经 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南康统计局</w:t>
            </w:r>
            <w:r>
              <w:rPr>
                <w:rFonts w:ascii="Times New Roman" w:hAnsi="Times New Roman" w:cs="Times New Roman" w:eastAsia="Times New Roman" w:hint="default"/>
                <w:sz w:val="18"/>
                <w:szCs w:val="18"/>
              </w:rPr>
              <w:t>"</w:t>
            </w:r>
            <w:r>
              <w:rPr>
                <w:rFonts w:ascii="宋体" w:hAnsi="宋体" w:cs="宋体" w:eastAsia="宋体" w:hint="default"/>
                <w:sz w:val="18"/>
                <w:szCs w:val="18"/>
              </w:rPr>
              <w:t>四上</w:t>
            </w:r>
            <w:r>
              <w:rPr>
                <w:rFonts w:ascii="Times New Roman" w:hAnsi="Times New Roman" w:cs="Times New Roman" w:eastAsia="Times New Roman" w:hint="default"/>
                <w:sz w:val="18"/>
                <w:szCs w:val="18"/>
              </w:rPr>
              <w:t>"</w:t>
            </w:r>
            <w:r>
              <w:rPr>
                <w:rFonts w:ascii="宋体" w:hAnsi="宋体" w:cs="宋体" w:eastAsia="宋体" w:hint="default"/>
                <w:sz w:val="18"/>
                <w:szCs w:val="18"/>
              </w:rPr>
              <w:t>企业入规配 套奖励资金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工信局工业转型升级专项资 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招商引资补贴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78,740,000.00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张家港财政局规模企业管理 内训补助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光伏发电项目建设补贴资金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（电量）</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160,466.90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160,466.90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年上海市科技型中小企 业技术创新资金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砖墙总部经济产业园招商引 资税收返还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33,960.00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江西省省级度电补贴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729,610.39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729,610.39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年上海新文化创意产业 园企业扶持资金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六师社保局新参保人员养老 补贴款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14,592.00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凤庆县财政局新增规模以上 企业扶持资金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22"/>
        <w:jc w:val="left"/>
        <w:rPr>
          <w:b w:val="0"/>
          <w:bCs w:val="0"/>
        </w:rPr>
      </w:pPr>
      <w:bookmarkStart w:name="（2）政府补助退回情况" w:id="398"/>
      <w:bookmarkEnd w:id="398"/>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spacing w:line="240" w:lineRule="auto" w:before="2"/>
        <w:rPr>
          <w:rFonts w:ascii="宋体" w:hAnsi="宋体" w:cs="宋体" w:eastAsia="宋体" w:hint="default"/>
          <w:sz w:val="21"/>
          <w:szCs w:val="21"/>
        </w:rPr>
      </w:pPr>
    </w:p>
    <w:p>
      <w:pPr>
        <w:pStyle w:val="Heading3"/>
        <w:spacing w:line="240" w:lineRule="auto"/>
        <w:ind w:right="1122"/>
        <w:jc w:val="left"/>
        <w:rPr>
          <w:b w:val="0"/>
          <w:bCs w:val="0"/>
        </w:rPr>
      </w:pPr>
      <w:bookmarkStart w:name="74、其他" w:id="399"/>
      <w:bookmarkEnd w:id="399"/>
      <w:r>
        <w:rPr>
          <w:b w:val="0"/>
          <w:bCs w:val="0"/>
        </w:rPr>
      </w:r>
      <w:r>
        <w:rPr>
          <w:rFonts w:ascii="Times New Roman" w:hAnsi="Times New Roman" w:cs="Times New Roman" w:eastAsia="Times New Roman" w:hint="default"/>
        </w:rPr>
        <w:t>74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22"/>
        <w:jc w:val="left"/>
        <w:rPr>
          <w:b w:val="0"/>
          <w:bCs w:val="0"/>
        </w:rPr>
      </w:pPr>
      <w:bookmarkStart w:name="八、合并范围的变更" w:id="400"/>
      <w:bookmarkEnd w:id="400"/>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非同一控制下企业合并" w:id="401"/>
      <w:bookmarkEnd w:id="401"/>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本期发生的非同一控制下企业合并" w:id="402"/>
      <w:bookmarkEnd w:id="402"/>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2）合并成本及商誉" w:id="403"/>
      <w:bookmarkEnd w:id="403"/>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10;top:10;width:4776;height:2" coordorigin="10,10" coordsize="4776,2">
              <v:shape style="position:absolute;left:10;top:10;width:4776;height:2" coordorigin="10,10" coordsize="4776,0" path="m10,10l4785,10e" filled="false" stroked="true" strokeweight=".48001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1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001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001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6;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6072"/>
        <w:jc w:val="left"/>
      </w:pPr>
      <w:r>
        <w:rPr/>
        <w:t>合并成本公允价值的确定方法、或有对价及其变动的说明： 大额商誉形成的主要原因：</w:t>
      </w:r>
    </w:p>
    <w:p>
      <w:pPr>
        <w:pStyle w:val="BodyText"/>
        <w:spacing w:line="240" w:lineRule="auto" w:before="26"/>
        <w:ind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3）被购买方于购买日可辨认资产、负债" w:id="404"/>
      <w:bookmarkEnd w:id="404"/>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6381"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right="753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4）购买日之前持有的股权按照公允价值重新计量产生的利得或损失" w:id="405"/>
      <w:bookmarkEnd w:id="405"/>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6"/>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5）购买日或合并当期期末无法合理确定合并对价或被购买方可辨认资产、负债公允价值" w:id="406"/>
      <w:bookmarkEnd w:id="406"/>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6）其他说明" w:id="407"/>
      <w:bookmarkEnd w:id="407"/>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2、同一控制下企业合并" w:id="408"/>
      <w:bookmarkEnd w:id="408"/>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本期发生的同一控制下企业合并" w:id="409"/>
      <w:bookmarkEnd w:id="409"/>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2）合并成本" w:id="410"/>
      <w:bookmarkEnd w:id="410"/>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6;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8592"/>
        <w:jc w:val="left"/>
      </w:pPr>
      <w:r>
        <w:rPr/>
        <w:t>或有对价及其变动的说明： 其他说明：</w:t>
      </w:r>
    </w:p>
    <w:p>
      <w:pPr>
        <w:spacing w:line="240" w:lineRule="auto" w:before="12"/>
        <w:rPr>
          <w:rFonts w:ascii="宋体" w:hAnsi="宋体" w:cs="宋体" w:eastAsia="宋体" w:hint="default"/>
          <w:sz w:val="19"/>
          <w:szCs w:val="19"/>
        </w:rPr>
      </w:pPr>
    </w:p>
    <w:p>
      <w:pPr>
        <w:pStyle w:val="Heading3"/>
        <w:spacing w:line="240" w:lineRule="auto"/>
        <w:ind w:right="1122"/>
        <w:jc w:val="left"/>
        <w:rPr>
          <w:b w:val="0"/>
          <w:bCs w:val="0"/>
        </w:rPr>
      </w:pPr>
      <w:bookmarkStart w:name="（3）合并日被合并方资产、负债的账面价值" w:id="411"/>
      <w:bookmarkEnd w:id="411"/>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10;top:10;width:3181;height:2" coordorigin="10,10" coordsize="3181,2">
              <v:shape style="position:absolute;left:10;top:10;width:3181;height:2" coordorigin="10,10" coordsize="3181,0" path="m10,10l3190,10e" filled="false" stroked="true" strokeweight=".4799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7998pt" strokecolor="#000000">
                <v:path arrowok="t"/>
              </v:shape>
            </v:group>
            <v:group style="position:absolute;left:10;top:412;width:3181;height:2" coordorigin="10,412" coordsize="3181,2">
              <v:shape style="position:absolute;left:10;top:412;width:3181;height:2" coordorigin="10,412" coordsize="3181,0" path="m10,412l3190,412e" filled="false" stroked="true" strokeweight=".4799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799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799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001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799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001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799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004pt" strokecolor="#000000">
                <v:path arrowok="t"/>
              </v:shape>
              <v:shape style="position:absolute;left:3195;top:412;width:3192;height:402" type="#_x0000_t202" filled="false" stroked="false">
                <v:textbox inset="0,0,0,0">
                  <w:txbxContent>
                    <w:p>
                      <w:pPr>
                        <w:spacing w:before="56"/>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6;top:412;width:3190;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3"/>
        <w:spacing w:line="240" w:lineRule="auto"/>
        <w:ind w:right="1122"/>
        <w:jc w:val="left"/>
        <w:rPr>
          <w:b w:val="0"/>
          <w:bCs w:val="0"/>
        </w:rPr>
      </w:pPr>
      <w:bookmarkStart w:name="3、反向购买" w:id="412"/>
      <w:bookmarkEnd w:id="412"/>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22"/>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pStyle w:val="BodyText"/>
        <w:spacing w:line="240" w:lineRule="auto" w:before="56"/>
        <w:ind w:right="1122"/>
        <w:jc w:val="left"/>
      </w:pPr>
      <w:r>
        <w:rPr/>
        <w:t>无。</w:t>
      </w:r>
    </w:p>
    <w:p>
      <w:pPr>
        <w:spacing w:line="240" w:lineRule="auto" w:before="12"/>
        <w:rPr>
          <w:rFonts w:ascii="宋体" w:hAnsi="宋体" w:cs="宋体" w:eastAsia="宋体" w:hint="default"/>
          <w:sz w:val="26"/>
          <w:szCs w:val="26"/>
        </w:rPr>
      </w:pPr>
    </w:p>
    <w:p>
      <w:pPr>
        <w:pStyle w:val="Heading3"/>
        <w:spacing w:line="240" w:lineRule="auto"/>
        <w:ind w:right="1122"/>
        <w:jc w:val="left"/>
        <w:rPr>
          <w:b w:val="0"/>
          <w:bCs w:val="0"/>
        </w:rPr>
      </w:pPr>
      <w:bookmarkStart w:name="4、处置子公司" w:id="413"/>
      <w:bookmarkEnd w:id="413"/>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6"/>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24"/>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股权处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股权处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股权处</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处置价</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按照公</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与原子</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483"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91"/>
              <w:jc w:val="right"/>
              <w:rPr>
                <w:rFonts w:ascii="宋体" w:hAnsi="宋体" w:cs="宋体" w:eastAsia="宋体" w:hint="default"/>
                <w:sz w:val="18"/>
                <w:szCs w:val="18"/>
              </w:rPr>
            </w:pPr>
            <w:r>
              <w:rPr>
                <w:rFonts w:ascii="宋体" w:hAnsi="宋体" w:cs="宋体" w:eastAsia="宋体" w:hint="default"/>
                <w:sz w:val="18"/>
                <w:szCs w:val="18"/>
              </w:rPr>
              <w:t>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2" w:right="90" w:hanging="90"/>
              <w:jc w:val="left"/>
              <w:rPr>
                <w:rFonts w:ascii="宋体" w:hAnsi="宋体" w:cs="宋体" w:eastAsia="宋体" w:hint="default"/>
                <w:sz w:val="18"/>
                <w:szCs w:val="18"/>
              </w:rPr>
            </w:pPr>
            <w:r>
              <w:rPr>
                <w:rFonts w:ascii="宋体" w:hAnsi="宋体" w:cs="宋体" w:eastAsia="宋体" w:hint="default"/>
                <w:sz w:val="18"/>
                <w:szCs w:val="18"/>
              </w:rPr>
              <w:t>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0"/>
              <w:jc w:val="center"/>
              <w:rPr>
                <w:rFonts w:ascii="宋体" w:hAnsi="宋体" w:cs="宋体" w:eastAsia="宋体" w:hint="default"/>
                <w:sz w:val="18"/>
                <w:szCs w:val="18"/>
              </w:rPr>
            </w:pPr>
            <w:r>
              <w:rPr>
                <w:rFonts w:ascii="宋体" w:hAnsi="宋体" w:cs="宋体" w:eastAsia="宋体" w:hint="default"/>
                <w:sz w:val="18"/>
                <w:szCs w:val="18"/>
              </w:rPr>
              <w:t>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3" w:right="91"/>
              <w:jc w:val="center"/>
              <w:rPr>
                <w:rFonts w:ascii="宋体" w:hAnsi="宋体" w:cs="宋体" w:eastAsia="宋体" w:hint="default"/>
                <w:sz w:val="18"/>
                <w:szCs w:val="18"/>
              </w:rPr>
            </w:pPr>
            <w:r>
              <w:rPr>
                <w:rFonts w:ascii="宋体" w:hAnsi="宋体" w:cs="宋体" w:eastAsia="宋体" w:hint="default"/>
                <w:sz w:val="18"/>
                <w:szCs w:val="18"/>
              </w:rPr>
              <w:t>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3"/>
              <w:jc w:val="center"/>
              <w:rPr>
                <w:rFonts w:ascii="宋体" w:hAnsi="宋体" w:cs="宋体" w:eastAsia="宋体" w:hint="default"/>
                <w:sz w:val="18"/>
                <w:szCs w:val="18"/>
              </w:rPr>
            </w:pPr>
            <w:r>
              <w:rPr>
                <w:rFonts w:ascii="宋体" w:hAnsi="宋体" w:cs="宋体" w:eastAsia="宋体" w:hint="default"/>
                <w:sz w:val="18"/>
                <w:szCs w:val="18"/>
              </w:rPr>
              <w:t>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center"/>
              <w:rPr>
                <w:rFonts w:ascii="宋体" w:hAnsi="宋体" w:cs="宋体" w:eastAsia="宋体" w:hint="default"/>
                <w:sz w:val="18"/>
                <w:szCs w:val="18"/>
              </w:rPr>
            </w:pPr>
            <w:r>
              <w:rPr>
                <w:rFonts w:ascii="宋体" w:hAnsi="宋体" w:cs="宋体" w:eastAsia="宋体" w:hint="default"/>
                <w:sz w:val="18"/>
                <w:szCs w:val="18"/>
              </w:rPr>
              <w:t>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3" w:right="91"/>
              <w:jc w:val="center"/>
              <w:rPr>
                <w:rFonts w:ascii="宋体" w:hAnsi="宋体" w:cs="宋体" w:eastAsia="宋体" w:hint="default"/>
                <w:sz w:val="18"/>
                <w:szCs w:val="18"/>
              </w:rPr>
            </w:pPr>
            <w:r>
              <w:rPr>
                <w:rFonts w:ascii="宋体" w:hAnsi="宋体" w:cs="宋体" w:eastAsia="宋体" w:hint="default"/>
                <w:sz w:val="18"/>
                <w:szCs w:val="18"/>
              </w:rPr>
              <w:t>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公司股 权投资 相关的 其他综 合收益 转入投 资损益 的金额</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赣州市 南康区 爱康新 能源科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2,580,00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1,501,09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4.59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浙江瑞 旭投资 有限公 </w:t>
            </w:r>
            <w:r>
              <w:rPr>
                <w:rFonts w:ascii="宋体" w:hAnsi="宋体" w:cs="宋体" w:eastAsia="宋体" w:hint="default"/>
                <w:spacing w:val="-10"/>
                <w:sz w:val="18"/>
                <w:szCs w:val="18"/>
              </w:rPr>
              <w:t>司（含子</w:t>
            </w:r>
            <w:r>
              <w:rPr>
                <w:rFonts w:ascii="宋体" w:hAnsi="宋体" w:cs="宋体" w:eastAsia="宋体" w:hint="default"/>
                <w:sz w:val="18"/>
                <w:szCs w:val="18"/>
              </w:rPr>
              <w:t>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92,873,5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9" w:right="0"/>
              <w:jc w:val="center"/>
              <w:rPr>
                <w:rFonts w:ascii="Times New Roman" w:hAnsi="Times New Roman" w:cs="Times New Roman" w:eastAsia="Times New Roman" w:hint="default"/>
                <w:sz w:val="18"/>
                <w:szCs w:val="18"/>
              </w:rPr>
            </w:pPr>
            <w:r>
              <w:rPr>
                <w:rFonts w:ascii="Times New Roman"/>
                <w:sz w:val="18"/>
              </w:rPr>
              <w:t>-57,533,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415.79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特克斯 昱辉太 阳能开 发有限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71,550,0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2,760,36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3.87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新疆伊 阳能源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-2,910,0</w:t>
            </w:r>
          </w:p>
          <w:p>
            <w:pPr>
              <w:pStyle w:val="TableParagraph"/>
              <w:spacing w:line="240" w:lineRule="auto" w:before="105"/>
              <w:ind w:left="278" w:right="0"/>
              <w:jc w:val="center"/>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-10,070,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920.73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新疆聚 阳能源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232,120,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21,939,6</w:t>
            </w:r>
          </w:p>
          <w:p>
            <w:pPr>
              <w:pStyle w:val="TableParagraph"/>
              <w:spacing w:line="240" w:lineRule="auto" w:before="105"/>
              <w:ind w:left="303" w:right="0"/>
              <w:jc w:val="left"/>
              <w:rPr>
                <w:rFonts w:ascii="Times New Roman" w:hAnsi="Times New Roman" w:cs="Times New Roman" w:eastAsia="Times New Roman" w:hint="default"/>
                <w:sz w:val="18"/>
                <w:szCs w:val="18"/>
              </w:rPr>
            </w:pPr>
            <w:r>
              <w:rPr>
                <w:rFonts w:ascii="Times New Roman"/>
                <w:sz w:val="18"/>
              </w:rPr>
              <w:t>11.46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九州方 园博州 新能源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1" w:right="0"/>
              <w:jc w:val="center"/>
              <w:rPr>
                <w:rFonts w:ascii="Times New Roman" w:hAnsi="Times New Roman" w:cs="Times New Roman" w:eastAsia="Times New Roman" w:hint="default"/>
                <w:sz w:val="18"/>
                <w:szCs w:val="18"/>
              </w:rPr>
            </w:pPr>
            <w:r>
              <w:rPr>
                <w:rFonts w:ascii="Times New Roman"/>
                <w:sz w:val="18"/>
              </w:rPr>
              <w:t>214,580,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82,612,3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19.56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1"/>
              <w:jc w:val="left"/>
              <w:rPr>
                <w:rFonts w:ascii="宋体" w:hAnsi="宋体" w:cs="宋体" w:eastAsia="宋体" w:hint="default"/>
                <w:sz w:val="18"/>
                <w:szCs w:val="18"/>
              </w:rPr>
            </w:pPr>
            <w:r>
              <w:rPr>
                <w:rFonts w:ascii="宋体" w:hAnsi="宋体" w:cs="宋体" w:eastAsia="宋体" w:hint="default"/>
                <w:sz w:val="18"/>
                <w:szCs w:val="18"/>
              </w:rPr>
              <w:t>九州方 园博乐</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124,712,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1"/>
              <w:jc w:val="left"/>
              <w:rPr>
                <w:rFonts w:ascii="宋体" w:hAnsi="宋体" w:cs="宋体" w:eastAsia="宋体" w:hint="default"/>
                <w:sz w:val="18"/>
                <w:szCs w:val="18"/>
              </w:rPr>
            </w:pPr>
            <w:r>
              <w:rPr>
                <w:rFonts w:ascii="宋体" w:hAnsi="宋体" w:cs="宋体" w:eastAsia="宋体" w:hint="default"/>
                <w:sz w:val="18"/>
                <w:szCs w:val="18"/>
              </w:rPr>
              <w:t>不再控 制财务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9,169,47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30.00%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51,600,0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53,448,0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1,848,00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61"/>
              <w:jc w:val="left"/>
              <w:rPr>
                <w:rFonts w:ascii="宋体" w:hAnsi="宋体" w:cs="宋体" w:eastAsia="宋体" w:hint="default"/>
                <w:sz w:val="18"/>
                <w:szCs w:val="18"/>
              </w:rPr>
            </w:pPr>
            <w:r>
              <w:rPr>
                <w:rFonts w:ascii="宋体" w:hAnsi="宋体" w:cs="宋体" w:eastAsia="宋体" w:hint="default"/>
                <w:sz w:val="18"/>
                <w:szCs w:val="18"/>
              </w:rPr>
              <w:t>未来收 益法评</w:t>
            </w: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9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市新能 源有限 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和经营 决策</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估</w:t>
            </w: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无锡中 康电力 开发有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1,220,00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204,822.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宿州恒 康新能 源有限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151,980,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-4,251,0</w:t>
            </w:r>
          </w:p>
          <w:p>
            <w:pPr>
              <w:pStyle w:val="TableParagraph"/>
              <w:spacing w:line="240" w:lineRule="auto" w:before="105"/>
              <w:ind w:left="275" w:right="0"/>
              <w:jc w:val="center"/>
              <w:rPr>
                <w:rFonts w:ascii="Times New Roman" w:hAnsi="Times New Roman" w:cs="Times New Roman" w:eastAsia="Times New Roman" w:hint="default"/>
                <w:sz w:val="18"/>
                <w:szCs w:val="18"/>
              </w:rPr>
            </w:pPr>
            <w:r>
              <w:rPr>
                <w:rFonts w:ascii="Times New Roman"/>
                <w:sz w:val="18"/>
              </w:rPr>
              <w:t>66.33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内蒙古 四子王 旗神光 能源发 展有限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64,010,0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4,253,37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6.49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徐州统 联新能 源有限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1,700,00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-916,277</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.92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济南统 联新能 源有限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3,250,00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-884,734</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.23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泰州中 康新能 源有限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1,700,00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-1,687,9</w:t>
            </w:r>
          </w:p>
          <w:p>
            <w:pPr>
              <w:pStyle w:val="TableParagraph"/>
              <w:spacing w:line="240" w:lineRule="auto" w:before="105"/>
              <w:ind w:left="275" w:right="0"/>
              <w:jc w:val="center"/>
              <w:rPr>
                <w:rFonts w:ascii="Times New Roman" w:hAnsi="Times New Roman" w:cs="Times New Roman" w:eastAsia="Times New Roman" w:hint="default"/>
                <w:sz w:val="18"/>
                <w:szCs w:val="18"/>
              </w:rPr>
            </w:pPr>
            <w:r>
              <w:rPr>
                <w:rFonts w:ascii="Times New Roman"/>
                <w:sz w:val="18"/>
              </w:rPr>
              <w:t>64.80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丹阳中 康电力 开发有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7,270,00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6,127,56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7.58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日本爱 康株式 </w:t>
            </w:r>
            <w:r>
              <w:rPr>
                <w:rFonts w:ascii="宋体" w:hAnsi="宋体" w:cs="宋体" w:eastAsia="宋体" w:hint="default"/>
                <w:spacing w:val="-10"/>
                <w:sz w:val="18"/>
                <w:szCs w:val="18"/>
              </w:rPr>
              <w:t>会社（含</w:t>
            </w:r>
            <w:r>
              <w:rPr>
                <w:rFonts w:ascii="宋体" w:hAnsi="宋体" w:cs="宋体" w:eastAsia="宋体" w:hint="default"/>
                <w:sz w:val="18"/>
                <w:szCs w:val="18"/>
              </w:rPr>
              <w:t> 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64,759,2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14,954,5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99.04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4992"/>
        <w:jc w:val="left"/>
      </w:pPr>
      <w:r>
        <w:rPr/>
        <w:t>其他说明： 是否存在通过多次交易分步处置对子公司投资且在本期丧失控制权的情形</w:t>
      </w:r>
    </w:p>
    <w:p>
      <w:pPr>
        <w:pStyle w:val="BodyText"/>
        <w:spacing w:line="240" w:lineRule="auto" w:before="26"/>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5、其他原因的合并范围变动" w:id="414"/>
      <w:bookmarkEnd w:id="414"/>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t>说明其他原因导致的合并范围变动（如，新设子公司、清算子公司等）及其相关情况：</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BodyText"/>
        <w:spacing w:line="240" w:lineRule="auto"/>
        <w:ind w:left="514" w:right="1122"/>
        <w:jc w:val="left"/>
      </w:pPr>
      <w:r>
        <w:rPr/>
        <w:t>（</w:t>
      </w:r>
      <w:r>
        <w:rPr>
          <w:rFonts w:ascii="Times New Roman" w:hAnsi="Times New Roman" w:cs="Times New Roman" w:eastAsia="Times New Roman" w:hint="default"/>
        </w:rPr>
        <w:t>1</w:t>
      </w:r>
      <w:r>
        <w:rPr/>
        <w:t>）本年新纳入合并范围子公司或孙公司</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768"/>
        <w:gridCol w:w="1808"/>
        <w:gridCol w:w="1683"/>
        <w:gridCol w:w="1139"/>
      </w:tblGrid>
      <w:tr>
        <w:trPr>
          <w:trHeight w:val="356" w:hRule="exact"/>
        </w:trPr>
        <w:tc>
          <w:tcPr>
            <w:tcW w:w="47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8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47" w:right="0"/>
              <w:jc w:val="left"/>
              <w:rPr>
                <w:rFonts w:ascii="宋体" w:hAnsi="宋体" w:cs="宋体" w:eastAsia="宋体" w:hint="default"/>
                <w:sz w:val="18"/>
                <w:szCs w:val="18"/>
              </w:rPr>
            </w:pPr>
            <w:r>
              <w:rPr>
                <w:rFonts w:ascii="宋体" w:hAnsi="宋体" w:cs="宋体" w:eastAsia="宋体" w:hint="default"/>
                <w:sz w:val="18"/>
                <w:szCs w:val="18"/>
              </w:rPr>
              <w:t>年末净资产</w:t>
            </w:r>
          </w:p>
        </w:tc>
        <w:tc>
          <w:tcPr>
            <w:tcW w:w="16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本年净利润</w:t>
            </w:r>
          </w:p>
        </w:tc>
        <w:tc>
          <w:tcPr>
            <w:tcW w:w="113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新增方式</w:t>
            </w:r>
          </w:p>
        </w:tc>
      </w:tr>
      <w:tr>
        <w:trPr>
          <w:trHeight w:val="352" w:hRule="exact"/>
        </w:trPr>
        <w:tc>
          <w:tcPr>
            <w:tcW w:w="47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浙江爱康光电科技有限公司</w:t>
            </w:r>
          </w:p>
        </w:tc>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231,155,384.97</w:t>
            </w:r>
          </w:p>
        </w:tc>
        <w:tc>
          <w:tcPr>
            <w:tcW w:w="16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59,020,384.97</w:t>
            </w:r>
          </w:p>
        </w:tc>
        <w:tc>
          <w:tcPr>
            <w:tcW w:w="11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52" w:hRule="exact"/>
        </w:trPr>
        <w:tc>
          <w:tcPr>
            <w:tcW w:w="47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青岛中德爱康能源科技有限公司</w:t>
            </w:r>
          </w:p>
        </w:tc>
        <w:tc>
          <w:tcPr>
            <w:tcW w:w="1808" w:type="dxa"/>
            <w:tcBorders>
              <w:top w:val="single" w:sz="12" w:space="0" w:color="000000"/>
              <w:left w:val="single" w:sz="6" w:space="0" w:color="000000"/>
              <w:bottom w:val="single" w:sz="12" w:space="0" w:color="000000"/>
              <w:right w:val="single" w:sz="6" w:space="0" w:color="000000"/>
            </w:tcBorders>
          </w:tcPr>
          <w:p>
            <w:pPr/>
          </w:p>
        </w:tc>
        <w:tc>
          <w:tcPr>
            <w:tcW w:w="1683" w:type="dxa"/>
            <w:tcBorders>
              <w:top w:val="single" w:sz="12" w:space="0" w:color="000000"/>
              <w:left w:val="single" w:sz="6" w:space="0" w:color="000000"/>
              <w:bottom w:val="single" w:sz="12" w:space="0" w:color="000000"/>
              <w:right w:val="single" w:sz="6" w:space="0" w:color="000000"/>
            </w:tcBorders>
          </w:tcPr>
          <w:p>
            <w:pPr/>
          </w:p>
        </w:tc>
        <w:tc>
          <w:tcPr>
            <w:tcW w:w="11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53" w:hRule="exact"/>
        </w:trPr>
        <w:tc>
          <w:tcPr>
            <w:tcW w:w="47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徐州慧康国创股权投资合伙企业（有限合伙）</w:t>
            </w:r>
          </w:p>
        </w:tc>
        <w:tc>
          <w:tcPr>
            <w:tcW w:w="1808" w:type="dxa"/>
            <w:tcBorders>
              <w:top w:val="single" w:sz="12" w:space="0" w:color="000000"/>
              <w:left w:val="single" w:sz="6" w:space="0" w:color="000000"/>
              <w:bottom w:val="single" w:sz="12" w:space="0" w:color="000000"/>
              <w:right w:val="single" w:sz="6" w:space="0" w:color="000000"/>
            </w:tcBorders>
          </w:tcPr>
          <w:p>
            <w:pPr/>
          </w:p>
        </w:tc>
        <w:tc>
          <w:tcPr>
            <w:tcW w:w="1683" w:type="dxa"/>
            <w:tcBorders>
              <w:top w:val="single" w:sz="12" w:space="0" w:color="000000"/>
              <w:left w:val="single" w:sz="6" w:space="0" w:color="000000"/>
              <w:bottom w:val="single" w:sz="12" w:space="0" w:color="000000"/>
              <w:right w:val="single" w:sz="6" w:space="0" w:color="000000"/>
            </w:tcBorders>
          </w:tcPr>
          <w:p>
            <w:pPr/>
          </w:p>
        </w:tc>
        <w:tc>
          <w:tcPr>
            <w:tcW w:w="11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52" w:hRule="exact"/>
        </w:trPr>
        <w:tc>
          <w:tcPr>
            <w:tcW w:w="47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徐州慧兴康新能源科技有限公司</w:t>
            </w:r>
          </w:p>
        </w:tc>
        <w:tc>
          <w:tcPr>
            <w:tcW w:w="1808" w:type="dxa"/>
            <w:tcBorders>
              <w:top w:val="single" w:sz="12" w:space="0" w:color="000000"/>
              <w:left w:val="single" w:sz="6" w:space="0" w:color="000000"/>
              <w:bottom w:val="single" w:sz="12" w:space="0" w:color="000000"/>
              <w:right w:val="single" w:sz="6" w:space="0" w:color="000000"/>
            </w:tcBorders>
          </w:tcPr>
          <w:p>
            <w:pPr/>
          </w:p>
        </w:tc>
        <w:tc>
          <w:tcPr>
            <w:tcW w:w="1683" w:type="dxa"/>
            <w:tcBorders>
              <w:top w:val="single" w:sz="12" w:space="0" w:color="000000"/>
              <w:left w:val="single" w:sz="6" w:space="0" w:color="000000"/>
              <w:bottom w:val="single" w:sz="12" w:space="0" w:color="000000"/>
              <w:right w:val="single" w:sz="6" w:space="0" w:color="000000"/>
            </w:tcBorders>
          </w:tcPr>
          <w:p>
            <w:pPr/>
          </w:p>
        </w:tc>
        <w:tc>
          <w:tcPr>
            <w:tcW w:w="11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52" w:hRule="exact"/>
        </w:trPr>
        <w:tc>
          <w:tcPr>
            <w:tcW w:w="47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爱康科技</w:t>
            </w:r>
            <w:r>
              <w:rPr>
                <w:rFonts w:ascii="Times New Roman" w:hAnsi="Times New Roman" w:cs="Times New Roman" w:eastAsia="Times New Roman" w:hint="default"/>
                <w:sz w:val="18"/>
                <w:szCs w:val="18"/>
              </w:rPr>
              <w:t>2017</w:t>
            </w:r>
            <w:r>
              <w:rPr>
                <w:rFonts w:ascii="宋体" w:hAnsi="宋体" w:cs="宋体" w:eastAsia="宋体" w:hint="default"/>
                <w:sz w:val="18"/>
                <w:szCs w:val="18"/>
              </w:rPr>
              <w:t>新能源私募投资基金</w:t>
            </w:r>
          </w:p>
        </w:tc>
        <w:tc>
          <w:tcPr>
            <w:tcW w:w="18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790,545,537.90</w:t>
            </w:r>
          </w:p>
        </w:tc>
        <w:tc>
          <w:tcPr>
            <w:tcW w:w="16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29,186,427.77</w:t>
            </w:r>
          </w:p>
        </w:tc>
        <w:tc>
          <w:tcPr>
            <w:tcW w:w="11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16" w:lineRule="auto" w:before="10"/>
        <w:ind w:right="1133" w:firstLine="360"/>
        <w:jc w:val="both"/>
      </w:pPr>
      <w:r>
        <w:rPr>
          <w:spacing w:val="-2"/>
        </w:rPr>
        <w:t>注：①青岛中德爱康能源科技有限公司由本公司与青岛西海岸投资促进有限公司共同投资设立，本年尚无业务发生，年</w:t>
      </w:r>
      <w:r>
        <w:rPr/>
        <w:t> 末净资产和本年净利润都为零。</w:t>
      </w:r>
    </w:p>
    <w:p>
      <w:pPr>
        <w:pStyle w:val="BodyText"/>
        <w:spacing w:line="307" w:lineRule="auto" w:before="19"/>
        <w:ind w:right="1131" w:firstLine="360"/>
        <w:jc w:val="both"/>
      </w:pPr>
      <w:r>
        <w:rPr>
          <w:spacing w:val="-2"/>
        </w:rPr>
        <w:t>②徐州慧康国创股权投资合伙企业（有限合伙）（以下简称</w:t>
      </w:r>
      <w:r>
        <w:rPr>
          <w:rFonts w:ascii="Times New Roman" w:hAnsi="Times New Roman" w:cs="Times New Roman" w:eastAsia="Times New Roman" w:hint="default"/>
          <w:spacing w:val="-2"/>
        </w:rPr>
        <w:t>“</w:t>
      </w:r>
      <w:r>
        <w:rPr>
          <w:spacing w:val="-2"/>
        </w:rPr>
        <w:t>徐州慧康</w:t>
      </w:r>
      <w:r>
        <w:rPr>
          <w:rFonts w:ascii="Times New Roman" w:hAnsi="Times New Roman" w:cs="Times New Roman" w:eastAsia="Times New Roman" w:hint="default"/>
          <w:spacing w:val="-2"/>
        </w:rPr>
        <w:t>”</w:t>
      </w:r>
      <w:r>
        <w:rPr>
          <w:spacing w:val="-2"/>
        </w:rPr>
        <w:t>）由本公司与北京水平投资管理有限公司、江苏</w:t>
      </w:r>
      <w:r>
        <w:rPr/>
        <w:t> </w:t>
      </w:r>
      <w:r>
        <w:rPr>
          <w:spacing w:val="-2"/>
        </w:rPr>
        <w:t>徐州老工业基地产业基金（有限合伙）、国都创业投资有限责任公司等共同投资设立，徐州慧兴康新能源科技有限公司为徐</w:t>
      </w:r>
      <w:r>
        <w:rPr>
          <w:spacing w:val="-66"/>
        </w:rPr>
        <w:t> </w:t>
      </w:r>
      <w:r>
        <w:rPr>
          <w:spacing w:val="-66"/>
        </w:rPr>
      </w:r>
      <w:r>
        <w:rPr/>
        <w:t>州慧康的子公司，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日本公司将徐州慧康股权零对价转让给江苏爱康实业集团有限公司。本公司持有徐州慧康期</w:t>
      </w:r>
      <w:r>
        <w:rPr>
          <w:spacing w:val="-83"/>
        </w:rPr>
        <w:t> </w:t>
      </w:r>
      <w:r>
        <w:rPr>
          <w:spacing w:val="-83"/>
        </w:rPr>
      </w:r>
      <w:r>
        <w:rPr/>
        <w:t>间，徐州慧康尚无业务发生，净资产和净利润都为零。</w:t>
      </w:r>
    </w:p>
    <w:p>
      <w:pPr>
        <w:pStyle w:val="BodyText"/>
        <w:spacing w:line="300" w:lineRule="auto" w:before="26"/>
        <w:ind w:right="1129" w:firstLine="360"/>
        <w:jc w:val="both"/>
      </w:pPr>
      <w:r>
        <w:rPr/>
        <w:t>③根据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月《爱康科技</w:t>
      </w:r>
      <w:r>
        <w:rPr>
          <w:rFonts w:ascii="Times New Roman" w:hAnsi="Times New Roman" w:cs="Times New Roman" w:eastAsia="Times New Roman" w:hint="default"/>
        </w:rPr>
        <w:t>2017</w:t>
      </w:r>
      <w:r>
        <w:rPr/>
        <w:t>新能源私募投资基金基金合同》及系列附属合同，爱康科技</w:t>
      </w:r>
      <w:r>
        <w:rPr>
          <w:rFonts w:ascii="Times New Roman" w:hAnsi="Times New Roman" w:cs="Times New Roman" w:eastAsia="Times New Roman" w:hint="default"/>
        </w:rPr>
        <w:t>2017</w:t>
      </w:r>
      <w:r>
        <w:rPr/>
        <w:t>新能源私募投资基金 </w:t>
      </w:r>
      <w:r>
        <w:rPr>
          <w:spacing w:val="-2"/>
        </w:rPr>
        <w:t>由本公司和江苏省国际信托有限责任公司（代</w:t>
      </w:r>
      <w:r>
        <w:rPr>
          <w:rFonts w:ascii="Times New Roman" w:hAnsi="Times New Roman" w:cs="Times New Roman" w:eastAsia="Times New Roman" w:hint="default"/>
          <w:spacing w:val="-2"/>
        </w:rPr>
        <w:t>“</w:t>
      </w:r>
      <w:r>
        <w:rPr>
          <w:spacing w:val="-2"/>
        </w:rPr>
        <w:t>爱康科技</w:t>
      </w:r>
      <w:r>
        <w:rPr>
          <w:rFonts w:ascii="Times New Roman" w:hAnsi="Times New Roman" w:cs="Times New Roman" w:eastAsia="Times New Roman" w:hint="default"/>
          <w:spacing w:val="-2"/>
        </w:rPr>
        <w:t>2017</w:t>
      </w:r>
      <w:r>
        <w:rPr>
          <w:spacing w:val="-2"/>
        </w:rPr>
        <w:t>新能源私募投资基金单一资金信托</w:t>
      </w:r>
      <w:r>
        <w:rPr>
          <w:rFonts w:ascii="Times New Roman" w:hAnsi="Times New Roman" w:cs="Times New Roman" w:eastAsia="Times New Roman" w:hint="default"/>
          <w:spacing w:val="-2"/>
        </w:rPr>
        <w:t>”</w:t>
      </w:r>
      <w:r>
        <w:rPr>
          <w:spacing w:val="-2"/>
        </w:rPr>
        <w:t>）共同出资设立的基金，本</w:t>
      </w:r>
      <w:r>
        <w:rPr>
          <w:spacing w:val="-41"/>
        </w:rPr>
        <w:t> </w:t>
      </w:r>
      <w:r>
        <w:rPr>
          <w:spacing w:val="-41"/>
        </w:rPr>
      </w:r>
      <w:r>
        <w:rPr/>
        <w:t>公司事实上享有或承担了该基金运作中的全部剩余风险和报酬，本公司将投资基金作为特殊目的主体纳入合并范围。</w:t>
      </w:r>
    </w:p>
    <w:p>
      <w:pPr>
        <w:pStyle w:val="BodyText"/>
        <w:spacing w:line="240" w:lineRule="auto" w:before="31"/>
        <w:ind w:left="514" w:right="1122"/>
        <w:jc w:val="left"/>
      </w:pPr>
      <w:r>
        <w:rPr/>
        <w:t>（</w:t>
      </w:r>
      <w:r>
        <w:rPr>
          <w:rFonts w:ascii="Times New Roman" w:hAnsi="Times New Roman" w:cs="Times New Roman" w:eastAsia="Times New Roman" w:hint="default"/>
        </w:rPr>
        <w:t>2</w:t>
      </w:r>
      <w:r>
        <w:rPr/>
        <w:t>）年末不再纳入合并范围子公司或孙公司</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068"/>
        <w:gridCol w:w="1621"/>
        <w:gridCol w:w="2175"/>
        <w:gridCol w:w="1351"/>
      </w:tblGrid>
      <w:tr>
        <w:trPr>
          <w:trHeight w:val="355" w:hRule="exact"/>
        </w:trPr>
        <w:tc>
          <w:tcPr>
            <w:tcW w:w="40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6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63"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1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6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c>
          <w:tcPr>
            <w:tcW w:w="135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不纳入原因</w:t>
            </w:r>
          </w:p>
        </w:tc>
      </w:tr>
      <w:tr>
        <w:trPr>
          <w:trHeight w:val="353" w:hRule="exact"/>
        </w:trPr>
        <w:tc>
          <w:tcPr>
            <w:tcW w:w="40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云南新康能源电力有限责任公司</w:t>
            </w:r>
          </w:p>
        </w:tc>
        <w:tc>
          <w:tcPr>
            <w:tcW w:w="16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19,933,800.00</w:t>
            </w:r>
          </w:p>
        </w:tc>
        <w:tc>
          <w:tcPr>
            <w:tcW w:w="2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-52,437.08</w:t>
            </w:r>
            <w:r>
              <w:rPr>
                <w:rFonts w:ascii="Times New Roman"/>
                <w:sz w:val="18"/>
              </w:rPr>
            </w:r>
          </w:p>
        </w:tc>
        <w:tc>
          <w:tcPr>
            <w:tcW w:w="13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52" w:hRule="exact"/>
        </w:trPr>
        <w:tc>
          <w:tcPr>
            <w:tcW w:w="40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绥滨昱辉太阳能发电有限公司</w:t>
            </w:r>
          </w:p>
        </w:tc>
        <w:tc>
          <w:tcPr>
            <w:tcW w:w="16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370,044.72</w:t>
            </w:r>
          </w:p>
        </w:tc>
        <w:tc>
          <w:tcPr>
            <w:tcW w:w="2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-2,500.00</w:t>
            </w:r>
            <w:r>
              <w:rPr>
                <w:rFonts w:ascii="Times New Roman"/>
                <w:sz w:val="18"/>
              </w:rPr>
            </w:r>
          </w:p>
        </w:tc>
        <w:tc>
          <w:tcPr>
            <w:tcW w:w="13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52" w:hRule="exact"/>
        </w:trPr>
        <w:tc>
          <w:tcPr>
            <w:tcW w:w="40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抚州爱康电力开发有限公司</w:t>
            </w:r>
          </w:p>
        </w:tc>
        <w:tc>
          <w:tcPr>
            <w:tcW w:w="16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-5,476.28</w:t>
            </w:r>
            <w:r>
              <w:rPr>
                <w:rFonts w:ascii="Times New Roman"/>
                <w:sz w:val="18"/>
              </w:rPr>
            </w:r>
          </w:p>
        </w:tc>
        <w:tc>
          <w:tcPr>
            <w:tcW w:w="2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-944.40</w:t>
            </w:r>
          </w:p>
        </w:tc>
        <w:tc>
          <w:tcPr>
            <w:tcW w:w="13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53" w:hRule="exact"/>
        </w:trPr>
        <w:tc>
          <w:tcPr>
            <w:tcW w:w="40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宽甸满族自治县爱康太阳能发电有限公司</w:t>
            </w:r>
          </w:p>
        </w:tc>
        <w:tc>
          <w:tcPr>
            <w:tcW w:w="16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-889,327.04</w:t>
            </w:r>
            <w:r>
              <w:rPr>
                <w:rFonts w:ascii="Times New Roman"/>
                <w:sz w:val="18"/>
              </w:rPr>
            </w:r>
          </w:p>
        </w:tc>
        <w:tc>
          <w:tcPr>
            <w:tcW w:w="2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-882,874.76</w:t>
            </w:r>
            <w:r>
              <w:rPr>
                <w:rFonts w:ascii="Times New Roman"/>
                <w:sz w:val="18"/>
              </w:rPr>
            </w:r>
          </w:p>
        </w:tc>
        <w:tc>
          <w:tcPr>
            <w:tcW w:w="13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52" w:hRule="exact"/>
        </w:trPr>
        <w:tc>
          <w:tcPr>
            <w:tcW w:w="40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阳谷宏大电力开发有限公司</w:t>
            </w:r>
          </w:p>
        </w:tc>
        <w:tc>
          <w:tcPr>
            <w:tcW w:w="16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-395,063.15</w:t>
            </w:r>
            <w:r>
              <w:rPr>
                <w:rFonts w:ascii="Times New Roman"/>
                <w:sz w:val="18"/>
              </w:rPr>
            </w:r>
          </w:p>
        </w:tc>
        <w:tc>
          <w:tcPr>
            <w:tcW w:w="2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58,392.23</w:t>
            </w:r>
          </w:p>
        </w:tc>
        <w:tc>
          <w:tcPr>
            <w:tcW w:w="13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52" w:hRule="exact"/>
        </w:trPr>
        <w:tc>
          <w:tcPr>
            <w:tcW w:w="40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贵溪爱康电力开发有限公司</w:t>
            </w:r>
          </w:p>
        </w:tc>
        <w:tc>
          <w:tcPr>
            <w:tcW w:w="16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-28,993.68</w:t>
            </w:r>
            <w:r>
              <w:rPr>
                <w:rFonts w:ascii="Times New Roman"/>
                <w:sz w:val="18"/>
              </w:rPr>
            </w:r>
          </w:p>
        </w:tc>
        <w:tc>
          <w:tcPr>
            <w:tcW w:w="2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-22,817.90</w:t>
            </w:r>
            <w:r>
              <w:rPr>
                <w:rFonts w:ascii="Times New Roman"/>
                <w:sz w:val="18"/>
              </w:rPr>
            </w:r>
          </w:p>
        </w:tc>
        <w:tc>
          <w:tcPr>
            <w:tcW w:w="13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53" w:hRule="exact"/>
        </w:trPr>
        <w:tc>
          <w:tcPr>
            <w:tcW w:w="40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无棣隆康电力开发有限公司</w:t>
            </w:r>
          </w:p>
        </w:tc>
        <w:tc>
          <w:tcPr>
            <w:tcW w:w="16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-6,459.13</w:t>
            </w:r>
            <w:r>
              <w:rPr>
                <w:rFonts w:ascii="Times New Roman"/>
                <w:sz w:val="18"/>
              </w:rPr>
            </w:r>
          </w:p>
        </w:tc>
        <w:tc>
          <w:tcPr>
            <w:tcW w:w="2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-5,992.46</w:t>
            </w:r>
            <w:r>
              <w:rPr>
                <w:rFonts w:ascii="Times New Roman"/>
                <w:sz w:val="18"/>
              </w:rPr>
            </w:r>
          </w:p>
        </w:tc>
        <w:tc>
          <w:tcPr>
            <w:tcW w:w="13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52" w:hRule="exact"/>
        </w:trPr>
        <w:tc>
          <w:tcPr>
            <w:tcW w:w="40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湖北中康新能电力有限公司</w:t>
            </w:r>
          </w:p>
        </w:tc>
        <w:tc>
          <w:tcPr>
            <w:tcW w:w="1621" w:type="dxa"/>
            <w:tcBorders>
              <w:top w:val="single" w:sz="12" w:space="0" w:color="000000"/>
              <w:left w:val="single" w:sz="6" w:space="0" w:color="000000"/>
              <w:bottom w:val="single" w:sz="12" w:space="0" w:color="000000"/>
              <w:right w:val="single" w:sz="6" w:space="0" w:color="000000"/>
            </w:tcBorders>
          </w:tcPr>
          <w:p>
            <w:pPr/>
          </w:p>
        </w:tc>
        <w:tc>
          <w:tcPr>
            <w:tcW w:w="2175" w:type="dxa"/>
            <w:tcBorders>
              <w:top w:val="single" w:sz="12" w:space="0" w:color="000000"/>
              <w:left w:val="single" w:sz="6" w:space="0" w:color="000000"/>
              <w:bottom w:val="single" w:sz="12" w:space="0" w:color="000000"/>
              <w:right w:val="single" w:sz="6" w:space="0" w:color="000000"/>
            </w:tcBorders>
          </w:tcPr>
          <w:p>
            <w:pPr/>
          </w:p>
        </w:tc>
        <w:tc>
          <w:tcPr>
            <w:tcW w:w="13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52" w:hRule="exact"/>
        </w:trPr>
        <w:tc>
          <w:tcPr>
            <w:tcW w:w="40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江西碳诺科技有限公司</w:t>
            </w:r>
          </w:p>
        </w:tc>
        <w:tc>
          <w:tcPr>
            <w:tcW w:w="16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-5,209.25</w:t>
            </w:r>
            <w:r>
              <w:rPr>
                <w:rFonts w:ascii="Times New Roman"/>
                <w:sz w:val="18"/>
              </w:rPr>
            </w:r>
          </w:p>
        </w:tc>
        <w:tc>
          <w:tcPr>
            <w:tcW w:w="2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-5,209.25</w:t>
            </w:r>
            <w:r>
              <w:rPr>
                <w:rFonts w:ascii="Times New Roman"/>
                <w:sz w:val="18"/>
              </w:rPr>
            </w:r>
          </w:p>
        </w:tc>
        <w:tc>
          <w:tcPr>
            <w:tcW w:w="13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53" w:hRule="exact"/>
        </w:trPr>
        <w:tc>
          <w:tcPr>
            <w:tcW w:w="40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平泉市仁辉光伏发电有限公司</w:t>
            </w:r>
          </w:p>
        </w:tc>
        <w:tc>
          <w:tcPr>
            <w:tcW w:w="16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-434,233.32</w:t>
            </w:r>
            <w:r>
              <w:rPr>
                <w:rFonts w:ascii="Times New Roman"/>
                <w:sz w:val="18"/>
              </w:rPr>
            </w:r>
          </w:p>
        </w:tc>
        <w:tc>
          <w:tcPr>
            <w:tcW w:w="2175" w:type="dxa"/>
            <w:tcBorders>
              <w:top w:val="single" w:sz="12" w:space="0" w:color="000000"/>
              <w:left w:val="single" w:sz="6" w:space="0" w:color="000000"/>
              <w:bottom w:val="single" w:sz="12" w:space="0" w:color="000000"/>
              <w:right w:val="single" w:sz="6" w:space="0" w:color="000000"/>
            </w:tcBorders>
          </w:tcPr>
          <w:p>
            <w:pPr/>
          </w:p>
        </w:tc>
        <w:tc>
          <w:tcPr>
            <w:tcW w:w="13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52" w:hRule="exact"/>
        </w:trPr>
        <w:tc>
          <w:tcPr>
            <w:tcW w:w="40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徐州慧康国创股权投资合伙企业（有限合伙）</w:t>
            </w:r>
          </w:p>
        </w:tc>
        <w:tc>
          <w:tcPr>
            <w:tcW w:w="1621" w:type="dxa"/>
            <w:tcBorders>
              <w:top w:val="single" w:sz="12" w:space="0" w:color="000000"/>
              <w:left w:val="single" w:sz="6" w:space="0" w:color="000000"/>
              <w:bottom w:val="single" w:sz="12" w:space="0" w:color="000000"/>
              <w:right w:val="single" w:sz="6" w:space="0" w:color="000000"/>
            </w:tcBorders>
          </w:tcPr>
          <w:p>
            <w:pPr/>
          </w:p>
        </w:tc>
        <w:tc>
          <w:tcPr>
            <w:tcW w:w="2175" w:type="dxa"/>
            <w:tcBorders>
              <w:top w:val="single" w:sz="12" w:space="0" w:color="000000"/>
              <w:left w:val="single" w:sz="6" w:space="0" w:color="000000"/>
              <w:bottom w:val="single" w:sz="12" w:space="0" w:color="000000"/>
              <w:right w:val="single" w:sz="6" w:space="0" w:color="000000"/>
            </w:tcBorders>
          </w:tcPr>
          <w:p>
            <w:pPr/>
          </w:p>
        </w:tc>
        <w:tc>
          <w:tcPr>
            <w:tcW w:w="13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52" w:hRule="exact"/>
        </w:trPr>
        <w:tc>
          <w:tcPr>
            <w:tcW w:w="40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徐州慧兴康新能源科技有限公司</w:t>
            </w:r>
          </w:p>
        </w:tc>
        <w:tc>
          <w:tcPr>
            <w:tcW w:w="1621" w:type="dxa"/>
            <w:tcBorders>
              <w:top w:val="single" w:sz="12" w:space="0" w:color="000000"/>
              <w:left w:val="single" w:sz="6" w:space="0" w:color="000000"/>
              <w:bottom w:val="single" w:sz="12" w:space="0" w:color="000000"/>
              <w:right w:val="single" w:sz="6" w:space="0" w:color="000000"/>
            </w:tcBorders>
          </w:tcPr>
          <w:p>
            <w:pPr/>
          </w:p>
        </w:tc>
        <w:tc>
          <w:tcPr>
            <w:tcW w:w="2175" w:type="dxa"/>
            <w:tcBorders>
              <w:top w:val="single" w:sz="12" w:space="0" w:color="000000"/>
              <w:left w:val="single" w:sz="6" w:space="0" w:color="000000"/>
              <w:bottom w:val="single" w:sz="12" w:space="0" w:color="000000"/>
              <w:right w:val="single" w:sz="6" w:space="0" w:color="000000"/>
            </w:tcBorders>
          </w:tcPr>
          <w:p>
            <w:pPr/>
          </w:p>
        </w:tc>
        <w:tc>
          <w:tcPr>
            <w:tcW w:w="13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转让</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4" w:right="7692" w:firstLine="0"/>
        <w:jc w:val="left"/>
        <w:rPr>
          <w:rFonts w:ascii="宋体" w:hAnsi="宋体" w:cs="宋体" w:eastAsia="宋体" w:hint="default"/>
          <w:sz w:val="21"/>
          <w:szCs w:val="21"/>
        </w:rPr>
      </w:pPr>
      <w:bookmarkStart w:name="6、其他" w:id="415"/>
      <w:bookmarkEnd w:id="41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6"/>
      <w:bookmarkEnd w:id="416"/>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7"/>
      <w:bookmarkEnd w:id="41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1122"/>
        <w:jc w:val="left"/>
        <w:rPr>
          <w:b w:val="0"/>
          <w:bCs w:val="0"/>
        </w:rPr>
      </w:pPr>
      <w:bookmarkStart w:name="（1）企业集团的构成" w:id="418"/>
      <w:bookmarkEnd w:id="41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南通爱康金属科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苏州爱康金属科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江阴爱康光伏焊 带有限公司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苏州爱康电力开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投资和贸易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香港爱康电力国 际控股有限公司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无锡爱康电力发 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投资和贸易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苏州中康电力开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投资和贸易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23.96%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内蒙古爱康电力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内蒙呼和浩特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内蒙呼和浩特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甘肃爱康电力有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北京碳诺科技有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碳资产开发咨询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苏州爱康光电科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青海爱康电力有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青海省西宁市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青海省西宁市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上海富罗纳企业 征信服务有限公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征信服务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上海爱康富罗纳 售电有限公司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苏州慧诚电力检 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苏州中康电力运 营有限公司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江苏爱康能源研 究院有限公司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技术咨询、开发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江苏爱康能源研 究院有限公司上 海分公司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技术咨询、开发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分公司</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江苏智鸿能源科 技发展有限公司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技术咨询、开发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上海慧喆信息技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技术咨询、开发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广西爱康新能电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北京爱康新能电 力科技有限公司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阳泉爱康新能电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赣州爱康新能电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新疆爱康天电能 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陕西爱康新能电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广东爱康电力有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湖北爱康新能电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湖南爱康新能电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浙江爱康电力有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footerReference w:type="default" r:id="rId16"/>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山东爱康电力有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四川爱康新能电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河南爱康新能电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江苏爱康电力有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贵州爱康新能电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广西新康电力有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辽宁爱康电力有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福建爱康电力有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西安爱康智慧能 源管理有限公司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阳泉爱康智慧电 力科技有限公司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青岛中德爱康能 源科技有限公司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能源互联网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爱康科技</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新 能源私募投资基 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私募基金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阳泉爱康科技有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山西阳泉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山西阳泉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朝阳爱康电力新 能源开发有限公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辽宁喀左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辽宁喀左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赣州爱康能源开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江西赣州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江西赣州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无棣爱康电力开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山东无棣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山东无棣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榆林市榆神工业 区昱辉新能源有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陕西神木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陕西神木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嘉祥昱辉新能源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山东嘉祥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山东嘉祥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left"/>
        <w:rPr>
          <w:rFonts w:ascii="宋体" w:hAnsi="宋体" w:cs="宋体" w:eastAsia="宋体" w:hint="default"/>
          <w:sz w:val="18"/>
          <w:szCs w:val="18"/>
        </w:rPr>
        <w:sectPr>
          <w:footerReference w:type="default" r:id="rId17"/>
          <w:pgSz w:w="11910" w:h="16840"/>
          <w:pgMar w:footer="979" w:header="747" w:top="1060" w:bottom="1160" w:left="980" w:right="0"/>
          <w:pgNumType w:start="2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承德县昱辉新能 源发电有限公司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河北承德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河北承德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酒泉聚能风光科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甘肃酒泉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甘肃酒泉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孝义市太子可再 生能源科技有限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山西孝义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山西孝义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南召县中机国能 电力有限公司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河南南召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河南南召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泌阳县中康太阳 能电力开发有限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韩国爱康株式会 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凤庆县爱康电力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禄劝县爱康能源 电力有限公司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大安市爱康新能 源开发有限公司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武安市爱康光伏 发电有限公司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平乡县爱康电力 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廊坊市中康新能 源开发有限公司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明光爱康电力开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崇左市爱康能源 电力有限公司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镇江日升投资管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江西爱康新能源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锦州中康电力开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五家渠爱康电力 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新疆利源新辉能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源科技有限公司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酒泉慧康光伏发 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大城县爱康电力 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伊川县佳康电力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河南洛阳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河南洛阳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莒南鑫顺风光电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山东莒南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山东莒南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乌海市航天睿思 新能源开发有限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内蒙古乌海市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内蒙古乌海市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乌海市航天智达 新能源开发有限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内蒙古乌海市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内蒙古乌海市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张家港爱康科技 产业投资基金合 伙企业（有限合 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光伏投资</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赣州爱康光电科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江西省赣州市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江西省赣州市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3"/>
              <w:jc w:val="left"/>
              <w:rPr>
                <w:rFonts w:ascii="Times New Roman" w:hAnsi="Times New Roman" w:cs="Times New Roman" w:eastAsia="Times New Roman" w:hint="default"/>
                <w:sz w:val="18"/>
                <w:szCs w:val="18"/>
              </w:rPr>
            </w:pPr>
            <w:r>
              <w:rPr>
                <w:rFonts w:ascii="Times New Roman"/>
                <w:sz w:val="18"/>
              </w:rPr>
              <w:t>Akcome</w:t>
            </w:r>
            <w:r>
              <w:rPr>
                <w:rFonts w:ascii="Times New Roman"/>
                <w:spacing w:val="-2"/>
                <w:sz w:val="18"/>
              </w:rPr>
              <w:t> </w:t>
            </w:r>
            <w:r>
              <w:rPr>
                <w:rFonts w:ascii="Times New Roman"/>
                <w:sz w:val="18"/>
              </w:rPr>
              <w:t>Energy</w:t>
            </w:r>
            <w:r>
              <w:rPr>
                <w:rFonts w:ascii="Times New Roman"/>
                <w:w w:val="99"/>
                <w:sz w:val="18"/>
              </w:rPr>
              <w:t> </w:t>
            </w:r>
            <w:r>
              <w:rPr>
                <w:rFonts w:ascii="Times New Roman"/>
                <w:sz w:val="18"/>
              </w:rPr>
              <w:t>Australia Pty</w:t>
            </w:r>
            <w:r>
              <w:rPr>
                <w:rFonts w:ascii="Times New Roman"/>
                <w:spacing w:val="-6"/>
                <w:sz w:val="18"/>
              </w:rPr>
              <w:t> </w:t>
            </w:r>
            <w:r>
              <w:rPr>
                <w:rFonts w:ascii="Times New Roman"/>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销售、安装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23"/>
              <w:jc w:val="left"/>
              <w:rPr>
                <w:rFonts w:ascii="Times New Roman" w:hAnsi="Times New Roman" w:cs="Times New Roman" w:eastAsia="Times New Roman" w:hint="default"/>
                <w:sz w:val="18"/>
                <w:szCs w:val="18"/>
              </w:rPr>
            </w:pPr>
            <w:r>
              <w:rPr>
                <w:rFonts w:ascii="Times New Roman"/>
                <w:sz w:val="18"/>
              </w:rPr>
              <w:t>Akcome</w:t>
            </w:r>
            <w:r>
              <w:rPr>
                <w:rFonts w:ascii="Times New Roman"/>
                <w:spacing w:val="-2"/>
                <w:sz w:val="18"/>
              </w:rPr>
              <w:t> </w:t>
            </w:r>
            <w:r>
              <w:rPr>
                <w:rFonts w:ascii="Times New Roman"/>
                <w:sz w:val="18"/>
              </w:rPr>
              <w:t>Power</w:t>
            </w:r>
            <w:r>
              <w:rPr>
                <w:rFonts w:ascii="Times New Roman"/>
                <w:w w:val="99"/>
                <w:sz w:val="18"/>
              </w:rPr>
              <w:t> </w:t>
            </w:r>
            <w:r>
              <w:rPr>
                <w:rFonts w:ascii="Times New Roman"/>
                <w:sz w:val="18"/>
              </w:rPr>
              <w:t>Pty</w:t>
            </w:r>
            <w:r>
              <w:rPr>
                <w:rFonts w:ascii="Times New Roman"/>
                <w:spacing w:val="-3"/>
                <w:sz w:val="18"/>
              </w:rPr>
              <w:t> </w:t>
            </w:r>
            <w:r>
              <w:rPr>
                <w:rFonts w:ascii="Times New Roman"/>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销售、安装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张北爱康兴业能 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蒸汽</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山西慧泉大数据 产业发展有限公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西安爱康信能电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阳泉爱康太阳能 发电有限公司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浙江爱康光电科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浙江湖州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浙江湖州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right="283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after="0" w:line="36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7692"/>
        <w:jc w:val="left"/>
      </w:pPr>
      <w:r>
        <w:rPr/>
        <w:t>确定公司是代理人还是委托人的依据： 其他说明：</w:t>
      </w:r>
    </w:p>
    <w:p>
      <w:pPr>
        <w:spacing w:line="240" w:lineRule="auto" w:before="1"/>
        <w:rPr>
          <w:rFonts w:ascii="宋体" w:hAnsi="宋体" w:cs="宋体" w:eastAsia="宋体" w:hint="default"/>
          <w:sz w:val="20"/>
          <w:szCs w:val="20"/>
        </w:rPr>
      </w:pPr>
    </w:p>
    <w:p>
      <w:pPr>
        <w:pStyle w:val="Heading3"/>
        <w:spacing w:line="240" w:lineRule="auto"/>
        <w:ind w:right="1122"/>
        <w:jc w:val="left"/>
        <w:rPr>
          <w:b w:val="0"/>
          <w:bCs w:val="0"/>
        </w:rPr>
      </w:pPr>
      <w:bookmarkStart w:name="（2）重要的非全资子公司" w:id="419"/>
      <w:bookmarkEnd w:id="41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7" w:lineRule="auto" w:before="52"/>
        <w:ind w:right="6432"/>
        <w:jc w:val="left"/>
      </w:pPr>
      <w:r>
        <w:rPr/>
        <w:t>子公司少数股东的持股比例不同于表决权比例的说明： 其他说明：</w:t>
      </w:r>
    </w:p>
    <w:p>
      <w:pPr>
        <w:spacing w:line="240" w:lineRule="auto" w:before="1"/>
        <w:rPr>
          <w:rFonts w:ascii="宋体" w:hAnsi="宋体" w:cs="宋体" w:eastAsia="宋体" w:hint="default"/>
          <w:sz w:val="20"/>
          <w:szCs w:val="20"/>
        </w:rPr>
      </w:pPr>
    </w:p>
    <w:p>
      <w:pPr>
        <w:pStyle w:val="Heading3"/>
        <w:spacing w:line="240" w:lineRule="auto"/>
        <w:ind w:right="1122"/>
        <w:jc w:val="left"/>
        <w:rPr>
          <w:b w:val="0"/>
          <w:bCs w:val="0"/>
        </w:rPr>
      </w:pPr>
      <w:bookmarkStart w:name="（3）重要非全资子公司的主要财务信息" w:id="420"/>
      <w:bookmarkEnd w:id="42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4）使用企业集团资产和清偿企业集团债务的重大限制" w:id="421"/>
      <w:bookmarkEnd w:id="421"/>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5）向纳入合并财务报表范围的结构化主体提供的财务支持或其他支持" w:id="422"/>
      <w:bookmarkEnd w:id="422"/>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2、在子公司的所有者权益份额发生变化且仍控制子公司的交易" w:id="423"/>
      <w:bookmarkEnd w:id="423"/>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在子公司所有者权益份额发生变化的情况说明" w:id="424"/>
      <w:bookmarkEnd w:id="424"/>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2）交易对于少数股东权益及归属于母公司所有者权益的影响" w:id="425"/>
      <w:bookmarkEnd w:id="425"/>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799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799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799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004pt" strokecolor="#000000">
                <v:path arrowok="t"/>
              </v:shape>
            </v:group>
          </v:group>
        </w:pict>
      </w:r>
      <w:r>
        <w:rPr>
          <w:rFonts w:ascii="宋体" w:hAnsi="宋体" w:cs="宋体" w:eastAsia="宋体" w:hint="default"/>
          <w:position w:val="-7"/>
          <w:sz w:val="20"/>
          <w:szCs w:val="20"/>
        </w:rPr>
      </w:r>
    </w:p>
    <w:p>
      <w:pPr>
        <w:pStyle w:val="BodyText"/>
        <w:spacing w:line="240" w:lineRule="auto" w:before="47"/>
        <w:ind w:right="112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3、在合营安排或联营企业中的权益" w:id="426"/>
      <w:bookmarkEnd w:id="426"/>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重要的合营企业或联营企业" w:id="427"/>
      <w:bookmarkEnd w:id="42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赣州发展融资租 赁有限责任公司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江西赣州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江西赣州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苏州爱康能源工 程技术股份有限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光伏电站建设</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EPC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1122"/>
        <w:jc w:val="left"/>
      </w:pPr>
      <w:r>
        <w:rPr/>
        <w:t>在合营企业或联营企业的持股比例不同于表决权比例的说明：</w:t>
      </w:r>
    </w:p>
    <w:p>
      <w:pPr>
        <w:pStyle w:val="BodyText"/>
        <w:spacing w:line="240" w:lineRule="auto" w:before="117"/>
        <w:ind w:right="1122"/>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2）重要合营企业的主要财务信息" w:id="428"/>
      <w:bookmarkEnd w:id="428"/>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3）重要联营企业的主要财务信息" w:id="429"/>
      <w:bookmarkEnd w:id="429"/>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6" w:type="dxa"/>
            <w:vMerge w:val="restart"/>
            <w:tcBorders>
              <w:top w:val="single" w:sz="4" w:space="0" w:color="000000"/>
              <w:left w:val="single" w:sz="9" w:space="0" w:color="D2D2D2"/>
              <w:right w:val="single" w:sz="4" w:space="0" w:color="000000"/>
            </w:tcBorders>
          </w:tcPr>
          <w:p>
            <w:pPr>
              <w:pStyle w:val="TableParagraph"/>
              <w:spacing w:line="316" w:lineRule="auto" w:before="51"/>
              <w:ind w:left="596" w:right="51" w:hanging="540"/>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14" w:type="dxa"/>
            <w:vMerge w:val="restart"/>
            <w:tcBorders>
              <w:top w:val="single" w:sz="4" w:space="0" w:color="000000"/>
              <w:left w:val="single" w:sz="4" w:space="0" w:color="000000"/>
              <w:right w:val="single" w:sz="4" w:space="0" w:color="000000"/>
            </w:tcBorders>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4" w:type="dxa"/>
            <w:vMerge w:val="restart"/>
            <w:tcBorders>
              <w:top w:val="single" w:sz="4" w:space="0" w:color="000000"/>
              <w:left w:val="single" w:sz="4" w:space="0" w:color="000000"/>
              <w:right w:val="single" w:sz="4" w:space="0" w:color="000000"/>
            </w:tcBorders>
          </w:tcPr>
          <w:p>
            <w:pPr>
              <w:pStyle w:val="TableParagraph"/>
              <w:spacing w:line="316" w:lineRule="auto" w:before="51"/>
              <w:ind w:left="591" w:right="51" w:hanging="540"/>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14" w:type="dxa"/>
            <w:vMerge w:val="restart"/>
            <w:tcBorders>
              <w:top w:val="single" w:sz="4" w:space="0" w:color="000000"/>
              <w:left w:val="single" w:sz="4" w:space="0" w:color="000000"/>
              <w:right w:val="single" w:sz="4" w:space="0" w:color="000000"/>
            </w:tcBorders>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
        </w:tc>
        <w:tc>
          <w:tcPr>
            <w:tcW w:w="1926" w:type="dxa"/>
            <w:vMerge/>
            <w:tcBorders>
              <w:left w:val="single" w:sz="9" w:space="0" w:color="D2D2D2"/>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9" w:space="0" w:color="D2D2D2"/>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1,672,566,309.67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4,317,038,461.39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1,224,833,995.68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3,701,501,549.50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2,341,294,062.24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154,613,159.32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1,724,382,594.20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112,812,981.85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4,013,860,371.91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4,471,651,620.71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2,949,216,589.88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3,814,314,531.35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1,191,955,408.99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2,681,146,795.01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844,151,773.44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2,466,013,715.08</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1,676,929,397.80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831,725,763.03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1,215,111,881.06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513,034,985.15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2,868,884,806.79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3,512,872,558.04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2,059,263,654.50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2,979,048,700.23</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4,962,071.08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3,134,120.68</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1,144,975,565.12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953,816,991.59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889,952,935.38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832,131,710.44</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457,990,226.05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452,109,254.01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355,981,174.16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313,214,375.81</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100,464,109.02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629,108,743.85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100,464,109.02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524,812,509.71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-11,174,215.07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-24,259,075.81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3,363,072.04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-100,722,612.10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558,454,335.08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1,070,043,782.79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355,722,671.08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813,767,809.71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230,790,773.72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1,375,219,608.81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210,639,722.62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605,049,470.30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86,152,629.74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138,074,034.27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60,499,696.34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61,484,013.53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10,540,673.53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86,152,629.74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148,614,707.80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60,499,696.34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61,484,013.53</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4）不重要的合营企业和联营企业的汇总财务信息" w:id="430"/>
      <w:bookmarkEnd w:id="430"/>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447,529,922.91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212,121,755.68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5,569,343.25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44,369.80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21,209.36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5,590,552.61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44,369.80</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5）合营企业或联营企业向本公司转移资金的能力存在重大限制的说明" w:id="431"/>
      <w:bookmarkEnd w:id="431"/>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6）合营企业或联营企业发生的超额亏损" w:id="432"/>
      <w:bookmarkEnd w:id="432"/>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2"/>
        <w:ind w:right="112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7）与合营企业投资相关的未确认承诺" w:id="433"/>
      <w:bookmarkEnd w:id="433"/>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8）与合营企业或联营企业投资相关的或有负债" w:id="434"/>
      <w:bookmarkEnd w:id="434"/>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4、重要的共同经营" w:id="435"/>
      <w:bookmarkEnd w:id="435"/>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right="5532"/>
        <w:jc w:val="left"/>
      </w:pPr>
      <w:r>
        <w:rPr/>
        <w:t>在共同经营中的持股比例或享有的份额不同于表决权比例的说明： 共同经营为单独主体的，分类为共同经营的依据：</w:t>
      </w:r>
    </w:p>
    <w:p>
      <w:pPr>
        <w:pStyle w:val="BodyText"/>
        <w:spacing w:line="240" w:lineRule="auto" w:before="29"/>
        <w:ind w:right="0"/>
        <w:jc w:val="both"/>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5、在未纳入合并财务报表范围的结构化主体中的权益" w:id="436"/>
      <w:bookmarkEnd w:id="436"/>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6、其他" w:id="437"/>
      <w:bookmarkEnd w:id="437"/>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both"/>
        <w:rPr>
          <w:b w:val="0"/>
          <w:bCs w:val="0"/>
        </w:rPr>
      </w:pPr>
      <w:bookmarkStart w:name="十、与金融工具相关的风险" w:id="438"/>
      <w:bookmarkEnd w:id="438"/>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3" w:firstLine="360"/>
        <w:jc w:val="both"/>
      </w:pPr>
      <w:r>
        <w:rPr>
          <w:spacing w:val="-2"/>
        </w:rPr>
        <w:t>本公司的主要金融工具包括股权投资、债权投资、借款、应收账款、应付账款等，各项金融工具的详细情况说明见本附</w:t>
      </w:r>
      <w:r>
        <w:rPr/>
        <w:t> </w:t>
      </w:r>
      <w:r>
        <w:rPr>
          <w:spacing w:val="-2"/>
        </w:rPr>
        <w:t>注六相关项目。与这些金融工具有关的风险，以及本公司为降低这些风险所采取的风险管理政策如下所述。本公司管理层对</w:t>
      </w:r>
      <w:r>
        <w:rPr>
          <w:spacing w:val="-66"/>
        </w:rPr>
        <w:t> </w:t>
      </w:r>
      <w:r>
        <w:rPr>
          <w:spacing w:val="-66"/>
        </w:rPr>
      </w:r>
      <w:r>
        <w:rPr/>
        <w:t>这些风险敞口进行管理和监控以确保将上述风险控制在限定的范围之内。</w:t>
      </w:r>
    </w:p>
    <w:p>
      <w:pPr>
        <w:pStyle w:val="BodyText"/>
        <w:spacing w:line="316" w:lineRule="auto" w:before="17"/>
        <w:ind w:right="1130" w:firstLine="360"/>
        <w:jc w:val="both"/>
      </w:pPr>
      <w:r>
        <w:rPr>
          <w:spacing w:val="-2"/>
        </w:rPr>
        <w:t>本公司采用敏感性分析技术分析风险变量的合理、可能变化对当期损益或股东权益可能产生的影响。由于任何风险变量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p>
      <w:pPr>
        <w:spacing w:line="316" w:lineRule="auto" w:before="19"/>
        <w:ind w:left="514" w:right="1122" w:firstLine="1"/>
        <w:jc w:val="left"/>
        <w:rPr>
          <w:rFonts w:ascii="宋体" w:hAnsi="宋体" w:cs="宋体" w:eastAsia="宋体" w:hint="default"/>
          <w:sz w:val="18"/>
          <w:szCs w:val="18"/>
        </w:rPr>
      </w:pPr>
      <w:r>
        <w:rPr>
          <w:rFonts w:ascii="宋体" w:hAnsi="宋体" w:cs="宋体" w:eastAsia="宋体" w:hint="default"/>
          <w:b/>
          <w:bCs/>
          <w:sz w:val="18"/>
          <w:szCs w:val="18"/>
        </w:rPr>
        <w:t>（一）风险管理目标和政策</w:t>
      </w:r>
      <w:r>
        <w:rPr>
          <w:rFonts w:ascii="宋体" w:hAnsi="宋体" w:cs="宋体" w:eastAsia="宋体" w:hint="default"/>
          <w:b/>
          <w:bCs/>
          <w:w w:val="99"/>
          <w:sz w:val="18"/>
          <w:szCs w:val="18"/>
        </w:rPr>
        <w:t> </w:t>
      </w:r>
      <w:r>
        <w:rPr>
          <w:rFonts w:ascii="宋体" w:hAnsi="宋体" w:cs="宋体" w:eastAsia="宋体" w:hint="default"/>
          <w:sz w:val="18"/>
          <w:szCs w:val="18"/>
        </w:rPr>
        <w:t>本公司从事风险管理的目标是在风险和收益之间取得适当的平衡，将风险对本公司经营业绩的负面影响降低到最低水</w:t>
      </w:r>
    </w:p>
    <w:p>
      <w:pPr>
        <w:pStyle w:val="BodyText"/>
        <w:spacing w:line="316" w:lineRule="auto" w:before="19"/>
        <w:ind w:right="1133"/>
        <w:jc w:val="both"/>
      </w:pP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Heading5"/>
        <w:spacing w:line="240" w:lineRule="auto" w:before="19"/>
        <w:ind w:right="1122"/>
        <w:jc w:val="left"/>
        <w:rPr>
          <w:b w:val="0"/>
          <w:bCs w:val="0"/>
        </w:rPr>
      </w:pPr>
      <w:r>
        <w:rPr>
          <w:rFonts w:ascii="Times New Roman" w:hAnsi="Times New Roman" w:cs="Times New Roman" w:eastAsia="Times New Roman" w:hint="default"/>
        </w:rPr>
        <w:t>1</w:t>
      </w:r>
      <w:r>
        <w:rPr/>
        <w:t>、市场风险</w:t>
      </w:r>
      <w:r>
        <w:rPr>
          <w:b w:val="0"/>
          <w:bCs w:val="0"/>
        </w:rPr>
      </w:r>
    </w:p>
    <w:p>
      <w:pPr>
        <w:pStyle w:val="BodyText"/>
        <w:spacing w:line="300" w:lineRule="auto" w:before="63"/>
        <w:ind w:left="514" w:right="1122"/>
        <w:jc w:val="left"/>
      </w:pPr>
      <w:r>
        <w:rPr/>
        <w:t>（</w:t>
      </w:r>
      <w:r>
        <w:rPr>
          <w:rFonts w:ascii="Times New Roman" w:hAnsi="Times New Roman" w:cs="Times New Roman" w:eastAsia="Times New Roman" w:hint="default"/>
        </w:rPr>
        <w:t>1</w:t>
      </w:r>
      <w:r>
        <w:rPr/>
        <w:t>）外汇风险 </w:t>
      </w:r>
      <w:r>
        <w:rPr>
          <w:spacing w:val="-2"/>
        </w:rPr>
        <w:t>外汇风险指因汇率变动产生损失的风险。本公司承受外汇风险主要与美元、欧元、日元、澳元等外币有关，除本公司的</w:t>
      </w:r>
    </w:p>
    <w:p>
      <w:pPr>
        <w:pStyle w:val="BodyText"/>
        <w:spacing w:line="300" w:lineRule="auto" w:before="31"/>
        <w:ind w:right="1130"/>
        <w:jc w:val="both"/>
      </w:pPr>
      <w:r>
        <w:rPr>
          <w:spacing w:val="-5"/>
        </w:rPr>
        <w:t>几个下属子公司以美元、欧元、日元、澳元等外币进行采购和销售外，本公司的其他主要业务活动以人民币计价结算。于</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23"/>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日，除下表所述资产或负债为美元、欧元、日元、澳元等外币余额外，本公司的资产及负债均为人民币余额。该等</w:t>
      </w:r>
      <w:r>
        <w:rPr>
          <w:spacing w:val="-64"/>
        </w:rPr>
        <w:t> </w:t>
      </w:r>
      <w:r>
        <w:rPr>
          <w:spacing w:val="-64"/>
        </w:rPr>
      </w:r>
      <w:r>
        <w:rPr/>
        <w:t>外币余额的资产和负债产生的外汇风险可能对本公司的经营业绩产生影响。</w:t>
      </w:r>
    </w:p>
    <w:tbl>
      <w:tblPr>
        <w:tblW w:w="0" w:type="auto"/>
        <w:jc w:val="left"/>
        <w:tblInd w:w="146" w:type="dxa"/>
        <w:tblLayout w:type="fixed"/>
        <w:tblCellMar>
          <w:top w:w="0" w:type="dxa"/>
          <w:left w:w="0" w:type="dxa"/>
          <w:bottom w:w="0" w:type="dxa"/>
          <w:right w:w="0" w:type="dxa"/>
        </w:tblCellMar>
        <w:tblLook w:val="01E0"/>
      </w:tblPr>
      <w:tblGrid>
        <w:gridCol w:w="4546"/>
        <w:gridCol w:w="2118"/>
        <w:gridCol w:w="2379"/>
      </w:tblGrid>
      <w:tr>
        <w:trPr>
          <w:trHeight w:val="355" w:hRule="exact"/>
        </w:trPr>
        <w:tc>
          <w:tcPr>
            <w:tcW w:w="45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37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52" w:hRule="exact"/>
        </w:trPr>
        <w:tc>
          <w:tcPr>
            <w:tcW w:w="4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现金及现金等价物</w:t>
            </w:r>
          </w:p>
        </w:tc>
        <w:tc>
          <w:tcPr>
            <w:tcW w:w="2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67,996,764.46</w:t>
            </w:r>
          </w:p>
        </w:tc>
        <w:tc>
          <w:tcPr>
            <w:tcW w:w="23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154,935,580.47</w:t>
            </w:r>
          </w:p>
        </w:tc>
      </w:tr>
      <w:tr>
        <w:trPr>
          <w:trHeight w:val="353" w:hRule="exact"/>
        </w:trPr>
        <w:tc>
          <w:tcPr>
            <w:tcW w:w="4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314,278,802.25</w:t>
            </w:r>
          </w:p>
        </w:tc>
        <w:tc>
          <w:tcPr>
            <w:tcW w:w="23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372,494,890.70</w:t>
            </w:r>
          </w:p>
        </w:tc>
      </w:tr>
      <w:tr>
        <w:trPr>
          <w:trHeight w:val="352" w:hRule="exact"/>
        </w:trPr>
        <w:tc>
          <w:tcPr>
            <w:tcW w:w="4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35,618,458.25</w:t>
            </w:r>
          </w:p>
        </w:tc>
        <w:tc>
          <w:tcPr>
            <w:tcW w:w="23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74,383,504.47</w:t>
            </w:r>
          </w:p>
        </w:tc>
      </w:tr>
      <w:tr>
        <w:trPr>
          <w:trHeight w:val="352" w:hRule="exact"/>
        </w:trPr>
        <w:tc>
          <w:tcPr>
            <w:tcW w:w="4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6,575,455.33</w:t>
            </w:r>
          </w:p>
        </w:tc>
        <w:tc>
          <w:tcPr>
            <w:tcW w:w="23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3,171,372.36</w:t>
            </w:r>
          </w:p>
        </w:tc>
      </w:tr>
      <w:tr>
        <w:trPr>
          <w:trHeight w:val="353" w:hRule="exact"/>
        </w:trPr>
        <w:tc>
          <w:tcPr>
            <w:tcW w:w="4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1,094,690.67</w:t>
            </w:r>
          </w:p>
        </w:tc>
        <w:tc>
          <w:tcPr>
            <w:tcW w:w="23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26,625,603.20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546"/>
        <w:gridCol w:w="2118"/>
        <w:gridCol w:w="2379"/>
      </w:tblGrid>
      <w:tr>
        <w:trPr>
          <w:trHeight w:val="355" w:hRule="exact"/>
        </w:trPr>
        <w:tc>
          <w:tcPr>
            <w:tcW w:w="45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18" w:type="dxa"/>
            <w:tcBorders>
              <w:top w:val="single" w:sz="6" w:space="0" w:color="000000"/>
              <w:left w:val="single" w:sz="6" w:space="0" w:color="000000"/>
              <w:bottom w:val="single" w:sz="12" w:space="0" w:color="000000"/>
              <w:right w:val="single" w:sz="6" w:space="0" w:color="000000"/>
            </w:tcBorders>
          </w:tcPr>
          <w:p>
            <w:pPr/>
          </w:p>
        </w:tc>
        <w:tc>
          <w:tcPr>
            <w:tcW w:w="237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left="1237" w:right="0"/>
              <w:jc w:val="left"/>
              <w:rPr>
                <w:rFonts w:ascii="Times New Roman" w:hAnsi="Times New Roman" w:cs="Times New Roman" w:eastAsia="Times New Roman" w:hint="default"/>
                <w:sz w:val="18"/>
                <w:szCs w:val="18"/>
              </w:rPr>
            </w:pPr>
            <w:r>
              <w:rPr>
                <w:rFonts w:ascii="Times New Roman"/>
                <w:sz w:val="18"/>
              </w:rPr>
              <w:t>151,139,111.66</w:t>
            </w:r>
          </w:p>
        </w:tc>
      </w:tr>
    </w:tbl>
    <w:p>
      <w:pPr>
        <w:pStyle w:val="BodyText"/>
        <w:spacing w:line="316" w:lineRule="auto" w:before="10"/>
        <w:ind w:right="1122" w:firstLine="360"/>
        <w:jc w:val="left"/>
      </w:pPr>
      <w:r>
        <w:rPr>
          <w:spacing w:val="-2"/>
        </w:rPr>
        <w:t>本公司密切关注汇率变动对本公司外汇风险的影响。本公司根据需要进行外币远期合同的操作。除此之外，本公司目前</w:t>
      </w:r>
      <w:r>
        <w:rPr/>
        <w:t> 并未采取其他措施规避外汇风险。</w:t>
      </w:r>
    </w:p>
    <w:p>
      <w:pPr>
        <w:pStyle w:val="BodyText"/>
        <w:spacing w:line="319" w:lineRule="auto" w:before="19"/>
        <w:ind w:left="514" w:right="1122"/>
        <w:jc w:val="left"/>
      </w:pPr>
      <w:r>
        <w:rPr/>
        <w:t>外汇风险敏感性分析： </w:t>
      </w:r>
      <w:r>
        <w:rPr>
          <w:spacing w:val="-2"/>
        </w:rPr>
        <w:t>外汇风险敏感性分析假设：所有境外经营净投资套期及现金流量套期均高度有效。在上述假设的基础上，在其他变量不</w:t>
      </w:r>
    </w:p>
    <w:p>
      <w:pPr>
        <w:pStyle w:val="BodyText"/>
        <w:spacing w:line="240" w:lineRule="auto" w:before="17"/>
        <w:ind w:right="0"/>
        <w:jc w:val="left"/>
      </w:pPr>
      <w:r>
        <w:rPr>
          <w:spacing w:val="-5"/>
        </w:rPr>
        <w:t>变的情况下，如果人民币对美元等升值或贬值</w:t>
      </w:r>
      <w:r>
        <w:rPr>
          <w:rFonts w:ascii="Times New Roman" w:hAnsi="Times New Roman" w:cs="Times New Roman" w:eastAsia="Times New Roman" w:hint="default"/>
          <w:spacing w:val="-5"/>
        </w:rPr>
        <w:t>0.5%</w:t>
      </w:r>
      <w:r>
        <w:rPr>
          <w:spacing w:val="-5"/>
        </w:rPr>
        <w:t>，则公司将减少或增加净利润</w:t>
      </w:r>
      <w:r>
        <w:rPr>
          <w:rFonts w:ascii="Times New Roman" w:hAnsi="Times New Roman" w:cs="Times New Roman" w:eastAsia="Times New Roman" w:hint="default"/>
          <w:spacing w:val="-5"/>
        </w:rPr>
        <w:t>158.87</w:t>
      </w:r>
      <w:r>
        <w:rPr>
          <w:spacing w:val="-5"/>
        </w:rPr>
        <w:t>万元（</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w:t>
      </w:r>
      <w:r>
        <w:rPr>
          <w:rFonts w:ascii="Times New Roman" w:hAnsi="Times New Roman" w:cs="Times New Roman" w:eastAsia="Times New Roman" w:hint="default"/>
          <w:spacing w:val="-5"/>
        </w:rPr>
        <w:t>158.70</w:t>
      </w:r>
      <w:r>
        <w:rPr>
          <w:spacing w:val="-5"/>
        </w:rPr>
        <w:t>万元）。</w:t>
      </w:r>
    </w:p>
    <w:p>
      <w:pPr>
        <w:pStyle w:val="BodyText"/>
        <w:spacing w:line="300" w:lineRule="auto" w:before="63"/>
        <w:ind w:left="514" w:right="1122"/>
        <w:jc w:val="left"/>
      </w:pPr>
      <w:r>
        <w:rPr/>
        <w:t>（</w:t>
      </w:r>
      <w:r>
        <w:rPr>
          <w:rFonts w:ascii="Times New Roman" w:hAnsi="Times New Roman" w:cs="Times New Roman" w:eastAsia="Times New Roman" w:hint="default"/>
        </w:rPr>
        <w:t>2</w:t>
      </w:r>
      <w:r>
        <w:rPr/>
        <w:t>）利率风险－现金流量变动风险 </w:t>
      </w:r>
      <w:r>
        <w:rPr>
          <w:spacing w:val="-2"/>
        </w:rPr>
        <w:t>本公司因利率变动引起金融工具现金流量变动的风险主要与浮动利率银行借款有关。本公司的政策是保持这些借款的浮</w:t>
      </w:r>
    </w:p>
    <w:p>
      <w:pPr>
        <w:pStyle w:val="BodyText"/>
        <w:spacing w:line="240" w:lineRule="auto" w:before="31"/>
        <w:ind w:right="1122"/>
        <w:jc w:val="left"/>
      </w:pPr>
      <w:r>
        <w:rPr/>
        <w:t>动利率。</w:t>
      </w:r>
    </w:p>
    <w:p>
      <w:pPr>
        <w:pStyle w:val="BodyText"/>
        <w:spacing w:line="316" w:lineRule="auto" w:before="76"/>
        <w:ind w:left="514" w:right="5892"/>
        <w:jc w:val="left"/>
      </w:pPr>
      <w:r>
        <w:rPr/>
        <w:t>利率风险敏感性分析： 利率风险敏感性分析基于下述假设： 市场利率变化影响可变利率金融工具的利息收入或费用；</w:t>
      </w:r>
    </w:p>
    <w:p>
      <w:pPr>
        <w:pStyle w:val="BodyText"/>
        <w:spacing w:line="316" w:lineRule="auto" w:before="19"/>
        <w:ind w:left="514" w:right="1212"/>
        <w:jc w:val="left"/>
      </w:pPr>
      <w:r>
        <w:rPr/>
        <w:t>对于以公允价值计量的固定利率金融工具，市场利率变化仅仅影响其利息收入或费用； 在上述假设的基础上，在其他变量不变的情况下，利率可能发生的合理变动对当期损益和股东权益的税前影响如下：</w:t>
      </w:r>
    </w:p>
    <w:tbl>
      <w:tblPr>
        <w:tblW w:w="0" w:type="auto"/>
        <w:jc w:val="left"/>
        <w:tblInd w:w="146" w:type="dxa"/>
        <w:tblLayout w:type="fixed"/>
        <w:tblCellMar>
          <w:top w:w="0" w:type="dxa"/>
          <w:left w:w="0" w:type="dxa"/>
          <w:bottom w:w="0" w:type="dxa"/>
          <w:right w:w="0" w:type="dxa"/>
        </w:tblCellMar>
        <w:tblLook w:val="01E0"/>
      </w:tblPr>
      <w:tblGrid>
        <w:gridCol w:w="1384"/>
        <w:gridCol w:w="1277"/>
        <w:gridCol w:w="1701"/>
        <w:gridCol w:w="1702"/>
        <w:gridCol w:w="1559"/>
        <w:gridCol w:w="1559"/>
      </w:tblGrid>
      <w:tr>
        <w:trPr>
          <w:trHeight w:val="355" w:hRule="exact"/>
        </w:trPr>
        <w:tc>
          <w:tcPr>
            <w:tcW w:w="1384"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21"/>
              <w:ind w:left="271" w:right="0"/>
              <w:jc w:val="left"/>
              <w:rPr>
                <w:rFonts w:ascii="宋体" w:hAnsi="宋体" w:cs="宋体" w:eastAsia="宋体" w:hint="default"/>
                <w:sz w:val="18"/>
                <w:szCs w:val="18"/>
              </w:rPr>
            </w:pPr>
            <w:r>
              <w:rPr>
                <w:rFonts w:ascii="宋体" w:hAnsi="宋体" w:cs="宋体" w:eastAsia="宋体" w:hint="default"/>
                <w:sz w:val="18"/>
                <w:szCs w:val="18"/>
              </w:rPr>
              <w:t>利率变动</w:t>
            </w:r>
          </w:p>
        </w:tc>
        <w:tc>
          <w:tcPr>
            <w:tcW w:w="340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3118"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353" w:hRule="exact"/>
        </w:trPr>
        <w:tc>
          <w:tcPr>
            <w:tcW w:w="1384" w:type="dxa"/>
            <w:vMerge/>
            <w:tcBorders>
              <w:left w:val="single" w:sz="6" w:space="0" w:color="000000"/>
              <w:bottom w:val="single" w:sz="12" w:space="0" w:color="000000"/>
              <w:right w:val="single" w:sz="6" w:space="0" w:color="000000"/>
            </w:tcBorders>
          </w:tcPr>
          <w:p>
            <w:pPr/>
          </w:p>
        </w:tc>
        <w:tc>
          <w:tcPr>
            <w:tcW w:w="1277" w:type="dxa"/>
            <w:vMerge/>
            <w:tcBorders>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9"/>
              <w:jc w:val="righ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35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0.5%</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-572,325.00</w:t>
            </w:r>
            <w:r>
              <w:rPr>
                <w:rFonts w:ascii="Times New Roman"/>
                <w:sz w:val="18"/>
              </w:rPr>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-572,325.00</w:t>
            </w:r>
            <w:r>
              <w:rPr>
                <w:rFonts w:ascii="Times New Roman"/>
                <w:sz w:val="18"/>
              </w:rPr>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-11,632,262.33</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-11,632,262.33</w:t>
            </w:r>
          </w:p>
        </w:tc>
      </w:tr>
      <w:tr>
        <w:trPr>
          <w:trHeight w:val="35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0.5%</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572,325.00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572,325.00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11,632,262.33</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11,632,262.33</w:t>
            </w:r>
          </w:p>
        </w:tc>
      </w:tr>
      <w:tr>
        <w:trPr>
          <w:trHeight w:val="353"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0.5%</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-9,453,492.05</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-9,453,492.05</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-7,469,227.00</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-7,469,227.00</w:t>
            </w:r>
          </w:p>
        </w:tc>
      </w:tr>
      <w:tr>
        <w:trPr>
          <w:trHeight w:val="352"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0.5%</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9,453,492.05</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9,453,492.05</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7,469,227.00</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7,469,227.00</w:t>
            </w:r>
          </w:p>
        </w:tc>
      </w:tr>
    </w:tbl>
    <w:p>
      <w:pPr>
        <w:pStyle w:val="Heading5"/>
        <w:spacing w:line="240" w:lineRule="auto" w:before="19"/>
        <w:ind w:right="1122"/>
        <w:jc w:val="left"/>
        <w:rPr>
          <w:b w:val="0"/>
          <w:bCs w:val="0"/>
        </w:rPr>
      </w:pPr>
      <w:r>
        <w:rPr>
          <w:rFonts w:ascii="Times New Roman" w:hAnsi="Times New Roman" w:cs="Times New Roman" w:eastAsia="Times New Roman" w:hint="default"/>
        </w:rPr>
        <w:t>2</w:t>
      </w:r>
      <w:r>
        <w:rPr/>
        <w:t>、信用风险</w:t>
      </w:r>
      <w:r>
        <w:rPr>
          <w:b w:val="0"/>
          <w:bCs w:val="0"/>
        </w:rPr>
      </w:r>
    </w:p>
    <w:p>
      <w:pPr>
        <w:pStyle w:val="BodyText"/>
        <w:spacing w:line="300" w:lineRule="auto" w:before="63"/>
        <w:ind w:right="1131"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日，可能引起本公司财务损失的最大信用风险敞口主要来自于合同另一方未能履行义务而导致本公司金融</w:t>
      </w:r>
      <w:r>
        <w:rPr/>
        <w:t> 资产产生的损失以及本公司承担的财务担保，具体包括：</w:t>
      </w:r>
    </w:p>
    <w:p>
      <w:pPr>
        <w:pStyle w:val="BodyText"/>
        <w:spacing w:line="316" w:lineRule="auto" w:before="31"/>
        <w:ind w:right="1051" w:firstLine="360"/>
        <w:jc w:val="both"/>
      </w:pPr>
      <w:r>
        <w:rPr/>
        <w:t>合并资产负债表中已确认的金融资产的账面金额；对于以公允价值计量的金融工具而言，账面价值反映了其风险敞口， 但并非最大风险敞口，其最大风险敞口将随着未来公允价值的变化而改变。</w:t>
      </w:r>
    </w:p>
    <w:p>
      <w:pPr>
        <w:pStyle w:val="BodyText"/>
        <w:spacing w:line="316" w:lineRule="auto" w:before="19"/>
        <w:ind w:right="1133" w:firstLine="360"/>
        <w:jc w:val="both"/>
      </w:pPr>
      <w:r>
        <w:rPr>
          <w:spacing w:val="-2"/>
        </w:rPr>
        <w:t>为降低信用风险，本公司成立了一个小组负责确定信用额度、进行信用审批，并执行其他监控程序以确保采取必要的措</w:t>
      </w:r>
      <w:r>
        <w:rPr/>
        <w:t> </w:t>
      </w:r>
      <w:r>
        <w:rPr>
          <w:spacing w:val="-2"/>
        </w:rPr>
        <w:t>施回收过期债权。此外，本公司于每个资产负债表日审核每一单项应收款的回收情况，以确保就无法回收的款项计提充分的</w:t>
      </w:r>
      <w:r>
        <w:rPr>
          <w:spacing w:val="-66"/>
        </w:rPr>
        <w:t> </w:t>
      </w:r>
      <w:r>
        <w:rPr>
          <w:spacing w:val="-66"/>
        </w:rPr>
      </w:r>
      <w:r>
        <w:rPr/>
        <w:t>坏账准备。因此，本公司管理层认为本公司所承担的信用风险已经大为降低。</w:t>
      </w:r>
    </w:p>
    <w:p>
      <w:pPr>
        <w:pStyle w:val="BodyText"/>
        <w:spacing w:line="240" w:lineRule="auto" w:before="19"/>
        <w:ind w:left="514" w:right="1122"/>
        <w:jc w:val="left"/>
      </w:pPr>
      <w:r>
        <w:rPr/>
        <w:t>本公司的流动资金存放在信用评级较高的银行，故流动资金的信用风险较低。</w:t>
      </w:r>
    </w:p>
    <w:p>
      <w:pPr>
        <w:pStyle w:val="BodyText"/>
        <w:spacing w:line="300" w:lineRule="auto" w:before="76"/>
        <w:ind w:left="514" w:right="1122" w:firstLine="1"/>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w w:val="99"/>
        </w:rPr>
        <w:t> </w:t>
      </w:r>
      <w:r>
        <w:rPr>
          <w:spacing w:val="-2"/>
        </w:rPr>
        <w:t>管理流动风险时，本公司保持管理层认为充分的现金及现金等价物并对其进行监控，以满足本公司经营需要，并降低现</w:t>
      </w:r>
    </w:p>
    <w:p>
      <w:pPr>
        <w:pStyle w:val="BodyText"/>
        <w:spacing w:line="316" w:lineRule="auto" w:before="31"/>
        <w:ind w:left="514" w:right="1122" w:hanging="360"/>
        <w:jc w:val="left"/>
        <w:rPr>
          <w:rFonts w:ascii="Times New Roman" w:hAnsi="Times New Roman" w:cs="Times New Roman" w:eastAsia="Times New Roman" w:hint="default"/>
        </w:rPr>
      </w:pPr>
      <w:r>
        <w:rPr/>
        <w:t>金流量波动的影响。本公司管理层对银行借款的使用情况进行监控并确保遵守借款协议。 </w:t>
      </w:r>
      <w:r>
        <w:rPr>
          <w:spacing w:val="-2"/>
        </w:rPr>
        <w:t>本公司将银行借款作为主要资金来源。</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日，本公司尚未使用的银行借款额度为人民币</w:t>
      </w:r>
      <w:r>
        <w:rPr>
          <w:rFonts w:ascii="Times New Roman" w:hAnsi="Times New Roman" w:cs="Times New Roman" w:eastAsia="Times New Roman" w:hint="default"/>
          <w:spacing w:val="-2"/>
        </w:rPr>
        <w:t>57,231.30</w:t>
      </w:r>
      <w:r>
        <w:rPr>
          <w:spacing w:val="-2"/>
        </w:rPr>
        <w:t>万元（</w:t>
      </w:r>
      <w:r>
        <w:rPr>
          <w:rFonts w:ascii="Times New Roman" w:hAnsi="Times New Roman" w:cs="Times New Roman" w:eastAsia="Times New Roman" w:hint="default"/>
          <w:spacing w:val="-2"/>
        </w:rPr>
        <w:t>2017</w:t>
      </w:r>
    </w:p>
    <w:p>
      <w:pPr>
        <w:pStyle w:val="BodyText"/>
        <w:spacing w:line="248" w:lineRule="exact"/>
        <w:ind w:right="1122"/>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人民币</w:t>
      </w:r>
      <w:r>
        <w:rPr>
          <w:rFonts w:ascii="Times New Roman" w:hAnsi="Times New Roman" w:cs="Times New Roman" w:eastAsia="Times New Roman" w:hint="default"/>
        </w:rPr>
        <w:t>167,838.81</w:t>
      </w:r>
      <w:r>
        <w:rPr/>
        <w:t>万元）。</w:t>
      </w:r>
    </w:p>
    <w:p>
      <w:pPr>
        <w:pStyle w:val="BodyText"/>
        <w:spacing w:line="316" w:lineRule="auto" w:before="63"/>
        <w:ind w:left="514" w:right="1122" w:firstLine="1"/>
        <w:jc w:val="left"/>
      </w:pPr>
      <w:r>
        <w:rPr>
          <w:rFonts w:ascii="宋体" w:hAnsi="宋体" w:cs="宋体" w:eastAsia="宋体" w:hint="default"/>
          <w:b/>
          <w:bCs/>
        </w:rPr>
        <w:t>（二）金融资产转移</w:t>
      </w:r>
      <w:r>
        <w:rPr>
          <w:rFonts w:ascii="宋体" w:hAnsi="宋体" w:cs="宋体" w:eastAsia="宋体" w:hint="default"/>
          <w:b/>
          <w:bCs/>
          <w:w w:val="99"/>
        </w:rPr>
        <w:t> </w:t>
      </w:r>
      <w:r>
        <w:rPr>
          <w:spacing w:val="-2"/>
        </w:rPr>
        <w:t>本期金融资产转移为应收票据背书和应收账款保理，期末公司已背书且在资产负债表日尚未到期的应收票据情况参见附</w:t>
      </w:r>
    </w:p>
    <w:p>
      <w:pPr>
        <w:pStyle w:val="BodyText"/>
        <w:spacing w:line="240" w:lineRule="auto" w:before="19"/>
        <w:ind w:right="1122"/>
        <w:jc w:val="left"/>
      </w:pPr>
      <w:r>
        <w:rPr/>
        <w:t>注七、</w:t>
      </w:r>
      <w:r>
        <w:rPr>
          <w:rFonts w:ascii="Times New Roman" w:hAnsi="Times New Roman" w:cs="Times New Roman" w:eastAsia="Times New Roman" w:hint="default"/>
        </w:rPr>
        <w:t>4</w: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，因买断保理业务而终止确认的应收账款情况参见附注七、</w:t>
      </w:r>
      <w:r>
        <w:rPr>
          <w:rFonts w:ascii="Times New Roman" w:hAnsi="Times New Roman" w:cs="Times New Roman" w:eastAsia="Times New Roman" w:hint="default"/>
        </w:rPr>
        <w:t>4</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22"/>
        <w:jc w:val="left"/>
        <w:rPr>
          <w:b w:val="0"/>
          <w:bCs w:val="0"/>
        </w:rPr>
      </w:pPr>
      <w:bookmarkStart w:name="十一、公允价值的披露" w:id="439"/>
      <w:bookmarkEnd w:id="439"/>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以公允价值计量的资产和负债的期末公允价值" w:id="440"/>
      <w:bookmarkEnd w:id="440"/>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变动计入当期损益的金 融资产</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1,204,176.00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1,204,176.00</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1,204,176.00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1,204,176.00</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1,204,176.00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1,204,176.00</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both"/>
        <w:rPr>
          <w:b w:val="0"/>
          <w:bCs w:val="0"/>
        </w:rPr>
      </w:pPr>
      <w:bookmarkStart w:name="2、持续和非持续第一层次公允价值计量项目市价的确定依据" w:id="441"/>
      <w:bookmarkEnd w:id="441"/>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本公司暂无持续和非持续第一层次公允价值计量项目。</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3、持续和非持续第二层次公允价值计量项目，采用的估值技术和重要参数的定性及定量信" w:id="442"/>
      <w:bookmarkEnd w:id="442"/>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jc w:val="both"/>
      </w:pPr>
      <w:r>
        <w:rPr>
          <w:spacing w:val="-2"/>
        </w:rPr>
        <w:t>持续第二层次公允价值计量的交易性金融资产系本公司持有的远期结售汇合约，交易性金融资产的公允价值的计量以签订合</w:t>
      </w:r>
      <w:r>
        <w:rPr>
          <w:spacing w:val="-64"/>
        </w:rPr>
        <w:t> </w:t>
      </w:r>
      <w:r>
        <w:rPr>
          <w:spacing w:val="-64"/>
        </w:rPr>
      </w:r>
      <w:r>
        <w:rPr/>
        <w:t>约的银行提供的远期结售汇合约的公允价值计量。远期外汇合同的公允价值＝</w:t>
      </w:r>
      <w:r>
        <w:rPr>
          <w:rFonts w:ascii="Times New Roman" w:hAnsi="Times New Roman" w:cs="Times New Roman" w:eastAsia="Times New Roman" w:hint="default"/>
        </w:rPr>
        <w:t>(</w:t>
      </w:r>
      <w:r>
        <w:rPr/>
        <w:t>约定到期汇率</w:t>
      </w:r>
      <w:r>
        <w:rPr>
          <w:rFonts w:ascii="Times New Roman" w:hAnsi="Times New Roman" w:cs="Times New Roman" w:eastAsia="Times New Roman" w:hint="default"/>
        </w:rPr>
        <w:t>—</w:t>
      </w:r>
      <w:r>
        <w:rPr/>
        <w:t>资产负债表日距到期期限相 同的远期汇率</w:t>
      </w:r>
      <w:r>
        <w:rPr>
          <w:rFonts w:ascii="Times New Roman" w:hAnsi="Times New Roman" w:cs="Times New Roman" w:eastAsia="Times New Roman" w:hint="default"/>
        </w:rPr>
        <w:t>)×</w:t>
      </w:r>
      <w:r>
        <w:rPr/>
        <w:t>远期外汇合同金额。</w:t>
      </w:r>
    </w:p>
    <w:p>
      <w:pPr>
        <w:spacing w:line="240" w:lineRule="auto" w:before="6"/>
        <w:rPr>
          <w:rFonts w:ascii="宋体" w:hAnsi="宋体" w:cs="宋体" w:eastAsia="宋体" w:hint="default"/>
          <w:sz w:val="21"/>
          <w:szCs w:val="21"/>
        </w:rPr>
      </w:pPr>
    </w:p>
    <w:p>
      <w:pPr>
        <w:pStyle w:val="Heading3"/>
        <w:spacing w:line="240" w:lineRule="auto"/>
        <w:ind w:right="0"/>
        <w:jc w:val="both"/>
        <w:rPr>
          <w:b w:val="0"/>
          <w:bCs w:val="0"/>
        </w:rPr>
      </w:pPr>
      <w:bookmarkStart w:name="4、持续和非持续第三层次公允价值计量项目，采用的估值技术和重要参数的定性及定量信" w:id="443"/>
      <w:bookmarkEnd w:id="443"/>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本公司暂无持续和非持续第一层次公允价值计量项目。</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5、持续的第三层次公允价值计量项目，期初与期末账面价值间的调节信息及不可观察参数" w:id="444"/>
      <w:bookmarkEnd w:id="444"/>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6、持续的公允价值计量项目，本期内发生各层级之间转换的，转换的原因及确定转换时点" w:id="445"/>
      <w:bookmarkEnd w:id="445"/>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7、本期内发生的估值技术变更及变更原因" w:id="446"/>
      <w:bookmarkEnd w:id="446"/>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8、不以公允价值计量的金融资产和金融负债的公允价值情况" w:id="447"/>
      <w:bookmarkEnd w:id="447"/>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9、其他" w:id="448"/>
      <w:bookmarkEnd w:id="448"/>
      <w:r>
        <w:rPr>
          <w:b w:val="0"/>
          <w:bCs w:val="0"/>
        </w:rPr>
      </w: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spacing w:val="-2"/>
        </w:rPr>
        <w:t>本公司金融资产主要包括以公允价值计量且其变动计入当期损益的金融资产（远期外汇合约）、贷款和应收款项（应收</w:t>
      </w:r>
      <w:r>
        <w:rPr/>
        <w:t> 账款、其他应收款、其他流动资产等）等，金融负债主要包括借款、应付款项（应付账款、其他应付款及其他流动负债等）</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22"/>
        <w:jc w:val="left"/>
      </w:pPr>
      <w:r>
        <w:rPr/>
        <w:t>等，本公司管理层认为上述金融资产、金融负债的摊余成本与公允价值无重大差异。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1122"/>
        <w:jc w:val="left"/>
        <w:rPr>
          <w:b w:val="0"/>
          <w:bCs w:val="0"/>
        </w:rPr>
      </w:pPr>
      <w:bookmarkStart w:name="十二、关联方及关联交易" w:id="449"/>
      <w:bookmarkEnd w:id="449"/>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本企业的母公司情况" w:id="450"/>
      <w:bookmarkEnd w:id="450"/>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20"/>
              <w:jc w:val="left"/>
              <w:rPr>
                <w:rFonts w:ascii="宋体" w:hAnsi="宋体" w:cs="宋体" w:eastAsia="宋体" w:hint="default"/>
                <w:sz w:val="18"/>
                <w:szCs w:val="18"/>
              </w:rPr>
            </w:pPr>
            <w:r>
              <w:rPr>
                <w:rFonts w:ascii="宋体" w:hAnsi="宋体" w:cs="宋体" w:eastAsia="宋体" w:hint="default"/>
                <w:sz w:val="18"/>
                <w:szCs w:val="18"/>
              </w:rPr>
              <w:t>江苏爱康实业集团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江苏苏州市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金属模具的生产；批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发零售以及进出口 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15.66%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15.66%</w:t>
            </w:r>
          </w:p>
        </w:tc>
      </w:tr>
    </w:tbl>
    <w:p>
      <w:pPr>
        <w:pStyle w:val="BodyText"/>
        <w:spacing w:line="240" w:lineRule="auto" w:before="51"/>
        <w:ind w:right="1122"/>
        <w:jc w:val="left"/>
      </w:pPr>
      <w:r>
        <w:rPr/>
        <w:t>本企业的母公司情况的说明</w:t>
      </w:r>
    </w:p>
    <w:p>
      <w:pPr>
        <w:pStyle w:val="BodyText"/>
        <w:spacing w:line="300" w:lineRule="auto" w:before="116"/>
        <w:ind w:right="1130"/>
        <w:jc w:val="both"/>
      </w:pP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日，邹承慧先生本人和其控制的爱康国际控股有限公司（以下简称</w:t>
      </w:r>
      <w:r>
        <w:rPr>
          <w:rFonts w:ascii="Times New Roman" w:hAnsi="Times New Roman" w:cs="Times New Roman" w:eastAsia="Times New Roman" w:hint="default"/>
          <w:spacing w:val="-2"/>
        </w:rPr>
        <w:t>“</w:t>
      </w:r>
      <w:r>
        <w:rPr>
          <w:spacing w:val="-2"/>
        </w:rPr>
        <w:t>爱康控股</w:t>
      </w:r>
      <w:r>
        <w:rPr>
          <w:rFonts w:ascii="Times New Roman" w:hAnsi="Times New Roman" w:cs="Times New Roman" w:eastAsia="Times New Roman" w:hint="default"/>
          <w:spacing w:val="-2"/>
        </w:rPr>
        <w:t>”</w:t>
      </w:r>
      <w:r>
        <w:rPr>
          <w:spacing w:val="-2"/>
        </w:rPr>
        <w:t>）、江苏爱康实业集团有限</w:t>
      </w:r>
      <w:r>
        <w:rPr>
          <w:spacing w:val="-37"/>
        </w:rPr>
        <w:t> </w:t>
      </w:r>
      <w:r>
        <w:rPr>
          <w:spacing w:val="-37"/>
        </w:rPr>
      </w:r>
      <w:r>
        <w:rPr>
          <w:spacing w:val="-2"/>
        </w:rPr>
        <w:t>公司（以下简称</w:t>
      </w:r>
      <w:r>
        <w:rPr>
          <w:rFonts w:ascii="Times New Roman" w:hAnsi="Times New Roman" w:cs="Times New Roman" w:eastAsia="Times New Roman" w:hint="default"/>
          <w:spacing w:val="-2"/>
        </w:rPr>
        <w:t>“</w:t>
      </w:r>
      <w:r>
        <w:rPr>
          <w:spacing w:val="-2"/>
        </w:rPr>
        <w:t>爱康实业</w:t>
      </w:r>
      <w:r>
        <w:rPr>
          <w:rFonts w:ascii="Times New Roman" w:hAnsi="Times New Roman" w:cs="Times New Roman" w:eastAsia="Times New Roman" w:hint="default"/>
          <w:spacing w:val="-2"/>
        </w:rPr>
        <w:t>”</w:t>
      </w:r>
      <w:r>
        <w:rPr>
          <w:spacing w:val="-2"/>
        </w:rPr>
        <w:t>）以及实施重大影响的江阴爱康投资有限公司合计持有本公司</w:t>
      </w:r>
      <w:r>
        <w:rPr>
          <w:rFonts w:ascii="Times New Roman" w:hAnsi="Times New Roman" w:cs="Times New Roman" w:eastAsia="Times New Roman" w:hint="default"/>
          <w:spacing w:val="-2"/>
        </w:rPr>
        <w:t>24.67%</w:t>
      </w:r>
      <w:r>
        <w:rPr>
          <w:spacing w:val="-2"/>
        </w:rPr>
        <w:t>表决权股份，能对公司股东</w:t>
      </w:r>
      <w:r>
        <w:rPr>
          <w:spacing w:val="-55"/>
        </w:rPr>
        <w:t> </w:t>
      </w:r>
      <w:r>
        <w:rPr>
          <w:spacing w:val="-55"/>
        </w:rPr>
      </w:r>
      <w:r>
        <w:rPr/>
        <w:t>大会的决议产生重大影响，本公司最终控制方是自然人邹承慧先生。</w:t>
      </w:r>
    </w:p>
    <w:p>
      <w:pPr>
        <w:pStyle w:val="BodyText"/>
        <w:spacing w:line="360" w:lineRule="auto" w:before="72"/>
        <w:ind w:right="8412"/>
        <w:jc w:val="left"/>
      </w:pPr>
      <w:r>
        <w:rPr/>
        <w:t>本企业最终控制方是邹承慧。 其他说明：</w:t>
      </w:r>
    </w:p>
    <w:p>
      <w:pPr>
        <w:spacing w:line="240" w:lineRule="auto" w:before="11"/>
        <w:rPr>
          <w:rFonts w:ascii="宋体" w:hAnsi="宋体" w:cs="宋体" w:eastAsia="宋体" w:hint="default"/>
          <w:sz w:val="19"/>
          <w:szCs w:val="19"/>
        </w:rPr>
      </w:pPr>
    </w:p>
    <w:p>
      <w:pPr>
        <w:spacing w:line="547" w:lineRule="auto" w:before="0"/>
        <w:ind w:left="154" w:right="5712" w:firstLine="0"/>
        <w:jc w:val="left"/>
        <w:rPr>
          <w:rFonts w:ascii="宋体" w:hAnsi="宋体" w:cs="宋体" w:eastAsia="宋体" w:hint="default"/>
          <w:sz w:val="21"/>
          <w:szCs w:val="21"/>
        </w:rPr>
      </w:pPr>
      <w:bookmarkStart w:name="2、本企业的子公司情况" w:id="451"/>
      <w:bookmarkEnd w:id="45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452"/>
      <w:bookmarkEnd w:id="452"/>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1"/>
        <w:ind w:right="2292"/>
        <w:jc w:val="left"/>
      </w:pPr>
      <w:r>
        <w:rPr/>
        <w:t>本企业重要的合营或联营企业详见附注九、</w:t>
      </w:r>
      <w:r>
        <w:rPr>
          <w:rFonts w:ascii="Times New Roman" w:hAnsi="Times New Roman" w:cs="Times New Roman" w:eastAsia="Times New Roman" w:hint="default"/>
        </w:rPr>
        <w:t>3</w:t>
      </w:r>
      <w:r>
        <w:rPr/>
        <w:t>、在合营安排或联营企业中的权益。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51"/>
        <w:ind w:right="1122"/>
        <w:jc w:val="left"/>
      </w:pPr>
      <w:r>
        <w:rPr/>
        <w:pict>
          <v:shape style="position:absolute;margin-left:56.34pt;margin-top:19.601690pt;width:540.5pt;height:159.65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12"/>
                    <w:gridCol w:w="1554"/>
                    <w:gridCol w:w="1307"/>
                    <w:gridCol w:w="1202"/>
                    <w:gridCol w:w="1550"/>
                    <w:gridCol w:w="774"/>
                    <w:gridCol w:w="373"/>
                  </w:tblGrid>
                  <w:tr>
                    <w:trPr>
                      <w:trHeight w:val="355" w:hRule="exact"/>
                    </w:trPr>
                    <w:tc>
                      <w:tcPr>
                        <w:tcW w:w="4012" w:type="dxa"/>
                        <w:vMerge w:val="restart"/>
                        <w:tcBorders>
                          <w:top w:val="single" w:sz="6" w:space="0" w:color="000000"/>
                          <w:left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联营企业名称</w:t>
                        </w:r>
                      </w:p>
                    </w:tc>
                    <w:tc>
                      <w:tcPr>
                        <w:tcW w:w="1554" w:type="dxa"/>
                        <w:vMerge w:val="restart"/>
                        <w:tcBorders>
                          <w:top w:val="single" w:sz="6" w:space="0" w:color="000000"/>
                          <w:left w:val="single" w:sz="6" w:space="0" w:color="000000"/>
                          <w:right w:val="single" w:sz="6" w:space="0" w:color="000000"/>
                        </w:tcBorders>
                      </w:tcPr>
                      <w:p>
                        <w:pPr>
                          <w:pStyle w:val="TableParagraph"/>
                          <w:spacing w:line="316" w:lineRule="auto" w:before="20"/>
                          <w:ind w:left="590" w:right="407" w:hanging="180"/>
                          <w:jc w:val="left"/>
                          <w:rPr>
                            <w:rFonts w:ascii="宋体" w:hAnsi="宋体" w:cs="宋体" w:eastAsia="宋体" w:hint="default"/>
                            <w:sz w:val="18"/>
                            <w:szCs w:val="18"/>
                          </w:rPr>
                        </w:pPr>
                        <w:r>
                          <w:rPr>
                            <w:rFonts w:ascii="宋体" w:hAnsi="宋体" w:cs="宋体" w:eastAsia="宋体" w:hint="default"/>
                            <w:sz w:val="18"/>
                            <w:szCs w:val="18"/>
                          </w:rPr>
                          <w:t>联营企业 简称</w:t>
                        </w:r>
                      </w:p>
                    </w:tc>
                    <w:tc>
                      <w:tcPr>
                        <w:tcW w:w="1307" w:type="dxa"/>
                        <w:vMerge w:val="restart"/>
                        <w:tcBorders>
                          <w:top w:val="single" w:sz="6" w:space="0" w:color="000000"/>
                          <w:left w:val="single" w:sz="6" w:space="0" w:color="000000"/>
                          <w:right w:val="single" w:sz="6" w:space="0" w:color="000000"/>
                        </w:tcBorders>
                      </w:tcPr>
                      <w:p>
                        <w:pPr>
                          <w:pStyle w:val="TableParagraph"/>
                          <w:spacing w:line="240" w:lineRule="auto" w:before="20"/>
                          <w:ind w:left="19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20"/>
                          <w:ind w:left="3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50" w:type="dxa"/>
                        <w:vMerge w:val="restart"/>
                        <w:tcBorders>
                          <w:top w:val="single" w:sz="6" w:space="0" w:color="000000"/>
                          <w:left w:val="single" w:sz="6" w:space="0" w:color="000000"/>
                          <w:right w:val="single" w:sz="6" w:space="0" w:color="000000"/>
                        </w:tcBorders>
                      </w:tcPr>
                      <w:p>
                        <w:pPr>
                          <w:pStyle w:val="TableParagraph"/>
                          <w:spacing w:line="240" w:lineRule="auto" w:before="20"/>
                          <w:ind w:left="40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47"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249" w:right="-10"/>
                          <w:jc w:val="left"/>
                          <w:rPr>
                            <w:rFonts w:ascii="宋体" w:hAnsi="宋体" w:cs="宋体" w:eastAsia="宋体" w:hint="default"/>
                            <w:sz w:val="18"/>
                            <w:szCs w:val="18"/>
                          </w:rPr>
                        </w:pPr>
                        <w:r>
                          <w:rPr>
                            <w:rFonts w:ascii="宋体" w:hAnsi="宋体" w:cs="宋体" w:eastAsia="宋体" w:hint="default"/>
                            <w:sz w:val="18"/>
                            <w:szCs w:val="18"/>
                          </w:rPr>
                          <w:t>持股比例（</w:t>
                        </w:r>
                      </w:p>
                    </w:tc>
                  </w:tr>
                  <w:tr>
                    <w:trPr>
                      <w:trHeight w:val="352" w:hRule="exact"/>
                    </w:trPr>
                    <w:tc>
                      <w:tcPr>
                        <w:tcW w:w="4012" w:type="dxa"/>
                        <w:vMerge/>
                        <w:tcBorders>
                          <w:left w:val="single" w:sz="6" w:space="0" w:color="000000"/>
                          <w:bottom w:val="single" w:sz="12" w:space="0" w:color="000000"/>
                          <w:right w:val="single" w:sz="6" w:space="0" w:color="000000"/>
                        </w:tcBorders>
                      </w:tcPr>
                      <w:p>
                        <w:pPr/>
                      </w:p>
                    </w:tc>
                    <w:tc>
                      <w:tcPr>
                        <w:tcW w:w="1554" w:type="dxa"/>
                        <w:vMerge/>
                        <w:tcBorders>
                          <w:left w:val="single" w:sz="6" w:space="0" w:color="000000"/>
                          <w:bottom w:val="single" w:sz="12" w:space="0" w:color="000000"/>
                          <w:right w:val="single" w:sz="6" w:space="0" w:color="000000"/>
                        </w:tcBorders>
                      </w:tcPr>
                      <w:p>
                        <w:pPr/>
                      </w:p>
                    </w:tc>
                    <w:tc>
                      <w:tcPr>
                        <w:tcW w:w="1307" w:type="dxa"/>
                        <w:vMerge/>
                        <w:tcBorders>
                          <w:left w:val="single" w:sz="6" w:space="0" w:color="000000"/>
                          <w:bottom w:val="single" w:sz="12" w:space="0" w:color="000000"/>
                          <w:right w:val="single" w:sz="6" w:space="0" w:color="000000"/>
                        </w:tcBorders>
                      </w:tcPr>
                      <w:p>
                        <w:pPr/>
                      </w:p>
                    </w:tc>
                    <w:tc>
                      <w:tcPr>
                        <w:tcW w:w="1202" w:type="dxa"/>
                        <w:vMerge/>
                        <w:tcBorders>
                          <w:left w:val="single" w:sz="6" w:space="0" w:color="000000"/>
                          <w:bottom w:val="single" w:sz="12" w:space="0" w:color="000000"/>
                          <w:right w:val="single" w:sz="6" w:space="0" w:color="000000"/>
                        </w:tcBorders>
                      </w:tcPr>
                      <w:p>
                        <w:pPr/>
                      </w:p>
                    </w:tc>
                    <w:tc>
                      <w:tcPr>
                        <w:tcW w:w="1550" w:type="dxa"/>
                        <w:vMerge/>
                        <w:tcBorders>
                          <w:left w:val="single" w:sz="6" w:space="0" w:color="000000"/>
                          <w:bottom w:val="single" w:sz="12" w:space="0" w:color="000000"/>
                          <w:right w:val="single" w:sz="6" w:space="0" w:color="000000"/>
                        </w:tcBorders>
                      </w:tcPr>
                      <w:p>
                        <w:pPr/>
                      </w:p>
                    </w:tc>
                    <w:tc>
                      <w:tcPr>
                        <w:tcW w:w="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9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373"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40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赣州发展融资租赁有限责任公司</w:t>
                        </w:r>
                      </w:p>
                    </w:tc>
                    <w:tc>
                      <w:tcPr>
                        <w:tcW w:w="15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赣发租赁</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江西赣州</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江西赣州</w:t>
                        </w:r>
                      </w:p>
                    </w:tc>
                    <w:tc>
                      <w:tcPr>
                        <w:tcW w:w="1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40.00</w:t>
                        </w:r>
                      </w:p>
                    </w:tc>
                    <w:tc>
                      <w:tcPr>
                        <w:tcW w:w="37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0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5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能源工程</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江苏苏州</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江苏苏州</w:t>
                        </w:r>
                      </w:p>
                    </w:tc>
                    <w:tc>
                      <w:tcPr>
                        <w:tcW w:w="1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电站建设</w:t>
                        </w:r>
                        <w:r>
                          <w:rPr>
                            <w:rFonts w:ascii="Times New Roman" w:hAnsi="Times New Roman" w:cs="Times New Roman" w:eastAsia="Times New Roman" w:hint="default"/>
                            <w:sz w:val="18"/>
                            <w:szCs w:val="18"/>
                          </w:rPr>
                          <w:t>EPC</w:t>
                        </w:r>
                      </w:p>
                    </w:tc>
                    <w:tc>
                      <w:tcPr>
                        <w:tcW w:w="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47.40</w:t>
                        </w:r>
                      </w:p>
                    </w:tc>
                    <w:tc>
                      <w:tcPr>
                        <w:tcW w:w="373"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40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金昌清能电力有限公司</w:t>
                        </w:r>
                      </w:p>
                    </w:tc>
                    <w:tc>
                      <w:tcPr>
                        <w:tcW w:w="15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金昌清能</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甘肃金昌</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甘肃金昌</w:t>
                        </w:r>
                      </w:p>
                    </w:tc>
                    <w:tc>
                      <w:tcPr>
                        <w:tcW w:w="1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电站运营</w:t>
                        </w:r>
                      </w:p>
                    </w:tc>
                    <w:tc>
                      <w:tcPr>
                        <w:tcW w:w="774" w:type="dxa"/>
                        <w:tcBorders>
                          <w:top w:val="single" w:sz="12" w:space="0" w:color="000000"/>
                          <w:left w:val="single" w:sz="6" w:space="0" w:color="000000"/>
                          <w:bottom w:val="single" w:sz="12" w:space="0" w:color="000000"/>
                          <w:right w:val="single" w:sz="6" w:space="0" w:color="000000"/>
                        </w:tcBorders>
                      </w:tcPr>
                      <w:p>
                        <w:pPr/>
                      </w:p>
                    </w:tc>
                    <w:tc>
                      <w:tcPr>
                        <w:tcW w:w="373"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40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MAKI SUNCOME SOLAR</w:t>
                        </w:r>
                        <w:r>
                          <w:rPr>
                            <w:rFonts w:ascii="Times New Roman"/>
                            <w:spacing w:val="-4"/>
                            <w:sz w:val="18"/>
                          </w:rPr>
                          <w:t> </w:t>
                        </w:r>
                        <w:r>
                          <w:rPr>
                            <w:rFonts w:ascii="Times New Roman"/>
                            <w:sz w:val="18"/>
                          </w:rPr>
                          <w:t>CO.,LTD</w:t>
                        </w:r>
                      </w:p>
                    </w:tc>
                    <w:tc>
                      <w:tcPr>
                        <w:tcW w:w="15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MAKI</w:t>
                        </w:r>
                        <w:r>
                          <w:rPr>
                            <w:rFonts w:ascii="Times New Roman"/>
                            <w:spacing w:val="-2"/>
                            <w:sz w:val="18"/>
                          </w:rPr>
                          <w:t> </w:t>
                        </w:r>
                        <w:r>
                          <w:rPr>
                            <w:rFonts w:ascii="Times New Roman"/>
                            <w:sz w:val="18"/>
                          </w:rPr>
                          <w:t>SUNCOME</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1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电站运营和贸易</w:t>
                        </w:r>
                      </w:p>
                    </w:tc>
                    <w:tc>
                      <w:tcPr>
                        <w:tcW w:w="774" w:type="dxa"/>
                        <w:tcBorders>
                          <w:top w:val="single" w:sz="12" w:space="0" w:color="000000"/>
                          <w:left w:val="single" w:sz="6" w:space="0" w:color="000000"/>
                          <w:bottom w:val="single" w:sz="12" w:space="0" w:color="000000"/>
                          <w:right w:val="single" w:sz="6" w:space="0" w:color="000000"/>
                        </w:tcBorders>
                      </w:tcPr>
                      <w:p>
                        <w:pPr/>
                      </w:p>
                    </w:tc>
                    <w:tc>
                      <w:tcPr>
                        <w:tcW w:w="373"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0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江西省金控融资租赁股份有限公司</w:t>
                        </w:r>
                      </w:p>
                    </w:tc>
                    <w:tc>
                      <w:tcPr>
                        <w:tcW w:w="15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江西金租</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江西南昌</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江西南昌</w:t>
                        </w:r>
                      </w:p>
                    </w:tc>
                    <w:tc>
                      <w:tcPr>
                        <w:tcW w:w="1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30.00</w:t>
                        </w:r>
                      </w:p>
                    </w:tc>
                    <w:tc>
                      <w:tcPr>
                        <w:tcW w:w="373"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40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苏州爱康新能投资管理有限公司</w:t>
                        </w:r>
                      </w:p>
                    </w:tc>
                    <w:tc>
                      <w:tcPr>
                        <w:tcW w:w="15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苏州新能</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江苏苏州</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江苏苏州</w:t>
                        </w:r>
                      </w:p>
                    </w:tc>
                    <w:tc>
                      <w:tcPr>
                        <w:tcW w:w="1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7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20.00</w:t>
                        </w:r>
                      </w:p>
                    </w:tc>
                    <w:tc>
                      <w:tcPr>
                        <w:tcW w:w="373"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40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九州方园博乐市新能源有限公司</w:t>
                        </w:r>
                      </w:p>
                    </w:tc>
                    <w:tc>
                      <w:tcPr>
                        <w:tcW w:w="15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九州博乐</w:t>
                        </w:r>
                      </w:p>
                    </w:tc>
                    <w:tc>
                      <w:tcPr>
                        <w:tcW w:w="13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新疆博乐</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新疆博乐</w:t>
                        </w:r>
                      </w:p>
                    </w:tc>
                    <w:tc>
                      <w:tcPr>
                        <w:tcW w:w="15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电站运营</w:t>
                        </w:r>
                      </w:p>
                    </w:tc>
                    <w:tc>
                      <w:tcPr>
                        <w:tcW w:w="774" w:type="dxa"/>
                        <w:tcBorders>
                          <w:top w:val="single" w:sz="12" w:space="0" w:color="000000"/>
                          <w:left w:val="single" w:sz="6" w:space="0" w:color="000000"/>
                          <w:bottom w:val="single" w:sz="12" w:space="0" w:color="000000"/>
                          <w:right w:val="single" w:sz="6" w:space="0" w:color="000000"/>
                        </w:tcBorders>
                      </w:tcPr>
                      <w:p>
                        <w:pPr/>
                      </w:p>
                    </w:tc>
                    <w:tc>
                      <w:tcPr>
                        <w:tcW w:w="373" w:type="dxa"/>
                        <w:tcBorders>
                          <w:top w:val="single" w:sz="12" w:space="0" w:color="000000"/>
                          <w:left w:val="single" w:sz="6" w:space="0" w:color="000000"/>
                          <w:bottom w:val="single" w:sz="12" w:space="0" w:color="000000"/>
                          <w:right w:val="nil" w:sz="6" w:space="0" w:color="auto"/>
                        </w:tcBorders>
                      </w:tcPr>
                      <w:p>
                        <w:pPr/>
                      </w:p>
                    </w:tc>
                  </w:tr>
                </w:tbl>
                <w:p>
                  <w:pPr/>
                </w:p>
              </w:txbxContent>
            </v:textbox>
            <w10:wrap type="none"/>
          </v:shape>
        </w:pict>
      </w:r>
      <w:r>
        <w:rPr/>
        <w:t>其他说明</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4、其他关联方情况" w:id="453"/>
      <w:bookmarkEnd w:id="45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苏州爱康果业有限公司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上海爱康富罗纳资产管理有限公司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上海爱康富罗纳投资管理有限公司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上海爱康富罗纳融资租赁有限公司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爱康富罗纳金融信息服务（上海）有限公司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上海爱康富罗纳股权投资基金管理有限公司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宁波梅山保税港区爱康富罗纳投资管理中心（有限合伙）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张家港富罗纳区块链一号信息科技企业（有限合伙）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江苏爱康绿色家园科技有限公司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无锡慧谷供应链管理有限公司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江西慧谷供应链管理有限公司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宁阳腾源新能源有限公司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能源工程子公司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临朐祥泰光伏发电有限公司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能源工程子公司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磁县品佑光伏电力开发有限公司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能源工程子公司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随县爱康新能源投资有限公司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能源工程子公司（已出售）</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汤阴爱康能源电力有限公司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能源工程子公司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五河县爱康新能源有限公司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能源工程子公司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寻乌爱康新能源科技有限公司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能源工程子公司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崇仁县爱康新能源科技有限公司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能源工程子公司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固镇县爱康光伏新能源有限公司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能源工程子公司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海城爱康电力有限公司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能源工程子公司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爱康能源株式会社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能源工程子公司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日本爱康株式会社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能源工程子公司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广东华赣融资租赁有限责任公司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江西金租子公司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苏州度金股权投资管理中心（有限合伙）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控股股东为合伙人之一</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张家港惠康餐饮管理有限公司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实际控制人近亲属控制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苏州广厦物业管理有限公司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公司董事徐国辉（本年已离任）任该公司董事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苏州润德新材料有限公司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公司董事徐国辉（本年已离任）任该公司董事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赣州市南康区爱康新能源科技有限公司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特克斯昱辉太阳能开发有限公司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新疆伊阳能源科技有限公司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新疆聚阳能源科技有限公司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九州方园博州新能源有限公司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无锡中康电力开发有限公司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宿州恒康新能源有限公司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内蒙古四子王旗神光能源发展有限公司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徐州统联新能源有限公司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济南统联新能源有限公司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泰州中康新能源有限公司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丹阳中康电力开发有限公司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浙江瑞旭投资有限公司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湖南中康电力开发有限公司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柯坪嘉盛阳光电力有限公司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青海昱辉新能源有限公司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新疆爱康电力开发有限公司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苏州慧康电力开发有限公司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bl>
    <w:p>
      <w:pPr>
        <w:pStyle w:val="BodyText"/>
        <w:spacing w:line="240" w:lineRule="auto" w:before="51"/>
        <w:ind w:right="0"/>
        <w:jc w:val="both"/>
      </w:pPr>
      <w:r>
        <w:rPr/>
        <w:t>其他说明</w:t>
      </w:r>
    </w:p>
    <w:p>
      <w:pPr>
        <w:pStyle w:val="BodyText"/>
        <w:spacing w:line="307" w:lineRule="auto" w:before="116"/>
        <w:ind w:right="1129"/>
        <w:jc w:val="both"/>
      </w:pPr>
      <w:r>
        <w:rPr/>
        <w:t>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10-12</w:t>
      </w:r>
      <w:r>
        <w:rPr/>
        <w:t>月本公司陆续将持有的南康能源、特克斯昱辉、伊阳能源、聚阳能源、九州博州、无锡中康、宿州恒康、</w:t>
      </w:r>
      <w:r>
        <w:rPr>
          <w:spacing w:val="-60"/>
        </w:rPr>
        <w:t> </w:t>
      </w:r>
      <w:r>
        <w:rPr>
          <w:spacing w:val="-60"/>
        </w:rPr>
      </w:r>
      <w:r>
        <w:rPr>
          <w:spacing w:val="-2"/>
        </w:rPr>
        <w:t>四子神光、徐州统联、济南统联、泰州中康、丹阳中康、瑞旭投资（含湖南中康、柯坪嘉盛、青海昱辉、新疆爱康、苏州慧</w:t>
      </w:r>
      <w:r>
        <w:rPr>
          <w:spacing w:val="-71"/>
        </w:rPr>
        <w:t> </w:t>
      </w:r>
      <w:r>
        <w:rPr>
          <w:spacing w:val="-71"/>
        </w:rPr>
      </w:r>
      <w:r>
        <w:rPr/>
        <w:t>康等五家子公司）的股权全部转让，各公司具体转让日期详见附注八、</w:t>
      </w:r>
      <w:r>
        <w:rPr>
          <w:rFonts w:ascii="Times New Roman" w:hAnsi="Times New Roman" w:cs="Times New Roman" w:eastAsia="Times New Roman" w:hint="default"/>
        </w:rPr>
        <w:t>4</w:t>
      </w:r>
      <w:r>
        <w:rPr/>
        <w:t>，自出售日后，本公司与南康能源等</w:t>
      </w:r>
      <w:r>
        <w:rPr>
          <w:rFonts w:ascii="Times New Roman" w:hAnsi="Times New Roman" w:cs="Times New Roman" w:eastAsia="Times New Roman" w:hint="default"/>
        </w:rPr>
        <w:t>18</w:t>
      </w:r>
      <w:r>
        <w:rPr/>
        <w:t>家公司不存</w:t>
      </w:r>
      <w:r>
        <w:rPr>
          <w:spacing w:val="-83"/>
        </w:rPr>
        <w:t> </w:t>
      </w:r>
      <w:r>
        <w:rPr/>
        <w:t>在关联方关系，本表披露的本公司与上述公司往来余额为合并期间发生额截止目前的的余额。</w:t>
      </w:r>
    </w:p>
    <w:p>
      <w:pPr>
        <w:spacing w:line="240" w:lineRule="auto" w:before="1"/>
        <w:rPr>
          <w:rFonts w:ascii="宋体" w:hAnsi="宋体" w:cs="宋体" w:eastAsia="宋体" w:hint="default"/>
          <w:sz w:val="23"/>
          <w:szCs w:val="23"/>
        </w:rPr>
      </w:pPr>
    </w:p>
    <w:p>
      <w:pPr>
        <w:pStyle w:val="Heading3"/>
        <w:spacing w:line="240" w:lineRule="auto"/>
        <w:ind w:right="0"/>
        <w:jc w:val="both"/>
        <w:rPr>
          <w:b w:val="0"/>
          <w:bCs w:val="0"/>
        </w:rPr>
      </w:pPr>
      <w:bookmarkStart w:name="5、关联交易情况" w:id="454"/>
      <w:bookmarkEnd w:id="45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购销商品、提供和接受劳务的关联交易" w:id="455"/>
      <w:bookmarkEnd w:id="45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2"/>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爱康富罗纳金融信 息服务（上海）有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爱康金服券</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108,000.00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江苏爱康实业集团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材料、电脑等</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62,139.36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435,094.10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江阴爱康农业科技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农副食品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926,459.84</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10,677,999.69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苏州爱康薄膜新材 料有限公司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8"/>
                <w:sz w:val="18"/>
              </w:rPr>
              <w:t>EVA</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18,295,447.15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29,759,357.72</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苏州爱康薄膜新材 料有限公司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2,995,655.00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3,036,580.67</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苏州爱康果业有限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农副食品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1,104.00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787,076.45</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苏州爱康能源工程 技术股份有限公司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工程承包、组件</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288,008,251.54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543,073,394.64</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苏州广厦物业管理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物业管理费等</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2,866,503.44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3,555,198.10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无锡慧谷供应链管 理有限公司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物流费</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41,207.55</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张家港惠康餐饮管 理有限公司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食堂费用</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9,673,380.39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117,915.50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江苏爱康绿色家园 科技有限公司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分布式电站系统</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218,439.67</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88,034.19</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江苏爱康房地产开 发有限公司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246,415.09</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江苏爱康房地产开 发有限公司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72,718.06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110,504.72</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00"/>
              <w:jc w:val="left"/>
              <w:rPr>
                <w:rFonts w:ascii="Times New Roman" w:hAnsi="Times New Roman" w:cs="Times New Roman" w:eastAsia="Times New Roman" w:hint="default"/>
                <w:sz w:val="18"/>
                <w:szCs w:val="18"/>
              </w:rPr>
            </w:pPr>
            <w:r>
              <w:rPr>
                <w:rFonts w:ascii="Times New Roman"/>
                <w:sz w:val="18"/>
              </w:rPr>
              <w:t>MAKI</w:t>
            </w:r>
            <w:r>
              <w:rPr>
                <w:rFonts w:ascii="Times New Roman"/>
                <w:spacing w:val="-1"/>
                <w:sz w:val="18"/>
              </w:rPr>
              <w:t> </w:t>
            </w:r>
            <w:r>
              <w:rPr>
                <w:rFonts w:ascii="Times New Roman"/>
                <w:sz w:val="18"/>
              </w:rPr>
              <w:t>SUNCOME</w:t>
            </w:r>
            <w:r>
              <w:rPr>
                <w:rFonts w:ascii="Times New Roman"/>
                <w:w w:val="99"/>
                <w:sz w:val="18"/>
              </w:rPr>
              <w:t> </w:t>
            </w:r>
            <w:r>
              <w:rPr>
                <w:rFonts w:ascii="Times New Roman"/>
                <w:sz w:val="18"/>
              </w:rPr>
              <w:t>SOLAR</w:t>
            </w:r>
            <w:r>
              <w:rPr>
                <w:rFonts w:ascii="Times New Roman"/>
                <w:spacing w:val="1"/>
                <w:sz w:val="18"/>
              </w:rPr>
              <w:t> </w:t>
            </w:r>
            <w:r>
              <w:rPr>
                <w:rFonts w:ascii="Times New Roman"/>
                <w:spacing w:val="-3"/>
                <w:sz w:val="18"/>
              </w:rPr>
              <w:t>CO.,LTD</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739,508.19</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上海爱康富罗纳融 资租赁有限公司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41,509.43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22"/>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上海爱康富罗纳投资管理有限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维护服务费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415,094.34</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16,291,767.56</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磁县品佑光伏电力开发有限公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支架</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35,888.46</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磁县品佑光伏电力开发有限公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运维费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1,490,377.32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1,416,981.09</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江苏爱康绿色家园科技有限公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支架</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3,448,213.63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13,105,975.16</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江苏爱康绿色家园科技有限公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47,101,346.35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98,353,520.43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江苏爱康绿色家园科技有限公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7,521.37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13,929.06</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江苏爱康绿色家园科技有限公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9,132,075.47</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运维费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1,158,804.15</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电脑</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17,266.46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1,336.32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354,089.65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357,987.96</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苏州爱康能源工程技术股份有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支架、组件等</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424,131,142.07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391,610,823.95</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苏州爱康能源工程技术股份有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电脑、车辆</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30,085.47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25,605.32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随县爱康新能源投资有限公司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运维费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1,167,452.79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1,186,792.41</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汤阴爱康能源电力有限公司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运维费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1,457,547.14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1,294,905.64</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崇仁县爱康新能源科技有限公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运维费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1,276,367.89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558,254.70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海城爱康电力有限公司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运维费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325,000.00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648,584.89</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固镇县爱康光伏新能源有限公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运维费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1,473,018.86</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电脑</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6,409.40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电脑</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3,759.83</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宁波梅山保税港区爱康富罗纳 投资管理中心（有限合伙）</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3,887,566.11</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上海爱康富罗纳股权投资基金 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上海爱康富罗纳资产管理有限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评估检测费</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2,816,981.13</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张家港富罗纳区块链一号信息 科技企业（有限合伙）</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320,754.71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6,861,515.01</w:t>
            </w:r>
          </w:p>
        </w:tc>
      </w:tr>
    </w:tbl>
    <w:p>
      <w:pPr>
        <w:pStyle w:val="BodyText"/>
        <w:spacing w:line="338" w:lineRule="auto" w:before="51"/>
        <w:ind w:right="1122"/>
        <w:jc w:val="left"/>
      </w:pPr>
      <w:r>
        <w:rPr/>
        <w:t>购销商品、提供和接受劳务的关联交易说明 </w:t>
      </w:r>
      <w:r>
        <w:rPr>
          <w:spacing w:val="-2"/>
        </w:rPr>
        <w:t>本公司及子公司与能源工程等关联方有组件和支架等产品的销售，同时本公司及子公司也向能源工程等关联方采购产品或者</w:t>
      </w:r>
      <w:r>
        <w:rPr>
          <w:spacing w:val="-64"/>
        </w:rPr>
        <w:t> </w:t>
      </w:r>
      <w:r>
        <w:rPr>
          <w:spacing w:val="-64"/>
        </w:rPr>
      </w:r>
      <w:r>
        <w:rPr/>
        <w:t>工程劳务，本表披露的与关联方发生额全额，合并报表中已经将用于自建项目使用的组件、支架相关收入成本抵消。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19"/>
        <w:ind w:right="1122"/>
        <w:jc w:val="left"/>
        <w:rPr>
          <w:b w:val="0"/>
          <w:bCs w:val="0"/>
        </w:rPr>
      </w:pPr>
      <w:bookmarkStart w:name="（2）关联受托管理/承包及委托管理/出包情况" w:id="456"/>
      <w:bookmarkEnd w:id="456"/>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2"/>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right="1122"/>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3"/>
        <w:spacing w:line="240" w:lineRule="auto"/>
        <w:ind w:right="1122"/>
        <w:jc w:val="left"/>
        <w:rPr>
          <w:b w:val="0"/>
          <w:bCs w:val="0"/>
        </w:rPr>
      </w:pPr>
      <w:bookmarkStart w:name="（3）关联租赁情况" w:id="457"/>
      <w:bookmarkEnd w:id="457"/>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2"/>
        <w:jc w:val="left"/>
      </w:pPr>
      <w:r>
        <w:rPr/>
        <w:t>本公司作为出租方：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11,428.56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苏州爱康能源工程技术股份 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仓库</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3,142.86</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苏州爱康能源工程技术股份 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1,048,000.04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996,571.43</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苏州润德新材料有限公司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厂房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445,357.56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212,785.69</w:t>
            </w:r>
          </w:p>
        </w:tc>
      </w:tr>
    </w:tbl>
    <w:p>
      <w:pPr>
        <w:pStyle w:val="BodyText"/>
        <w:spacing w:line="240" w:lineRule="auto" w:before="51"/>
        <w:ind w:right="1122"/>
        <w:jc w:val="left"/>
      </w:pPr>
      <w:r>
        <w:rPr/>
        <w:t>本公司作为承租方：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苏州爱康薄膜新材料有限公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1,609,523.80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1,609,523.80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苏州爱康薄膜新材料有限公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厂房及仓库</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1,838,521.16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1,838,521.14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上海爱康富罗纳投资管理有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802,494.82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江苏爱康房地产开发有限公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爱康大厦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44,281.90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140,514.29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办公室</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35,287.57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22"/>
        <w:jc w:val="left"/>
      </w:pPr>
      <w:r>
        <w:rPr/>
        <w:t>关联租赁情况说明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4）关联担保情况" w:id="458"/>
      <w:bookmarkEnd w:id="458"/>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22"/>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苏州爱康薄膜新材料有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江苏爱康绿色家园科技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汤阴爱康能源电力有限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寻乌爱康新能源科技有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海城爱康电力有限公司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崇仁县爱康新能源科技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固镇县爱康光伏新能源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固镇县爱康光伏新能源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磁县品佑光伏电力开发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临朐祥泰光伏发电有限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日本爱康株式会社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上海爱康富罗纳融资租 赁有限公司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上海爱康富罗纳融资租 赁有限公司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138,946,900.00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上海爱康富罗纳融资租 赁有限公司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上海爱康富罗纳融资租 赁有限公司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上海爱康富罗纳融资租 赁有限公司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江西慧谷供应链管理有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江西慧谷供应链管理有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金昌清能电力有限公司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九州方园博乐市新能源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313,684,300.00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九州方园博乐市新能源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134,800,900.00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日本爱康株式会社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日本爱康株式会社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日本爱康株式会社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日本爱康株式会社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日本爱康株式会社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苏州爱康薄膜新材料有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苏州爱康薄膜新材料有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苏州爱康能源工程技术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宁阳腾源新能源有限公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58,239,000.00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上海爱康富罗纳融资租 赁有限公司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江西慧谷供应链管理有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1122"/>
        <w:jc w:val="left"/>
      </w:pPr>
      <w:r>
        <w:rPr/>
        <w:t>本公司作为被担保方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473,440,000.00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133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江苏爱康实业集团有限 公司、上海爱康富罗纳 融资租赁有限公司、邹 承慧、吴思远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邹承慧、江苏爱康实业 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邹承慧、江苏爱康实业 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邹承慧、江苏爱康实业 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邹承慧、江苏爱康实业 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邹承慧、江苏爱康实业 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邹承慧、江苏爱康实业 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邹承慧、江苏爱康实业 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邹承慧、江苏爱康实业 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邹承慧、江苏爱康实业 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邹承慧、江苏爱康实业 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邹承慧、江苏爱康实业 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江苏爱康房地产开发有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邹承慧、江苏爱康实业 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江苏爱康实业集团有限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57" w:lineRule="auto" w:before="51"/>
        <w:ind w:right="1752"/>
        <w:jc w:val="left"/>
      </w:pPr>
      <w:r>
        <w:rPr/>
        <w:t>关联担保情况说明 注：本表所列示担保起始日为根据借款合同每笔借款到期之次日，担保到期日为每笔借款到期之次日起满两年止。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Heading3"/>
        <w:spacing w:line="240" w:lineRule="auto"/>
        <w:ind w:right="1122"/>
        <w:jc w:val="left"/>
        <w:rPr>
          <w:b w:val="0"/>
          <w:bCs w:val="0"/>
        </w:rPr>
      </w:pPr>
      <w:bookmarkStart w:name="（5）关联方资金拆借" w:id="459"/>
      <w:bookmarkEnd w:id="459"/>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9,358,327.11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上海爱康富罗纳融资租 赁有限公司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上海爱康富罗纳融资租 赁有限公司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广东华赣融资租赁有限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6）关联方资产转让、债务重组情况" w:id="460"/>
      <w:bookmarkEnd w:id="460"/>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购买江西金租赁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167,889,527.76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张家港爱康新能源产业并购 </w:t>
            </w:r>
            <w:r>
              <w:rPr>
                <w:rFonts w:ascii="宋体" w:hAnsi="宋体" w:cs="宋体" w:eastAsia="宋体" w:hint="default"/>
                <w:spacing w:val="-7"/>
                <w:sz w:val="18"/>
                <w:szCs w:val="18"/>
              </w:rPr>
              <w:t>基金（有限合伙）、江苏爱康</w:t>
            </w:r>
            <w:r>
              <w:rPr>
                <w:rFonts w:ascii="宋体" w:hAnsi="宋体" w:cs="宋体" w:eastAsia="宋体" w:hint="default"/>
                <w:sz w:val="18"/>
                <w:szCs w:val="18"/>
              </w:rPr>
              <w:t> 实业集团有限公司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购买能源工程公司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爱康能源株式会社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出售日本爱康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64,759,200.00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购买研究院公司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889,400.00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苏州爱康能源工程技术股份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购买阳泉发电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49"/>
              <w:jc w:val="left"/>
              <w:rPr>
                <w:rFonts w:ascii="宋体" w:hAnsi="宋体" w:cs="宋体" w:eastAsia="宋体" w:hint="default"/>
                <w:sz w:val="18"/>
                <w:szCs w:val="18"/>
              </w:rPr>
            </w:pPr>
            <w:r>
              <w:rPr>
                <w:rFonts w:ascii="宋体" w:hAnsi="宋体" w:cs="宋体" w:eastAsia="宋体" w:hint="default"/>
                <w:sz w:val="18"/>
                <w:szCs w:val="18"/>
              </w:rPr>
              <w:t>购买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MAKI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SUNCOME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49.18%</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2,538,685.88</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7）关键管理人员报酬" w:id="461"/>
      <w:bookmarkEnd w:id="461"/>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8,824,900.00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4,321,147.00</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8）其他关联交易" w:id="462"/>
      <w:bookmarkEnd w:id="462"/>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6、关联方应收应付款项" w:id="463"/>
      <w:bookmarkEnd w:id="46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应收项目" w:id="464"/>
      <w:bookmarkEnd w:id="46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苏州爱康能源工程 技术股份有限公司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309,276,077.21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131,959,646.66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江苏爱康绿色家园 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11,178,501.91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72,055,721.93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爱康国际控股有限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3,452,816.86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3,240,476.31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磁县品佑光伏电力 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2,374,610.00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794,810.00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苏州润德新材料有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582,589.62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102,888.14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苏州爱康薄膜新材 料有限公司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254,596.10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45,942.30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江苏爱康房地产开 发有限公司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7,499.00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随县爱康新能源投 资有限公司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1,237,500.00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汤阴爱康能源电力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崇仁县爱康新能源 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1,352,950.00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固镇县爱康光伏新 能源有限公司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1,561,400.00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海城爱康电力有限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江阴爱康农业科技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上海爱康富罗纳投 资管理有限公司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金昌清能电力有限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1,185,342.26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苏州爱康能源工程 技术股份有限公司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5,810,716.23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2,732,769.57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江苏爱康绿色家园 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69,541.00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75,062.37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苏州爱康能源工程 技术股份有限公司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2,092,800.00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1,046,400.00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爱康能源株式会社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34,037,850.00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日本爱康株式会社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1,159,149.29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丹阳中康电力开发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2,821,690.87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赣州市南康区爱康 新能源科技有限公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16,815,775.64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济南统联新能源有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13,569,259.07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九州方园博乐市新 能源有限公司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43,168,596.26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九州方园博州新能 源有限公司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119,727,176.08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内蒙古四子王旗神 光能源发展有限公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33,856,740.79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泰州中康新能源有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8,723,967.90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特克斯昱辉太阳能 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3,915,636.84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无锡中康电力开发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2,001,540.00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新疆聚阳能源科技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58,042,855.86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新疆伊阳能源科技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94,593,567.00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宿州恒康新能源有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24,167,480.13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徐州统联新能源有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9,408,626.15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浙江瑞旭投资有限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397,916,416.47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0"/>
              <w:jc w:val="both"/>
              <w:rPr>
                <w:rFonts w:ascii="宋体" w:hAnsi="宋体" w:cs="宋体" w:eastAsia="宋体" w:hint="default"/>
                <w:sz w:val="18"/>
                <w:szCs w:val="18"/>
              </w:rPr>
            </w:pP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w:t>
            </w:r>
            <w:r>
              <w:rPr>
                <w:rFonts w:ascii="宋体" w:hAnsi="宋体" w:cs="宋体" w:eastAsia="宋体" w:hint="default"/>
                <w:sz w:val="18"/>
                <w:szCs w:val="18"/>
              </w:rPr>
              <w:t>南康能源 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家公司出售前 分红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158,465,156.48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青海蓓翔新能源开 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8,211,207.91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新疆爱康慧诚信息 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江苏爱康实业集团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248,512,602.38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苏州爱康能源工程 技术股份有限公司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111,889,217.51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57,764,608.05</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22"/>
        <w:jc w:val="left"/>
        <w:rPr>
          <w:b w:val="0"/>
          <w:bCs w:val="0"/>
        </w:rPr>
      </w:pPr>
      <w:bookmarkStart w:name="（2）应付项目" w:id="465"/>
      <w:bookmarkEnd w:id="46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苏州爱康能源工程技术股份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3,377,733.11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89,804,062.17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苏州爱康薄膜新材料有限公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21,572,375.73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3,139,002.72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江苏爱康绿色家园科技有限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4,027.76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85,140.00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20"/>
              <w:jc w:val="left"/>
              <w:rPr>
                <w:rFonts w:ascii="Times New Roman" w:hAnsi="Times New Roman" w:cs="Times New Roman" w:eastAsia="Times New Roman" w:hint="default"/>
                <w:sz w:val="18"/>
                <w:szCs w:val="18"/>
              </w:rPr>
            </w:pPr>
            <w:r>
              <w:rPr>
                <w:rFonts w:ascii="Times New Roman"/>
                <w:sz w:val="18"/>
              </w:rPr>
              <w:t>MAKI SUNCOME</w:t>
            </w:r>
            <w:r>
              <w:rPr>
                <w:rFonts w:ascii="Times New Roman"/>
                <w:spacing w:val="-3"/>
                <w:sz w:val="18"/>
              </w:rPr>
              <w:t> </w:t>
            </w:r>
            <w:r>
              <w:rPr>
                <w:rFonts w:ascii="Times New Roman"/>
                <w:sz w:val="18"/>
              </w:rPr>
              <w:t>SOLAR</w:t>
            </w:r>
            <w:r>
              <w:rPr>
                <w:rFonts w:ascii="Times New Roman"/>
                <w:w w:val="99"/>
                <w:sz w:val="18"/>
              </w:rPr>
              <w:t> </w:t>
            </w:r>
            <w:r>
              <w:rPr>
                <w:rFonts w:ascii="Times New Roman"/>
                <w:spacing w:val="-3"/>
                <w:sz w:val="18"/>
              </w:rPr>
              <w:t>CO.,LTD</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127,990.09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228,565.25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江苏爱康房地产开发有限公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1,202,360.00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1,202,360.00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苏州润德新材料有限公司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6,055.38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10,175.07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赣州市南康区爱康新能源科 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633,093.26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张家港富罗纳区块链一号信 息科技企业（有限合伙）</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苏州爱康能源工程技术股份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409,885.25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17,824,785.25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苏州广厦物业管理有限公司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215,157.00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431,857.64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张家港惠康餐饮管理有限公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791,920.57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苏州爱康薄膜新材料有限公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318,965.52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苏州爱康果业有限公司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369,558.00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603,802.60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赣州发展融资租赁有限责任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605,609.81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355,610.81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日本爱康株式会社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689,440.99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江苏爱康房地产开发有限公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44,405.00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2,538,685.88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新疆聚阳能源科技有限公司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4,888.00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41,629,248.00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83,258,496.00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15,478,704.00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30,957,408.00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苏州度金股权投资管理中心</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39,391,200.00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78,782,400.00</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7、关联方承诺" w:id="466"/>
      <w:bookmarkEnd w:id="466"/>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36"/>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2016</w:t>
      </w:r>
      <w:r>
        <w:rPr>
          <w:spacing w:val="-2"/>
        </w:rPr>
        <w:t>年新股发行股权限售承诺：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日，本公司非公开发行</w:t>
      </w:r>
      <w:r>
        <w:rPr>
          <w:rFonts w:ascii="Times New Roman" w:hAnsi="Times New Roman" w:cs="Times New Roman" w:eastAsia="Times New Roman" w:hint="default"/>
          <w:spacing w:val="-2"/>
        </w:rPr>
        <w:t>A</w:t>
      </w:r>
      <w:r>
        <w:rPr>
          <w:spacing w:val="-2"/>
        </w:rPr>
        <w:t>股股票上市。本次发行新增</w:t>
      </w:r>
      <w:r>
        <w:rPr>
          <w:rFonts w:ascii="Times New Roman" w:hAnsi="Times New Roman" w:cs="Times New Roman" w:eastAsia="Times New Roman" w:hint="default"/>
          <w:spacing w:val="-2"/>
        </w:rPr>
        <w:t>397,715,400</w:t>
      </w:r>
      <w:r>
        <w:rPr>
          <w:spacing w:val="-2"/>
        </w:rPr>
        <w:t>股股份中，</w:t>
      </w:r>
      <w:r>
        <w:rPr>
          <w:spacing w:val="-80"/>
        </w:rPr>
        <w:t> </w:t>
      </w:r>
      <w:r>
        <w:rPr/>
        <w:t>由爱康实业认购的</w:t>
      </w:r>
      <w:r>
        <w:rPr>
          <w:rFonts w:ascii="Times New Roman" w:hAnsi="Times New Roman" w:cs="Times New Roman" w:eastAsia="Times New Roman" w:hint="default"/>
        </w:rPr>
        <w:t>39,771,500</w:t>
      </w:r>
      <w:r>
        <w:rPr/>
        <w:t>股股份限售期为三十六个月。根据</w:t>
      </w:r>
      <w:r>
        <w:rPr>
          <w:rFonts w:ascii="Times New Roman" w:hAnsi="Times New Roman" w:cs="Times New Roman" w:eastAsia="Times New Roman" w:hint="default"/>
        </w:rPr>
        <w:t>2016</w:t>
      </w:r>
      <w:r>
        <w:rPr/>
        <w:t>年第五次临时股东大会决议和章程修正案规定，本公司</w:t>
      </w:r>
      <w:r>
        <w:rPr>
          <w:spacing w:val="-85"/>
        </w:rPr>
        <w:t> </w:t>
      </w:r>
      <w:r>
        <w:rPr>
          <w:spacing w:val="-85"/>
        </w:rPr>
      </w:r>
      <w:r>
        <w:rPr/>
        <w:t>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日总股本</w:t>
      </w:r>
      <w:r>
        <w:rPr>
          <w:rFonts w:ascii="Times New Roman" w:hAnsi="Times New Roman" w:cs="Times New Roman" w:eastAsia="Times New Roman" w:hint="default"/>
        </w:rPr>
        <w:t>1,122,715,400</w:t>
      </w:r>
      <w:r>
        <w:rPr/>
        <w:t>股为基数以每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30</w:t>
      </w:r>
      <w:r>
        <w:rPr/>
        <w:t>股的比例用资本公积向全体股东转增股份，因此由爱康实业</w:t>
      </w:r>
      <w:r>
        <w:rPr>
          <w:spacing w:val="-47"/>
        </w:rPr>
        <w:t> </w:t>
      </w:r>
      <w:r>
        <w:rPr>
          <w:spacing w:val="-47"/>
        </w:rPr>
      </w:r>
      <w:r>
        <w:rPr/>
        <w:t>认购的</w:t>
      </w:r>
      <w:r>
        <w:rPr>
          <w:rFonts w:ascii="Times New Roman" w:hAnsi="Times New Roman" w:cs="Times New Roman" w:eastAsia="Times New Roman" w:hint="default"/>
        </w:rPr>
        <w:t>39,771,500</w:t>
      </w:r>
      <w:r>
        <w:rPr/>
        <w:t>股增至</w:t>
      </w:r>
      <w:r>
        <w:rPr>
          <w:rFonts w:ascii="Times New Roman" w:hAnsi="Times New Roman" w:cs="Times New Roman" w:eastAsia="Times New Roman" w:hint="default"/>
        </w:rPr>
        <w:t>159,086,000</w:t>
      </w:r>
      <w:r>
        <w:rPr/>
        <w:t>股，从上市首日起算，预计可上市流通时间为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w:t>
      </w:r>
    </w:p>
    <w:p>
      <w:pPr>
        <w:pStyle w:val="BodyText"/>
        <w:spacing w:line="300" w:lineRule="auto" w:before="13"/>
        <w:ind w:right="1128"/>
        <w:jc w:val="both"/>
      </w:pPr>
      <w:r>
        <w:rPr/>
        <w:t>（</w:t>
      </w:r>
      <w:r>
        <w:rPr>
          <w:rFonts w:ascii="Times New Roman" w:hAnsi="Times New Roman" w:cs="Times New Roman" w:eastAsia="Times New Roman" w:hint="default"/>
        </w:rPr>
        <w:t>2</w:t>
      </w:r>
      <w:r>
        <w:rPr/>
        <w:t>）赣发租赁业绩承诺：根据赣州发展融资租赁有限责任公司股权转让协议，爱康实业就所持有赣发租赁的</w:t>
      </w:r>
      <w:r>
        <w:rPr>
          <w:rFonts w:ascii="Times New Roman" w:hAnsi="Times New Roman" w:cs="Times New Roman" w:eastAsia="Times New Roman" w:hint="default"/>
        </w:rPr>
        <w:t>40%</w:t>
      </w:r>
      <w:r>
        <w:rPr/>
        <w:t>股权转让</w:t>
      </w:r>
      <w:r>
        <w:rPr>
          <w:spacing w:val="-54"/>
        </w:rPr>
        <w:t> </w:t>
      </w:r>
      <w:r>
        <w:rPr>
          <w:spacing w:val="-54"/>
        </w:rPr>
      </w:r>
      <w:r>
        <w:rPr/>
        <w:t>事宜承诺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年实现净利润分别为</w:t>
      </w:r>
      <w:r>
        <w:rPr>
          <w:rFonts w:ascii="Times New Roman" w:hAnsi="Times New Roman" w:cs="Times New Roman" w:eastAsia="Times New Roman" w:hint="default"/>
        </w:rPr>
        <w:t>4,689.48</w:t>
      </w:r>
      <w:r>
        <w:rPr/>
        <w:t>万元、</w:t>
      </w:r>
      <w:r>
        <w:rPr>
          <w:rFonts w:ascii="Times New Roman" w:hAnsi="Times New Roman" w:cs="Times New Roman" w:eastAsia="Times New Roman" w:hint="default"/>
        </w:rPr>
        <w:t>6,890.59</w:t>
      </w:r>
      <w:r>
        <w:rPr/>
        <w:t>万元，</w:t>
      </w:r>
      <w:r>
        <w:rPr>
          <w:rFonts w:ascii="Times New Roman" w:hAnsi="Times New Roman" w:cs="Times New Roman" w:eastAsia="Times New Roman" w:hint="default"/>
        </w:rPr>
        <w:t>8,817.03</w:t>
      </w:r>
      <w:r>
        <w:rPr/>
        <w:t>万元，若赣发租赁未能实现上述</w:t>
      </w:r>
      <w:r>
        <w:rPr>
          <w:spacing w:val="-85"/>
        </w:rPr>
        <w:t> </w:t>
      </w:r>
      <w:r>
        <w:rPr>
          <w:spacing w:val="-85"/>
        </w:rPr>
      </w:r>
      <w:r>
        <w:rPr>
          <w:spacing w:val="-2"/>
        </w:rPr>
        <w:t>承诺业绩，由爱康实业向本公司支付现金补足。于本年本公司收到爱康实业支付的赣发租赁</w:t>
      </w:r>
      <w:r>
        <w:rPr>
          <w:rFonts w:ascii="Times New Roman" w:hAnsi="Times New Roman" w:cs="Times New Roman" w:eastAsia="Times New Roman" w:hint="default"/>
          <w:spacing w:val="-2"/>
        </w:rPr>
        <w:t>2017</w:t>
      </w:r>
      <w:r>
        <w:rPr>
          <w:spacing w:val="-2"/>
        </w:rPr>
        <w:t>年度业绩承诺未实现部分的</w:t>
      </w:r>
      <w:r>
        <w:rPr>
          <w:spacing w:val="-59"/>
        </w:rPr>
        <w:t> </w:t>
      </w:r>
      <w:r>
        <w:rPr/>
        <w:t>补偿款</w:t>
      </w:r>
      <w:r>
        <w:rPr>
          <w:rFonts w:ascii="Times New Roman" w:hAnsi="Times New Roman" w:cs="Times New Roman" w:eastAsia="Times New Roman" w:hint="default"/>
        </w:rPr>
        <w:t>3,771,000.00</w:t>
      </w:r>
      <w:r>
        <w:rPr/>
        <w:t>元。</w:t>
      </w:r>
    </w:p>
    <w:p>
      <w:pPr>
        <w:pStyle w:val="BodyText"/>
        <w:spacing w:line="300" w:lineRule="auto" w:before="13"/>
        <w:ind w:right="1129"/>
        <w:jc w:val="both"/>
      </w:pPr>
      <w:r>
        <w:rPr/>
        <w:t>（</w:t>
      </w:r>
      <w:r>
        <w:rPr>
          <w:rFonts w:ascii="Times New Roman" w:hAnsi="Times New Roman" w:cs="Times New Roman" w:eastAsia="Times New Roman" w:hint="default"/>
        </w:rPr>
        <w:t>3</w:t>
      </w:r>
      <w:r>
        <w:rPr/>
        <w:t>）爱康光电业绩承诺：根据本公司与爱康光电股东关于苏州爱康光电科技有限公司之购买资产协议，爱康实业、爱康国</w:t>
      </w:r>
      <w:r>
        <w:rPr>
          <w:spacing w:val="-83"/>
        </w:rPr>
        <w:t> </w:t>
      </w:r>
      <w:r>
        <w:rPr>
          <w:spacing w:val="-83"/>
        </w:rPr>
      </w:r>
      <w:r>
        <w:rPr>
          <w:spacing w:val="-4"/>
        </w:rPr>
        <w:t>际、苏州度金、天地国际发展有限公司、钨业研究中心有限公司就所持有爱康光电的</w:t>
      </w:r>
      <w:r>
        <w:rPr>
          <w:rFonts w:ascii="Times New Roman" w:hAnsi="Times New Roman" w:cs="Times New Roman" w:eastAsia="Times New Roman" w:hint="default"/>
          <w:spacing w:val="-4"/>
        </w:rPr>
        <w:t>100.00%</w:t>
      </w:r>
      <w:r>
        <w:rPr>
          <w:spacing w:val="-4"/>
        </w:rPr>
        <w:t>股权转让事宜承诺</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4"/>
        </w:rPr>
        <w:t> </w:t>
      </w:r>
      <w:r>
        <w:rPr/>
        <w:t>年、</w:t>
      </w:r>
      <w:r>
        <w:rPr>
          <w:rFonts w:ascii="Times New Roman" w:hAnsi="Times New Roman" w:cs="Times New Roman" w:eastAsia="Times New Roman" w:hint="default"/>
        </w:rPr>
        <w:t>2018</w:t>
      </w:r>
      <w:r>
        <w:rPr/>
        <w:t>年实现经审计扣除非经常性损益（依法取得的财政补贴除外）后归属于母公司股东的净利润分别为</w:t>
      </w:r>
      <w:r>
        <w:rPr>
          <w:rFonts w:ascii="Times New Roman" w:hAnsi="Times New Roman" w:cs="Times New Roman" w:eastAsia="Times New Roman" w:hint="default"/>
        </w:rPr>
        <w:t>9,000.00</w:t>
      </w:r>
      <w:r>
        <w:rPr/>
        <w:t>万元、</w:t>
      </w:r>
      <w:r>
        <w:rPr>
          <w:spacing w:val="-83"/>
        </w:rPr>
        <w:t> </w:t>
      </w:r>
      <w:r>
        <w:rPr>
          <w:rFonts w:ascii="Times New Roman" w:hAnsi="Times New Roman" w:cs="Times New Roman" w:eastAsia="Times New Roman" w:hint="default"/>
          <w:spacing w:val="-2"/>
        </w:rPr>
        <w:t>11,000,00</w:t>
      </w:r>
      <w:r>
        <w:rPr>
          <w:spacing w:val="-2"/>
        </w:rPr>
        <w:t>万元，</w:t>
      </w:r>
      <w:r>
        <w:rPr>
          <w:rFonts w:ascii="Times New Roman" w:hAnsi="Times New Roman" w:cs="Times New Roman" w:eastAsia="Times New Roman" w:hint="default"/>
          <w:spacing w:val="-2"/>
        </w:rPr>
        <w:t>12,500.00</w:t>
      </w:r>
      <w:r>
        <w:rPr>
          <w:spacing w:val="-2"/>
        </w:rPr>
        <w:t>万元，若爱康光电未能实现上述承诺业绩，由爱康实业、爱康国际、苏州度金、天地国际发展有限</w:t>
      </w:r>
      <w:r>
        <w:rPr>
          <w:spacing w:val="-52"/>
        </w:rPr>
        <w:t> </w:t>
      </w:r>
      <w:r>
        <w:rPr>
          <w:spacing w:val="-52"/>
        </w:rPr>
      </w:r>
      <w:r>
        <w:rPr/>
        <w:t>公司、钨业研究中心有限公司向本公司支付现金补足。</w:t>
      </w:r>
    </w:p>
    <w:p>
      <w:pPr>
        <w:spacing w:line="240" w:lineRule="auto" w:before="6"/>
        <w:rPr>
          <w:rFonts w:ascii="宋体" w:hAnsi="宋体" w:cs="宋体" w:eastAsia="宋体" w:hint="default"/>
          <w:sz w:val="23"/>
          <w:szCs w:val="23"/>
        </w:rPr>
      </w:pPr>
    </w:p>
    <w:p>
      <w:pPr>
        <w:spacing w:line="487" w:lineRule="auto" w:before="0"/>
        <w:ind w:left="154" w:right="8750" w:firstLine="0"/>
        <w:jc w:val="left"/>
        <w:rPr>
          <w:rFonts w:ascii="宋体" w:hAnsi="宋体" w:cs="宋体" w:eastAsia="宋体" w:hint="default"/>
          <w:sz w:val="21"/>
          <w:szCs w:val="21"/>
        </w:rPr>
      </w:pPr>
      <w:bookmarkStart w:name="8、其他" w:id="467"/>
      <w:bookmarkEnd w:id="46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8"/>
      <w:bookmarkEnd w:id="468"/>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9"/>
      <w:bookmarkEnd w:id="46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40,053,000.00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5,684,651.19</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限制性股票价格为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1.31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个月</w:t>
            </w:r>
          </w:p>
        </w:tc>
      </w:tr>
    </w:tbl>
    <w:p>
      <w:pPr>
        <w:pStyle w:val="BodyText"/>
        <w:spacing w:line="240" w:lineRule="auto" w:before="51"/>
        <w:ind w:right="1122"/>
        <w:jc w:val="left"/>
      </w:pPr>
      <w:r>
        <w:rPr/>
        <w:t>其他说明</w:t>
      </w:r>
    </w:p>
    <w:p>
      <w:pPr>
        <w:pStyle w:val="BodyText"/>
        <w:spacing w:line="240" w:lineRule="auto" w:before="115"/>
        <w:ind w:left="514" w:right="1122"/>
        <w:jc w:val="left"/>
      </w:pPr>
      <w:r>
        <w:rPr>
          <w:rFonts w:ascii="Times New Roman" w:hAnsi="Times New Roman" w:cs="Times New Roman" w:eastAsia="Times New Roman" w:hint="default"/>
        </w:rPr>
        <w:t>1</w:t>
      </w:r>
      <w:r>
        <w:rPr/>
        <w:t>、股份支付总体情况</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4" w:right="1122"/>
        <w:jc w:val="left"/>
      </w:pPr>
      <w:r>
        <w:rPr/>
        <w:t>股份支付情况的说明：</w:t>
      </w:r>
    </w:p>
    <w:p>
      <w:pPr>
        <w:pStyle w:val="BodyText"/>
        <w:spacing w:line="300" w:lineRule="auto" w:before="76"/>
        <w:ind w:right="1129" w:firstLine="360"/>
        <w:jc w:val="both"/>
      </w:pPr>
      <w:r>
        <w:rPr/>
        <w:t>（</w:t>
      </w:r>
      <w:r>
        <w:rPr>
          <w:rFonts w:ascii="Times New Roman" w:hAnsi="Times New Roman" w:cs="Times New Roman" w:eastAsia="Times New Roman" w:hint="default"/>
        </w:rPr>
        <w:t>1</w:t>
      </w:r>
      <w:r>
        <w:rPr/>
        <w:t>）根据本公司于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日召开的第三届董事会第二十九次临时会议及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日召开的</w:t>
      </w:r>
      <w:r>
        <w:rPr>
          <w:rFonts w:ascii="Times New Roman" w:hAnsi="Times New Roman" w:cs="Times New Roman" w:eastAsia="Times New Roman" w:hint="default"/>
        </w:rPr>
        <w:t>2018</w:t>
      </w:r>
      <w:r>
        <w:rPr/>
        <w:t>年第四次临时 股东大会决议，激励计划采取的激励形式为限制性股票，股票来源为二级市场上回购的公司</w:t>
      </w:r>
      <w:r>
        <w:rPr>
          <w:rFonts w:ascii="Times New Roman" w:hAnsi="Times New Roman" w:cs="Times New Roman" w:eastAsia="Times New Roman" w:hint="default"/>
        </w:rPr>
        <w:t>A</w:t>
      </w:r>
      <w:r>
        <w:rPr/>
        <w:t>股普通股股票，拟授予</w:t>
      </w:r>
      <w:r>
        <w:rPr>
          <w:rFonts w:ascii="Times New Roman" w:hAnsi="Times New Roman" w:cs="Times New Roman" w:eastAsia="Times New Roman" w:hint="default"/>
        </w:rPr>
        <w:t>185</w:t>
      </w:r>
      <w:r>
        <w:rPr/>
        <w:t>名</w:t>
      </w:r>
      <w:r>
        <w:rPr>
          <w:spacing w:val="-42"/>
        </w:rPr>
        <w:t> </w:t>
      </w:r>
      <w:r>
        <w:rPr/>
        <w:t>激励对象的限制性股票数量为</w:t>
      </w:r>
      <w:r>
        <w:rPr>
          <w:rFonts w:ascii="Times New Roman" w:hAnsi="Times New Roman" w:cs="Times New Roman" w:eastAsia="Times New Roman" w:hint="default"/>
        </w:rPr>
        <w:t>16,900,000</w:t>
      </w:r>
      <w:r>
        <w:rPr/>
        <w:t>股，授予价格为</w:t>
      </w:r>
      <w:r>
        <w:rPr>
          <w:rFonts w:ascii="Times New Roman" w:hAnsi="Times New Roman" w:cs="Times New Roman" w:eastAsia="Times New Roman" w:hint="default"/>
        </w:rPr>
        <w:t>1.31</w:t>
      </w:r>
      <w:r>
        <w:rPr/>
        <w:t>元</w:t>
      </w:r>
      <w:r>
        <w:rPr>
          <w:rFonts w:ascii="Times New Roman" w:hAnsi="Times New Roman" w:cs="Times New Roman" w:eastAsia="Times New Roman" w:hint="default"/>
        </w:rPr>
        <w:t>/</w:t>
      </w:r>
      <w:r>
        <w:rPr/>
        <w:t>股。根据本公司于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日召开的第三届董事会第三十 次临时会议及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日召开的</w:t>
      </w:r>
      <w:r>
        <w:rPr>
          <w:rFonts w:ascii="Times New Roman" w:hAnsi="Times New Roman" w:cs="Times New Roman" w:eastAsia="Times New Roman" w:hint="default"/>
        </w:rPr>
        <w:t>2018</w:t>
      </w:r>
      <w:r>
        <w:rPr/>
        <w:t>年第五次临时股东大会决议和章程修正案规定，由于激励对象离职、自愿放弃全部</w:t>
      </w:r>
      <w:r>
        <w:rPr>
          <w:spacing w:val="-83"/>
        </w:rPr>
        <w:t> </w:t>
      </w:r>
      <w:r>
        <w:rPr>
          <w:spacing w:val="-83"/>
        </w:rPr>
      </w:r>
      <w:r>
        <w:rPr/>
        <w:t>或部分限制性股票等原因，本次的限制性股票的授予对象由</w:t>
      </w:r>
      <w:r>
        <w:rPr>
          <w:rFonts w:ascii="Times New Roman" w:hAnsi="Times New Roman" w:cs="Times New Roman" w:eastAsia="Times New Roman" w:hint="default"/>
        </w:rPr>
        <w:t>185</w:t>
      </w:r>
      <w:r>
        <w:rPr/>
        <w:t>人调整为</w:t>
      </w:r>
      <w:r>
        <w:rPr>
          <w:rFonts w:ascii="Times New Roman" w:hAnsi="Times New Roman" w:cs="Times New Roman" w:eastAsia="Times New Roman" w:hint="default"/>
        </w:rPr>
        <w:t>170</w:t>
      </w:r>
      <w:r>
        <w:rPr/>
        <w:t>人，本次授予限制性股票的总额由</w:t>
      </w:r>
      <w:r>
        <w:rPr>
          <w:rFonts w:ascii="Times New Roman" w:hAnsi="Times New Roman" w:cs="Times New Roman" w:eastAsia="Times New Roman" w:hint="default"/>
        </w:rPr>
        <w:t>16,900,000</w:t>
      </w:r>
      <w:r>
        <w:rPr/>
        <w:t>股</w:t>
      </w:r>
      <w:r>
        <w:rPr>
          <w:spacing w:val="-83"/>
        </w:rPr>
        <w:t> </w:t>
      </w:r>
      <w:r>
        <w:rPr/>
        <w:t>调整为</w:t>
      </w:r>
      <w:r>
        <w:rPr>
          <w:rFonts w:ascii="Times New Roman" w:hAnsi="Times New Roman" w:cs="Times New Roman" w:eastAsia="Times New Roman" w:hint="default"/>
        </w:rPr>
        <w:t>16,424,581</w:t>
      </w:r>
      <w:r>
        <w:rPr/>
        <w:t>股，授予价格为每股人民币</w:t>
      </w:r>
      <w:r>
        <w:rPr>
          <w:rFonts w:ascii="Times New Roman" w:hAnsi="Times New Roman" w:cs="Times New Roman" w:eastAsia="Times New Roman" w:hint="default"/>
        </w:rPr>
        <w:t>1.31</w:t>
      </w:r>
      <w:r>
        <w:rPr/>
        <w:t>元，部分激励对象因个人原因自愿放弃认购公司拟授予的全部或部分限制</w:t>
      </w:r>
      <w:r>
        <w:rPr>
          <w:spacing w:val="-47"/>
        </w:rPr>
        <w:t> </w:t>
      </w:r>
      <w:r>
        <w:rPr>
          <w:spacing w:val="-47"/>
        </w:rPr>
      </w:r>
      <w:r>
        <w:rPr/>
        <w:t>性股票合计</w:t>
      </w:r>
      <w:r>
        <w:rPr>
          <w:rFonts w:ascii="Times New Roman" w:hAnsi="Times New Roman" w:cs="Times New Roman" w:eastAsia="Times New Roman" w:hint="default"/>
        </w:rPr>
        <w:t>475,419</w:t>
      </w:r>
      <w:r>
        <w:rPr>
          <w:rFonts w:ascii="Times New Roman" w:hAnsi="Times New Roman" w:cs="Times New Roman" w:eastAsia="Times New Roman" w:hint="default"/>
          <w:spacing w:val="25"/>
        </w:rPr>
        <w:t> </w:t>
      </w:r>
      <w:r>
        <w:rPr/>
        <w:t>股公司股票进行注销。</w:t>
      </w:r>
    </w:p>
    <w:p>
      <w:pPr>
        <w:pStyle w:val="BodyText"/>
        <w:spacing w:line="300" w:lineRule="auto" w:before="13"/>
        <w:ind w:right="0" w:firstLine="360"/>
        <w:jc w:val="left"/>
      </w:pPr>
      <w:r>
        <w:rPr>
          <w:spacing w:val="-7"/>
        </w:rPr>
        <w:t>（</w:t>
      </w:r>
      <w:r>
        <w:rPr>
          <w:rFonts w:ascii="Times New Roman" w:hAnsi="Times New Roman" w:cs="Times New Roman" w:eastAsia="Times New Roman" w:hint="default"/>
          <w:spacing w:val="-7"/>
        </w:rPr>
        <w:t>2</w:t>
      </w:r>
      <w:r>
        <w:rPr>
          <w:spacing w:val="-7"/>
        </w:rPr>
        <w:t>）</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7</w:t>
      </w:r>
      <w:r>
        <w:rPr>
          <w:spacing w:val="-7"/>
        </w:rPr>
        <w:t>月</w:t>
      </w:r>
      <w:r>
        <w:rPr>
          <w:rFonts w:ascii="Times New Roman" w:hAnsi="Times New Roman" w:cs="Times New Roman" w:eastAsia="Times New Roman" w:hint="default"/>
          <w:spacing w:val="-7"/>
        </w:rPr>
        <w:t>21</w:t>
      </w:r>
      <w:r>
        <w:rPr>
          <w:spacing w:val="-7"/>
        </w:rPr>
        <w:t>日，本公司召开第三届董事会第三十八次临时会议，审议通过《关于回购注销部分限制性股票的议案》，</w:t>
      </w:r>
      <w:r>
        <w:rPr/>
        <w:t> </w:t>
      </w:r>
      <w:r>
        <w:rPr>
          <w:spacing w:val="-2"/>
        </w:rPr>
        <w:t>同意回购注销</w:t>
      </w:r>
      <w:r>
        <w:rPr>
          <w:rFonts w:ascii="Times New Roman" w:hAnsi="Times New Roman" w:cs="Times New Roman" w:eastAsia="Times New Roman" w:hint="default"/>
          <w:spacing w:val="-2"/>
        </w:rPr>
        <w:t>2018</w:t>
      </w:r>
      <w:r>
        <w:rPr>
          <w:spacing w:val="-2"/>
        </w:rPr>
        <w:t>年限制性股票激励计划的原激励对象吴小翠、吴伟、钱凯、张红、刘云清、陈徐冬、李慧已获授但尚未解</w:t>
      </w:r>
      <w:r>
        <w:rPr>
          <w:spacing w:val="-64"/>
        </w:rPr>
        <w:t> </w:t>
      </w:r>
      <w:r>
        <w:rPr>
          <w:spacing w:val="-64"/>
        </w:rPr>
      </w:r>
      <w:r>
        <w:rPr/>
        <w:t>锁的限制性股票共计</w:t>
      </w:r>
      <w:r>
        <w:rPr>
          <w:rFonts w:ascii="Times New Roman" w:hAnsi="Times New Roman" w:cs="Times New Roman" w:eastAsia="Times New Roman" w:hint="default"/>
        </w:rPr>
        <w:t>417,169</w:t>
      </w:r>
      <w:r>
        <w:rPr/>
        <w:t>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日，本公司召开</w:t>
      </w:r>
      <w:r>
        <w:rPr>
          <w:rFonts w:ascii="Times New Roman" w:hAnsi="Times New Roman" w:cs="Times New Roman" w:eastAsia="Times New Roman" w:hint="default"/>
        </w:rPr>
        <w:t>2018</w:t>
      </w:r>
      <w:r>
        <w:rPr/>
        <w:t>年第九次临时股东大会审议通过了《关于回购注销部分限</w:t>
      </w:r>
      <w:r>
        <w:rPr>
          <w:spacing w:val="-46"/>
        </w:rPr>
        <w:t> </w:t>
      </w:r>
      <w:r>
        <w:rPr>
          <w:spacing w:val="-46"/>
        </w:rPr>
      </w:r>
      <w:r>
        <w:rPr/>
        <w:t>制性股票的提案》。</w:t>
      </w:r>
    </w:p>
    <w:p>
      <w:pPr>
        <w:pStyle w:val="BodyText"/>
        <w:spacing w:line="300" w:lineRule="auto" w:before="31"/>
        <w:ind w:right="1039" w:firstLine="36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日，本公司召开第三届董事会第四十九次临时会议，审议通过《关于回购注销部分限制性股票的议 </w:t>
      </w:r>
      <w:r>
        <w:rPr>
          <w:spacing w:val="-2"/>
        </w:rPr>
        <w:t>案》和《关于修订</w:t>
      </w:r>
      <w:r>
        <w:rPr>
          <w:rFonts w:ascii="Times New Roman" w:hAnsi="Times New Roman" w:cs="Times New Roman" w:eastAsia="Times New Roman" w:hint="default"/>
          <w:spacing w:val="-2"/>
        </w:rPr>
        <w:t>&lt;</w:t>
      </w:r>
      <w:r>
        <w:rPr>
          <w:spacing w:val="-2"/>
        </w:rPr>
        <w:t>公司章程</w:t>
      </w:r>
      <w:r>
        <w:rPr>
          <w:rFonts w:ascii="Times New Roman" w:hAnsi="Times New Roman" w:cs="Times New Roman" w:eastAsia="Times New Roman" w:hint="default"/>
          <w:spacing w:val="-2"/>
        </w:rPr>
        <w:t>&gt;</w:t>
      </w:r>
      <w:r>
        <w:rPr>
          <w:spacing w:val="-2"/>
        </w:rPr>
        <w:t>的议案》，同意回购注销</w:t>
      </w:r>
      <w:r>
        <w:rPr>
          <w:rFonts w:ascii="Times New Roman" w:hAnsi="Times New Roman" w:cs="Times New Roman" w:eastAsia="Times New Roman" w:hint="default"/>
          <w:spacing w:val="-2"/>
        </w:rPr>
        <w:t>2018</w:t>
      </w:r>
      <w:r>
        <w:rPr>
          <w:spacing w:val="-2"/>
        </w:rPr>
        <w:t>年限制性股票激励计划的原激励对象石峰、陶波、</w:t>
      </w:r>
      <w:r>
        <w:rPr/>
        <w:t> </w:t>
      </w:r>
      <w:r>
        <w:rPr>
          <w:spacing w:val="-3"/>
        </w:rPr>
        <w:t>陈栋、孔斌、</w:t>
      </w:r>
      <w:r>
        <w:rPr>
          <w:spacing w:val="-84"/>
        </w:rPr>
        <w:t> </w:t>
      </w:r>
      <w:r>
        <w:rPr>
          <w:spacing w:val="-84"/>
        </w:rPr>
      </w:r>
      <w:r>
        <w:rPr/>
        <w:t>廖影聪、张沛、林丽萍、席生学及刘宇峰已获授但尚未解锁的限制性股票共计</w:t>
      </w:r>
      <w:r>
        <w:rPr>
          <w:rFonts w:ascii="Times New Roman" w:hAnsi="Times New Roman" w:cs="Times New Roman" w:eastAsia="Times New Roman" w:hint="default"/>
        </w:rPr>
        <w:t>848,240</w:t>
      </w:r>
      <w:r>
        <w:rPr/>
        <w:t>股。</w:t>
      </w:r>
    </w:p>
    <w:p>
      <w:pPr>
        <w:pStyle w:val="BodyText"/>
        <w:spacing w:line="300" w:lineRule="auto" w:before="13"/>
        <w:ind w:left="514" w:right="1122"/>
        <w:jc w:val="left"/>
      </w:pPr>
      <w:r>
        <w:rPr/>
        <w:t>（</w:t>
      </w:r>
      <w:r>
        <w:rPr>
          <w:rFonts w:ascii="Times New Roman" w:hAnsi="Times New Roman" w:cs="Times New Roman" w:eastAsia="Times New Roman" w:hint="default"/>
        </w:rPr>
        <w:t>4</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日，本公司发行在外的限制性股票总额为</w:t>
      </w:r>
      <w:r>
        <w:rPr>
          <w:rFonts w:ascii="Times New Roman" w:hAnsi="Times New Roman" w:cs="Times New Roman" w:eastAsia="Times New Roman" w:hint="default"/>
        </w:rPr>
        <w:t>15,159,172</w:t>
      </w:r>
      <w:r>
        <w:rPr/>
        <w:t>股。 </w:t>
      </w:r>
      <w:r>
        <w:rPr>
          <w:rFonts w:ascii="Times New Roman" w:hAnsi="Times New Roman" w:cs="Times New Roman" w:eastAsia="Times New Roman" w:hint="default"/>
        </w:rPr>
        <w:t>2</w:t>
      </w:r>
      <w:r>
        <w:rPr/>
        <w:t>、本次激励计划的有效期、限售期、解除限售安排 </w:t>
      </w:r>
      <w:r>
        <w:rPr>
          <w:spacing w:val="-2"/>
        </w:rPr>
        <w:t>本激励计划的有效期为自限制性股票授予之日起至激励对象获授的限制性股票全部解除限售或回购注销完毕之日止，最</w:t>
      </w:r>
    </w:p>
    <w:p>
      <w:pPr>
        <w:pStyle w:val="BodyText"/>
        <w:spacing w:line="300" w:lineRule="auto" w:before="31"/>
        <w:ind w:left="514" w:right="1032" w:hanging="360"/>
        <w:jc w:val="left"/>
      </w:pPr>
      <w:r>
        <w:rPr/>
        <w:t>长不超过</w:t>
      </w:r>
      <w:r>
        <w:rPr>
          <w:rFonts w:ascii="Times New Roman" w:hAnsi="Times New Roman" w:cs="Times New Roman" w:eastAsia="Times New Roman" w:hint="default"/>
        </w:rPr>
        <w:t>48</w:t>
      </w:r>
      <w:r>
        <w:rPr/>
        <w:t>个月。 激励对象获授的限制性股票根据解除限售期和解除限售时间安排适用不同的限售期，分别为</w:t>
      </w:r>
      <w:r>
        <w:rPr>
          <w:rFonts w:ascii="Times New Roman" w:hAnsi="Times New Roman" w:cs="Times New Roman" w:eastAsia="Times New Roman" w:hint="default"/>
        </w:rPr>
        <w:t>12</w:t>
      </w:r>
      <w:r>
        <w:rPr/>
        <w:t>个月、</w:t>
      </w:r>
      <w:r>
        <w:rPr>
          <w:rFonts w:ascii="Times New Roman" w:hAnsi="Times New Roman" w:cs="Times New Roman" w:eastAsia="Times New Roman" w:hint="default"/>
        </w:rPr>
        <w:t>24</w:t>
      </w:r>
      <w:r>
        <w:rPr/>
        <w:t>个月和</w:t>
      </w:r>
      <w:r>
        <w:rPr>
          <w:rFonts w:ascii="Times New Roman" w:hAnsi="Times New Roman" w:cs="Times New Roman" w:eastAsia="Times New Roman" w:hint="default"/>
        </w:rPr>
        <w:t>36</w:t>
      </w:r>
      <w:r>
        <w:rPr/>
        <w:t>个月，</w:t>
      </w:r>
    </w:p>
    <w:p>
      <w:pPr>
        <w:pStyle w:val="BodyText"/>
        <w:spacing w:line="316" w:lineRule="auto" w:before="13"/>
        <w:ind w:left="514" w:right="6612" w:hanging="360"/>
        <w:jc w:val="left"/>
      </w:pPr>
      <w:r>
        <w:rPr/>
        <w:t>均自激励对象获授限制性股票完成登记之日起计算。 授予的限制性股票的解除限售安排如下表所示：</w:t>
      </w:r>
    </w:p>
    <w:tbl>
      <w:tblPr>
        <w:tblW w:w="0" w:type="auto"/>
        <w:jc w:val="left"/>
        <w:tblInd w:w="146" w:type="dxa"/>
        <w:tblLayout w:type="fixed"/>
        <w:tblCellMar>
          <w:top w:w="0" w:type="dxa"/>
          <w:left w:w="0" w:type="dxa"/>
          <w:bottom w:w="0" w:type="dxa"/>
          <w:right w:w="0" w:type="dxa"/>
        </w:tblCellMar>
        <w:tblLook w:val="01E0"/>
      </w:tblPr>
      <w:tblGrid>
        <w:gridCol w:w="1937"/>
        <w:gridCol w:w="5830"/>
        <w:gridCol w:w="1468"/>
      </w:tblGrid>
      <w:tr>
        <w:trPr>
          <w:trHeight w:val="355" w:hRule="exact"/>
        </w:trPr>
        <w:tc>
          <w:tcPr>
            <w:tcW w:w="19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解除限售安排</w:t>
            </w:r>
          </w:p>
        </w:tc>
        <w:tc>
          <w:tcPr>
            <w:tcW w:w="58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解除限售期间</w:t>
            </w:r>
          </w:p>
        </w:tc>
        <w:tc>
          <w:tcPr>
            <w:tcW w:w="14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664" w:hRule="exact"/>
        </w:trPr>
        <w:tc>
          <w:tcPr>
            <w:tcW w:w="19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第一个解除限售期</w:t>
            </w:r>
          </w:p>
        </w:tc>
        <w:tc>
          <w:tcPr>
            <w:tcW w:w="5830"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3" w:right="1490"/>
              <w:jc w:val="left"/>
              <w:rPr>
                <w:rFonts w:ascii="宋体" w:hAnsi="宋体" w:cs="宋体" w:eastAsia="宋体" w:hint="default"/>
                <w:sz w:val="18"/>
                <w:szCs w:val="18"/>
              </w:rPr>
            </w:pPr>
            <w:r>
              <w:rPr>
                <w:rFonts w:ascii="宋体" w:hAnsi="宋体" w:cs="宋体" w:eastAsia="宋体" w:hint="default"/>
                <w:sz w:val="18"/>
                <w:szCs w:val="18"/>
              </w:rPr>
              <w:t>自授予完成日起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个月后的首个交易日起至首次授予完 成日起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4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40%</w:t>
            </w:r>
          </w:p>
        </w:tc>
      </w:tr>
      <w:tr>
        <w:trPr>
          <w:trHeight w:val="665" w:hRule="exact"/>
        </w:trPr>
        <w:tc>
          <w:tcPr>
            <w:tcW w:w="19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第二个解除限售期</w:t>
            </w:r>
          </w:p>
        </w:tc>
        <w:tc>
          <w:tcPr>
            <w:tcW w:w="5830"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3" w:right="1490"/>
              <w:jc w:val="left"/>
              <w:rPr>
                <w:rFonts w:ascii="宋体" w:hAnsi="宋体" w:cs="宋体" w:eastAsia="宋体" w:hint="default"/>
                <w:sz w:val="18"/>
                <w:szCs w:val="18"/>
              </w:rPr>
            </w:pPr>
            <w:r>
              <w:rPr>
                <w:rFonts w:ascii="宋体" w:hAnsi="宋体" w:cs="宋体" w:eastAsia="宋体" w:hint="default"/>
                <w:sz w:val="18"/>
                <w:szCs w:val="18"/>
              </w:rPr>
              <w:t>自授予完成日起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个月后的首个交易日起至首次授予完 成日起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4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30%</w:t>
            </w:r>
          </w:p>
        </w:tc>
      </w:tr>
      <w:tr>
        <w:trPr>
          <w:trHeight w:val="664" w:hRule="exact"/>
        </w:trPr>
        <w:tc>
          <w:tcPr>
            <w:tcW w:w="19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第三个解除限售期</w:t>
            </w:r>
          </w:p>
        </w:tc>
        <w:tc>
          <w:tcPr>
            <w:tcW w:w="5830"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3" w:right="1490"/>
              <w:jc w:val="left"/>
              <w:rPr>
                <w:rFonts w:ascii="宋体" w:hAnsi="宋体" w:cs="宋体" w:eastAsia="宋体" w:hint="default"/>
                <w:sz w:val="18"/>
                <w:szCs w:val="18"/>
              </w:rPr>
            </w:pPr>
            <w:r>
              <w:rPr>
                <w:rFonts w:ascii="宋体" w:hAnsi="宋体" w:cs="宋体" w:eastAsia="宋体" w:hint="default"/>
                <w:sz w:val="18"/>
                <w:szCs w:val="18"/>
              </w:rPr>
              <w:t>自授予完成日起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个月后的首个交易日起至首次授予完 成日起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tc>
        <w:tc>
          <w:tcPr>
            <w:tcW w:w="14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30%</w:t>
            </w:r>
          </w:p>
        </w:tc>
      </w:tr>
    </w:tbl>
    <w:p>
      <w:pPr>
        <w:pStyle w:val="BodyText"/>
        <w:spacing w:line="309" w:lineRule="auto" w:before="19"/>
        <w:ind w:left="514" w:right="4092"/>
        <w:jc w:val="left"/>
      </w:pPr>
      <w:r>
        <w:rPr>
          <w:rFonts w:ascii="Times New Roman" w:hAnsi="Times New Roman" w:cs="Times New Roman" w:eastAsia="Times New Roman" w:hint="default"/>
        </w:rPr>
        <w:t>3</w:t>
      </w:r>
      <w:r>
        <w:rPr/>
        <w:t>、限制性股票的解除限售条件 解除限售期内同时满足下列条件时，激励对象获授的限制性股票方可解除限售： </w:t>
      </w:r>
      <w:r>
        <w:rPr>
          <w:rFonts w:ascii="Times New Roman" w:hAnsi="Times New Roman" w:cs="Times New Roman" w:eastAsia="Times New Roman" w:hint="default"/>
        </w:rPr>
        <w:t>A</w:t>
      </w:r>
      <w:r>
        <w:rPr/>
        <w:t>、本公司未发生如下任一情形：</w:t>
      </w:r>
    </w:p>
    <w:p>
      <w:pPr>
        <w:pStyle w:val="BodyText"/>
        <w:spacing w:line="240" w:lineRule="auto" w:before="5"/>
        <w:ind w:left="514" w:right="1122"/>
        <w:jc w:val="left"/>
      </w:pPr>
      <w:r>
        <w:rPr/>
        <w:t>（</w:t>
      </w:r>
      <w:r>
        <w:rPr>
          <w:rFonts w:ascii="Times New Roman" w:hAnsi="Times New Roman" w:cs="Times New Roman" w:eastAsia="Times New Roman" w:hint="default"/>
        </w:rPr>
        <w:t>1</w:t>
      </w:r>
      <w:r>
        <w:rPr/>
        <w:t>）最近一个会计年度财务会计报告被注册会计师出具否定意见或者无法表示意见的审计报告；</w:t>
      </w:r>
    </w:p>
    <w:p>
      <w:pPr>
        <w:pStyle w:val="BodyText"/>
        <w:spacing w:line="240" w:lineRule="auto" w:before="63"/>
        <w:ind w:left="514" w:right="1122"/>
        <w:jc w:val="left"/>
      </w:pPr>
      <w:r>
        <w:rPr/>
        <w:t>（</w:t>
      </w:r>
      <w:r>
        <w:rPr>
          <w:rFonts w:ascii="Times New Roman" w:hAnsi="Times New Roman" w:cs="Times New Roman" w:eastAsia="Times New Roman" w:hint="default"/>
        </w:rPr>
        <w:t>2</w:t>
      </w:r>
      <w:r>
        <w:rPr/>
        <w:t>）最近一个会计年度财务报告内部控制被注册会计师出具否定意见或无法表示意见的审计报告；</w:t>
      </w:r>
    </w:p>
    <w:p>
      <w:pPr>
        <w:pStyle w:val="BodyText"/>
        <w:spacing w:line="240" w:lineRule="auto" w:before="63"/>
        <w:ind w:left="514" w:right="1122"/>
        <w:jc w:val="left"/>
      </w:pPr>
      <w:r>
        <w:rPr/>
        <w:t>（</w:t>
      </w:r>
      <w:r>
        <w:rPr>
          <w:rFonts w:ascii="Times New Roman" w:hAnsi="Times New Roman" w:cs="Times New Roman" w:eastAsia="Times New Roman" w:hint="default"/>
        </w:rPr>
        <w:t>3</w:t>
      </w:r>
      <w:r>
        <w:rPr/>
        <w:t>）上市后最近 </w:t>
      </w:r>
      <w:r>
        <w:rPr>
          <w:rFonts w:ascii="Times New Roman" w:hAnsi="Times New Roman" w:cs="Times New Roman" w:eastAsia="Times New Roman" w:hint="default"/>
        </w:rPr>
        <w:t>36</w:t>
      </w:r>
      <w:r>
        <w:rPr>
          <w:rFonts w:ascii="Times New Roman" w:hAnsi="Times New Roman" w:cs="Times New Roman" w:eastAsia="Times New Roman" w:hint="default"/>
          <w:spacing w:val="8"/>
        </w:rPr>
        <w:t> </w:t>
      </w:r>
      <w:r>
        <w:rPr/>
        <w:t>个月内出现过未按法律法规、《公司章程》、公开承诺进行利润分配的情形；</w:t>
      </w:r>
    </w:p>
    <w:p>
      <w:pPr>
        <w:pStyle w:val="BodyText"/>
        <w:spacing w:line="240" w:lineRule="auto" w:before="63"/>
        <w:ind w:left="514" w:right="1122"/>
        <w:jc w:val="left"/>
      </w:pPr>
      <w:r>
        <w:rPr/>
        <w:t>（</w:t>
      </w:r>
      <w:r>
        <w:rPr>
          <w:rFonts w:ascii="Times New Roman" w:hAnsi="Times New Roman" w:cs="Times New Roman" w:eastAsia="Times New Roman" w:hint="default"/>
        </w:rPr>
        <w:t>4</w:t>
      </w:r>
      <w:r>
        <w:rPr/>
        <w:t>）法律法规规定不得实行股权激励的；</w:t>
      </w:r>
    </w:p>
    <w:p>
      <w:pPr>
        <w:pStyle w:val="BodyText"/>
        <w:spacing w:line="300" w:lineRule="auto" w:before="63"/>
        <w:ind w:left="514" w:right="1122"/>
        <w:jc w:val="left"/>
      </w:pPr>
      <w:r>
        <w:rPr/>
        <w:t>（</w:t>
      </w:r>
      <w:r>
        <w:rPr>
          <w:rFonts w:ascii="Times New Roman" w:hAnsi="Times New Roman" w:cs="Times New Roman" w:eastAsia="Times New Roman" w:hint="default"/>
        </w:rPr>
        <w:t>5</w:t>
      </w:r>
      <w:r>
        <w:rPr/>
        <w:t>）中国证监会认定的其他情形。 </w:t>
      </w:r>
      <w:r>
        <w:rPr>
          <w:spacing w:val="-2"/>
        </w:rPr>
        <w:t>公司发生上述规定情形之一的，激励对象根据本计划已获授但尚未解除限售的限制性股票应当由公司按授予价格与同期</w:t>
      </w:r>
    </w:p>
    <w:p>
      <w:pPr>
        <w:pStyle w:val="BodyText"/>
        <w:spacing w:line="316" w:lineRule="auto" w:before="31"/>
        <w:ind w:right="1122"/>
        <w:jc w:val="left"/>
      </w:pPr>
      <w:r>
        <w:rPr>
          <w:spacing w:val="-2"/>
        </w:rPr>
        <w:t>银行存款利息之和进行回购注销。若激励对象对上述情形负有个人责任的，则其获授的尚未解除限售的限制性股票应当由公</w:t>
      </w:r>
      <w:r>
        <w:rPr>
          <w:spacing w:val="-64"/>
        </w:rPr>
        <w:t> </w:t>
      </w:r>
      <w:r>
        <w:rPr>
          <w:spacing w:val="-64"/>
        </w:rPr>
      </w:r>
      <w:r>
        <w:rPr/>
        <w:t>司按授予价格回购注销。</w:t>
      </w:r>
    </w:p>
    <w:p>
      <w:pPr>
        <w:pStyle w:val="BodyText"/>
        <w:spacing w:line="240" w:lineRule="auto" w:before="19"/>
        <w:ind w:left="514" w:right="1122"/>
        <w:jc w:val="left"/>
      </w:pPr>
      <w:r>
        <w:rPr>
          <w:rFonts w:ascii="Times New Roman" w:hAnsi="Times New Roman" w:cs="Times New Roman" w:eastAsia="Times New Roman" w:hint="default"/>
        </w:rPr>
        <w:t>B</w:t>
      </w:r>
      <w:r>
        <w:rPr/>
        <w:t>、激励对象未发生如下任一情形：</w:t>
      </w:r>
    </w:p>
    <w:p>
      <w:pPr>
        <w:pStyle w:val="BodyText"/>
        <w:spacing w:line="240" w:lineRule="auto" w:before="63"/>
        <w:ind w:left="514" w:right="1122"/>
        <w:jc w:val="left"/>
      </w:pPr>
      <w:r>
        <w:rPr/>
        <w:t>（</w:t>
      </w:r>
      <w:r>
        <w:rPr>
          <w:rFonts w:ascii="Times New Roman" w:hAnsi="Times New Roman" w:cs="Times New Roman" w:eastAsia="Times New Roman" w:hint="default"/>
        </w:rPr>
        <w:t>1</w:t>
      </w:r>
      <w:r>
        <w:rPr/>
        <w:t>）最近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个月内被证券交易所认定为不适当人选；</w:t>
      </w:r>
    </w:p>
    <w:p>
      <w:pPr>
        <w:pStyle w:val="BodyText"/>
        <w:spacing w:line="240" w:lineRule="auto" w:before="63"/>
        <w:ind w:left="514" w:right="1122"/>
        <w:jc w:val="left"/>
      </w:pPr>
      <w:r>
        <w:rPr/>
        <w:t>（</w:t>
      </w:r>
      <w:r>
        <w:rPr>
          <w:rFonts w:ascii="Times New Roman" w:hAnsi="Times New Roman" w:cs="Times New Roman" w:eastAsia="Times New Roman" w:hint="default"/>
        </w:rPr>
        <w:t>2</w:t>
      </w:r>
      <w:r>
        <w:rPr/>
        <w:t>）最近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个月内被中国证监会及其派出机构认定为不适当人选；</w:t>
      </w:r>
    </w:p>
    <w:p>
      <w:pPr>
        <w:pStyle w:val="BodyText"/>
        <w:spacing w:line="240" w:lineRule="auto" w:before="63"/>
        <w:ind w:left="514" w:right="1122"/>
        <w:jc w:val="left"/>
      </w:pPr>
      <w:r>
        <w:rPr/>
        <w:t>（</w:t>
      </w:r>
      <w:r>
        <w:rPr>
          <w:rFonts w:ascii="Times New Roman" w:hAnsi="Times New Roman" w:cs="Times New Roman" w:eastAsia="Times New Roman" w:hint="default"/>
        </w:rPr>
        <w:t>3</w:t>
      </w:r>
      <w:r>
        <w:rPr/>
        <w:t>）最近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个月内因重大违法违规行为被中国证监会及其派出机构行政处罚或者采取市场禁入措施；</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4" w:right="1122"/>
        <w:jc w:val="left"/>
      </w:pPr>
      <w:r>
        <w:rPr/>
        <w:t>（</w:t>
      </w:r>
      <w:r>
        <w:rPr>
          <w:rFonts w:ascii="Times New Roman" w:hAnsi="Times New Roman" w:cs="Times New Roman" w:eastAsia="Times New Roman" w:hint="default"/>
        </w:rPr>
        <w:t>4</w:t>
      </w:r>
      <w:r>
        <w:rPr/>
        <w:t>）具有《公司法》规定的不得担任公司董事、高级管理人员的情形；</w:t>
      </w:r>
    </w:p>
    <w:p>
      <w:pPr>
        <w:pStyle w:val="BodyText"/>
        <w:spacing w:line="240" w:lineRule="auto" w:before="63"/>
        <w:ind w:left="514" w:right="1122"/>
        <w:jc w:val="left"/>
      </w:pPr>
      <w:r>
        <w:rPr/>
        <w:t>（</w:t>
      </w:r>
      <w:r>
        <w:rPr>
          <w:rFonts w:ascii="Times New Roman" w:hAnsi="Times New Roman" w:cs="Times New Roman" w:eastAsia="Times New Roman" w:hint="default"/>
        </w:rPr>
        <w:t>5</w:t>
      </w:r>
      <w:r>
        <w:rPr/>
        <w:t>）法律法规规定不得参与上市公司股权激励的；</w:t>
      </w:r>
    </w:p>
    <w:p>
      <w:pPr>
        <w:pStyle w:val="BodyText"/>
        <w:spacing w:line="300" w:lineRule="auto" w:before="63"/>
        <w:ind w:left="514" w:right="1122"/>
        <w:jc w:val="left"/>
      </w:pPr>
      <w:r>
        <w:rPr/>
        <w:t>（</w:t>
      </w:r>
      <w:r>
        <w:rPr>
          <w:rFonts w:ascii="Times New Roman" w:hAnsi="Times New Roman" w:cs="Times New Roman" w:eastAsia="Times New Roman" w:hint="default"/>
        </w:rPr>
        <w:t>6</w:t>
      </w:r>
      <w:r>
        <w:rPr/>
        <w:t>）中国证监会认定的其他情形。 </w:t>
      </w:r>
      <w:r>
        <w:rPr>
          <w:spacing w:val="-2"/>
        </w:rPr>
        <w:t>某一激励对象出现上述规定情形之一的，公司将终止其参与本激励计划的权利，该激励对象根据本激励计划已获授但尚</w:t>
      </w:r>
    </w:p>
    <w:p>
      <w:pPr>
        <w:pStyle w:val="BodyText"/>
        <w:spacing w:line="240" w:lineRule="auto" w:before="32"/>
        <w:ind w:left="135" w:right="6071"/>
        <w:jc w:val="center"/>
      </w:pPr>
      <w:r>
        <w:rPr/>
        <w:t>未解除限售的限制性股票应当由公司按授予价格回购注销。</w:t>
      </w:r>
    </w:p>
    <w:p>
      <w:pPr>
        <w:pStyle w:val="BodyText"/>
        <w:spacing w:line="240" w:lineRule="auto" w:before="76"/>
        <w:ind w:left="514" w:right="1122"/>
        <w:jc w:val="left"/>
      </w:pPr>
      <w:r>
        <w:rPr>
          <w:rFonts w:ascii="Times New Roman" w:hAnsi="Times New Roman" w:cs="Times New Roman" w:eastAsia="Times New Roman" w:hint="default"/>
        </w:rPr>
        <w:t>C</w:t>
      </w:r>
      <w:r>
        <w:rPr/>
        <w:t>、公司层面的业绩考核要求：</w:t>
      </w:r>
    </w:p>
    <w:p>
      <w:pPr>
        <w:pStyle w:val="BodyText"/>
        <w:spacing w:line="300" w:lineRule="auto" w:before="63"/>
        <w:ind w:right="1122" w:firstLine="360"/>
        <w:jc w:val="left"/>
      </w:pPr>
      <w:r>
        <w:rPr/>
        <w:t>本激励计划在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年会计年度中，分年度对公司的业绩指标进行考核，以达到业绩考核目标作为激励对象当年 度的解除限售条件之一。本激励计划业绩考核目标如下表所示：</w:t>
      </w:r>
    </w:p>
    <w:tbl>
      <w:tblPr>
        <w:tblW w:w="0" w:type="auto"/>
        <w:jc w:val="left"/>
        <w:tblInd w:w="146" w:type="dxa"/>
        <w:tblLayout w:type="fixed"/>
        <w:tblCellMar>
          <w:top w:w="0" w:type="dxa"/>
          <w:left w:w="0" w:type="dxa"/>
          <w:bottom w:w="0" w:type="dxa"/>
          <w:right w:w="0" w:type="dxa"/>
        </w:tblCellMar>
        <w:tblLook w:val="01E0"/>
      </w:tblPr>
      <w:tblGrid>
        <w:gridCol w:w="2303"/>
        <w:gridCol w:w="6932"/>
      </w:tblGrid>
      <w:tr>
        <w:trPr>
          <w:trHeight w:val="355" w:hRule="exact"/>
        </w:trPr>
        <w:tc>
          <w:tcPr>
            <w:tcW w:w="23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解除限售期</w:t>
            </w:r>
          </w:p>
        </w:tc>
        <w:tc>
          <w:tcPr>
            <w:tcW w:w="69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业绩考核目标</w:t>
            </w:r>
          </w:p>
        </w:tc>
      </w:tr>
      <w:tr>
        <w:trPr>
          <w:trHeight w:val="352" w:hRule="exact"/>
        </w:trPr>
        <w:tc>
          <w:tcPr>
            <w:tcW w:w="23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第一个解除限售期</w:t>
            </w:r>
          </w:p>
        </w:tc>
        <w:tc>
          <w:tcPr>
            <w:tcW w:w="69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年净利润为基数，</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年净利润增长率不低于</w:t>
            </w:r>
            <w:r>
              <w:rPr>
                <w:rFonts w:ascii="Times New Roman" w:hAnsi="Times New Roman" w:cs="Times New Roman" w:eastAsia="Times New Roman" w:hint="default"/>
                <w:sz w:val="18"/>
                <w:szCs w:val="18"/>
              </w:rPr>
              <w:t>5%</w:t>
            </w:r>
          </w:p>
        </w:tc>
      </w:tr>
      <w:tr>
        <w:trPr>
          <w:trHeight w:val="353" w:hRule="exact"/>
        </w:trPr>
        <w:tc>
          <w:tcPr>
            <w:tcW w:w="23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第二个解除限售期</w:t>
            </w:r>
          </w:p>
        </w:tc>
        <w:tc>
          <w:tcPr>
            <w:tcW w:w="69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年净利润为基数，</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年净利润增长率不低于</w:t>
            </w:r>
            <w:r>
              <w:rPr>
                <w:rFonts w:ascii="Times New Roman" w:hAnsi="Times New Roman" w:cs="Times New Roman" w:eastAsia="Times New Roman" w:hint="default"/>
                <w:sz w:val="18"/>
                <w:szCs w:val="18"/>
              </w:rPr>
              <w:t>10%</w:t>
            </w:r>
          </w:p>
        </w:tc>
      </w:tr>
      <w:tr>
        <w:trPr>
          <w:trHeight w:val="352" w:hRule="exact"/>
        </w:trPr>
        <w:tc>
          <w:tcPr>
            <w:tcW w:w="23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第三个解除限售期</w:t>
            </w:r>
          </w:p>
        </w:tc>
        <w:tc>
          <w:tcPr>
            <w:tcW w:w="69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年净利润为基数，</w:t>
            </w:r>
            <w:r>
              <w:rPr>
                <w:rFonts w:ascii="Times New Roman" w:hAnsi="Times New Roman" w:cs="Times New Roman" w:eastAsia="Times New Roman" w:hint="default"/>
                <w:sz w:val="18"/>
                <w:szCs w:val="18"/>
              </w:rPr>
              <w:t>2020</w:t>
            </w:r>
            <w:r>
              <w:rPr>
                <w:rFonts w:ascii="宋体" w:hAnsi="宋体" w:cs="宋体" w:eastAsia="宋体" w:hint="default"/>
                <w:sz w:val="18"/>
                <w:szCs w:val="18"/>
              </w:rPr>
              <w:t>年净利润增长率不低于</w:t>
            </w:r>
            <w:r>
              <w:rPr>
                <w:rFonts w:ascii="Times New Roman" w:hAnsi="Times New Roman" w:cs="Times New Roman" w:eastAsia="Times New Roman" w:hint="default"/>
                <w:sz w:val="18"/>
                <w:szCs w:val="18"/>
              </w:rPr>
              <w:t>15%</w:t>
            </w:r>
          </w:p>
        </w:tc>
      </w:tr>
    </w:tbl>
    <w:p>
      <w:pPr>
        <w:pStyle w:val="BodyText"/>
        <w:spacing w:line="300" w:lineRule="auto" w:before="31"/>
        <w:ind w:right="1133" w:firstLine="360"/>
        <w:jc w:val="both"/>
      </w:pPr>
      <w:r>
        <w:rPr/>
        <w:t>注：以上</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是指归属于上市公司股东的扣除非经常性损益后的净利润，</w:t>
      </w:r>
      <w:r>
        <w:rPr>
          <w:spacing w:val="16"/>
        </w:rPr>
        <w:t> </w:t>
      </w:r>
      <w:r>
        <w:rPr/>
        <w:t>并剔除本激励计划及其它激励计划股份</w:t>
      </w:r>
      <w:r>
        <w:rPr/>
        <w:t> 支付费用影响的数值作为计算依据。</w:t>
      </w:r>
    </w:p>
    <w:p>
      <w:pPr>
        <w:pStyle w:val="BodyText"/>
        <w:spacing w:line="316" w:lineRule="auto" w:before="31"/>
        <w:ind w:right="1050" w:firstLine="360"/>
        <w:jc w:val="both"/>
      </w:pPr>
      <w:r>
        <w:rPr>
          <w:spacing w:val="-2"/>
        </w:rPr>
        <w:t>解除限售期内，公司为满足解除限售条件的激励对象办理解除限售事宜。若各解除限售期内，公司当期业绩水平未达到</w:t>
      </w:r>
      <w:r>
        <w:rPr/>
        <w:t> 业绩考核目标条件的，所有激励对象对应考核当年可解除限售的限制性股票均不得解除限售，由公司按授予价格回购注销。</w:t>
      </w:r>
    </w:p>
    <w:p>
      <w:pPr>
        <w:pStyle w:val="BodyText"/>
        <w:spacing w:line="240" w:lineRule="auto" w:before="19"/>
        <w:ind w:left="514" w:right="1122"/>
        <w:jc w:val="left"/>
      </w:pPr>
      <w:r>
        <w:rPr>
          <w:rFonts w:ascii="Times New Roman" w:hAnsi="Times New Roman" w:cs="Times New Roman" w:eastAsia="Times New Roman" w:hint="default"/>
        </w:rPr>
        <w:t>D</w:t>
      </w:r>
      <w:r>
        <w:rPr/>
        <w:t>、激励对象个人层面的绩效考核要求</w:t>
      </w:r>
    </w:p>
    <w:p>
      <w:pPr>
        <w:pStyle w:val="BodyText"/>
        <w:spacing w:line="309" w:lineRule="auto" w:before="63"/>
        <w:ind w:right="1132" w:firstLine="360"/>
        <w:jc w:val="both"/>
      </w:pPr>
      <w:r>
        <w:rPr/>
        <w:t>激励对象个人层面的考核根据公司绩效考核相关制度实施。</w:t>
      </w:r>
      <w:r>
        <w:rPr>
          <w:spacing w:val="3"/>
        </w:rPr>
        <w:t> </w:t>
      </w:r>
      <w:r>
        <w:rPr/>
        <w:t>根据年度绩效考核结果，若激励对象上一年度个人绩效考</w:t>
      </w:r>
      <w:r>
        <w:rPr/>
        <w:t> </w:t>
      </w:r>
      <w:r>
        <w:rPr>
          <w:spacing w:val="-2"/>
        </w:rPr>
        <w:t>核等级为</w:t>
      </w:r>
      <w:r>
        <w:rPr>
          <w:rFonts w:ascii="Times New Roman" w:hAnsi="Times New Roman" w:cs="Times New Roman" w:eastAsia="Times New Roman" w:hint="default"/>
          <w:spacing w:val="-2"/>
        </w:rPr>
        <w:t>1/2+/2</w:t>
      </w:r>
      <w:r>
        <w:rPr>
          <w:spacing w:val="-2"/>
        </w:rPr>
        <w:t>等级，则上一年度激励对象个人绩效考核结果为合格；若激励对象上一年度个人绩效考核等级为</w:t>
      </w:r>
      <w:r>
        <w:rPr>
          <w:rFonts w:ascii="Times New Roman" w:hAnsi="Times New Roman" w:cs="Times New Roman" w:eastAsia="Times New Roman" w:hint="default"/>
          <w:spacing w:val="-2"/>
        </w:rPr>
        <w:t>3/4</w:t>
      </w:r>
      <w:r>
        <w:rPr>
          <w:spacing w:val="-2"/>
        </w:rPr>
        <w:t>等级，则</w:t>
      </w:r>
      <w:r>
        <w:rPr>
          <w:spacing w:val="-39"/>
        </w:rPr>
        <w:t> </w:t>
      </w:r>
      <w:r>
        <w:rPr>
          <w:spacing w:val="-39"/>
        </w:rPr>
      </w:r>
      <w:r>
        <w:rPr/>
        <w:t>上一年度激励对象个人绩效考核结果为不合格。</w:t>
      </w:r>
    </w:p>
    <w:p>
      <w:pPr>
        <w:pStyle w:val="BodyText"/>
        <w:spacing w:line="319" w:lineRule="auto" w:before="24"/>
        <w:ind w:right="1131" w:firstLine="360"/>
        <w:jc w:val="both"/>
      </w:pPr>
      <w:r>
        <w:rPr>
          <w:spacing w:val="-2"/>
        </w:rPr>
        <w:t>在公司业绩目标达成的前提下，若激励对象上一年度个人绩效考核结果达到合格，则其当年度所获授的限制性股票仍按</w:t>
      </w:r>
      <w:r>
        <w:rPr/>
        <w:t> </w:t>
      </w:r>
      <w:r>
        <w:rPr>
          <w:spacing w:val="-2"/>
        </w:rPr>
        <w:t>照本激励计划规定的程序进行解除限售；若激励对象在上一年度绩效考核结果不合格，则其当年度所对应的已获授但尚未解</w:t>
      </w:r>
      <w:r>
        <w:rPr>
          <w:spacing w:val="-64"/>
        </w:rPr>
        <w:t> </w:t>
      </w:r>
      <w:r>
        <w:rPr>
          <w:spacing w:val="-64"/>
        </w:rPr>
      </w:r>
      <w:r>
        <w:rPr/>
        <w:t>除限售的限制性股票不可解除限售，由公司按授予价格回购注销。</w:t>
      </w:r>
    </w:p>
    <w:p>
      <w:pPr>
        <w:spacing w:line="240" w:lineRule="auto" w:before="5"/>
        <w:rPr>
          <w:rFonts w:ascii="宋体" w:hAnsi="宋体" w:cs="宋体" w:eastAsia="宋体" w:hint="default"/>
          <w:sz w:val="22"/>
          <w:szCs w:val="22"/>
        </w:rPr>
      </w:pPr>
    </w:p>
    <w:p>
      <w:pPr>
        <w:pStyle w:val="Heading3"/>
        <w:spacing w:line="240" w:lineRule="auto"/>
        <w:ind w:right="1122"/>
        <w:jc w:val="left"/>
        <w:rPr>
          <w:b w:val="0"/>
          <w:bCs w:val="0"/>
        </w:rPr>
      </w:pPr>
      <w:bookmarkStart w:name="2、以权益结算的股份支付情况" w:id="470"/>
      <w:bookmarkEnd w:id="47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22"/>
        <w:jc w:val="left"/>
        <w:rPr>
          <w:b w:val="0"/>
          <w:bCs w:val="0"/>
        </w:rPr>
      </w:pPr>
      <w:bookmarkStart w:name="3、以现金结算的股份支付情况" w:id="471"/>
      <w:bookmarkEnd w:id="47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154" w:right="79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72"/>
      <w:bookmarkEnd w:id="472"/>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line="487" w:lineRule="auto" w:before="123"/>
        <w:ind w:left="154" w:right="7872" w:firstLine="0"/>
        <w:jc w:val="left"/>
        <w:rPr>
          <w:rFonts w:ascii="宋体" w:hAnsi="宋体" w:cs="宋体" w:eastAsia="宋体" w:hint="default"/>
          <w:sz w:val="21"/>
          <w:szCs w:val="21"/>
        </w:rPr>
      </w:pPr>
      <w:bookmarkStart w:name="5、其他" w:id="473"/>
      <w:bookmarkEnd w:id="47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74"/>
      <w:bookmarkEnd w:id="47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75"/>
      <w:bookmarkEnd w:id="475"/>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1122"/>
        <w:jc w:val="left"/>
      </w:pPr>
      <w:r>
        <w:rPr/>
        <w:t>资产负债表日存在的重要承诺</w:t>
      </w:r>
    </w:p>
    <w:p>
      <w:pPr>
        <w:pStyle w:val="BodyText"/>
        <w:spacing w:line="240" w:lineRule="auto" w:before="115"/>
        <w:ind w:left="674" w:right="9042"/>
        <w:jc w:val="center"/>
      </w:pPr>
      <w:r>
        <w:rPr/>
        <w:t>（</w:t>
      </w:r>
      <w:r>
        <w:rPr>
          <w:rFonts w:ascii="Times New Roman" w:hAnsi="Times New Roman" w:cs="Times New Roman" w:eastAsia="Times New Roman" w:hint="default"/>
        </w:rPr>
        <w:t>1</w:t>
      </w:r>
      <w:r>
        <w:rPr/>
        <w:t>）股份回购</w:t>
      </w:r>
    </w:p>
    <w:p>
      <w:pPr>
        <w:spacing w:after="0" w:line="240" w:lineRule="auto"/>
        <w:jc w:val="cente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032" w:firstLine="360"/>
        <w:jc w:val="left"/>
      </w:pPr>
      <w:r>
        <w:rPr/>
        <w:t>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7</w:t>
      </w:r>
      <w:r>
        <w:rPr/>
        <w:t>日第三届董事会第四十七次临时会议并</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2018</w:t>
      </w:r>
      <w:r>
        <w:rPr/>
        <w:t>年第十二次临时股东大会决议通过，关于回 </w:t>
      </w:r>
      <w:r>
        <w:rPr>
          <w:spacing w:val="-2"/>
        </w:rPr>
        <w:t>购公司股份的预案和关于提请股东大会授权董事会办理本次股份回购相关事宜的议案，公司拟回购部分股份，用于后期实施</w:t>
      </w:r>
      <w:r>
        <w:rPr>
          <w:spacing w:val="-64"/>
        </w:rPr>
        <w:t> </w:t>
      </w:r>
      <w:r>
        <w:rPr>
          <w:spacing w:val="-64"/>
        </w:rPr>
      </w:r>
      <w:r>
        <w:rPr/>
        <w:t>股权激励计划或员工持股计划或依法注销减少注册资本等，采用集中竞价或大宗交易等方式回购部分已发行社会公众股份， 公司本次回购</w:t>
      </w:r>
      <w:r>
        <w:rPr>
          <w:rFonts w:ascii="Times New Roman" w:hAnsi="Times New Roman" w:cs="Times New Roman" w:eastAsia="Times New Roman" w:hint="default"/>
        </w:rPr>
        <w:t>A</w:t>
      </w:r>
      <w:r>
        <w:rPr/>
        <w:t>股股份的价格为不超过人民币</w:t>
      </w:r>
      <w:r>
        <w:rPr>
          <w:rFonts w:ascii="Times New Roman" w:hAnsi="Times New Roman" w:cs="Times New Roman" w:eastAsia="Times New Roman" w:hint="default"/>
        </w:rPr>
        <w:t>3.00</w:t>
      </w:r>
      <w:r>
        <w:rPr/>
        <w:t>元</w:t>
      </w:r>
      <w:r>
        <w:rPr>
          <w:rFonts w:ascii="Times New Roman" w:hAnsi="Times New Roman" w:cs="Times New Roman" w:eastAsia="Times New Roman" w:hint="default"/>
        </w:rPr>
        <w:t>/</w:t>
      </w:r>
      <w:r>
        <w:rPr/>
        <w:t>股（含</w:t>
      </w:r>
      <w:r>
        <w:rPr>
          <w:rFonts w:ascii="Times New Roman" w:hAnsi="Times New Roman" w:cs="Times New Roman" w:eastAsia="Times New Roman" w:hint="default"/>
        </w:rPr>
        <w:t>3.00</w:t>
      </w:r>
      <w:r>
        <w:rPr/>
        <w:t>元</w:t>
      </w:r>
      <w:r>
        <w:rPr>
          <w:rFonts w:ascii="Times New Roman" w:hAnsi="Times New Roman" w:cs="Times New Roman" w:eastAsia="Times New Roman" w:hint="default"/>
        </w:rPr>
        <w:t>/</w:t>
      </w:r>
      <w:r>
        <w:rPr/>
        <w:t>股）。实际回购股份价格由股东大会授权公司董事会在回 购启动后视公司股票具体情况并结合公司财务状况和经营状况确定。用于回购的资金总额不少于人民币</w:t>
      </w:r>
      <w:r>
        <w:rPr>
          <w:rFonts w:ascii="Times New Roman" w:hAnsi="Times New Roman" w:cs="Times New Roman" w:eastAsia="Times New Roman" w:hint="default"/>
        </w:rPr>
        <w:t>15,000</w:t>
      </w:r>
      <w:r>
        <w:rPr/>
        <w:t>万元，资金来 源为自有资金。本次回购股份的期限为股东大会审议通过本回购股份方案之日起</w:t>
      </w:r>
      <w:r>
        <w:rPr>
          <w:rFonts w:ascii="Times New Roman" w:hAnsi="Times New Roman" w:cs="Times New Roman" w:eastAsia="Times New Roman" w:hint="default"/>
        </w:rPr>
        <w:t>12</w:t>
      </w:r>
      <w:r>
        <w:rPr/>
        <w:t>个月内。</w:t>
      </w:r>
    </w:p>
    <w:p>
      <w:pPr>
        <w:pStyle w:val="BodyText"/>
        <w:spacing w:line="300" w:lineRule="auto" w:before="7"/>
        <w:ind w:left="514" w:right="1122"/>
        <w:jc w:val="left"/>
      </w:pPr>
      <w:r>
        <w:rPr/>
        <w:t>（</w:t>
      </w:r>
      <w:r>
        <w:rPr>
          <w:rFonts w:ascii="Times New Roman" w:hAnsi="Times New Roman" w:cs="Times New Roman" w:eastAsia="Times New Roman" w:hint="default"/>
        </w:rPr>
        <w:t>2</w:t>
      </w:r>
      <w:r>
        <w:rPr/>
        <w:t>）对外投资 </w:t>
      </w:r>
      <w:r>
        <w:rPr>
          <w:spacing w:val="-2"/>
        </w:rPr>
        <w:t>为提高产融协同，拓宽融资渠道，增强竞争优势，公司拟以自有或自筹资金向江苏爱康实业集团有限公司收购其持有的</w:t>
      </w:r>
    </w:p>
    <w:p>
      <w:pPr>
        <w:pStyle w:val="BodyText"/>
        <w:spacing w:line="300" w:lineRule="auto" w:before="31"/>
        <w:ind w:right="1122"/>
        <w:jc w:val="left"/>
      </w:pPr>
      <w:r>
        <w:rPr/>
        <w:t>上海爱康富罗纳融资租赁有限公司的</w:t>
      </w:r>
      <w:r>
        <w:rPr>
          <w:rFonts w:ascii="Times New Roman" w:hAnsi="Times New Roman" w:cs="Times New Roman" w:eastAsia="Times New Roman" w:hint="default"/>
        </w:rPr>
        <w:t>26.00%</w:t>
      </w:r>
      <w:r>
        <w:rPr/>
        <w:t>的股权。本次交易以上海爱康富罗纳融资租赁有限公司截至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日的</w:t>
      </w:r>
      <w:r>
        <w:rPr>
          <w:spacing w:val="-15"/>
        </w:rPr>
        <w:t> </w:t>
      </w:r>
      <w:r>
        <w:rPr/>
        <w:t>净资产为作价依据，即交易标的</w:t>
      </w:r>
      <w:r>
        <w:rPr>
          <w:rFonts w:ascii="Times New Roman" w:hAnsi="Times New Roman" w:cs="Times New Roman" w:eastAsia="Times New Roman" w:hint="default"/>
        </w:rPr>
        <w:t>100%</w:t>
      </w:r>
      <w:r>
        <w:rPr/>
        <w:t>股权作价</w:t>
      </w:r>
      <w:r>
        <w:rPr>
          <w:rFonts w:ascii="Times New Roman" w:hAnsi="Times New Roman" w:cs="Times New Roman" w:eastAsia="Times New Roman" w:hint="default"/>
        </w:rPr>
        <w:t>100,612.39</w:t>
      </w:r>
      <w:r>
        <w:rPr/>
        <w:t>万元，本次转让的</w:t>
      </w:r>
      <w:r>
        <w:rPr>
          <w:rFonts w:ascii="Times New Roman" w:hAnsi="Times New Roman" w:cs="Times New Roman" w:eastAsia="Times New Roman" w:hint="default"/>
        </w:rPr>
        <w:t>26.00%</w:t>
      </w:r>
      <w:r>
        <w:rPr/>
        <w:t>股权交易价格为</w:t>
      </w:r>
      <w:r>
        <w:rPr>
          <w:rFonts w:ascii="Times New Roman" w:hAnsi="Times New Roman" w:cs="Times New Roman" w:eastAsia="Times New Roman" w:hint="default"/>
        </w:rPr>
        <w:t>26,159.22</w:t>
      </w:r>
      <w:r>
        <w:rPr/>
        <w:t>万元。</w:t>
      </w:r>
    </w:p>
    <w:p>
      <w:pPr>
        <w:spacing w:line="240" w:lineRule="auto" w:before="1"/>
        <w:rPr>
          <w:rFonts w:ascii="宋体" w:hAnsi="宋体" w:cs="宋体" w:eastAsia="宋体" w:hint="default"/>
          <w:sz w:val="22"/>
          <w:szCs w:val="22"/>
        </w:rPr>
      </w:pPr>
    </w:p>
    <w:p>
      <w:pPr>
        <w:pStyle w:val="Heading3"/>
        <w:spacing w:line="240" w:lineRule="auto"/>
        <w:ind w:right="1122"/>
        <w:jc w:val="left"/>
        <w:rPr>
          <w:b w:val="0"/>
          <w:bCs w:val="0"/>
        </w:rPr>
      </w:pPr>
      <w:bookmarkStart w:name="2、或有事项" w:id="476"/>
      <w:bookmarkEnd w:id="47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资产负债表日存在的重要或有事项" w:id="477"/>
      <w:bookmarkEnd w:id="47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6522"/>
        <w:jc w:val="left"/>
      </w:pPr>
      <w:r>
        <w:rPr/>
        <w:t>（</w:t>
      </w:r>
      <w:r>
        <w:rPr>
          <w:rFonts w:ascii="Times New Roman" w:hAnsi="Times New Roman" w:cs="Times New Roman" w:eastAsia="Times New Roman" w:hint="default"/>
        </w:rPr>
        <w:t>1</w:t>
      </w:r>
      <w:r>
        <w:rPr/>
        <w:t>）未决诉讼仲裁形成的或有负债及其财务影响 本公司无未决诉讼仲裁形成的或有负债。</w:t>
      </w:r>
    </w:p>
    <w:p>
      <w:pPr>
        <w:pStyle w:val="BodyText"/>
        <w:spacing w:line="240" w:lineRule="auto" w:before="31"/>
        <w:ind w:left="514" w:right="1122"/>
        <w:jc w:val="left"/>
      </w:pPr>
      <w:r>
        <w:rPr/>
        <w:t>（</w:t>
      </w:r>
      <w:r>
        <w:rPr>
          <w:rFonts w:ascii="Times New Roman" w:hAnsi="Times New Roman" w:cs="Times New Roman" w:eastAsia="Times New Roman" w:hint="default"/>
        </w:rPr>
        <w:t>2</w:t>
      </w:r>
      <w:r>
        <w:rPr/>
        <w:t>）为其他单位提供债务担保形成的或有负债及其财务影响</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775"/>
        <w:gridCol w:w="1076"/>
        <w:gridCol w:w="1230"/>
        <w:gridCol w:w="1230"/>
        <w:gridCol w:w="1075"/>
        <w:gridCol w:w="1121"/>
      </w:tblGrid>
      <w:tr>
        <w:trPr>
          <w:trHeight w:val="667" w:hRule="exact"/>
        </w:trPr>
        <w:tc>
          <w:tcPr>
            <w:tcW w:w="37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0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70" w:right="0"/>
              <w:jc w:val="left"/>
              <w:rPr>
                <w:rFonts w:ascii="宋体" w:hAnsi="宋体" w:cs="宋体" w:eastAsia="宋体" w:hint="default"/>
                <w:sz w:val="18"/>
                <w:szCs w:val="18"/>
              </w:rPr>
            </w:pPr>
            <w:r>
              <w:rPr>
                <w:rFonts w:ascii="宋体" w:hAnsi="宋体" w:cs="宋体" w:eastAsia="宋体" w:hint="default"/>
                <w:sz w:val="18"/>
                <w:szCs w:val="18"/>
              </w:rPr>
              <w:t>担保金额</w:t>
            </w:r>
          </w:p>
          <w:p>
            <w:pPr>
              <w:pStyle w:val="TableParagraph"/>
              <w:spacing w:line="240" w:lineRule="auto" w:before="76"/>
              <w:ind w:left="17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2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56"/>
              <w:jc w:val="right"/>
              <w:rPr>
                <w:rFonts w:ascii="宋体" w:hAnsi="宋体" w:cs="宋体" w:eastAsia="宋体" w:hint="default"/>
                <w:sz w:val="18"/>
                <w:szCs w:val="18"/>
              </w:rPr>
            </w:pPr>
            <w:r>
              <w:rPr>
                <w:rFonts w:ascii="宋体" w:hAnsi="宋体" w:cs="宋体" w:eastAsia="宋体" w:hint="default"/>
                <w:sz w:val="18"/>
                <w:szCs w:val="18"/>
              </w:rPr>
              <w:t>担保到期日</w:t>
            </w:r>
          </w:p>
        </w:tc>
        <w:tc>
          <w:tcPr>
            <w:tcW w:w="10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70" w:right="0"/>
              <w:jc w:val="left"/>
              <w:rPr>
                <w:rFonts w:ascii="宋体" w:hAnsi="宋体" w:cs="宋体" w:eastAsia="宋体" w:hint="default"/>
                <w:sz w:val="18"/>
                <w:szCs w:val="18"/>
              </w:rPr>
            </w:pPr>
            <w:r>
              <w:rPr>
                <w:rFonts w:ascii="宋体" w:hAnsi="宋体" w:cs="宋体" w:eastAsia="宋体" w:hint="default"/>
                <w:sz w:val="18"/>
                <w:szCs w:val="18"/>
              </w:rPr>
              <w:t>担保余额</w:t>
            </w:r>
          </w:p>
          <w:p>
            <w:pPr>
              <w:pStyle w:val="TableParagraph"/>
              <w:spacing w:line="240" w:lineRule="auto" w:before="76"/>
              <w:ind w:left="17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1"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103" w:right="108"/>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r>
      <w:tr>
        <w:trPr>
          <w:trHeight w:val="353"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新疆伊阳能源科技有限公司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20,000.00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2021-11-1</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86"/>
              <w:jc w:val="right"/>
              <w:rPr>
                <w:rFonts w:ascii="Times New Roman" w:hAnsi="Times New Roman" w:cs="Times New Roman" w:eastAsia="Times New Roman" w:hint="default"/>
                <w:sz w:val="18"/>
                <w:szCs w:val="18"/>
              </w:rPr>
            </w:pPr>
            <w:r>
              <w:rPr>
                <w:rFonts w:ascii="Times New Roman"/>
                <w:sz w:val="18"/>
              </w:rPr>
              <w:t>2023-10-31</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18,524.00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内蒙古四子王旗神光能源发展有限公司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12,000.00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2027-10-28</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86"/>
              <w:jc w:val="right"/>
              <w:rPr>
                <w:rFonts w:ascii="Times New Roman" w:hAnsi="Times New Roman" w:cs="Times New Roman" w:eastAsia="Times New Roman" w:hint="default"/>
                <w:sz w:val="18"/>
                <w:szCs w:val="18"/>
              </w:rPr>
            </w:pPr>
            <w:r>
              <w:rPr>
                <w:rFonts w:ascii="Times New Roman"/>
                <w:sz w:val="18"/>
              </w:rPr>
              <w:t>2029-10-27</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12,000.00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特克斯昱辉新能源有限公司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11,000.00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2025-3-27</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32"/>
              <w:jc w:val="right"/>
              <w:rPr>
                <w:rFonts w:ascii="Times New Roman" w:hAnsi="Times New Roman" w:cs="Times New Roman" w:eastAsia="Times New Roman" w:hint="default"/>
                <w:sz w:val="18"/>
                <w:szCs w:val="18"/>
              </w:rPr>
            </w:pPr>
            <w:r>
              <w:rPr>
                <w:rFonts w:ascii="Times New Roman"/>
                <w:sz w:val="18"/>
              </w:rPr>
              <w:t>2027-3-26</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9,200.00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新疆聚阳能源科技有限公司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15,000.00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2025-4-10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77" w:right="0"/>
              <w:jc w:val="left"/>
              <w:rPr>
                <w:rFonts w:ascii="Times New Roman" w:hAnsi="Times New Roman" w:cs="Times New Roman" w:eastAsia="Times New Roman" w:hint="default"/>
                <w:sz w:val="18"/>
                <w:szCs w:val="18"/>
              </w:rPr>
            </w:pPr>
            <w:r>
              <w:rPr>
                <w:rFonts w:ascii="Times New Roman"/>
                <w:sz w:val="18"/>
              </w:rPr>
              <w:t>2027-4-9</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10,400.00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新疆聚阳能源科技有限公司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14,000.00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2025-11-24</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86"/>
              <w:jc w:val="right"/>
              <w:rPr>
                <w:rFonts w:ascii="Times New Roman" w:hAnsi="Times New Roman" w:cs="Times New Roman" w:eastAsia="Times New Roman" w:hint="default"/>
                <w:sz w:val="18"/>
                <w:szCs w:val="18"/>
              </w:rPr>
            </w:pPr>
            <w:r>
              <w:rPr>
                <w:rFonts w:ascii="Times New Roman"/>
                <w:sz w:val="18"/>
              </w:rPr>
              <w:t>2027-11-23</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10,500.00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新疆爱康电力开发有限公司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15,000.00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2025-9-24</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32"/>
              <w:jc w:val="right"/>
              <w:rPr>
                <w:rFonts w:ascii="Times New Roman" w:hAnsi="Times New Roman" w:cs="Times New Roman" w:eastAsia="Times New Roman" w:hint="default"/>
                <w:sz w:val="18"/>
                <w:szCs w:val="18"/>
              </w:rPr>
            </w:pPr>
            <w:r>
              <w:rPr>
                <w:rFonts w:ascii="Times New Roman"/>
                <w:sz w:val="18"/>
              </w:rPr>
              <w:t>2027-9-23</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11,200.00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新疆爱康电力开发有限公司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11,000.00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2025-10-29</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86"/>
              <w:jc w:val="right"/>
              <w:rPr>
                <w:rFonts w:ascii="Times New Roman" w:hAnsi="Times New Roman" w:cs="Times New Roman" w:eastAsia="Times New Roman" w:hint="default"/>
                <w:sz w:val="18"/>
                <w:szCs w:val="18"/>
              </w:rPr>
            </w:pPr>
            <w:r>
              <w:rPr>
                <w:rFonts w:ascii="Times New Roman"/>
                <w:sz w:val="18"/>
              </w:rPr>
              <w:t>2027-10-28</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8,250.00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新疆爱康电力开发有限公司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10,000.00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2023-4-25</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32"/>
              <w:jc w:val="right"/>
              <w:rPr>
                <w:rFonts w:ascii="Times New Roman" w:hAnsi="Times New Roman" w:cs="Times New Roman" w:eastAsia="Times New Roman" w:hint="default"/>
                <w:sz w:val="18"/>
                <w:szCs w:val="18"/>
              </w:rPr>
            </w:pPr>
            <w:r>
              <w:rPr>
                <w:rFonts w:ascii="Times New Roman"/>
                <w:sz w:val="18"/>
              </w:rPr>
              <w:t>2025-4-24</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4,500.00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新疆爱康电力开发有限公司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10,000.00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2022-4-17</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32"/>
              <w:jc w:val="right"/>
              <w:rPr>
                <w:rFonts w:ascii="Times New Roman" w:hAnsi="Times New Roman" w:cs="Times New Roman" w:eastAsia="Times New Roman" w:hint="default"/>
                <w:sz w:val="18"/>
                <w:szCs w:val="18"/>
              </w:rPr>
            </w:pPr>
            <w:r>
              <w:rPr>
                <w:rFonts w:ascii="Times New Roman"/>
                <w:sz w:val="18"/>
              </w:rPr>
              <w:t>2024-4-16</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4,600.00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浙江瑞旭投资有限公司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22,000.00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2027-7-27</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32"/>
              <w:jc w:val="right"/>
              <w:rPr>
                <w:rFonts w:ascii="Times New Roman" w:hAnsi="Times New Roman" w:cs="Times New Roman" w:eastAsia="Times New Roman" w:hint="default"/>
                <w:sz w:val="18"/>
                <w:szCs w:val="18"/>
              </w:rPr>
            </w:pPr>
            <w:r>
              <w:rPr>
                <w:rFonts w:ascii="Times New Roman"/>
                <w:sz w:val="18"/>
              </w:rPr>
              <w:t>2029-7-26</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14,850.00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浙江瑞旭投资有限公司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16,000.00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2028-3-19</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32"/>
              <w:jc w:val="right"/>
              <w:rPr>
                <w:rFonts w:ascii="Times New Roman" w:hAnsi="Times New Roman" w:cs="Times New Roman" w:eastAsia="Times New Roman" w:hint="default"/>
                <w:sz w:val="18"/>
                <w:szCs w:val="18"/>
              </w:rPr>
            </w:pPr>
            <w:r>
              <w:rPr>
                <w:rFonts w:ascii="Times New Roman"/>
                <w:sz w:val="18"/>
              </w:rPr>
              <w:t>2030-3-18</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14,000.00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浙江瑞旭投资有限公司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16,000.00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2028-3-19</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32"/>
              <w:jc w:val="right"/>
              <w:rPr>
                <w:rFonts w:ascii="Times New Roman" w:hAnsi="Times New Roman" w:cs="Times New Roman" w:eastAsia="Times New Roman" w:hint="default"/>
                <w:sz w:val="18"/>
                <w:szCs w:val="18"/>
              </w:rPr>
            </w:pPr>
            <w:r>
              <w:rPr>
                <w:rFonts w:ascii="Times New Roman"/>
                <w:sz w:val="18"/>
              </w:rPr>
              <w:t>2030-3-18</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14,000.00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九州方园博州市新能源有限公司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69,000.00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2026-9-22</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32"/>
              <w:jc w:val="right"/>
              <w:rPr>
                <w:rFonts w:ascii="Times New Roman" w:hAnsi="Times New Roman" w:cs="Times New Roman" w:eastAsia="Times New Roman" w:hint="default"/>
                <w:sz w:val="18"/>
                <w:szCs w:val="18"/>
              </w:rPr>
            </w:pPr>
            <w:r>
              <w:rPr>
                <w:rFonts w:ascii="Times New Roman"/>
                <w:sz w:val="18"/>
              </w:rPr>
              <w:t>2028-9-21</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65,550.00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丹阳中康电力开发有限公司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935.83</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2022-7-5</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77" w:right="0"/>
              <w:jc w:val="left"/>
              <w:rPr>
                <w:rFonts w:ascii="Times New Roman" w:hAnsi="Times New Roman" w:cs="Times New Roman" w:eastAsia="Times New Roman" w:hint="default"/>
                <w:sz w:val="18"/>
                <w:szCs w:val="18"/>
              </w:rPr>
            </w:pPr>
            <w:r>
              <w:rPr>
                <w:rFonts w:ascii="Times New Roman"/>
                <w:sz w:val="18"/>
              </w:rPr>
              <w:t>2024-7-4</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830.11</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江阴东华铝材科技有限公司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10,000.00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2019-8-21</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32"/>
              <w:jc w:val="right"/>
              <w:rPr>
                <w:rFonts w:ascii="Times New Roman" w:hAnsi="Times New Roman" w:cs="Times New Roman" w:eastAsia="Times New Roman" w:hint="default"/>
                <w:sz w:val="18"/>
                <w:szCs w:val="18"/>
              </w:rPr>
            </w:pPr>
            <w:r>
              <w:rPr>
                <w:rFonts w:ascii="Times New Roman"/>
                <w:sz w:val="18"/>
              </w:rPr>
              <w:t>2021-8-20</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江阴东华铝材科技有限公司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2019-12-8</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32"/>
              <w:jc w:val="right"/>
              <w:rPr>
                <w:rFonts w:ascii="Times New Roman" w:hAnsi="Times New Roman" w:cs="Times New Roman" w:eastAsia="Times New Roman" w:hint="default"/>
                <w:sz w:val="18"/>
                <w:szCs w:val="18"/>
              </w:rPr>
            </w:pPr>
            <w:r>
              <w:rPr>
                <w:rFonts w:ascii="Times New Roman"/>
                <w:sz w:val="18"/>
              </w:rPr>
              <w:t>2021-12-7</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5,000.00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江阴东华铝材科技有限公司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1,600.00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2019-12-20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86"/>
              <w:jc w:val="right"/>
              <w:rPr>
                <w:rFonts w:ascii="Times New Roman" w:hAnsi="Times New Roman" w:cs="Times New Roman" w:eastAsia="Times New Roman" w:hint="default"/>
                <w:sz w:val="18"/>
                <w:szCs w:val="18"/>
              </w:rPr>
            </w:pPr>
            <w:r>
              <w:rPr>
                <w:rFonts w:ascii="Times New Roman"/>
                <w:sz w:val="18"/>
              </w:rPr>
              <w:t>2021-12-19</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1,600.00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江阴东华铝材科技有限公司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2,500.00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2019-1-13</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32"/>
              <w:jc w:val="right"/>
              <w:rPr>
                <w:rFonts w:ascii="Times New Roman" w:hAnsi="Times New Roman" w:cs="Times New Roman" w:eastAsia="Times New Roman" w:hint="default"/>
                <w:sz w:val="18"/>
                <w:szCs w:val="18"/>
              </w:rPr>
            </w:pPr>
            <w:r>
              <w:rPr>
                <w:rFonts w:ascii="Times New Roman"/>
                <w:sz w:val="18"/>
              </w:rPr>
              <w:t>2021-1-12</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2,500.00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江阴东华铝材科技有限公司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2019-5-11</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32"/>
              <w:jc w:val="right"/>
              <w:rPr>
                <w:rFonts w:ascii="Times New Roman" w:hAnsi="Times New Roman" w:cs="Times New Roman" w:eastAsia="Times New Roman" w:hint="default"/>
                <w:sz w:val="18"/>
                <w:szCs w:val="18"/>
              </w:rPr>
            </w:pPr>
            <w:r>
              <w:rPr>
                <w:rFonts w:ascii="Times New Roman"/>
                <w:sz w:val="18"/>
              </w:rPr>
              <w:t>2021-5-10</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5,000.00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江阴科玛金属制品有限公司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7,000.00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2019-6-8</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77" w:right="0"/>
              <w:jc w:val="left"/>
              <w:rPr>
                <w:rFonts w:ascii="Times New Roman" w:hAnsi="Times New Roman" w:cs="Times New Roman" w:eastAsia="Times New Roman" w:hint="default"/>
                <w:sz w:val="18"/>
                <w:szCs w:val="18"/>
              </w:rPr>
            </w:pPr>
            <w:r>
              <w:rPr>
                <w:rFonts w:ascii="Times New Roman"/>
                <w:sz w:val="18"/>
              </w:rPr>
              <w:t>2021-6-7</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7,000.00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江阴东华铝材科技有限公司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10,000.00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2018-9-4</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77" w:right="0"/>
              <w:jc w:val="left"/>
              <w:rPr>
                <w:rFonts w:ascii="Times New Roman" w:hAnsi="Times New Roman" w:cs="Times New Roman" w:eastAsia="Times New Roman" w:hint="default"/>
                <w:sz w:val="18"/>
                <w:szCs w:val="18"/>
              </w:rPr>
            </w:pPr>
            <w:r>
              <w:rPr>
                <w:rFonts w:ascii="Times New Roman"/>
                <w:sz w:val="18"/>
              </w:rPr>
              <w:t>2020-9-3</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775"/>
        <w:gridCol w:w="1076"/>
        <w:gridCol w:w="1230"/>
        <w:gridCol w:w="1230"/>
        <w:gridCol w:w="1075"/>
        <w:gridCol w:w="1121"/>
      </w:tblGrid>
      <w:tr>
        <w:trPr>
          <w:trHeight w:val="355" w:hRule="exact"/>
        </w:trPr>
        <w:tc>
          <w:tcPr>
            <w:tcW w:w="37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江阴东华铝材科技有限公司</w:t>
            </w:r>
          </w:p>
        </w:tc>
        <w:tc>
          <w:tcPr>
            <w:tcW w:w="10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5,000.00</w:t>
            </w:r>
          </w:p>
        </w:tc>
        <w:tc>
          <w:tcPr>
            <w:tcW w:w="12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187" w:right="0"/>
              <w:jc w:val="left"/>
              <w:rPr>
                <w:rFonts w:ascii="Times New Roman" w:hAnsi="Times New Roman" w:cs="Times New Roman" w:eastAsia="Times New Roman" w:hint="default"/>
                <w:sz w:val="18"/>
                <w:szCs w:val="18"/>
              </w:rPr>
            </w:pPr>
            <w:r>
              <w:rPr>
                <w:rFonts w:ascii="Times New Roman"/>
                <w:sz w:val="18"/>
              </w:rPr>
              <w:t>2018-12-12</w:t>
            </w:r>
          </w:p>
        </w:tc>
        <w:tc>
          <w:tcPr>
            <w:tcW w:w="12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2020-12-11</w:t>
            </w:r>
          </w:p>
        </w:tc>
        <w:tc>
          <w:tcPr>
            <w:tcW w:w="10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5,000.00</w:t>
            </w:r>
          </w:p>
        </w:tc>
        <w:tc>
          <w:tcPr>
            <w:tcW w:w="11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2"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江阴东华铝材科技有限公司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1,600.00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87" w:right="0"/>
              <w:jc w:val="left"/>
              <w:rPr>
                <w:rFonts w:ascii="Times New Roman" w:hAnsi="Times New Roman" w:cs="Times New Roman" w:eastAsia="Times New Roman" w:hint="default"/>
                <w:sz w:val="18"/>
                <w:szCs w:val="18"/>
              </w:rPr>
            </w:pPr>
            <w:r>
              <w:rPr>
                <w:rFonts w:ascii="Times New Roman"/>
                <w:sz w:val="18"/>
              </w:rPr>
              <w:t>2018-12-21</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2020-12-20</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1,600.00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3"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江阴东华铝材科技有限公司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2,500.00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31" w:right="0"/>
              <w:jc w:val="left"/>
              <w:rPr>
                <w:rFonts w:ascii="Times New Roman" w:hAnsi="Times New Roman" w:cs="Times New Roman" w:eastAsia="Times New Roman" w:hint="default"/>
                <w:sz w:val="18"/>
                <w:szCs w:val="18"/>
              </w:rPr>
            </w:pPr>
            <w:r>
              <w:rPr>
                <w:rFonts w:ascii="Times New Roman"/>
                <w:sz w:val="18"/>
              </w:rPr>
              <w:t>2018-1-13</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2020-1-12</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2,500.00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2"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江阴东华铝材科技有限公司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31" w:right="0"/>
              <w:jc w:val="left"/>
              <w:rPr>
                <w:rFonts w:ascii="Times New Roman" w:hAnsi="Times New Roman" w:cs="Times New Roman" w:eastAsia="Times New Roman" w:hint="default"/>
                <w:sz w:val="18"/>
                <w:szCs w:val="18"/>
              </w:rPr>
            </w:pPr>
            <w:r>
              <w:rPr>
                <w:rFonts w:ascii="Times New Roman"/>
                <w:sz w:val="18"/>
              </w:rPr>
              <w:t>2018-5-18</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2020-5-17</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5,000.00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2" w:hRule="exact"/>
        </w:trPr>
        <w:tc>
          <w:tcPr>
            <w:tcW w:w="3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江阴科玛金属制品有限公司</w:t>
            </w:r>
          </w:p>
        </w:tc>
        <w:tc>
          <w:tcPr>
            <w:tcW w:w="1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7,000.00</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31" w:right="0"/>
              <w:jc w:val="left"/>
              <w:rPr>
                <w:rFonts w:ascii="Times New Roman" w:hAnsi="Times New Roman" w:cs="Times New Roman" w:eastAsia="Times New Roman" w:hint="default"/>
                <w:sz w:val="18"/>
                <w:szCs w:val="18"/>
              </w:rPr>
            </w:pPr>
            <w:r>
              <w:rPr>
                <w:rFonts w:ascii="Times New Roman"/>
                <w:sz w:val="18"/>
              </w:rPr>
              <w:t>2018-5-22</w:t>
            </w:r>
          </w:p>
        </w:tc>
        <w:tc>
          <w:tcPr>
            <w:tcW w:w="12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2020-5-21</w:t>
            </w:r>
          </w:p>
        </w:tc>
        <w:tc>
          <w:tcPr>
            <w:tcW w:w="1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7,000.00</w:t>
            </w:r>
          </w:p>
        </w:tc>
        <w:tc>
          <w:tcPr>
            <w:tcW w:w="11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16" w:lineRule="auto" w:before="10"/>
        <w:ind w:right="1032" w:firstLine="360"/>
        <w:jc w:val="left"/>
      </w:pPr>
      <w:r>
        <w:rPr/>
        <w:t>注：①江阴东华铝材科技有限公司和江阴科玛金属制品有限公司经营情况良好，资产规模较大，具有较好的偿债能力。 </w:t>
      </w:r>
      <w:r>
        <w:rPr>
          <w:spacing w:val="-2"/>
        </w:rPr>
        <w:t>东华铝材及其控股股东为本公司银行借款提供了多次担保支持，目前江苏海达科技集团有限公司、江阴科玛金属制品有限公</w:t>
      </w:r>
      <w:r>
        <w:rPr>
          <w:spacing w:val="-64"/>
        </w:rPr>
        <w:t> </w:t>
      </w:r>
      <w:r>
        <w:rPr>
          <w:spacing w:val="-64"/>
        </w:rPr>
      </w:r>
      <w:r>
        <w:rPr/>
        <w:t>司、江阴永利新型包装材料有限公司合计为本公司银行借款担保余额</w:t>
      </w:r>
      <w:r>
        <w:rPr>
          <w:rFonts w:ascii="Times New Roman" w:hAnsi="Times New Roman" w:cs="Times New Roman" w:eastAsia="Times New Roman" w:hint="default"/>
        </w:rPr>
        <w:t>83,600.00</w:t>
      </w:r>
      <w:r>
        <w:rPr/>
        <w:t>万元。</w:t>
      </w:r>
    </w:p>
    <w:p>
      <w:pPr>
        <w:pStyle w:val="BodyText"/>
        <w:spacing w:line="316" w:lineRule="auto"/>
        <w:ind w:right="1122" w:firstLine="289"/>
        <w:jc w:val="left"/>
      </w:pPr>
      <w:r>
        <w:rPr>
          <w:spacing w:val="2"/>
        </w:rPr>
        <w:t>②除江阴东华铝材科技有限公司和江阴科玛金属制品有限公司之外的新增对外担保为本年度出售上述公司股权后根据</w:t>
      </w:r>
      <w:r>
        <w:rPr/>
        <w:t> 股权转让协议仍继续对上述公司提供担保。</w:t>
      </w:r>
    </w:p>
    <w:p>
      <w:pPr>
        <w:spacing w:line="240" w:lineRule="auto" w:before="7"/>
        <w:rPr>
          <w:rFonts w:ascii="宋体" w:hAnsi="宋体" w:cs="宋体" w:eastAsia="宋体" w:hint="default"/>
          <w:sz w:val="22"/>
          <w:szCs w:val="22"/>
        </w:rPr>
      </w:pPr>
    </w:p>
    <w:p>
      <w:pPr>
        <w:pStyle w:val="Heading3"/>
        <w:spacing w:line="240" w:lineRule="auto"/>
        <w:ind w:right="1122"/>
        <w:jc w:val="left"/>
        <w:rPr>
          <w:b w:val="0"/>
          <w:bCs w:val="0"/>
        </w:rPr>
      </w:pPr>
      <w:bookmarkStart w:name="（2）公司没有需要披露的重要或有事项，也应予以说明" w:id="478"/>
      <w:bookmarkEnd w:id="47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t>公司不存在需要披露的重要或有事项。</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3、其他" w:id="479"/>
      <w:bookmarkEnd w:id="479"/>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t>无。</w:t>
      </w:r>
    </w:p>
    <w:p>
      <w:pPr>
        <w:spacing w:line="240" w:lineRule="auto" w:before="2"/>
        <w:rPr>
          <w:rFonts w:ascii="宋体" w:hAnsi="宋体" w:cs="宋体" w:eastAsia="宋体" w:hint="default"/>
          <w:sz w:val="25"/>
          <w:szCs w:val="25"/>
        </w:rPr>
      </w:pPr>
    </w:p>
    <w:p>
      <w:pPr>
        <w:pStyle w:val="Heading2"/>
        <w:spacing w:line="240" w:lineRule="auto"/>
        <w:ind w:right="1122"/>
        <w:jc w:val="left"/>
        <w:rPr>
          <w:b w:val="0"/>
          <w:bCs w:val="0"/>
        </w:rPr>
      </w:pPr>
      <w:bookmarkStart w:name="十五、资产负债表日后事项" w:id="480"/>
      <w:bookmarkEnd w:id="480"/>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重要的非调整事项" w:id="481"/>
      <w:bookmarkEnd w:id="481"/>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2、利润分配情况" w:id="482"/>
      <w:bookmarkEnd w:id="48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3、销售退回" w:id="483"/>
      <w:bookmarkEnd w:id="483"/>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4、其他资产负债表日后事项说明" w:id="484"/>
      <w:bookmarkEnd w:id="484"/>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spacing w:line="300" w:lineRule="auto" w:before="0"/>
        <w:ind w:left="514" w:right="1122" w:firstLine="12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日起执行新会计准则的影响</w:t>
      </w:r>
      <w:r>
        <w:rPr>
          <w:rFonts w:ascii="宋体" w:hAnsi="宋体" w:cs="宋体" w:eastAsia="宋体" w:hint="default"/>
          <w:b/>
          <w:bCs/>
          <w:w w:val="99"/>
          <w:sz w:val="18"/>
          <w:szCs w:val="18"/>
        </w:rPr>
        <w:t> </w:t>
      </w:r>
      <w:r>
        <w:rPr>
          <w:rFonts w:ascii="宋体" w:hAnsi="宋体" w:cs="宋体" w:eastAsia="宋体" w:hint="default"/>
          <w:spacing w:val="-2"/>
          <w:sz w:val="18"/>
          <w:szCs w:val="18"/>
        </w:rPr>
        <w:t>财政部于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日分别发布了《企业会计准则第</w:t>
      </w:r>
      <w:r>
        <w:rPr>
          <w:rFonts w:ascii="Times New Roman" w:hAnsi="Times New Roman" w:cs="Times New Roman" w:eastAsia="Times New Roman" w:hint="default"/>
          <w:spacing w:val="-2"/>
          <w:sz w:val="18"/>
          <w:szCs w:val="18"/>
        </w:rPr>
        <w:t>22</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金融工具确认和计量（</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年修订）》（财会〔</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7</w:t>
      </w:r>
    </w:p>
    <w:p>
      <w:pPr>
        <w:pStyle w:val="BodyText"/>
        <w:spacing w:line="300" w:lineRule="auto" w:before="13"/>
        <w:ind w:right="1129"/>
        <w:jc w:val="both"/>
      </w:pPr>
      <w:r>
        <w:rPr/>
        <w:t>号）、《企业会计准则第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w:t>
      </w:r>
      <w:r>
        <w:rPr>
          <w:rFonts w:ascii="Times New Roman" w:hAnsi="Times New Roman" w:cs="Times New Roman" w:eastAsia="Times New Roman" w:hint="default"/>
        </w:rPr>
        <w:t>2017</w:t>
      </w:r>
      <w:r>
        <w:rPr/>
        <w:t>年修订）》（财会〔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8</w:t>
      </w:r>
      <w:r>
        <w:rPr/>
        <w:t>号）、《企业会计准则第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w:t>
      </w:r>
      <w:r>
        <w:rPr>
          <w:spacing w:val="-83"/>
        </w:rPr>
        <w:t> </w:t>
      </w:r>
      <w:r>
        <w:rPr/>
        <w:t>会计（</w:t>
      </w:r>
      <w:r>
        <w:rPr>
          <w:rFonts w:ascii="Times New Roman" w:hAnsi="Times New Roman" w:cs="Times New Roman" w:eastAsia="Times New Roman" w:hint="default"/>
        </w:rPr>
        <w:t>2017</w:t>
      </w:r>
      <w:r>
        <w:rPr/>
        <w:t>年修订）》（财会〔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9</w:t>
      </w:r>
      <w:r>
        <w:rPr/>
        <w:t>号），于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日发布了《企业会计准则第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2017</w:t>
      </w:r>
      <w:r>
        <w:rPr/>
        <w:t>年修</w:t>
      </w:r>
      <w:r>
        <w:rPr>
          <w:spacing w:val="-83"/>
        </w:rPr>
        <w:t> </w:t>
      </w:r>
      <w:r>
        <w:rPr>
          <w:spacing w:val="-2"/>
        </w:rPr>
        <w:t>订）》（财会〔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14</w:t>
      </w:r>
      <w:r>
        <w:rPr>
          <w:spacing w:val="-2"/>
        </w:rPr>
        <w:t>号）（上述准则以下统称</w:t>
      </w:r>
      <w:r>
        <w:rPr>
          <w:rFonts w:ascii="Times New Roman" w:hAnsi="Times New Roman" w:cs="Times New Roman" w:eastAsia="Times New Roman" w:hint="default"/>
          <w:spacing w:val="-2"/>
        </w:rPr>
        <w:t>“</w:t>
      </w:r>
      <w:r>
        <w:rPr>
          <w:spacing w:val="-2"/>
        </w:rPr>
        <w:t>新金融工具准则</w:t>
      </w:r>
      <w:r>
        <w:rPr>
          <w:rFonts w:ascii="Times New Roman" w:hAnsi="Times New Roman" w:cs="Times New Roman" w:eastAsia="Times New Roman" w:hint="default"/>
          <w:spacing w:val="-2"/>
        </w:rPr>
        <w:t>”</w:t>
      </w:r>
      <w:r>
        <w:rPr>
          <w:spacing w:val="-2"/>
        </w:rPr>
        <w:t>），并要求境内上市公司自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日起施行。经本</w:t>
      </w:r>
      <w:r>
        <w:rPr>
          <w:spacing w:val="-32"/>
        </w:rPr>
        <w:t> </w:t>
      </w:r>
      <w:r>
        <w:rPr>
          <w:spacing w:val="-32"/>
        </w:rPr>
      </w:r>
      <w:r>
        <w:rPr/>
        <w:t>公司第三届董事会第五十四次会议于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日决议通过，本公司将于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日起执行上述新金融工具准则，并将</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4092" w:hanging="360"/>
        <w:jc w:val="left"/>
      </w:pPr>
      <w:r>
        <w:rPr/>
        <w:t>依据上述新金融工具准则的规定对相关会计政策进行变更。 以下为所涉及的会计政策变更的主要内容： 在新金融工具准则下所有已确认金融资产其后续均按摊余成本或公允价值计量。</w:t>
      </w:r>
    </w:p>
    <w:p>
      <w:pPr>
        <w:pStyle w:val="BodyText"/>
        <w:spacing w:line="319" w:lineRule="auto" w:before="19"/>
        <w:ind w:right="1132" w:firstLine="360"/>
        <w:jc w:val="both"/>
      </w:pPr>
      <w:r>
        <w:rPr>
          <w:spacing w:val="-2"/>
        </w:rPr>
        <w:t>在新金融工具准则施行日，以本公司该日既有事实和情况为基础评估管理金融资产的业务模式、以金融资产初始确认时</w:t>
      </w:r>
      <w:r>
        <w:rPr/>
        <w:t> </w:t>
      </w:r>
      <w:r>
        <w:rPr>
          <w:spacing w:val="-2"/>
        </w:rPr>
        <w:t>的事实和情况为基础评估该金融资产上的合同现金流量特征，将金融资产分为三类：按摊余成本计量、按公允价值计量且其</w:t>
      </w:r>
      <w:r>
        <w:rPr>
          <w:spacing w:val="-66"/>
        </w:rPr>
        <w:t> </w:t>
      </w:r>
      <w:r>
        <w:rPr>
          <w:spacing w:val="-66"/>
        </w:rPr>
      </w:r>
      <w:r>
        <w:rPr>
          <w:spacing w:val="-2"/>
        </w:rPr>
        <w:t>变动计入其他综合收益及按公允价值计量且其变动计入损益。其中，对于按公允价值计量且其变动计入其他综合收益的权益</w:t>
      </w:r>
      <w:r>
        <w:rPr>
          <w:spacing w:val="-64"/>
        </w:rPr>
        <w:t> </w:t>
      </w:r>
      <w:r>
        <w:rPr>
          <w:spacing w:val="-64"/>
        </w:rPr>
      </w:r>
      <w:r>
        <w:rPr>
          <w:spacing w:val="-2"/>
        </w:rPr>
        <w:t>工具投资，当该金融资产终止确认时，之前计入其他综合收益的累计利得或损失将从其他综合收益转入留存收益，不计入当</w:t>
      </w:r>
      <w:r>
        <w:rPr>
          <w:spacing w:val="-66"/>
        </w:rPr>
        <w:t> </w:t>
      </w:r>
      <w:r>
        <w:rPr>
          <w:spacing w:val="-66"/>
        </w:rPr>
      </w:r>
      <w:r>
        <w:rPr/>
        <w:t>期损益。</w:t>
      </w:r>
    </w:p>
    <w:p>
      <w:pPr>
        <w:pStyle w:val="BodyText"/>
        <w:spacing w:line="316" w:lineRule="auto" w:before="17"/>
        <w:ind w:right="1133" w:firstLine="360"/>
        <w:jc w:val="both"/>
      </w:pPr>
      <w:r>
        <w:rPr>
          <w:spacing w:val="-2"/>
        </w:rPr>
        <w:t>在新金融工具准则下，本公司以预期信用损失为基础，对以摊余成本计量的金融资产、以公允价值计量且其变动计入其</w:t>
      </w:r>
      <w:r>
        <w:rPr/>
        <w:t> 他综合收益的债务工具投资、租赁应收款、合同资产及财务担保合同计提减值准备并确认信用减值损失。</w:t>
      </w:r>
    </w:p>
    <w:p>
      <w:pPr>
        <w:spacing w:line="300" w:lineRule="auto" w:before="19"/>
        <w:ind w:left="514" w:right="112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）其他重要的资产负债表日后非调整事项</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日召开第三届董事会第五十九次临时会议，会议决议通过了《关于本次发行股份及支付现金购买资</w:t>
      </w:r>
    </w:p>
    <w:p>
      <w:pPr>
        <w:pStyle w:val="BodyText"/>
        <w:spacing w:line="240" w:lineRule="auto" w:before="13"/>
        <w:ind w:right="0"/>
        <w:jc w:val="left"/>
      </w:pPr>
      <w:r>
        <w:rPr/>
        <w:t>产并募集配套资金方案的议案》，根据议案：公司拟通过发行股份及支付现金的方式购买宁波江北宜则新能源科技有限公司</w:t>
      </w:r>
    </w:p>
    <w:p>
      <w:pPr>
        <w:pStyle w:val="BodyText"/>
        <w:spacing w:line="307" w:lineRule="auto" w:before="76"/>
        <w:ind w:right="1130"/>
        <w:jc w:val="both"/>
      </w:pPr>
      <w:r>
        <w:rPr/>
        <w:t>（以下简称</w:t>
      </w:r>
      <w:r>
        <w:rPr>
          <w:rFonts w:ascii="Times New Roman" w:hAnsi="Times New Roman" w:cs="Times New Roman" w:eastAsia="Times New Roman" w:hint="default"/>
        </w:rPr>
        <w:t>“</w:t>
      </w:r>
      <w:r>
        <w:rPr/>
        <w:t>宁波宜则</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的股权；并拟按相关规定向符合条件的特定投资者非公开发行股份募集配套资金，募集配套</w:t>
      </w:r>
      <w:r>
        <w:rPr>
          <w:spacing w:val="-43"/>
        </w:rPr>
        <w:t> </w:t>
      </w:r>
      <w:r>
        <w:rPr>
          <w:spacing w:val="-43"/>
        </w:rPr>
      </w:r>
      <w:r>
        <w:rPr>
          <w:spacing w:val="-2"/>
        </w:rPr>
        <w:t>资金总额不超过</w:t>
      </w:r>
      <w:r>
        <w:rPr>
          <w:rFonts w:ascii="Times New Roman" w:hAnsi="Times New Roman" w:cs="Times New Roman" w:eastAsia="Times New Roman" w:hint="default"/>
          <w:spacing w:val="-2"/>
        </w:rPr>
        <w:t>10</w:t>
      </w:r>
      <w:r>
        <w:rPr>
          <w:spacing w:val="-2"/>
        </w:rPr>
        <w:t>亿元。公司已与标的公司股东宁波朝昉、王兆峰、杨勇智、赵学文签署了《股权收购框架协议》。经交易</w:t>
      </w:r>
      <w:r>
        <w:rPr>
          <w:spacing w:val="-70"/>
        </w:rPr>
        <w:t> </w:t>
      </w:r>
      <w:r>
        <w:rPr>
          <w:spacing w:val="-70"/>
        </w:rPr>
      </w:r>
      <w:r>
        <w:rPr/>
        <w:t>各方协商，</w:t>
      </w:r>
      <w:r>
        <w:rPr>
          <w:spacing w:val="-39"/>
        </w:rPr>
        <w:t> </w:t>
      </w:r>
      <w:r>
        <w:rPr/>
        <w:t>标的资产价格暂定为</w:t>
      </w:r>
      <w:r>
        <w:rPr>
          <w:rFonts w:ascii="Times New Roman" w:hAnsi="Times New Roman" w:cs="Times New Roman" w:eastAsia="Times New Roman" w:hint="default"/>
        </w:rPr>
        <w:t>178,000</w:t>
      </w:r>
      <w:r>
        <w:rPr/>
        <w:t>万元，其最终交易价格将以上市公司聘请评估机构出具的《评估报告》所载明标的 </w:t>
      </w:r>
      <w:r>
        <w:rPr>
          <w:spacing w:val="-2"/>
        </w:rPr>
        <w:t>资产截至评估基准日的评估值为基础，由各方基于市场化原则协商确定，并由各方另行签订补充协议进行约定。具体发行股</w:t>
      </w:r>
      <w:r>
        <w:rPr>
          <w:spacing w:val="-66"/>
        </w:rPr>
        <w:t> </w:t>
      </w:r>
      <w:r>
        <w:rPr>
          <w:spacing w:val="-66"/>
        </w:rPr>
      </w:r>
      <w:r>
        <w:rPr>
          <w:spacing w:val="-2"/>
        </w:rPr>
        <w:t>份及支付现金的比例亦待《评估报告》出具后由各方另行签订补充协议进行约定，并至迟在重组报告书中予以披露。截至财</w:t>
      </w:r>
      <w:r>
        <w:rPr>
          <w:spacing w:val="-66"/>
        </w:rPr>
        <w:t> </w:t>
      </w:r>
      <w:r>
        <w:rPr>
          <w:spacing w:val="-66"/>
        </w:rPr>
      </w:r>
      <w:r>
        <w:rPr/>
        <w:t>务报告日，本次交易尚在进行中。</w:t>
      </w:r>
    </w:p>
    <w:p>
      <w:pPr>
        <w:spacing w:line="240" w:lineRule="auto" w:before="4"/>
        <w:rPr>
          <w:rFonts w:ascii="宋体" w:hAnsi="宋体" w:cs="宋体" w:eastAsia="宋体" w:hint="default"/>
          <w:sz w:val="21"/>
          <w:szCs w:val="21"/>
        </w:rPr>
      </w:pPr>
    </w:p>
    <w:p>
      <w:pPr>
        <w:pStyle w:val="Heading2"/>
        <w:spacing w:line="240" w:lineRule="auto"/>
        <w:ind w:right="1122"/>
        <w:jc w:val="left"/>
        <w:rPr>
          <w:b w:val="0"/>
          <w:bCs w:val="0"/>
        </w:rPr>
      </w:pPr>
      <w:bookmarkStart w:name="十六、其他重要事项" w:id="485"/>
      <w:bookmarkEnd w:id="485"/>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前期会计差错更正" w:id="486"/>
      <w:bookmarkEnd w:id="486"/>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追溯重述法" w:id="487"/>
      <w:bookmarkEnd w:id="487"/>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2）未来适用法" w:id="488"/>
      <w:bookmarkEnd w:id="488"/>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3"/>
        <w:spacing w:line="240" w:lineRule="auto" w:before="35"/>
        <w:ind w:right="1122"/>
        <w:jc w:val="left"/>
        <w:rPr>
          <w:b w:val="0"/>
          <w:bCs w:val="0"/>
        </w:rPr>
      </w:pPr>
      <w:bookmarkStart w:name="2、债务重组" w:id="489"/>
      <w:bookmarkEnd w:id="489"/>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t>无。</w:t>
      </w:r>
    </w:p>
    <w:p>
      <w:pPr>
        <w:spacing w:line="240" w:lineRule="auto" w:before="12"/>
        <w:rPr>
          <w:rFonts w:ascii="宋体" w:hAnsi="宋体" w:cs="宋体" w:eastAsia="宋体" w:hint="default"/>
          <w:sz w:val="26"/>
          <w:szCs w:val="26"/>
        </w:rPr>
      </w:pPr>
    </w:p>
    <w:p>
      <w:pPr>
        <w:pStyle w:val="Heading3"/>
        <w:spacing w:line="240" w:lineRule="auto"/>
        <w:ind w:right="1122"/>
        <w:jc w:val="left"/>
        <w:rPr>
          <w:b w:val="0"/>
          <w:bCs w:val="0"/>
        </w:rPr>
      </w:pPr>
      <w:bookmarkStart w:name="3、资产置换" w:id="490"/>
      <w:bookmarkEnd w:id="490"/>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非货币性资产交换" w:id="491"/>
      <w:bookmarkEnd w:id="491"/>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t>无。</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2）其他资产置换" w:id="492"/>
      <w:bookmarkEnd w:id="492"/>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t>无。</w:t>
      </w:r>
    </w:p>
    <w:p>
      <w:pPr>
        <w:spacing w:line="240" w:lineRule="auto" w:before="12"/>
        <w:rPr>
          <w:rFonts w:ascii="宋体" w:hAnsi="宋体" w:cs="宋体" w:eastAsia="宋体" w:hint="default"/>
          <w:sz w:val="26"/>
          <w:szCs w:val="26"/>
        </w:rPr>
      </w:pPr>
    </w:p>
    <w:p>
      <w:pPr>
        <w:pStyle w:val="Heading3"/>
        <w:spacing w:line="240" w:lineRule="auto"/>
        <w:ind w:right="1122"/>
        <w:jc w:val="left"/>
        <w:rPr>
          <w:b w:val="0"/>
          <w:bCs w:val="0"/>
        </w:rPr>
      </w:pPr>
      <w:bookmarkStart w:name="4、年金计划" w:id="493"/>
      <w:bookmarkEnd w:id="493"/>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t>无。</w:t>
      </w:r>
    </w:p>
    <w:p>
      <w:pPr>
        <w:spacing w:line="240" w:lineRule="auto" w:before="12"/>
        <w:rPr>
          <w:rFonts w:ascii="宋体" w:hAnsi="宋体" w:cs="宋体" w:eastAsia="宋体" w:hint="default"/>
          <w:sz w:val="26"/>
          <w:szCs w:val="26"/>
        </w:rPr>
      </w:pPr>
    </w:p>
    <w:p>
      <w:pPr>
        <w:pStyle w:val="Heading3"/>
        <w:spacing w:line="240" w:lineRule="auto"/>
        <w:ind w:right="1122"/>
        <w:jc w:val="left"/>
        <w:rPr>
          <w:b w:val="0"/>
          <w:bCs w:val="0"/>
        </w:rPr>
      </w:pPr>
      <w:bookmarkStart w:name="5、终止经营" w:id="494"/>
      <w:bookmarkEnd w:id="494"/>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22"/>
        <w:jc w:val="left"/>
        <w:rPr>
          <w:b w:val="0"/>
          <w:bCs w:val="0"/>
        </w:rPr>
      </w:pPr>
      <w:bookmarkStart w:name="6、分部信息" w:id="495"/>
      <w:bookmarkEnd w:id="495"/>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报告分部的确定依据与会计政策" w:id="496"/>
      <w:bookmarkEnd w:id="496"/>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firstLine="360"/>
        <w:jc w:val="both"/>
      </w:pPr>
      <w:r>
        <w:rPr>
          <w:spacing w:val="-2"/>
        </w:rPr>
        <w:t>根据本公司的内部组织结构、管理要求及内部报告制度，本公司的经营业务划分为制造业和电站营运两个经营分部，本</w:t>
      </w:r>
      <w:r>
        <w:rPr/>
        <w:t> </w:t>
      </w:r>
      <w:r>
        <w:rPr>
          <w:spacing w:val="-2"/>
        </w:rPr>
        <w:t>公司的管理层定期评价这些分部的经营成果，以决定向其分配资源及评价其业绩。在经营分部的基础上本公司确定了四个报</w:t>
      </w:r>
      <w:r>
        <w:rPr>
          <w:spacing w:val="-64"/>
        </w:rPr>
        <w:t> </w:t>
      </w:r>
      <w:r>
        <w:rPr>
          <w:spacing w:val="-64"/>
        </w:rPr>
      </w:r>
      <w:r>
        <w:rPr>
          <w:spacing w:val="-2"/>
        </w:rPr>
        <w:t>告分部，分别为边框型材、支架、电力、其他。这些报告分部是以产品为基础确定的。本公司各个报告分部提供的主要产品</w:t>
      </w:r>
      <w:r>
        <w:rPr>
          <w:spacing w:val="-67"/>
        </w:rPr>
        <w:t> </w:t>
      </w:r>
      <w:r>
        <w:rPr>
          <w:spacing w:val="-67"/>
        </w:rPr>
      </w:r>
      <w:r>
        <w:rPr/>
        <w:t>及劳务分别为生产和销售边框型材、支架、电力、其他。</w:t>
      </w:r>
    </w:p>
    <w:p>
      <w:pPr>
        <w:pStyle w:val="BodyText"/>
        <w:spacing w:line="316" w:lineRule="auto" w:before="17"/>
        <w:ind w:right="1131" w:firstLine="360"/>
        <w:jc w:val="both"/>
      </w:pPr>
      <w:r>
        <w:rPr>
          <w:spacing w:val="-2"/>
        </w:rPr>
        <w:t>分部报告信息根据各分部向管理层报告时采用的会计政策及计量标准披露，这些计量基础与编制财务报表时的会计与计</w:t>
      </w:r>
      <w:r>
        <w:rPr/>
        <w:t> 量基础保持一致。</w:t>
      </w:r>
    </w:p>
    <w:p>
      <w:pPr>
        <w:spacing w:line="240" w:lineRule="auto" w:before="7"/>
        <w:rPr>
          <w:rFonts w:ascii="宋体" w:hAnsi="宋体" w:cs="宋体" w:eastAsia="宋体" w:hint="default"/>
          <w:sz w:val="22"/>
          <w:szCs w:val="22"/>
        </w:rPr>
      </w:pPr>
    </w:p>
    <w:p>
      <w:pPr>
        <w:pStyle w:val="Heading3"/>
        <w:spacing w:line="240" w:lineRule="auto"/>
        <w:ind w:right="1122"/>
        <w:jc w:val="left"/>
        <w:rPr>
          <w:b w:val="0"/>
          <w:bCs w:val="0"/>
        </w:rPr>
      </w:pPr>
      <w:bookmarkStart w:name="（2）报告分部的财务信息" w:id="497"/>
      <w:bookmarkEnd w:id="49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边框型材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1,974,838,785.97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1,732,819,448.32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支架</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657,325,950.48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569,448,751.81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1,188,980,240.28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1,080,295,958.02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839,266,983.90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398,427,634.96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54,020,991.22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56,355,319.22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4,714,432,951.85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3,837,347,112.33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3）公司无报告分部的，或者不能披露各报告分部的资产总额和负债总额的，应说明原因" w:id="498"/>
      <w:bookmarkEnd w:id="498"/>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122"/>
        <w:jc w:val="left"/>
      </w:pPr>
      <w:r>
        <w:rPr/>
        <w:t>因公司部分资产、负债为多个产品共同占有，故没有按分部披露。</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4）其他说明" w:id="499"/>
      <w:bookmarkEnd w:id="499"/>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7、其他对投资者决策有影响的重要交易和事项" w:id="500"/>
      <w:bookmarkEnd w:id="500"/>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spacing w:val="-2"/>
        </w:rPr>
        <w:t>（</w:t>
      </w:r>
      <w:r>
        <w:rPr>
          <w:rFonts w:ascii="Times New Roman" w:hAnsi="Times New Roman" w:cs="Times New Roman" w:eastAsia="Times New Roman" w:hint="default"/>
          <w:spacing w:val="-2"/>
        </w:rPr>
        <w:t>1</w:t>
      </w:r>
      <w:r>
        <w:rPr>
          <w:spacing w:val="-2"/>
        </w:rPr>
        <w:t>）本公司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w:t>
      </w:r>
      <w:r>
        <w:rPr>
          <w:spacing w:val="-2"/>
        </w:rPr>
        <w:t>日召开的第三届董事会第十次临时会议及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6</w:t>
      </w:r>
      <w:r>
        <w:rPr>
          <w:spacing w:val="-2"/>
        </w:rPr>
        <w:t>日召开的</w:t>
      </w:r>
      <w:r>
        <w:rPr>
          <w:rFonts w:ascii="Times New Roman" w:hAnsi="Times New Roman" w:cs="Times New Roman" w:eastAsia="Times New Roman" w:hint="default"/>
          <w:spacing w:val="-2"/>
        </w:rPr>
        <w:t>2017</w:t>
      </w:r>
      <w:r>
        <w:rPr>
          <w:spacing w:val="-2"/>
        </w:rPr>
        <w:t>年第二次临时股东大会审议</w:t>
      </w:r>
      <w:r>
        <w:rPr/>
        <w:t> 通过了《关于公司面向合格投资者公开发行公司债券方案的议案》。于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月公司收到中国证券监督管理委员会（以下</w:t>
      </w:r>
      <w:r>
        <w:rPr>
          <w:spacing w:val="-82"/>
        </w:rPr>
        <w:t> </w:t>
      </w:r>
      <w:r>
        <w:rPr>
          <w:spacing w:val="-82"/>
        </w:rPr>
      </w:r>
      <w:r>
        <w:rPr>
          <w:spacing w:val="-2"/>
        </w:rPr>
        <w:t>简称</w:t>
      </w:r>
      <w:r>
        <w:rPr>
          <w:rFonts w:ascii="Times New Roman" w:hAnsi="Times New Roman" w:cs="Times New Roman" w:eastAsia="Times New Roman" w:hint="default"/>
          <w:spacing w:val="-2"/>
        </w:rPr>
        <w:t>“</w:t>
      </w:r>
      <w:r>
        <w:rPr>
          <w:spacing w:val="-2"/>
        </w:rPr>
        <w:t>中国证监会</w:t>
      </w:r>
      <w:r>
        <w:rPr>
          <w:rFonts w:ascii="Times New Roman" w:hAnsi="Times New Roman" w:cs="Times New Roman" w:eastAsia="Times New Roman" w:hint="default"/>
          <w:spacing w:val="-2"/>
        </w:rPr>
        <w:t>”</w:t>
      </w:r>
      <w:r>
        <w:rPr>
          <w:spacing w:val="-2"/>
        </w:rPr>
        <w:t>）出具的《中国证监会关于核准江苏爱康科技股份有限公司向合格投资者公开发行公司债券的批复》（证</w:t>
      </w:r>
      <w:r>
        <w:rPr>
          <w:spacing w:val="-44"/>
        </w:rPr>
        <w:t> </w:t>
      </w:r>
      <w:r>
        <w:rPr>
          <w:spacing w:val="-44"/>
        </w:rPr>
      </w:r>
      <w:r>
        <w:rPr>
          <w:spacing w:val="-1"/>
        </w:rPr>
        <w:t>监许可</w:t>
      </w:r>
      <w:r>
        <w:rPr>
          <w:rFonts w:ascii="Times New Roman" w:hAnsi="Times New Roman" w:cs="Times New Roman" w:eastAsia="Times New Roman" w:hint="default"/>
          <w:spacing w:val="-1"/>
        </w:rPr>
        <w:t>[2018]50</w:t>
      </w:r>
      <w:r>
        <w:rPr>
          <w:spacing w:val="-1"/>
        </w:rPr>
        <w:t>号），核准公司向合格投资者公开发行面值总额不超过</w:t>
      </w:r>
      <w:r>
        <w:rPr>
          <w:rFonts w:ascii="Times New Roman" w:hAnsi="Times New Roman" w:cs="Times New Roman" w:eastAsia="Times New Roman" w:hint="default"/>
          <w:spacing w:val="-1"/>
        </w:rPr>
        <w:t>10</w:t>
      </w:r>
      <w:r>
        <w:rPr>
          <w:spacing w:val="-1"/>
        </w:rPr>
        <w:t>亿元的公司债券。截至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日，本公司已</w:t>
      </w:r>
      <w:r>
        <w:rPr>
          <w:spacing w:val="-51"/>
        </w:rPr>
        <w:t> </w:t>
      </w:r>
      <w:r>
        <w:rPr>
          <w:spacing w:val="-51"/>
        </w:rPr>
      </w:r>
      <w:r>
        <w:rPr/>
        <w:t>经发行首期公司债券</w:t>
      </w:r>
      <w:r>
        <w:rPr>
          <w:rFonts w:ascii="Times New Roman" w:hAnsi="Times New Roman" w:cs="Times New Roman" w:eastAsia="Times New Roman" w:hint="default"/>
        </w:rPr>
        <w:t>3</w:t>
      </w:r>
      <w:r>
        <w:rPr/>
        <w:t>亿元，其余各期债券发行，自证监会核准发行之日起</w:t>
      </w:r>
      <w:r>
        <w:rPr>
          <w:rFonts w:ascii="Times New Roman" w:hAnsi="Times New Roman" w:cs="Times New Roman" w:eastAsia="Times New Roman" w:hint="default"/>
        </w:rPr>
        <w:t>24</w:t>
      </w:r>
      <w:r>
        <w:rPr/>
        <w:t>个月内完成。</w:t>
      </w:r>
    </w:p>
    <w:p>
      <w:pPr>
        <w:pStyle w:val="BodyText"/>
        <w:spacing w:line="302" w:lineRule="auto" w:before="13"/>
        <w:ind w:right="1090"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日，本公司与浙江浙能电力股份有限公司（以下简称</w:t>
      </w:r>
      <w:r>
        <w:rPr>
          <w:rFonts w:ascii="Times New Roman" w:hAnsi="Times New Roman" w:cs="Times New Roman" w:eastAsia="Times New Roman" w:hint="default"/>
        </w:rPr>
        <w:t>“</w:t>
      </w:r>
      <w:r>
        <w:rPr/>
        <w:t>浙能电力</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或其关联方与公司签订了《股 权合作协议》。浙能电力拟受让浙江瑞旭投资有限公司等</w:t>
      </w:r>
      <w:r>
        <w:rPr>
          <w:rFonts w:ascii="Times New Roman" w:hAnsi="Times New Roman" w:cs="Times New Roman" w:eastAsia="Times New Roman" w:hint="default"/>
        </w:rPr>
        <w:t>12</w:t>
      </w:r>
      <w:r>
        <w:rPr/>
        <w:t>家子公司的</w:t>
      </w:r>
      <w:r>
        <w:rPr>
          <w:rFonts w:ascii="Times New Roman" w:hAnsi="Times New Roman" w:cs="Times New Roman" w:eastAsia="Times New Roman" w:hint="default"/>
        </w:rPr>
        <w:t>100%</w:t>
      </w:r>
      <w:r>
        <w:rPr/>
        <w:t>股权、新疆聚阳能源科技有限公司</w:t>
      </w:r>
      <w:r>
        <w:rPr>
          <w:rFonts w:ascii="Times New Roman" w:hAnsi="Times New Roman" w:cs="Times New Roman" w:eastAsia="Times New Roman" w:hint="default"/>
        </w:rPr>
        <w:t>99.75%</w:t>
      </w:r>
      <w:r>
        <w:rPr/>
        <w:t>股权</w:t>
      </w:r>
      <w:r>
        <w:rPr>
          <w:spacing w:val="-70"/>
        </w:rPr>
        <w:t> </w:t>
      </w:r>
      <w:r>
        <w:rPr>
          <w:spacing w:val="-2"/>
        </w:rPr>
        <w:t>以及九州方园博乐市新能源有限公司</w:t>
      </w:r>
      <w:r>
        <w:rPr>
          <w:rFonts w:ascii="Times New Roman" w:hAnsi="Times New Roman" w:cs="Times New Roman" w:eastAsia="Times New Roman" w:hint="default"/>
          <w:spacing w:val="-2"/>
        </w:rPr>
        <w:t>70%</w:t>
      </w:r>
      <w:r>
        <w:rPr>
          <w:spacing w:val="-2"/>
        </w:rPr>
        <w:t>股权，转让价格为</w:t>
      </w:r>
      <w:r>
        <w:rPr>
          <w:rFonts w:ascii="Times New Roman" w:hAnsi="Times New Roman" w:cs="Times New Roman" w:eastAsia="Times New Roman" w:hint="default"/>
          <w:spacing w:val="-2"/>
        </w:rPr>
        <w:t>9.66</w:t>
      </w:r>
      <w:r>
        <w:rPr>
          <w:spacing w:val="-2"/>
        </w:rPr>
        <w:t>亿元。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10-12</w:t>
      </w:r>
      <w:r>
        <w:rPr>
          <w:spacing w:val="-2"/>
        </w:rPr>
        <w:t>月本公司之子公司苏州中康电力开发有限</w:t>
      </w:r>
      <w:r>
        <w:rPr>
          <w:spacing w:val="-34"/>
        </w:rPr>
        <w:t> </w:t>
      </w:r>
      <w:r>
        <w:rPr/>
        <w:t>公司（以下简称</w:t>
      </w:r>
      <w:r>
        <w:rPr>
          <w:rFonts w:ascii="Times New Roman" w:hAnsi="Times New Roman" w:cs="Times New Roman" w:eastAsia="Times New Roman" w:hint="default"/>
        </w:rPr>
        <w:t>“</w:t>
      </w:r>
      <w:r>
        <w:rPr/>
        <w:t>中康电力</w:t>
      </w:r>
      <w:r>
        <w:rPr>
          <w:rFonts w:ascii="Times New Roman" w:hAnsi="Times New Roman" w:cs="Times New Roman" w:eastAsia="Times New Roman" w:hint="default"/>
        </w:rPr>
        <w:t>”</w:t>
      </w:r>
      <w:r>
        <w:rPr/>
        <w:t>）与浙江清能能源发展有限公司（以下简称</w:t>
      </w:r>
      <w:r>
        <w:rPr>
          <w:rFonts w:ascii="Times New Roman" w:hAnsi="Times New Roman" w:cs="Times New Roman" w:eastAsia="Times New Roman" w:hint="default"/>
        </w:rPr>
        <w:t>“</w:t>
      </w:r>
      <w:r>
        <w:rPr/>
        <w:t>浙江清能</w:t>
      </w:r>
      <w:r>
        <w:rPr>
          <w:rFonts w:ascii="Times New Roman" w:hAnsi="Times New Roman" w:cs="Times New Roman" w:eastAsia="Times New Roman" w:hint="default"/>
        </w:rPr>
        <w:t>”</w:t>
      </w:r>
      <w:r>
        <w:rPr/>
        <w:t>）分别签订关于浙江瑞旭投资有限公司、 </w:t>
      </w:r>
      <w:r>
        <w:rPr>
          <w:spacing w:val="-2"/>
        </w:rPr>
        <w:t>无锡中康电力开发有限公司、丹阳中康电力开发有限公司、宿州恒康新能源有限公司、内蒙古四子王旗神光能源发展有限公</w:t>
      </w:r>
      <w:r>
        <w:rPr>
          <w:spacing w:val="-66"/>
        </w:rPr>
        <w:t> </w:t>
      </w:r>
      <w:r>
        <w:rPr>
          <w:spacing w:val="-66"/>
        </w:rPr>
      </w:r>
      <w:r>
        <w:rPr>
          <w:spacing w:val="-2"/>
        </w:rPr>
        <w:t>司、徐州统联新能源有限公司、泰州中康新能源有限公司、南康爱康新能源科技有限公司、济南统联新能源有限公司、特克</w:t>
      </w:r>
      <w:r>
        <w:rPr>
          <w:spacing w:val="-66"/>
        </w:rPr>
        <w:t> </w:t>
      </w:r>
      <w:r>
        <w:rPr>
          <w:spacing w:val="-66"/>
        </w:rPr>
      </w:r>
      <w:r>
        <w:rPr/>
        <w:t>斯昱辉太阳能开发有限公司、九州方园博州新能源有限公司、新疆伊阳能源科技有限公司的</w:t>
      </w:r>
      <w:r>
        <w:rPr>
          <w:rFonts w:ascii="Times New Roman" w:hAnsi="Times New Roman" w:cs="Times New Roman" w:eastAsia="Times New Roman" w:hint="default"/>
        </w:rPr>
        <w:t>100%</w:t>
      </w:r>
      <w:r>
        <w:rPr/>
        <w:t>股权、新疆聚阳能源科技</w:t>
      </w:r>
      <w:r>
        <w:rPr>
          <w:spacing w:val="-53"/>
        </w:rPr>
        <w:t> </w:t>
      </w:r>
      <w:r>
        <w:rPr>
          <w:spacing w:val="-53"/>
        </w:rPr>
      </w:r>
      <w:r>
        <w:rPr/>
        <w:t>有限公司的</w:t>
      </w:r>
      <w:r>
        <w:rPr>
          <w:rFonts w:ascii="Times New Roman" w:hAnsi="Times New Roman" w:cs="Times New Roman" w:eastAsia="Times New Roman" w:hint="default"/>
        </w:rPr>
        <w:t>100%</w:t>
      </w:r>
      <w:r>
        <w:rPr/>
        <w:t>股权和九州方园博乐市新能源有限公司的</w:t>
      </w:r>
      <w:r>
        <w:rPr>
          <w:rFonts w:ascii="Times New Roman" w:hAnsi="Times New Roman" w:cs="Times New Roman" w:eastAsia="Times New Roman" w:hint="default"/>
        </w:rPr>
        <w:t>70%</w:t>
      </w:r>
      <w:r>
        <w:rPr/>
        <w:t>股权的《股权转让协议》并完成工商变更登记。截至</w:t>
      </w:r>
      <w:r>
        <w:rPr>
          <w:rFonts w:ascii="Times New Roman" w:hAnsi="Times New Roman" w:cs="Times New Roman" w:eastAsia="Times New Roman" w:hint="default"/>
        </w:rPr>
        <w:t>2018</w:t>
      </w:r>
      <w:r>
        <w:rPr/>
        <w:t>年</w:t>
      </w:r>
      <w:r>
        <w:rPr>
          <w:spacing w:val="-28"/>
        </w:rPr>
        <w:t> </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日，本公司除持有九州方园博乐市新能源有限公司的剩余</w:t>
      </w:r>
      <w:r>
        <w:rPr>
          <w:rFonts w:ascii="Times New Roman" w:hAnsi="Times New Roman" w:cs="Times New Roman" w:eastAsia="Times New Roman" w:hint="default"/>
          <w:spacing w:val="-1"/>
        </w:rPr>
        <w:t>30%</w:t>
      </w:r>
      <w:r>
        <w:rPr>
          <w:spacing w:val="-1"/>
        </w:rPr>
        <w:t>股权外，不再持有上述其他公司股权。根据股权转让协</w:t>
      </w:r>
      <w:r>
        <w:rPr>
          <w:spacing w:val="-84"/>
        </w:rPr>
        <w:t> </w:t>
      </w:r>
      <w:r>
        <w:rPr>
          <w:spacing w:val="-84"/>
        </w:rPr>
      </w:r>
      <w:r>
        <w:rPr>
          <w:spacing w:val="-2"/>
        </w:rPr>
        <w:t>议和其他相关协议：截至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日，浙江清能支付进度款后尚余</w:t>
      </w:r>
      <w:r>
        <w:rPr>
          <w:rFonts w:ascii="Times New Roman" w:hAnsi="Times New Roman" w:cs="Times New Roman" w:eastAsia="Times New Roman" w:hint="default"/>
          <w:spacing w:val="-2"/>
        </w:rPr>
        <w:t>57,052.68</w:t>
      </w:r>
      <w:r>
        <w:rPr>
          <w:spacing w:val="-2"/>
        </w:rPr>
        <w:t>万元股权转让款未支付，剩余款项将在</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日前收回；本公司需按约定进行各公司电站项目的整改消缺工作，根据测算公司计提了</w:t>
      </w:r>
      <w:r>
        <w:rPr>
          <w:rFonts w:ascii="Times New Roman" w:hAnsi="Times New Roman" w:cs="Times New Roman" w:eastAsia="Times New Roman" w:hint="default"/>
        </w:rPr>
        <w:t>3,420.00</w:t>
      </w:r>
      <w:r>
        <w:rPr/>
        <w:t>万元的预计负债，</w:t>
      </w:r>
      <w:r>
        <w:rPr>
          <w:spacing w:val="-84"/>
        </w:rPr>
        <w:t> </w:t>
      </w:r>
      <w:r>
        <w:rPr>
          <w:spacing w:val="-2"/>
        </w:rPr>
        <w:t>该项工作将在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日前完成；</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日至股权转让日为过渡期，过渡期损益归属于本公司，本公司计提过渡期</w:t>
      </w:r>
      <w:r>
        <w:rPr>
          <w:spacing w:val="-52"/>
        </w:rPr>
        <w:t> </w:t>
      </w:r>
      <w:r>
        <w:rPr>
          <w:spacing w:val="-52"/>
        </w:rPr>
      </w:r>
      <w:r>
        <w:rPr/>
        <w:t>各公司分红收益</w:t>
      </w:r>
      <w:r>
        <w:rPr>
          <w:rFonts w:ascii="Times New Roman" w:hAnsi="Times New Roman" w:cs="Times New Roman" w:eastAsia="Times New Roman" w:hint="default"/>
        </w:rPr>
        <w:t>8,752.85</w:t>
      </w:r>
      <w:r>
        <w:rPr/>
        <w:t>万元和亏损公司负债</w:t>
      </w:r>
      <w:r>
        <w:rPr>
          <w:rFonts w:ascii="Times New Roman" w:hAnsi="Times New Roman" w:cs="Times New Roman" w:eastAsia="Times New Roman" w:hint="default"/>
        </w:rPr>
        <w:t>315.12</w:t>
      </w:r>
      <w:r>
        <w:rPr/>
        <w:t>万元。截至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日，上述出售电站项目公司合计需支付本公司</w:t>
      </w:r>
      <w:r>
        <w:rPr>
          <w:spacing w:val="-47"/>
        </w:rPr>
        <w:t> </w:t>
      </w:r>
      <w:r>
        <w:rPr>
          <w:spacing w:val="-47"/>
        </w:rPr>
      </w:r>
      <w:r>
        <w:rPr/>
        <w:t>往来款和分红款余额为</w:t>
      </w:r>
      <w:r>
        <w:rPr>
          <w:rFonts w:ascii="Times New Roman" w:hAnsi="Times New Roman" w:cs="Times New Roman" w:eastAsia="Times New Roman" w:hint="default"/>
        </w:rPr>
        <w:t>98,719.45</w:t>
      </w:r>
      <w:r>
        <w:rPr/>
        <w:t>万元。</w:t>
      </w:r>
    </w:p>
    <w:p>
      <w:pPr>
        <w:spacing w:line="240" w:lineRule="auto" w:before="12"/>
        <w:rPr>
          <w:rFonts w:ascii="宋体" w:hAnsi="宋体" w:cs="宋体" w:eastAsia="宋体" w:hint="default"/>
          <w:sz w:val="21"/>
          <w:szCs w:val="21"/>
        </w:rPr>
      </w:pPr>
    </w:p>
    <w:p>
      <w:pPr>
        <w:spacing w:line="487" w:lineRule="auto" w:before="0"/>
        <w:ind w:left="154" w:right="6792" w:firstLine="0"/>
        <w:jc w:val="left"/>
        <w:rPr>
          <w:rFonts w:ascii="宋体" w:hAnsi="宋体" w:cs="宋体" w:eastAsia="宋体" w:hint="default"/>
          <w:sz w:val="21"/>
          <w:szCs w:val="21"/>
        </w:rPr>
      </w:pPr>
      <w:bookmarkStart w:name="8、其他" w:id="501"/>
      <w:bookmarkEnd w:id="50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02"/>
      <w:bookmarkEnd w:id="50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503"/>
      <w:bookmarkEnd w:id="503"/>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1,127,206.75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23,217,317.72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655,976,890.89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693,271,703.03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657,104,097.64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716,489,020.75</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1）应收票据" w:id="504"/>
      <w:bookmarkEnd w:id="504"/>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10,577,222.00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1,027,206.75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12,640,095.72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1,127,206.75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23,217,317.72</w:t>
            </w:r>
          </w:p>
        </w:tc>
      </w:tr>
    </w:tbl>
    <w:p>
      <w:pPr>
        <w:pStyle w:val="BodyText"/>
        <w:spacing w:line="240" w:lineRule="auto" w:before="51"/>
        <w:ind w:right="1122"/>
        <w:jc w:val="left"/>
      </w:pPr>
      <w:r>
        <w:rPr>
          <w:rFonts w:ascii="Times New Roman" w:hAnsi="Times New Roman" w:cs="Times New Roman" w:eastAsia="Times New Roman" w:hint="default"/>
        </w:rPr>
        <w:t>2)</w:t>
      </w:r>
      <w:r>
        <w:rPr/>
        <w:t>期末公司已质押的应收票据</w:t>
      </w:r>
    </w:p>
    <w:p>
      <w:pPr>
        <w:pStyle w:val="BodyText"/>
        <w:spacing w:line="240" w:lineRule="auto" w:before="10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2"/>
        <w:ind w:right="1122"/>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200,003,908.18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200,003,908.18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4)期末公司因出票人未履约而将其转应收账款的票据" w:id="505"/>
      <w:bookmarkEnd w:id="505"/>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2）应收账款" w:id="506"/>
      <w:bookmarkEnd w:id="506"/>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5,166,50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5,019,53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146,963.6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5,985,0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35.44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4,977,060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1,007,975.3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655,819,</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783.53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655,819,7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83.53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692,262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,797.22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98.90%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692,262,79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7.22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2,309,01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2,298,86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99.56%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10,143.76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1,686,5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21.60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1,685,591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930.45</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663,295,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299.93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7,318,40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1.10%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655,976,8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90.89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699,934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,354.26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6,662,651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0.95%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693,271,70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3.03</w:t>
            </w:r>
          </w:p>
        </w:tc>
      </w:tr>
      <w:tr>
        <w:trPr>
          <w:trHeight w:val="393"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1"/>
              <w:ind w:left="22" w:right="379"/>
              <w:jc w:val="left"/>
              <w:rPr>
                <w:rFonts w:ascii="Times New Roman" w:hAnsi="Times New Roman" w:cs="Times New Roman" w:eastAsia="Times New Roman" w:hint="default"/>
                <w:sz w:val="18"/>
                <w:szCs w:val="18"/>
              </w:rPr>
            </w:pPr>
            <w:r>
              <w:rPr>
                <w:rFonts w:ascii="Times New Roman" w:hAnsi="Times New Roman"/>
                <w:sz w:val="18"/>
              </w:rPr>
              <w:t>SolarWorld</w:t>
            </w:r>
            <w:r>
              <w:rPr>
                <w:rFonts w:ascii="Times New Roman" w:hAnsi="Times New Roman"/>
                <w:spacing w:val="-13"/>
                <w:sz w:val="18"/>
              </w:rPr>
              <w:t> </w:t>
            </w:r>
            <w:r>
              <w:rPr>
                <w:rFonts w:ascii="Times New Roman" w:hAnsi="Times New Roman"/>
                <w:sz w:val="18"/>
              </w:rPr>
              <w:t>Industries</w:t>
            </w:r>
            <w:r>
              <w:rPr>
                <w:rFonts w:ascii="Times New Roman" w:hAnsi="Times New Roman"/>
                <w:w w:val="99"/>
                <w:sz w:val="18"/>
              </w:rPr>
              <w:t> </w:t>
            </w:r>
            <w:r>
              <w:rPr>
                <w:rFonts w:ascii="Times New Roman" w:hAnsi="Times New Roman"/>
                <w:sz w:val="18"/>
              </w:rPr>
              <w:t>Thüringen</w:t>
            </w:r>
            <w:r>
              <w:rPr>
                <w:rFonts w:ascii="Times New Roman" w:hAnsi="Times New Roman"/>
                <w:spacing w:val="-5"/>
                <w:sz w:val="18"/>
              </w:rPr>
              <w:t> </w:t>
            </w:r>
            <w:r>
              <w:rPr>
                <w:rFonts w:ascii="Times New Roman" w:hAnsi="Times New Roman"/>
                <w:sz w:val="18"/>
              </w:rPr>
              <w:t>GmbH</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2,060,355.91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2,060,355.91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Sovello</w:t>
            </w:r>
            <w:r>
              <w:rPr>
                <w:rFonts w:ascii="Times New Roman"/>
                <w:spacing w:val="-2"/>
                <w:sz w:val="18"/>
              </w:rPr>
              <w:t> </w:t>
            </w:r>
            <w:r>
              <w:rPr>
                <w:rFonts w:ascii="Times New Roman"/>
                <w:sz w:val="18"/>
              </w:rPr>
              <w:t>GMBH</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1,728,066.49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1,728,066.49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Hanwha Q.Cells</w:t>
            </w:r>
            <w:r>
              <w:rPr>
                <w:rFonts w:ascii="Times New Roman"/>
                <w:spacing w:val="-6"/>
                <w:sz w:val="18"/>
              </w:rPr>
              <w:t> </w:t>
            </w:r>
            <w:r>
              <w:rPr>
                <w:rFonts w:ascii="Times New Roman"/>
                <w:sz w:val="18"/>
              </w:rPr>
              <w:t>GmbH</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851,041.54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704,077.94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REC Solar Pte.</w:t>
            </w:r>
            <w:r>
              <w:rPr>
                <w:rFonts w:ascii="Times New Roman"/>
                <w:spacing w:val="-3"/>
                <w:sz w:val="18"/>
              </w:rPr>
              <w:t> </w:t>
            </w:r>
            <w:r>
              <w:rPr>
                <w:rFonts w:ascii="Times New Roman"/>
                <w:sz w:val="18"/>
              </w:rPr>
              <w:t>Ltd.</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527,038.74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527,038.74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5,166,502.68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5,019,539.08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320"/>
        <w:jc w:val="left"/>
      </w:pPr>
      <w:r>
        <w:rPr/>
        <w:t>组合中，按账龄分析法计提坏账准备的应收账款：</w:t>
      </w:r>
    </w:p>
    <w:p>
      <w:pPr>
        <w:pStyle w:val="BodyText"/>
        <w:spacing w:line="338" w:lineRule="auto" w:before="117"/>
        <w:ind w:right="23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348" w:lineRule="auto" w:before="43"/>
        <w:ind w:right="26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38" w:lineRule="auto" w:before="14"/>
        <w:ind w:right="-16"/>
        <w:jc w:val="left"/>
      </w:pPr>
      <w:r>
        <w:rPr/>
        <w:t>本期计提坏账准备金额</w:t>
      </w:r>
      <w:r>
        <w:rPr>
          <w:spacing w:val="-46"/>
        </w:rPr>
        <w:t> </w:t>
      </w:r>
      <w:r>
        <w:rPr>
          <w:rFonts w:ascii="Times New Roman" w:hAnsi="Times New Roman" w:cs="Times New Roman" w:eastAsia="Times New Roman" w:hint="default"/>
        </w:rPr>
        <w:t>765,490.88</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107,346.92</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815" w:space="201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1122"/>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1122"/>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2"/>
        <w:ind w:right="9132"/>
        <w:jc w:val="left"/>
      </w:pPr>
      <w:r>
        <w:rPr/>
        <w:t>应收账款核销说明： 无</w:t>
      </w:r>
    </w:p>
    <w:p>
      <w:pPr>
        <w:pStyle w:val="BodyText"/>
        <w:spacing w:line="338" w:lineRule="auto" w:before="29"/>
        <w:ind w:left="514" w:right="1122" w:hanging="360"/>
        <w:jc w:val="left"/>
      </w:pPr>
      <w:r>
        <w:rPr>
          <w:rFonts w:ascii="Times New Roman" w:hAnsi="Times New Roman" w:cs="Times New Roman" w:eastAsia="Times New Roman" w:hint="default"/>
        </w:rPr>
        <w:t>4)</w:t>
      </w:r>
      <w:r>
        <w:rPr/>
        <w:t>按欠款方归集的期末余额前五名的应收账款情况</w:t>
      </w:r>
      <w:r>
        <w:rPr>
          <w:w w:val="99"/>
        </w:rPr>
        <w:t> </w:t>
      </w:r>
      <w:r>
        <w:rPr/>
        <w:t>本公司本年按欠款方归集的年末余额前五名应收账款汇总金额</w:t>
      </w:r>
      <w:r>
        <w:rPr>
          <w:rFonts w:ascii="Times New Roman" w:hAnsi="Times New Roman" w:cs="Times New Roman" w:eastAsia="Times New Roman" w:hint="default"/>
        </w:rPr>
        <w:t>526,689,302.58</w:t>
      </w:r>
      <w:r>
        <w:rPr/>
        <w:t>元，占应收账款年末余额合计数的比</w:t>
      </w:r>
    </w:p>
    <w:p>
      <w:pPr>
        <w:pStyle w:val="BodyText"/>
        <w:spacing w:line="230" w:lineRule="exact"/>
        <w:ind w:right="1122"/>
        <w:jc w:val="left"/>
      </w:pPr>
      <w:r>
        <w:rPr/>
        <w:t>例</w:t>
      </w:r>
      <w:r>
        <w:rPr>
          <w:rFonts w:ascii="Times New Roman" w:hAnsi="Times New Roman" w:cs="Times New Roman" w:eastAsia="Times New Roman" w:hint="default"/>
        </w:rPr>
        <w:t>79.40%</w:t>
      </w:r>
      <w:r>
        <w:rPr/>
        <w:t>，相应计提的坏账准备年末余额汇总金额</w:t>
      </w:r>
      <w:r>
        <w:rPr>
          <w:rFonts w:ascii="Times New Roman" w:hAnsi="Times New Roman" w:cs="Times New Roman" w:eastAsia="Times New Roman" w:hint="default"/>
        </w:rPr>
        <w:t>704,077.94</w:t>
      </w:r>
      <w:r>
        <w:rPr/>
        <w:t>元。</w:t>
      </w:r>
    </w:p>
    <w:p>
      <w:pPr>
        <w:pStyle w:val="BodyText"/>
        <w:spacing w:line="240" w:lineRule="auto" w:before="103"/>
        <w:ind w:right="1122"/>
        <w:jc w:val="left"/>
      </w:pPr>
      <w:r>
        <w:rPr>
          <w:rFonts w:ascii="Times New Roman" w:hAnsi="Times New Roman" w:cs="Times New Roman" w:eastAsia="Times New Roman" w:hint="default"/>
        </w:rPr>
        <w:t>5)</w:t>
      </w:r>
      <w:r>
        <w:rPr/>
        <w:t>因金融资产转移而终止确认的应收账款</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952"/>
        <w:gridCol w:w="2763"/>
        <w:gridCol w:w="3500"/>
      </w:tblGrid>
      <w:tr>
        <w:trPr>
          <w:trHeight w:val="355" w:hRule="exact"/>
        </w:trPr>
        <w:tc>
          <w:tcPr>
            <w:tcW w:w="29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747" w:right="0"/>
              <w:jc w:val="left"/>
              <w:rPr>
                <w:rFonts w:ascii="宋体" w:hAnsi="宋体" w:cs="宋体" w:eastAsia="宋体" w:hint="default"/>
                <w:sz w:val="18"/>
                <w:szCs w:val="18"/>
              </w:rPr>
            </w:pPr>
            <w:r>
              <w:rPr>
                <w:rFonts w:ascii="宋体" w:hAnsi="宋体" w:cs="宋体" w:eastAsia="宋体" w:hint="default"/>
                <w:sz w:val="18"/>
                <w:szCs w:val="18"/>
              </w:rPr>
              <w:t>金融资产转移方式</w:t>
            </w:r>
          </w:p>
        </w:tc>
        <w:tc>
          <w:tcPr>
            <w:tcW w:w="27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82" w:right="0"/>
              <w:jc w:val="left"/>
              <w:rPr>
                <w:rFonts w:ascii="宋体" w:hAnsi="宋体" w:cs="宋体" w:eastAsia="宋体" w:hint="default"/>
                <w:sz w:val="18"/>
                <w:szCs w:val="18"/>
              </w:rPr>
            </w:pPr>
            <w:r>
              <w:rPr>
                <w:rFonts w:ascii="宋体" w:hAnsi="宋体" w:cs="宋体" w:eastAsia="宋体" w:hint="default"/>
                <w:sz w:val="18"/>
                <w:szCs w:val="18"/>
              </w:rPr>
              <w:t>终止确认的应收账款金额</w:t>
            </w:r>
          </w:p>
        </w:tc>
        <w:tc>
          <w:tcPr>
            <w:tcW w:w="35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572"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352" w:hRule="exact"/>
        </w:trPr>
        <w:tc>
          <w:tcPr>
            <w:tcW w:w="2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应收账款买断保理</w:t>
            </w:r>
          </w:p>
        </w:tc>
        <w:tc>
          <w:tcPr>
            <w:tcW w:w="27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65,806,429.45</w:t>
            </w:r>
          </w:p>
        </w:tc>
        <w:tc>
          <w:tcPr>
            <w:tcW w:w="35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-1,600,569.25</w:t>
            </w:r>
          </w:p>
        </w:tc>
      </w:tr>
      <w:tr>
        <w:trPr>
          <w:trHeight w:val="352" w:hRule="exact"/>
        </w:trPr>
        <w:tc>
          <w:tcPr>
            <w:tcW w:w="29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7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65,806,429.45</w:t>
            </w:r>
          </w:p>
        </w:tc>
        <w:tc>
          <w:tcPr>
            <w:tcW w:w="35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-1,600,569.25</w:t>
            </w:r>
          </w:p>
        </w:tc>
      </w:tr>
    </w:tbl>
    <w:p>
      <w:pPr>
        <w:pStyle w:val="BodyText"/>
        <w:spacing w:line="300" w:lineRule="auto" w:before="11"/>
        <w:ind w:left="392" w:right="1122" w:firstLine="180"/>
        <w:jc w:val="left"/>
      </w:pPr>
      <w:r>
        <w:rPr/>
        <w:t>注：于</w:t>
      </w:r>
      <w:r>
        <w:rPr>
          <w:rFonts w:ascii="Times New Roman" w:hAnsi="Times New Roman" w:cs="Times New Roman" w:eastAsia="Times New Roman" w:hint="default"/>
        </w:rPr>
        <w:t>2018</w:t>
      </w:r>
      <w:r>
        <w:rPr/>
        <w:t>年，本公司向金融机构以不附追索权的方式转让了应收账款</w:t>
      </w:r>
      <w:r>
        <w:rPr>
          <w:rFonts w:ascii="Times New Roman" w:hAnsi="Times New Roman" w:cs="Times New Roman" w:eastAsia="Times New Roman" w:hint="default"/>
        </w:rPr>
        <w:t>65,806,429.45</w:t>
      </w:r>
      <w:r>
        <w:rPr/>
        <w:t>元，相关的损失为</w:t>
      </w:r>
      <w:r>
        <w:rPr>
          <w:rFonts w:ascii="Times New Roman" w:hAnsi="Times New Roman" w:cs="Times New Roman" w:eastAsia="Times New Roman" w:hint="default"/>
        </w:rPr>
        <w:t>1,600,569.25 </w:t>
      </w:r>
      <w:r>
        <w:rPr/>
        <w:t>元。</w:t>
      </w:r>
    </w:p>
    <w:p>
      <w:pPr>
        <w:pStyle w:val="BodyText"/>
        <w:spacing w:line="340" w:lineRule="auto" w:before="72"/>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after="0" w:line="3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2、其他应收款" w:id="507"/>
      <w:bookmarkEnd w:id="50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12,908,525.88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17,881,268.19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123,712,834.39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2,962,974,166.88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3,079,003,769.64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3,099,595,527.15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3,096,885,037.83</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1）应收利息" w:id="508"/>
      <w:bookmarkEnd w:id="508"/>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12,908,525.88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17,881,268.19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12,908,525.88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17,881,268.19</w:t>
            </w:r>
          </w:p>
        </w:tc>
      </w:tr>
    </w:tbl>
    <w:p>
      <w:pPr>
        <w:pStyle w:val="BodyText"/>
        <w:spacing w:line="240" w:lineRule="auto" w:before="51"/>
        <w:ind w:right="1122"/>
        <w:jc w:val="left"/>
      </w:pPr>
      <w:r>
        <w:rPr>
          <w:rFonts w:ascii="Times New Roman" w:hAnsi="Times New Roman" w:cs="Times New Roman" w:eastAsia="Times New Roman" w:hint="default"/>
        </w:rPr>
        <w:t>2)</w:t>
      </w:r>
      <w:r>
        <w:rPr/>
        <w:t>重要逾期利息</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2）应收股利" w:id="509"/>
      <w:bookmarkEnd w:id="509"/>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苏州中康电力开发有限公司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123,712,834.39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123,712,834.39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22"/>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3）其他应收款" w:id="510"/>
      <w:bookmarkEnd w:id="510"/>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2,182,35</w:t>
            </w:r>
          </w:p>
          <w:p>
            <w:pPr>
              <w:pStyle w:val="TableParagraph"/>
              <w:spacing w:line="240" w:lineRule="auto" w:before="106"/>
              <w:ind w:left="99" w:right="0"/>
              <w:jc w:val="left"/>
              <w:rPr>
                <w:rFonts w:ascii="Times New Roman" w:hAnsi="Times New Roman" w:cs="Times New Roman" w:eastAsia="Times New Roman" w:hint="default"/>
                <w:sz w:val="18"/>
                <w:szCs w:val="18"/>
              </w:rPr>
            </w:pPr>
            <w:r>
              <w:rPr>
                <w:rFonts w:ascii="Times New Roman"/>
                <w:sz w:val="18"/>
              </w:rPr>
              <w:t>3,020.09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8,408,53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2,173,944</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,485.37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8,936,8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95.58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8,408,534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528,360.86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789,029,</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681.51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26.55%</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789,029,6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81.51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75,408.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3,078,475,4</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08.78</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240,208.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240,208.</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240,208</w:t>
            </w:r>
          </w:p>
          <w:p>
            <w:pPr>
              <w:pStyle w:val="TableParagraph"/>
              <w:spacing w:line="240" w:lineRule="auto" w:before="106"/>
              <w:ind w:left="396"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240,208.0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2,971,62</w:t>
            </w:r>
          </w:p>
          <w:p>
            <w:pPr>
              <w:pStyle w:val="TableParagraph"/>
              <w:spacing w:line="240" w:lineRule="auto" w:before="106"/>
              <w:ind w:left="105" w:right="0"/>
              <w:jc w:val="left"/>
              <w:rPr>
                <w:rFonts w:ascii="Times New Roman" w:hAnsi="Times New Roman" w:cs="Times New Roman" w:eastAsia="Times New Roman" w:hint="default"/>
                <w:sz w:val="18"/>
                <w:szCs w:val="18"/>
              </w:rPr>
            </w:pPr>
            <w:r>
              <w:rPr>
                <w:rFonts w:ascii="Times New Roman"/>
                <w:sz w:val="18"/>
              </w:rPr>
              <w:t>2,909.60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8,648,74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2.72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0.29%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2,962,974</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,166.88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52,512.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8,648,742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0.28%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3,079,003,7</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69.64</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无锡爱康电力发展有限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2,182,353,020.09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8,408,534.72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2,182,353,020.09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8,408,534.72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1149"/>
        <w:jc w:val="left"/>
      </w:pPr>
      <w:r>
        <w:rPr/>
        <w:t>组合中，按账龄分析法计提坏账准备的其他应收款：</w:t>
      </w:r>
    </w:p>
    <w:p>
      <w:pPr>
        <w:pStyle w:val="BodyText"/>
        <w:spacing w:line="338" w:lineRule="auto" w:before="117"/>
        <w:ind w:right="1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40" w:lineRule="auto" w:before="42"/>
        <w:ind w:right="15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1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49"/>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7"/>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7"/>
        <w:ind w:left="153" w:right="0"/>
        <w:jc w:val="left"/>
      </w:pPr>
      <w:r>
        <w:rPr/>
        <w:t>单位： 元</w:t>
      </w:r>
    </w:p>
    <w:p>
      <w:pPr>
        <w:spacing w:after="0" w:line="240" w:lineRule="auto"/>
        <w:jc w:val="left"/>
        <w:sectPr>
          <w:type w:val="continuous"/>
          <w:pgSz w:w="11910" w:h="16840"/>
          <w:pgMar w:top="1060" w:bottom="1160" w:left="980" w:right="0"/>
          <w:cols w:num="2" w:equalWidth="0">
            <w:col w:w="5824" w:space="300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316" w:lineRule="auto" w:before="10"/>
        <w:ind w:right="1122"/>
        <w:jc w:val="left"/>
      </w:pPr>
      <w:r>
        <w:rPr>
          <w:spacing w:val="-2"/>
        </w:rPr>
        <w:t>注：无锡电力原无业务且净资产为负数无法收回计提了减值准备，本年公司组织结构调整，增加部分电站业务资产，本年未</w:t>
      </w:r>
      <w:r>
        <w:rPr>
          <w:spacing w:val="-66"/>
        </w:rPr>
        <w:t> </w:t>
      </w:r>
      <w:r>
        <w:rPr>
          <w:spacing w:val="-66"/>
        </w:rPr>
      </w:r>
      <w:r>
        <w:rPr/>
        <w:t>再补计提。</w:t>
      </w:r>
    </w:p>
    <w:p>
      <w:pPr>
        <w:spacing w:line="301" w:lineRule="exact" w:before="0"/>
        <w:ind w:left="154" w:right="112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本期实际核销的其他应收款情况</w:t>
      </w:r>
    </w:p>
    <w:p>
      <w:pPr>
        <w:pStyle w:val="BodyText"/>
        <w:spacing w:line="240" w:lineRule="auto" w:before="70"/>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332" w:hRule="exact"/>
        </w:trPr>
        <w:tc>
          <w:tcPr>
            <w:tcW w:w="4984" w:type="dxa"/>
            <w:tcBorders>
              <w:top w:val="nil" w:sz="6" w:space="0" w:color="auto"/>
              <w:left w:val="nil" w:sz="6" w:space="0" w:color="auto"/>
              <w:bottom w:val="single" w:sz="4" w:space="0" w:color="000000"/>
              <w:right w:val="nil" w:sz="6" w:space="0" w:color="auto"/>
            </w:tcBorders>
          </w:tcPr>
          <w:p>
            <w:pPr/>
          </w:p>
        </w:tc>
        <w:tc>
          <w:tcPr>
            <w:tcW w:w="458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1122"/>
        <w:jc w:val="left"/>
      </w:pPr>
      <w:r>
        <w:rPr/>
        <w:pict>
          <v:group style="position:absolute;margin-left:55.200001pt;margin-top:-36.978271pt;width:485pt;height:.1pt;mso-position-horizontal-relative:page;mso-position-vertical-relative:paragraph;z-index:-1591984" coordorigin="1104,-740" coordsize="9700,2">
            <v:shape style="position:absolute;left:1104;top:-740;width:9700;height:2" coordorigin="1104,-740" coordsize="9700,0" path="m1104,-740l10804,-740e" filled="false" stroked="true" strokeweight=".72pt" strokecolor="#000000">
              <v:path arrowok="t"/>
            </v:shape>
            <w10:wrap type="none"/>
          </v:group>
        </w:pict>
      </w: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240" w:lineRule="auto" w:before="52"/>
        <w:ind w:right="-20"/>
        <w:jc w:val="left"/>
      </w:pPr>
      <w:r>
        <w:rPr/>
        <w:t>其他应收款核销说明：</w:t>
      </w:r>
    </w:p>
    <w:p>
      <w:pPr>
        <w:pStyle w:val="BodyText"/>
        <w:spacing w:line="240" w:lineRule="auto" w:before="116"/>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11,407,413.43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2,953,755,157.26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3,038,089,747.20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1,198.00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17,867,002.34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38,154,153.73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2,971,622,909.60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3,087,652,512.36</w:t>
            </w:r>
          </w:p>
        </w:tc>
      </w:tr>
    </w:tbl>
    <w:p>
      <w:pPr>
        <w:pStyle w:val="BodyText"/>
        <w:spacing w:line="240" w:lineRule="auto" w:before="51"/>
        <w:ind w:right="1122"/>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9"/>
              <w:jc w:val="left"/>
              <w:rPr>
                <w:rFonts w:ascii="宋体" w:hAnsi="宋体" w:cs="宋体" w:eastAsia="宋体" w:hint="default"/>
                <w:sz w:val="18"/>
                <w:szCs w:val="18"/>
              </w:rPr>
            </w:pPr>
            <w:r>
              <w:rPr>
                <w:rFonts w:ascii="宋体" w:hAnsi="宋体" w:cs="宋体" w:eastAsia="宋体" w:hint="default"/>
                <w:sz w:val="18"/>
                <w:szCs w:val="18"/>
              </w:rPr>
              <w:t>无锡爱康电力发展有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2,182,353,020.09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73.44%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8,408,534.72</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苏州中康电力开发有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558,771,297.63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18.80%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赣州爱康光电科技有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江阴爱康光伏焊带有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35,498,581.54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上海爱康富罗纳售电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26,962,994.00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2,865,585,893.26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8,408,534.72</w:t>
            </w:r>
          </w:p>
        </w:tc>
      </w:tr>
    </w:tbl>
    <w:p>
      <w:pPr>
        <w:pStyle w:val="BodyText"/>
        <w:spacing w:line="240" w:lineRule="auto" w:before="51"/>
        <w:ind w:right="1122"/>
        <w:jc w:val="left"/>
      </w:pPr>
      <w:r>
        <w:rPr>
          <w:rFonts w:ascii="Times New Roman" w:hAnsi="Times New Roman" w:cs="Times New Roman" w:eastAsia="Times New Roman" w:hint="default"/>
        </w:rPr>
        <w:t>6)</w:t>
      </w:r>
      <w:r>
        <w:rPr/>
        <w:t>涉及政府补助的应收款项</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right="1122"/>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4"/>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after="0" w:line="338" w:lineRule="auto"/>
        <w:jc w:val="left"/>
        <w:sectPr>
          <w:type w:val="continuous"/>
          <w:pgSz w:w="11910" w:h="16840"/>
          <w:pgMar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3"/>
        <w:spacing w:line="240" w:lineRule="auto" w:before="35"/>
        <w:ind w:right="1122"/>
        <w:jc w:val="left"/>
        <w:rPr>
          <w:b w:val="0"/>
          <w:bCs w:val="0"/>
        </w:rPr>
      </w:pPr>
      <w:bookmarkStart w:name="3、长期股权投资" w:id="511"/>
      <w:bookmarkEnd w:id="51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5,612,514,577.52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34,912,488.06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5,577,602,089.46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5,194,345,669.81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17,997,360.00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5,176,348,309.81</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1,816,907,293.92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1,816,907,293.92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1,169,490,480.79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1,169,490,480.79</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7,429,421,871.44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34,912,488.06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7,394,509,383.38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6,363,836,150.60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17,997,360.00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6,345,838,790.60</w:t>
            </w: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1）对子公司投资" w:id="512"/>
      <w:bookmarkEnd w:id="51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无锡爱康电力发 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南通爱康金属科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279,300,000.00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苏州爱康金属科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192,048,000.00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192,048,000.00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江阴爱康光伏焊 带有限公司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1" w:right="0"/>
              <w:jc w:val="left"/>
              <w:rPr>
                <w:rFonts w:ascii="Times New Roman" w:hAnsi="Times New Roman" w:cs="Times New Roman" w:eastAsia="Times New Roman" w:hint="default"/>
                <w:sz w:val="18"/>
                <w:szCs w:val="18"/>
              </w:rPr>
            </w:pPr>
            <w:r>
              <w:rPr>
                <w:rFonts w:ascii="Times New Roman"/>
                <w:sz w:val="18"/>
              </w:rPr>
              <w:t>4,335,657.98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7,333,017.98</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苏州爱康电力开 发有限公司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香港爱康电力国 际控股有限公司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591,775,324.67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591,775,324.67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苏州中康电力开 发有限公司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1,415,046,064.84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434,953,935.16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苏州爱康光电科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507,759,349.38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507,759,349.38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苏州爱康电力检 测有限公司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苏州中康电力运 营有限公司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青海爱康电力有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20,060,000.00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上海富罗纳征信 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北京碳诺科技有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12,346,903.45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12,346,903.45</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9,875,283.92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9,875,283.92</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北京爱康新能电 力科技有限公司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福建爱康电力有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甘肃爱康电力有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赣州爱康新能电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广东爱康电力有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广西爱康新能电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广西新康电力有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贵州爱康新能电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河南爱康新能电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湖北爱康新能电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湖南爱康新能电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江苏爱康电力有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江苏爱康能源研 究院有限公司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182,527.47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182,527.47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江苏智鸿能源科 技发展有限公司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21,360,000.00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21,360,000.00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2,704,186.16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2,704,186.16</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辽宁爱康电力有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内蒙古爱康电力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陕西爱康新能电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上海爱康富罗纳 售电有限公司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上海慧喆信息技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四川爱康新能电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新疆爱康天电能 源有限公司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新疆爱康新能电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阳泉爱康新能电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阳泉爱康智慧电 力科技有限公司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云南新康能源电 力有限责任公司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浙江爱康电力有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重庆爱康新能电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西安爱康智慧能 源管理有限公司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2,167,500.00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2,167,500.00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3,214,972.55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3,214,972.55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5,194,345,669.81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438,168,907.71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5,612,514,577.52</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16,915,128.06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34,912,488.06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22"/>
        <w:jc w:val="left"/>
        <w:rPr>
          <w:b w:val="0"/>
          <w:bCs w:val="0"/>
        </w:rPr>
      </w:pPr>
      <w:bookmarkStart w:name="（2）对联营、合营企业投资" w:id="513"/>
      <w:bookmarkEnd w:id="51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苏州爱康 能源工程 技术股份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813,767,8</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09.71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205,036,0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62,541,11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738,414.5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1,082,083</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,344.22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赣州发展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355,722,6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168,870,0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33,861,66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558,454,3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融资租赁 有限责任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1" w:right="0"/>
              <w:jc w:val="left"/>
              <w:rPr>
                <w:rFonts w:ascii="Times New Roman" w:hAnsi="Times New Roman" w:cs="Times New Roman" w:eastAsia="Times New Roman" w:hint="default"/>
                <w:sz w:val="18"/>
                <w:szCs w:val="18"/>
              </w:rPr>
            </w:pPr>
            <w:r>
              <w:rPr>
                <w:rFonts w:ascii="Times New Roman"/>
                <w:sz w:val="18"/>
              </w:rPr>
              <w:t>71.08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35.08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江西省金 控融资租 赁股份有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167,889,5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27.76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8,480,086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176,369,6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14.62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苏州爱康 新能投资 管理有限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1,169,490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,480.79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541,795,5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27.76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96,402,78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738,414.5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8,480,086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1,816,907</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,293.92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1,169,490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,480.79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541,795,5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27.76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96,402,78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738,414.5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8,480,086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1,816,907</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,293.92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22"/>
        <w:jc w:val="left"/>
        <w:rPr>
          <w:b w:val="0"/>
          <w:bCs w:val="0"/>
        </w:rPr>
      </w:pPr>
      <w:bookmarkStart w:name="（3）其他说明" w:id="514"/>
      <w:bookmarkEnd w:id="514"/>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4、营业收入和营业成本" w:id="515"/>
      <w:bookmarkEnd w:id="51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1,889,452,292.11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1,676,476,438.56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1,544,213,787.15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1,382,262,700.99</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28,916,344.97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44,069,475.47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37,071,357.99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57,735,613.64</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1,918,368,637.08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1,720,545,914.03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1,581,285,145.14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1,439,998,314.63</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22"/>
        <w:jc w:val="left"/>
        <w:rPr>
          <w:b w:val="0"/>
          <w:bCs w:val="0"/>
        </w:rPr>
      </w:pPr>
      <w:bookmarkStart w:name="5、投资收益" w:id="516"/>
      <w:bookmarkEnd w:id="51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204,063,177.54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96,402,783.92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48,119,610.77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-66,200.00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59,999,264.83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37,086.13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远期外汇合约</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-7,694,149.80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99,760.00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292,742,697.79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208,218,635.60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6、其他" w:id="517"/>
      <w:bookmarkEnd w:id="517"/>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1122"/>
        <w:jc w:val="left"/>
        <w:rPr>
          <w:b w:val="0"/>
          <w:bCs w:val="0"/>
        </w:rPr>
      </w:pPr>
      <w:bookmarkStart w:name="十八、补充资料" w:id="518"/>
      <w:bookmarkEnd w:id="518"/>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当期非经常性损益明细表" w:id="519"/>
      <w:bookmarkEnd w:id="51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17" w:hRule="exact"/>
        </w:trPr>
        <w:tc>
          <w:tcPr>
            <w:tcW w:w="3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96" w:right="0"/>
              <w:jc w:val="left"/>
              <w:rPr>
                <w:rFonts w:ascii="Times New Roman" w:hAnsi="Times New Roman" w:cs="Times New Roman" w:eastAsia="Times New Roman" w:hint="default"/>
                <w:sz w:val="18"/>
                <w:szCs w:val="18"/>
              </w:rPr>
            </w:pPr>
            <w:r>
              <w:rPr>
                <w:rFonts w:ascii="Times New Roman"/>
                <w:sz w:val="18"/>
              </w:rPr>
              <w:t>25,820,426.27</w:t>
            </w:r>
          </w:p>
        </w:tc>
        <w:tc>
          <w:tcPr>
            <w:tcW w:w="3186"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93"/>
              <w:jc w:val="both"/>
              <w:rPr>
                <w:rFonts w:ascii="宋体" w:hAnsi="宋体" w:cs="宋体" w:eastAsia="宋体" w:hint="default"/>
                <w:sz w:val="18"/>
                <w:szCs w:val="18"/>
              </w:rPr>
            </w:pPr>
            <w:r>
              <w:rPr>
                <w:rFonts w:ascii="宋体" w:hAnsi="宋体" w:cs="宋体" w:eastAsia="宋体" w:hint="default"/>
                <w:sz w:val="18"/>
                <w:szCs w:val="18"/>
              </w:rPr>
              <w:t>主要为报告期公司出售子公司日本爱康 株式会社、部分光伏电站股权所取得投 资收益等。</w:t>
            </w:r>
          </w:p>
        </w:tc>
      </w:tr>
      <w:tr>
        <w:trPr>
          <w:trHeight w:val="392"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317" w:hRule="exact"/>
        </w:trPr>
        <w:tc>
          <w:tcPr>
            <w:tcW w:w="3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1"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121,640,205.12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3"/>
              <w:jc w:val="left"/>
              <w:rPr>
                <w:rFonts w:ascii="宋体" w:hAnsi="宋体" w:cs="宋体" w:eastAsia="宋体" w:hint="default"/>
                <w:sz w:val="18"/>
                <w:szCs w:val="18"/>
              </w:rPr>
            </w:pPr>
            <w:r>
              <w:rPr>
                <w:rFonts w:ascii="宋体" w:hAnsi="宋体" w:cs="宋体" w:eastAsia="宋体" w:hint="default"/>
                <w:sz w:val="18"/>
                <w:szCs w:val="18"/>
              </w:rPr>
              <w:t>主要系报告期公司收到政府补贴增加所 致。</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8,736,951.69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-9,670,420.80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4,283,711.29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1,995,760.87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35,286,873.58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278,389.88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117,241,370.98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2、净资产收益率及每股收益" w:id="520"/>
      <w:bookmarkEnd w:id="52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0.028</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0.002</w:t>
            </w:r>
          </w:p>
        </w:tc>
      </w:tr>
    </w:tbl>
    <w:p>
      <w:pPr>
        <w:spacing w:line="240" w:lineRule="auto" w:before="2"/>
        <w:rPr>
          <w:rFonts w:ascii="宋体" w:hAnsi="宋体" w:cs="宋体" w:eastAsia="宋体" w:hint="default"/>
          <w:b/>
          <w:bCs/>
          <w:sz w:val="19"/>
          <w:szCs w:val="19"/>
        </w:rPr>
      </w:pPr>
    </w:p>
    <w:p>
      <w:pPr>
        <w:pStyle w:val="Heading3"/>
        <w:spacing w:line="240" w:lineRule="auto" w:before="35"/>
        <w:ind w:right="1122"/>
        <w:jc w:val="left"/>
        <w:rPr>
          <w:b w:val="0"/>
          <w:bCs w:val="0"/>
        </w:rPr>
      </w:pPr>
      <w:bookmarkStart w:name="3、境内外会计准则下会计数据差异" w:id="521"/>
      <w:bookmarkEnd w:id="52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同时按照国际会计准则与按中国会计准则披露的财务报告中净利润和净资产差异情况" w:id="522"/>
      <w:bookmarkEnd w:id="52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2）同时按照境外会计准则与按中国会计准则披露的财务报告中净利润和净资产差异情况" w:id="523"/>
      <w:bookmarkEnd w:id="52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1122"/>
        <w:jc w:val="left"/>
        <w:rPr>
          <w:b w:val="0"/>
          <w:bCs w:val="0"/>
        </w:rPr>
      </w:pPr>
      <w:bookmarkStart w:name="（3）境内外会计准则下会计数据差异原因说明，对已经境外审计机构审计的数据进行差异" w:id="524"/>
      <w:bookmarkEnd w:id="52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2"/>
        </w:rPr>
        <w:t> </w:t>
      </w:r>
      <w:r>
        <w:rPr>
          <w:spacing w:val="-72"/>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4、其他" w:id="525"/>
      <w:bookmarkEnd w:id="525"/>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1122"/>
        <w:jc w:val="left"/>
        <w:rPr>
          <w:b w:val="0"/>
          <w:bCs w:val="0"/>
        </w:rPr>
      </w:pPr>
      <w:bookmarkStart w:name="第十二节 备查文件目录" w:id="526"/>
      <w:bookmarkEnd w:id="526"/>
      <w:r>
        <w:rPr>
          <w:b w:val="0"/>
          <w:bCs w:val="0"/>
        </w:rPr>
      </w:r>
      <w:bookmarkStart w:name="_bookmark11" w:id="527"/>
      <w:bookmarkEnd w:id="527"/>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9" w:lineRule="auto"/>
        <w:ind w:right="3732"/>
        <w:jc w:val="left"/>
      </w:pPr>
      <w:r>
        <w:rPr/>
        <w:t>一、载有法定代表人、主管会计负责人、会计机构负责人签名并盖章的会计报表。 二、载有会计师事务所盖章、注册会计师签名并盖章的审计报告原件。 三、报告期内在中国证监会指定报纸上公开披露过的所有公司文件的正文及公告的原稿。</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93400" type="#_x0000_t75" stroked="false">
          <v:imagedata r:id="rId1" o:title=""/>
        </v:shape>
      </w:pict>
    </w:r>
    <w:r>
      <w:rPr/>
      <w:pict>
        <v:shape style="position:absolute;margin-left:533.179993pt;margin-top:795.517944pt;width:6.5pt;height:11pt;mso-position-horizontal-relative:page;mso-position-vertical-relative:page;z-index:-15933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93352" type="#_x0000_t75" stroked="false">
          <v:imagedata r:id="rId1" o:title=""/>
        </v:shape>
      </w:pict>
    </w:r>
    <w:r>
      <w:rPr/>
      <w:pict>
        <v:shape style="position:absolute;margin-left:527.679993pt;margin-top:781.957947pt;width:13pt;height:11pt;mso-position-horizontal-relative:page;mso-position-vertical-relative:page;z-index:-15933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93304" type="#_x0000_t75" stroked="false">
          <v:imagedata r:id="rId1" o:title=""/>
        </v:shape>
      </w:pict>
    </w:r>
    <w:r>
      <w:rPr/>
      <w:pict>
        <v:shape style="position:absolute;margin-left:524.179993pt;margin-top:781.957947pt;width:15.5pt;height:11pt;mso-position-horizontal-relative:page;mso-position-vertical-relative:page;z-index:-15932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93256" type="#_x0000_t75" stroked="false">
          <v:imagedata r:id="rId1" o:title=""/>
        </v:shape>
      </w:pict>
    </w:r>
    <w:r>
      <w:rPr/>
      <w:pict>
        <v:shape style="position:absolute;margin-left:523.179993pt;margin-top:781.957947pt;width:17.5pt;height:11pt;mso-position-horizontal-relative:page;mso-position-vertical-relative:page;z-index:-1593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93208" type="#_x0000_t75" stroked="false">
          <v:imagedata r:id="rId1" o:title=""/>
        </v:shape>
      </w:pict>
    </w:r>
    <w:r>
      <w:rPr/>
      <w:pict>
        <v:shape style="position:absolute;margin-left:524.179993pt;margin-top:781.957947pt;width:15.5pt;height:11pt;mso-position-horizontal-relative:page;mso-position-vertical-relative:page;z-index:-15931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93160" type="#_x0000_t75" stroked="false">
          <v:imagedata r:id="rId1" o:title=""/>
        </v:shape>
      </w:pict>
    </w:r>
    <w:r>
      <w:rPr/>
      <w:pict>
        <v:shape style="position:absolute;margin-left:523.179993pt;margin-top:781.957947pt;width:17.5pt;height:11pt;mso-position-horizontal-relative:page;mso-position-vertical-relative:page;z-index:-1593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593424" type="#_x0000_t202" filled="false" stroked="false">
          <v:textbox inset="0,0,0,0">
            <w:txbxContent>
              <w:p>
                <w:pPr>
                  <w:pStyle w:val="BodyText"/>
                  <w:spacing w:line="214" w:lineRule="exact"/>
                  <w:ind w:left="20" w:right="0"/>
                  <w:jc w:val="left"/>
                </w:pPr>
                <w:r>
                  <w:rPr/>
                  <w:t>江苏爱康科技股份有限公司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4"/>
    </w:pPr>
    <w:rPr>
      <w:rFonts w:ascii="宋体" w:hAnsi="宋体" w:eastAsia="宋体"/>
      <w:sz w:val="18"/>
      <w:szCs w:val="1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674"/>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51"/>
      <w:ind w:left="154"/>
      <w:outlineLvl w:val="4"/>
    </w:pPr>
    <w:rPr>
      <w:rFonts w:ascii="宋体" w:hAnsi="宋体" w:eastAsia="宋体"/>
      <w:i/>
      <w:sz w:val="19"/>
      <w:szCs w:val="19"/>
    </w:rPr>
  </w:style>
  <w:style w:styleId="Heading5" w:type="paragraph">
    <w:name w:val="Heading 5"/>
    <w:basedOn w:val="Normal"/>
    <w:uiPriority w:val="1"/>
    <w:qFormat/>
    <w:pPr>
      <w:ind w:left="515"/>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akcome.com/" TargetMode="External"/><Relationship Id="rId10" Type="http://schemas.openxmlformats.org/officeDocument/2006/relationships/hyperlink" Target="mailto:zhengquanbu@akcome.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江苏爱康科技股份有限公司</dc:creator>
  <dc:title>江苏爱康科技股份有限公司2018年年度报告全文</dc:title>
  <dcterms:created xsi:type="dcterms:W3CDTF">2020-05-05T01:17:19Z</dcterms:created>
  <dcterms:modified xsi:type="dcterms:W3CDTF">2020-05-05T01:17:19Z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2019-04-22T00:00:00Z</vt:filetime>
  </property>
  <property fmtid="{D5CDD505-2E9C-101B-9397-08002B2CF9AE}" pid="3" name="Creator">
    <vt:lpwstr>Microsoft® Office Word 2007</vt:lpwstr>
  </property>
  <property fmtid="{D5CDD505-2E9C-101B-9397-08002B2CF9AE}" pid="4" name="LastSaved">
    <vt:filetime>2020-05-04T00:00:00Z</vt:filetime>
  </property>
</Properties>
</file>