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540" w:lineRule="exact" w:before="0"/>
        <w:ind w:left="516" w:right="507" w:firstLine="0"/>
        <w:jc w:val="center"/>
        <w:rPr>
          <w:rFonts w:ascii="宋体" w:hAnsi="宋体" w:cs="宋体" w:eastAsia="宋体" w:hint="default"/>
          <w:sz w:val="44"/>
          <w:szCs w:val="44"/>
        </w:rPr>
      </w:pPr>
      <w:r>
        <w:rPr/>
        <w:pict>
          <v:group style="position:absolute;margin-left:56.700001pt;margin-top:-31.156277pt;width:481.95pt;height:.1pt;mso-position-horizontal-relative:page;mso-position-vertical-relative:paragraph;z-index:0" coordorigin="1134,-623" coordsize="9639,2">
            <v:shape style="position:absolute;left:1134;top:-623;width:9639;height:2" coordorigin="1134,-623" coordsize="9639,0" path="m1134,-623l10772,-623e" filled="false" stroked="true" strokeweight=".72003pt" strokecolor="#010101">
              <v:path arrowok="t"/>
            </v:shape>
            <w10:wrap type="none"/>
          </v:group>
        </w:pict>
      </w:r>
      <w:r>
        <w:rPr>
          <w:rFonts w:ascii="宋体" w:hAnsi="宋体" w:cs="宋体" w:eastAsia="宋体" w:hint="default"/>
          <w:b/>
          <w:bCs/>
          <w:sz w:val="44"/>
          <w:szCs w:val="44"/>
        </w:rPr>
        <w:t>浙江宏磊铜业股份有限公司</w:t>
      </w:r>
      <w:r>
        <w:rPr>
          <w:rFonts w:ascii="宋体" w:hAnsi="宋体" w:cs="宋体" w:eastAsia="宋体" w:hint="default"/>
          <w:sz w:val="44"/>
          <w:szCs w:val="44"/>
        </w:rPr>
      </w:r>
    </w:p>
    <w:p>
      <w:pPr>
        <w:spacing w:line="240" w:lineRule="auto" w:before="1"/>
        <w:rPr>
          <w:rFonts w:ascii="宋体" w:hAnsi="宋体" w:cs="宋体" w:eastAsia="宋体" w:hint="default"/>
          <w:b/>
          <w:bCs/>
          <w:sz w:val="31"/>
          <w:szCs w:val="31"/>
        </w:rPr>
      </w:pPr>
    </w:p>
    <w:p>
      <w:pPr>
        <w:spacing w:before="0"/>
        <w:ind w:left="516" w:right="513" w:firstLine="0"/>
        <w:jc w:val="center"/>
        <w:rPr>
          <w:rFonts w:ascii="宋体" w:hAnsi="宋体" w:cs="宋体" w:eastAsia="宋体" w:hint="default"/>
          <w:sz w:val="36"/>
          <w:szCs w:val="36"/>
        </w:rPr>
      </w:pPr>
      <w:r>
        <w:rPr>
          <w:rFonts w:ascii="宋体" w:hAnsi="宋体" w:cs="宋体" w:eastAsia="宋体" w:hint="default"/>
          <w:b/>
          <w:bCs/>
          <w:sz w:val="36"/>
          <w:szCs w:val="36"/>
        </w:rPr>
        <w:t>2012</w:t>
      </w:r>
      <w:r>
        <w:rPr>
          <w:rFonts w:ascii="宋体" w:hAnsi="宋体" w:cs="宋体" w:eastAsia="宋体" w:hint="default"/>
          <w:b/>
          <w:bCs/>
          <w:spacing w:val="-96"/>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963" w:lineRule="exact"/>
        <w:ind w:left="2558"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3038701" cy="6118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038701" cy="611885"/>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1"/>
        <w:spacing w:line="240" w:lineRule="auto"/>
        <w:ind w:right="513"/>
        <w:jc w:val="center"/>
        <w:rPr>
          <w:b w:val="0"/>
          <w:bCs w:val="0"/>
        </w:rPr>
      </w:pPr>
      <w:r>
        <w:rPr/>
        <w:t>二○一三年四月</w:t>
      </w:r>
      <w:r>
        <w:rPr>
          <w:b w:val="0"/>
          <w:bCs w:val="0"/>
        </w:rPr>
      </w:r>
    </w:p>
    <w:p>
      <w:pPr>
        <w:spacing w:after="0" w:line="240" w:lineRule="auto"/>
        <w:jc w:val="center"/>
        <w:sectPr>
          <w:headerReference w:type="default" r:id="rId5"/>
          <w:footerReference w:type="default" r:id="rId6"/>
          <w:type w:val="continuous"/>
          <w:pgSz w:w="11910" w:h="16840"/>
          <w:pgMar w:header="747" w:footer="980" w:top="1060" w:bottom="1160" w:left="1020" w:right="1020"/>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6" w:right="105"/>
        <w:jc w:val="left"/>
        <w:rPr>
          <w:b w:val="0"/>
          <w:bCs w:val="0"/>
        </w:rPr>
      </w:pPr>
      <w:r>
        <w:rPr/>
        <w:t>第一节</w:t>
      </w:r>
      <w:r>
        <w:rPr>
          <w:spacing w:val="-2"/>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3"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8"/>
          <w:w w:val="95"/>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14" w:right="107" w:firstLine="560"/>
        <w:jc w:val="both"/>
        <w:rPr>
          <w:rFonts w:ascii="宋体" w:hAnsi="宋体" w:cs="宋体" w:eastAsia="宋体" w:hint="default"/>
          <w:sz w:val="28"/>
          <w:szCs w:val="28"/>
        </w:rPr>
      </w:pPr>
      <w:r>
        <w:rPr>
          <w:rFonts w:ascii="宋体" w:hAnsi="宋体" w:cs="宋体" w:eastAsia="宋体" w:hint="default"/>
          <w:b/>
          <w:bCs/>
          <w:w w:val="95"/>
          <w:sz w:val="28"/>
          <w:szCs w:val="28"/>
        </w:rPr>
        <w:t>公司负责人戚建萍、主管会计工作负责人俞晓光及会计机构负责人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俞英声明：保证年度报告中财务报告的真实、准确、完整。</w:t>
      </w:r>
      <w:r>
        <w:rPr>
          <w:rFonts w:ascii="宋体" w:hAnsi="宋体" w:cs="宋体" w:eastAsia="宋体" w:hint="default"/>
          <w:sz w:val="28"/>
          <w:szCs w:val="28"/>
        </w:rPr>
      </w:r>
    </w:p>
    <w:p>
      <w:pPr>
        <w:spacing w:line="475" w:lineRule="auto" w:before="147"/>
        <w:ind w:left="674" w:right="10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月</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19" w:lineRule="exact" w:before="0"/>
        <w:ind w:left="114"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8"/>
          <w:w w:val="99"/>
          <w:sz w:val="28"/>
          <w:szCs w:val="28"/>
        </w:rPr>
        <w:t>司总股本为基数，向全体股东</w:t>
      </w:r>
      <w:r>
        <w:rPr>
          <w:rFonts w:ascii="宋体" w:hAnsi="宋体" w:cs="宋体" w:eastAsia="宋体" w:hint="default"/>
          <w:b/>
          <w:bCs/>
          <w:w w:val="99"/>
          <w:sz w:val="28"/>
          <w:szCs w:val="28"/>
        </w:rPr>
        <w:t>每</w:t>
      </w:r>
      <w:r>
        <w:rPr>
          <w:rFonts w:ascii="宋体" w:hAnsi="宋体" w:cs="宋体" w:eastAsia="宋体" w:hint="default"/>
          <w:b/>
          <w:bCs/>
          <w:spacing w:val="-6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8"/>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0.5</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8"/>
          <w:w w:val="99"/>
          <w:sz w:val="28"/>
          <w:szCs w:val="28"/>
        </w:rPr>
        <w:t>元（含税</w:t>
      </w:r>
      <w:r>
        <w:rPr>
          <w:rFonts w:ascii="宋体" w:hAnsi="宋体" w:cs="宋体" w:eastAsia="宋体" w:hint="default"/>
          <w:b/>
          <w:bCs/>
          <w:spacing w:val="-132"/>
          <w:w w:val="99"/>
          <w:sz w:val="28"/>
          <w:szCs w:val="28"/>
        </w:rPr>
        <w:t>）</w:t>
      </w:r>
      <w:r>
        <w:rPr>
          <w:rFonts w:ascii="宋体" w:hAnsi="宋体" w:cs="宋体" w:eastAsia="宋体" w:hint="default"/>
          <w:b/>
          <w:bCs/>
          <w:spacing w:val="8"/>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sz w:val="28"/>
          <w:szCs w:val="28"/>
        </w:rPr>
      </w:r>
    </w:p>
    <w:p>
      <w:pPr>
        <w:spacing w:before="236"/>
        <w:ind w:left="114" w:right="105"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股（含税</w:t>
      </w:r>
      <w:r>
        <w:rPr>
          <w:rFonts w:ascii="宋体" w:hAnsi="宋体" w:cs="宋体" w:eastAsia="宋体" w:hint="default"/>
          <w:b/>
          <w:bCs/>
          <w:spacing w:val="-141"/>
          <w:w w:val="99"/>
          <w:sz w:val="28"/>
          <w:szCs w:val="28"/>
        </w:rPr>
        <w:t>）</w:t>
      </w:r>
      <w:r>
        <w:rPr>
          <w:rFonts w:ascii="宋体" w:hAnsi="宋体" w:cs="宋体" w:eastAsia="宋体" w:hint="default"/>
          <w:b/>
          <w:bCs/>
          <w:spacing w:val="1"/>
          <w:w w:val="99"/>
          <w:sz w:val="28"/>
          <w:szCs w:val="28"/>
        </w:rPr>
        <w:t>，不以公积金转增股本。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7" w:top="1060" w:bottom="1160" w:left="1020" w:right="1020"/>
          <w:pgNumType w:start="2"/>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16" w:right="51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p>
      <w:pPr>
        <w:pStyle w:val="Heading2"/>
        <w:tabs>
          <w:tab w:pos="9741"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Heading2"/>
        <w:tabs>
          <w:tab w:pos="9741" w:val="right" w:leader="dot"/>
        </w:tabs>
        <w:spacing w:line="240" w:lineRule="auto" w:before="159"/>
        <w:ind w:left="113"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Heading2"/>
        <w:tabs>
          <w:tab w:pos="9741" w:val="right" w:leader="dot"/>
        </w:tabs>
        <w:spacing w:line="240" w:lineRule="auto" w:before="159"/>
        <w:ind w:left="113"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2"/>
        <w:tabs>
          <w:tab w:pos="9741" w:val="right" w:leader="dot"/>
        </w:tabs>
        <w:spacing w:line="240" w:lineRule="auto" w:before="159"/>
        <w:ind w:left="113"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2"/>
        <w:tabs>
          <w:tab w:pos="9741" w:val="right" w:leader="dot"/>
        </w:tabs>
        <w:spacing w:line="240" w:lineRule="auto" w:before="159"/>
        <w:ind w:left="113"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Heading2"/>
        <w:tabs>
          <w:tab w:pos="9741"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7" w:footer="980" w:top="1060" w:bottom="1160" w:left="1020" w:right="1020"/>
        </w:sectPr>
      </w:pPr>
    </w:p>
    <w:p>
      <w:pPr>
        <w:pStyle w:val="Heading1"/>
        <w:spacing w:line="240" w:lineRule="auto" w:before="947"/>
        <w:ind w:right="515"/>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公司、本公司、宏磊股份</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宏天铜业</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江西宏磊</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民族证券、保荐机构</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《浙江宏磊铜业股份有限公司章程》</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1"/>
        <w:ind w:left="3951" w:right="4084"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0"/>
        <w:rPr>
          <w:rFonts w:ascii="宋体" w:hAnsi="宋体" w:cs="宋体" w:eastAsia="宋体" w:hint="default"/>
          <w:b/>
          <w:bCs/>
          <w:sz w:val="25"/>
          <w:szCs w:val="25"/>
        </w:rPr>
      </w:pPr>
    </w:p>
    <w:p>
      <w:pPr>
        <w:tabs>
          <w:tab w:pos="1395" w:val="left" w:leader="none"/>
        </w:tabs>
        <w:spacing w:line="448" w:lineRule="auto" w:before="0"/>
        <w:ind w:left="1088" w:right="249" w:hanging="413"/>
        <w:jc w:val="left"/>
        <w:rPr>
          <w:rFonts w:ascii="宋体" w:hAnsi="宋体" w:cs="宋体" w:eastAsia="宋体" w:hint="default"/>
          <w:sz w:val="28"/>
          <w:szCs w:val="28"/>
        </w:rPr>
      </w:pPr>
      <w:r>
        <w:rPr>
          <w:rFonts w:ascii="Times New Roman" w:hAnsi="Times New Roman" w:cs="Times New Roman" w:eastAsia="Times New Roman" w:hint="default"/>
          <w:b/>
          <w:bCs/>
          <w:w w:val="95"/>
          <w:sz w:val="28"/>
          <w:szCs w:val="28"/>
        </w:rPr>
        <w:t>1</w:t>
      </w:r>
      <w:r>
        <w:rPr>
          <w:rFonts w:ascii="宋体" w:hAnsi="宋体" w:cs="宋体" w:eastAsia="宋体" w:hint="default"/>
          <w:b/>
          <w:bCs/>
          <w:w w:val="95"/>
          <w:sz w:val="28"/>
          <w:szCs w:val="28"/>
        </w:rPr>
        <w:t>、</w:t>
        <w:tab/>
      </w:r>
      <w:r>
        <w:rPr>
          <w:rFonts w:ascii="宋体" w:hAnsi="宋体" w:cs="宋体" w:eastAsia="宋体" w:hint="default"/>
          <w:b/>
          <w:bCs/>
          <w:spacing w:val="1"/>
          <w:sz w:val="28"/>
          <w:szCs w:val="28"/>
        </w:rPr>
        <w:t>原材料价格波动的风险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本公司产品售价按照</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铜价</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加工费</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的原则确定，利润来源于相对稳定</w:t>
      </w:r>
      <w:r>
        <w:rPr>
          <w:rFonts w:ascii="宋体" w:hAnsi="宋体" w:cs="宋体" w:eastAsia="宋体" w:hint="default"/>
          <w:sz w:val="28"/>
          <w:szCs w:val="28"/>
        </w:rPr>
      </w:r>
    </w:p>
    <w:p>
      <w:pPr>
        <w:spacing w:line="333" w:lineRule="exact" w:before="0"/>
        <w:ind w:left="675" w:right="0" w:firstLine="0"/>
        <w:jc w:val="left"/>
        <w:rPr>
          <w:rFonts w:ascii="宋体" w:hAnsi="宋体" w:cs="宋体" w:eastAsia="宋体" w:hint="default"/>
          <w:sz w:val="28"/>
          <w:szCs w:val="28"/>
        </w:rPr>
      </w:pPr>
      <w:r>
        <w:rPr>
          <w:rFonts w:ascii="宋体" w:hAnsi="宋体" w:cs="宋体" w:eastAsia="宋体" w:hint="default"/>
          <w:b/>
          <w:bCs/>
          <w:sz w:val="28"/>
          <w:szCs w:val="28"/>
        </w:rPr>
        <w:t>的加工费，从定价模式上来看，公司可将铜价波动的风险转移给下游客户，</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675" w:right="249"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但若铜材价格发生持续大幅波动，仍可能对公司经营业绩的稳定性带来一</w:t>
      </w:r>
      <w:r>
        <w:rPr>
          <w:rFonts w:ascii="宋体" w:hAnsi="宋体" w:cs="宋体" w:eastAsia="宋体" w:hint="default"/>
          <w:b/>
          <w:bCs/>
          <w:spacing w:val="130"/>
          <w:w w:val="95"/>
          <w:sz w:val="28"/>
          <w:szCs w:val="28"/>
        </w:rPr>
        <w:t> </w:t>
      </w:r>
      <w:r>
        <w:rPr>
          <w:rFonts w:ascii="宋体" w:hAnsi="宋体" w:cs="宋体" w:eastAsia="宋体" w:hint="default"/>
          <w:b/>
          <w:bCs/>
          <w:sz w:val="28"/>
          <w:szCs w:val="28"/>
        </w:rPr>
        <w:t>定程度的影响。</w:t>
      </w:r>
      <w:r>
        <w:rPr>
          <w:rFonts w:ascii="宋体" w:hAnsi="宋体" w:cs="宋体" w:eastAsia="宋体" w:hint="default"/>
          <w:sz w:val="28"/>
          <w:szCs w:val="28"/>
        </w:rPr>
      </w:r>
    </w:p>
    <w:p>
      <w:pPr>
        <w:spacing w:line="448" w:lineRule="auto" w:before="161"/>
        <w:ind w:left="1225" w:right="249" w:hanging="55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、控股子公司宏天铜业搬迁的风险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为提升城市形象，完善城市功能，诸暨市人民政府决定对公司控股子</w:t>
      </w:r>
      <w:r>
        <w:rPr>
          <w:rFonts w:ascii="宋体" w:hAnsi="宋体" w:cs="宋体" w:eastAsia="宋体" w:hint="default"/>
          <w:sz w:val="28"/>
          <w:szCs w:val="28"/>
        </w:rPr>
      </w:r>
    </w:p>
    <w:p>
      <w:pPr>
        <w:spacing w:line="408" w:lineRule="auto" w:before="14"/>
        <w:ind w:left="675"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公司宏天铜业位于诸暨市大唐镇路西新村（原大唐镇庙山头村）的土地及</w:t>
      </w:r>
      <w:r>
        <w:rPr>
          <w:rFonts w:ascii="宋体" w:hAnsi="宋体" w:cs="宋体" w:eastAsia="宋体" w:hint="default"/>
          <w:b/>
          <w:bCs/>
          <w:spacing w:val="3"/>
          <w:w w:val="99"/>
          <w:sz w:val="28"/>
          <w:szCs w:val="28"/>
        </w:rPr>
        <w:t> </w:t>
      </w:r>
      <w:r>
        <w:rPr>
          <w:rFonts w:ascii="宋体" w:hAnsi="宋体" w:cs="宋体" w:eastAsia="宋体" w:hint="default"/>
          <w:b/>
          <w:bCs/>
          <w:spacing w:val="-1"/>
          <w:w w:val="95"/>
          <w:sz w:val="28"/>
          <w:szCs w:val="28"/>
        </w:rPr>
        <w:t>厂房建筑物进行征收。宏天铜业的搬迁将对公司生产经营造成一定的影响。</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、关联方资金不能及时收回的风险</w:t>
      </w:r>
      <w:r>
        <w:rPr>
          <w:rFonts w:ascii="宋体" w:hAnsi="宋体" w:cs="宋体" w:eastAsia="宋体" w:hint="default"/>
          <w:sz w:val="28"/>
          <w:szCs w:val="28"/>
        </w:rPr>
      </w:r>
    </w:p>
    <w:p>
      <w:pPr>
        <w:spacing w:line="400" w:lineRule="auto" w:before="119"/>
        <w:ind w:left="675" w:right="250" w:firstLine="409"/>
        <w:jc w:val="both"/>
        <w:rPr>
          <w:rFonts w:ascii="宋体" w:hAnsi="宋体" w:cs="宋体" w:eastAsia="宋体" w:hint="default"/>
          <w:sz w:val="28"/>
          <w:szCs w:val="28"/>
        </w:rPr>
      </w:pPr>
      <w:r>
        <w:rPr>
          <w:rFonts w:ascii="宋体" w:hAnsi="宋体" w:cs="宋体" w:eastAsia="宋体" w:hint="default"/>
          <w:b/>
          <w:bCs/>
          <w:w w:val="95"/>
          <w:sz w:val="28"/>
          <w:szCs w:val="28"/>
        </w:rPr>
        <w:t>由于宏磊股份通过铜材交易平台从事铜材贸易业务，以票据形式进行了</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筹融资，宏磊股份应收票据大部分由关联方浙江宏磊控股集团有限公司及</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sz w:val="28"/>
          <w:szCs w:val="28"/>
        </w:rPr>
        <w:t>其关联方领取使用。上述交易导致宏磊股份</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年</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月</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日资产负债表</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中其他应收款、应收账款、预付款项、存货和应付票据等相关项目期末余</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sz w:val="28"/>
          <w:szCs w:val="28"/>
        </w:rPr>
        <w:t>额较期初大幅增长。天健会计师事务所对公司</w:t>
      </w:r>
      <w:r>
        <w:rPr>
          <w:rFonts w:ascii="宋体" w:hAnsi="宋体" w:cs="宋体" w:eastAsia="宋体" w:hint="default"/>
          <w:b/>
          <w:bCs/>
          <w:spacing w:val="-99"/>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31"/>
          <w:sz w:val="28"/>
          <w:szCs w:val="28"/>
        </w:rPr>
        <w:t> </w:t>
      </w:r>
      <w:r>
        <w:rPr>
          <w:rFonts w:ascii="宋体" w:hAnsi="宋体" w:cs="宋体" w:eastAsia="宋体" w:hint="default"/>
          <w:b/>
          <w:bCs/>
          <w:sz w:val="28"/>
          <w:szCs w:val="28"/>
        </w:rPr>
        <w:t>年财务报表出具了带强</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调事项的无保留审计意见。因关联方资金余额较大，可能面临深圳证券交</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sz w:val="28"/>
          <w:szCs w:val="28"/>
        </w:rPr>
        <w:t>易所对公司股票实行风险警示。</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80" w:top="1060" w:bottom="1160" w:left="1020" w:right="880"/>
        </w:sectPr>
      </w:pPr>
    </w:p>
    <w:p>
      <w:pPr>
        <w:spacing w:line="240" w:lineRule="auto" w:before="0"/>
        <w:rPr>
          <w:rFonts w:ascii="宋体" w:hAnsi="宋体" w:cs="宋体" w:eastAsia="宋体" w:hint="default"/>
          <w:b/>
          <w:bCs/>
          <w:sz w:val="20"/>
          <w:szCs w:val="20"/>
        </w:rPr>
      </w:pPr>
      <w:r>
        <w:rPr/>
        <w:pict>
          <v:shape style="position:absolute;margin-left:137.88031pt;margin-top:269.700012pt;width:397.1pt;height:19.7pt;mso-position-horizontal-relative:page;mso-position-vertical-relative:page;z-index:-835336"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pt;margin-top:269.700012pt;width:364pt;height:19.7pt;mso-position-horizontal-relative:page;mso-position-vertical-relative:page;z-index:-835312" coordorigin="3420,5394" coordsize="7280,394">
            <v:shape style="position:absolute;left:3420;top:5394;width:7280;height:394" coordorigin="3420,5394" coordsize="7280,394" path="m3420,5788l10699,5788,10699,5394,3420,5394,3420,5788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515"/>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5"/>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2"/>
        <w:gridCol w:w="2953"/>
        <w:gridCol w:w="2156"/>
        <w:gridCol w:w="2178"/>
      </w:tblGrid>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宏磊股份</w:t>
            </w:r>
          </w:p>
        </w:tc>
        <w:tc>
          <w:tcPr>
            <w:tcW w:w="21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002647</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宏磊股份</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ZHEJIANG HONGLEI COPPER</w:t>
            </w:r>
            <w:r>
              <w:rPr>
                <w:rFonts w:ascii="Times New Roman"/>
                <w:spacing w:val="-16"/>
                <w:sz w:val="18"/>
              </w:rPr>
              <w:t> </w:t>
            </w:r>
            <w:r>
              <w:rPr>
                <w:rFonts w:ascii="Times New Roman"/>
                <w:spacing w:val="-3"/>
                <w:sz w:val="18"/>
              </w:rPr>
              <w:t>CO.,LTD.</w:t>
            </w:r>
            <w:r>
              <w:rPr>
                <w:rFonts w:ascii="Times New Roman"/>
                <w:sz w:val="18"/>
              </w:rPr>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HONGLEI</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浙江省诸暨市大唐镇开元东路</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浙江诸暨经济开发区迎宾路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http://www.chinahonglei.com</w:t>
              </w:r>
            </w:hyperlink>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honglei@chinahonglei.com</w:t>
              </w:r>
            </w:hyperlink>
          </w:p>
        </w:tc>
      </w:tr>
    </w:tbl>
    <w:p>
      <w:pPr>
        <w:spacing w:line="240" w:lineRule="auto" w:before="1"/>
        <w:rPr>
          <w:rFonts w:ascii="宋体" w:hAnsi="宋体" w:cs="宋体" w:eastAsia="宋体" w:hint="default"/>
          <w:b/>
          <w:bCs/>
          <w:sz w:val="18"/>
          <w:szCs w:val="18"/>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浙江诸暨经济开发区迎宾路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浙江诸暨经济开发区迎宾路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0575-87387532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0575-87387320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honglei1998@126.com</w:t>
              </w:r>
            </w:hyperlink>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yk75118@163.com</w:t>
              </w:r>
            </w:hyperlink>
          </w:p>
        </w:tc>
      </w:tr>
    </w:tbl>
    <w:p>
      <w:pPr>
        <w:spacing w:line="240" w:lineRule="auto" w:before="1"/>
        <w:rPr>
          <w:rFonts w:ascii="宋体" w:hAnsi="宋体" w:cs="宋体" w:eastAsia="宋体" w:hint="default"/>
          <w:b/>
          <w:bCs/>
          <w:sz w:val="18"/>
          <w:szCs w:val="18"/>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727"/>
        <w:gridCol w:w="5842"/>
      </w:tblGrid>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2"/>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b/>
          <w:bCs/>
          <w:sz w:val="23"/>
          <w:szCs w:val="23"/>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330681000010590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330681753974205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75397420-5</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330681000010590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330681753974205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75397420-5</w:t>
            </w:r>
          </w:p>
        </w:tc>
      </w:tr>
    </w:tbl>
    <w:p>
      <w:pPr>
        <w:spacing w:line="240" w:lineRule="auto" w:before="1"/>
        <w:rPr>
          <w:rFonts w:ascii="宋体" w:hAnsi="宋体" w:cs="宋体" w:eastAsia="宋体" w:hint="default"/>
          <w:b/>
          <w:bCs/>
          <w:sz w:val="18"/>
          <w:szCs w:val="18"/>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3"/>
        <w:gridCol w:w="6906"/>
      </w:tblGrid>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陈曙、黄元喜</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号盘古大观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何继兵、冯春杰</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2011.12-2013.12</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06" w:right="105"/>
        <w:jc w:val="left"/>
        <w:rPr>
          <w:b w:val="0"/>
          <w:bCs w:val="0"/>
        </w:rPr>
      </w:pPr>
      <w:r>
        <w:rPr/>
        <w:t>第三节</w:t>
      </w:r>
      <w:r>
        <w:rPr>
          <w:spacing w:val="-2"/>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105"/>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8"/>
        <w:gridCol w:w="1736"/>
      </w:tblGrid>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3,759,884,467.69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4,002,127,394.59</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-6.05%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3,872,151,707.17</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31,616,376.29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84,792,102.62</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79,291,344.69</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19,553,769.49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82,194,081.68</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70,070,923.77</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-563,248,443.91</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231,090,064.31</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-343.74%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37,567,559.53</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0.67</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0.19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0.67</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-71.64%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3.24%</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20.34%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-17.1%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23.72%</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2,778,498,370.61</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2,216,843,261.60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25.34%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1,622,592,406.87</w:t>
            </w:r>
          </w:p>
        </w:tc>
      </w:tr>
      <w:tr>
        <w:trPr>
          <w:trHeight w:val="1026"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986,188,939.68</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962,126,889.53</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374,482,776.91</w:t>
            </w:r>
          </w:p>
        </w:tc>
      </w:tr>
    </w:tbl>
    <w:p>
      <w:pPr>
        <w:spacing w:line="240" w:lineRule="auto" w:before="12"/>
        <w:rPr>
          <w:rFonts w:ascii="宋体" w:hAnsi="宋体" w:cs="宋体" w:eastAsia="宋体" w:hint="default"/>
          <w:sz w:val="17"/>
          <w:szCs w:val="17"/>
        </w:rPr>
      </w:pPr>
    </w:p>
    <w:p>
      <w:pPr>
        <w:pStyle w:val="Heading2"/>
        <w:spacing w:line="240" w:lineRule="auto"/>
        <w:ind w:right="105"/>
        <w:jc w:val="left"/>
        <w:rPr>
          <w:b w:val="0"/>
          <w:bCs w:val="0"/>
        </w:rPr>
      </w:pPr>
      <w:r>
        <w:rPr/>
        <w:t>二、境内外会计准则下会计数据差异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84"/>
        <w:gridCol w:w="1741"/>
        <w:gridCol w:w="2004"/>
        <w:gridCol w:w="1770"/>
        <w:gridCol w:w="1770"/>
      </w:tblGrid>
      <w:tr>
        <w:trPr>
          <w:trHeight w:val="402" w:hRule="exact"/>
        </w:trPr>
        <w:tc>
          <w:tcPr>
            <w:tcW w:w="2284" w:type="dxa"/>
            <w:vMerge w:val="restart"/>
            <w:tcBorders>
              <w:top w:val="single" w:sz="4" w:space="0" w:color="010101"/>
              <w:left w:val="single" w:sz="4" w:space="0" w:color="010101"/>
              <w:right w:val="single" w:sz="4" w:space="0" w:color="010101"/>
            </w:tcBorders>
            <w:shd w:val="clear" w:color="auto" w:fill="D3D3D3"/>
          </w:tcPr>
          <w:p>
            <w:pPr/>
          </w:p>
        </w:tc>
        <w:tc>
          <w:tcPr>
            <w:tcW w:w="374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4"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31,616,376.29</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84,792,102.62</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986,188,939.68</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962,126,889.53</w:t>
            </w:r>
          </w:p>
        </w:tc>
      </w:tr>
      <w:tr>
        <w:trPr>
          <w:trHeight w:val="402" w:hRule="exact"/>
        </w:trPr>
        <w:tc>
          <w:tcPr>
            <w:tcW w:w="9569"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84"/>
        <w:gridCol w:w="1741"/>
        <w:gridCol w:w="2004"/>
        <w:gridCol w:w="1770"/>
        <w:gridCol w:w="1770"/>
      </w:tblGrid>
      <w:tr>
        <w:trPr>
          <w:trHeight w:val="402" w:hRule="exact"/>
        </w:trPr>
        <w:tc>
          <w:tcPr>
            <w:tcW w:w="2284" w:type="dxa"/>
            <w:vMerge w:val="restart"/>
            <w:tcBorders>
              <w:top w:val="single" w:sz="4" w:space="0" w:color="010101"/>
              <w:left w:val="single" w:sz="4" w:space="0" w:color="010101"/>
              <w:right w:val="single" w:sz="4" w:space="0" w:color="010101"/>
            </w:tcBorders>
            <w:shd w:val="clear" w:color="auto" w:fill="D3D3D3"/>
          </w:tcPr>
          <w:p>
            <w:pPr/>
          </w:p>
        </w:tc>
        <w:tc>
          <w:tcPr>
            <w:tcW w:w="374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4"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31,616,376.29</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84,792,102.62</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986,188,939.68</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962,126,889.53</w:t>
            </w:r>
          </w:p>
        </w:tc>
      </w:tr>
      <w:tr>
        <w:trPr>
          <w:trHeight w:val="402" w:hRule="exact"/>
        </w:trPr>
        <w:tc>
          <w:tcPr>
            <w:tcW w:w="9569"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2"/>
          <w:szCs w:val="22"/>
        </w:rPr>
      </w:pPr>
    </w:p>
    <w:p>
      <w:pPr>
        <w:spacing w:before="0"/>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-678.64</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-18,014.83</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2,693,911.55</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3,825,580.00</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3,770,300.00</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2,586,500.00</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12,528,115.95</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6,154,130.81</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1,799.99</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217,645.59</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-38,791.08</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4,088,704.33</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992,482.69</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2,848,937.83</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203,506.17</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379,427.13</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-673,607.47</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12,062,606.80</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2,598,020.94</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9,220,420.92</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0" w:lineRule="auto" w:before="63"/>
        <w:ind w:left="114" w:right="96"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51" w:right="3664"/>
        <w:jc w:val="center"/>
        <w:rPr>
          <w:b w:val="0"/>
          <w:bCs w:val="0"/>
        </w:rPr>
      </w:pP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7"/>
        <w:jc w:val="left"/>
        <w:rPr>
          <w:b w:val="0"/>
          <w:bCs w:val="0"/>
        </w:rPr>
      </w:pP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114" w:right="97" w:firstLine="470"/>
        <w:jc w:val="left"/>
      </w:pPr>
      <w:r>
        <w:rPr/>
        <w:t>报告期内，由于全球经济复苏仍充满艰难曲折，国际市场需求低迷形势短期内难以明显</w:t>
      </w:r>
      <w:r>
        <w:rPr>
          <w:spacing w:val="1"/>
        </w:rPr>
        <w:t> </w:t>
      </w:r>
      <w:r>
        <w:rPr/>
        <w:t>好转，国内经济持续回升的基础还不稳固，企业面临的成本上升、融资困难、市场约束等问</w:t>
      </w:r>
      <w:r>
        <w:rPr/>
        <w:t> </w:t>
      </w:r>
      <w:r>
        <w:rPr>
          <w:spacing w:val="-3"/>
        </w:rPr>
        <w:t>题突出。同时，受宏观经济政策影响，家电下乡补贴政策取消，部分下游行业订单有所减少，</w:t>
      </w:r>
      <w:r>
        <w:rPr>
          <w:spacing w:val="-82"/>
        </w:rPr>
        <w:t> </w:t>
      </w:r>
      <w:r>
        <w:rPr>
          <w:spacing w:val="-82"/>
        </w:rPr>
      </w:r>
      <w:r>
        <w:rPr/>
        <w:t>区域竞争更趋激烈，给公司的经营与发展造成了一定的压力，公司的利润空间受到了挤压。 在此经济形势之下，公司通过积极拓展境内外市场，加快转型升级，调整产品结构，提升内 控管理等手段，保持公司业绩稳健地发展。</w:t>
      </w:r>
    </w:p>
    <w:p>
      <w:pPr>
        <w:spacing w:line="312" w:lineRule="exact" w:before="0"/>
        <w:ind w:left="114" w:right="227"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年度公司营业总收入</w:t>
      </w:r>
      <w:r>
        <w:rPr>
          <w:rFonts w:ascii="Times New Roman" w:hAnsi="Times New Roman" w:cs="Times New Roman" w:eastAsia="Times New Roman" w:hint="default"/>
          <w:sz w:val="24"/>
          <w:szCs w:val="24"/>
        </w:rPr>
        <w:t>375,988.45</w:t>
      </w:r>
      <w:r>
        <w:rPr>
          <w:rFonts w:ascii="宋体" w:hAnsi="宋体" w:cs="宋体" w:eastAsia="宋体" w:hint="default"/>
          <w:sz w:val="24"/>
          <w:szCs w:val="24"/>
        </w:rPr>
        <w:t>万元</w:t>
      </w:r>
      <w:r>
        <w:rPr>
          <w:rFonts w:ascii="Times New Roman" w:hAnsi="Times New Roman" w:cs="Times New Roman" w:eastAsia="Times New Roman" w:hint="default"/>
          <w:sz w:val="24"/>
          <w:szCs w:val="24"/>
        </w:rPr>
        <w:t>,</w:t>
      </w:r>
      <w:r>
        <w:rPr>
          <w:rFonts w:ascii="宋体" w:hAnsi="宋体" w:cs="宋体" w:eastAsia="宋体" w:hint="default"/>
          <w:sz w:val="24"/>
          <w:szCs w:val="24"/>
        </w:rPr>
        <w:t>比上年同期下降</w:t>
      </w:r>
      <w:r>
        <w:rPr>
          <w:rFonts w:ascii="Times New Roman" w:hAnsi="Times New Roman" w:cs="Times New Roman" w:eastAsia="Times New Roman" w:hint="default"/>
          <w:sz w:val="24"/>
          <w:szCs w:val="24"/>
        </w:rPr>
        <w:t>6.05%</w:t>
      </w:r>
      <w:r>
        <w:rPr>
          <w:rFonts w:ascii="宋体" w:hAnsi="宋体" w:cs="宋体" w:eastAsia="宋体" w:hint="default"/>
          <w:sz w:val="24"/>
          <w:szCs w:val="24"/>
        </w:rPr>
        <w:t>；利润总额</w:t>
      </w:r>
      <w:r>
        <w:rPr>
          <w:rFonts w:ascii="Times New Roman" w:hAnsi="Times New Roman" w:cs="Times New Roman" w:eastAsia="Times New Roman" w:hint="default"/>
          <w:sz w:val="24"/>
          <w:szCs w:val="24"/>
        </w:rPr>
        <w:t>4,959.78</w:t>
      </w:r>
      <w:r>
        <w:rPr>
          <w:rFonts w:ascii="宋体" w:hAnsi="宋体" w:cs="宋体" w:eastAsia="宋体" w:hint="default"/>
          <w:sz w:val="24"/>
          <w:szCs w:val="24"/>
        </w:rPr>
        <w:t>万元</w:t>
      </w:r>
      <w:r>
        <w:rPr>
          <w:rFonts w:ascii="Times New Roman" w:hAnsi="Times New Roman" w:cs="Times New Roman" w:eastAsia="Times New Roman" w:hint="default"/>
          <w:sz w:val="24"/>
          <w:szCs w:val="24"/>
        </w:rPr>
        <w:t>, </w:t>
      </w:r>
      <w:r>
        <w:rPr>
          <w:rFonts w:ascii="宋体" w:hAnsi="宋体" w:cs="宋体" w:eastAsia="宋体" w:hint="default"/>
          <w:sz w:val="24"/>
          <w:szCs w:val="24"/>
        </w:rPr>
        <w:t>比上年同期下降</w:t>
      </w:r>
      <w:r>
        <w:rPr>
          <w:rFonts w:ascii="Times New Roman" w:hAnsi="Times New Roman" w:cs="Times New Roman" w:eastAsia="Times New Roman" w:hint="default"/>
          <w:sz w:val="24"/>
          <w:szCs w:val="24"/>
        </w:rPr>
        <w:t>59.29%</w:t>
      </w:r>
      <w:r>
        <w:rPr>
          <w:rFonts w:ascii="宋体" w:hAnsi="宋体" w:cs="宋体" w:eastAsia="宋体" w:hint="default"/>
          <w:sz w:val="24"/>
          <w:szCs w:val="24"/>
        </w:rPr>
        <w:t>；净利润为</w:t>
      </w:r>
      <w:r>
        <w:rPr>
          <w:rFonts w:ascii="Times New Roman" w:hAnsi="Times New Roman" w:cs="Times New Roman" w:eastAsia="Times New Roman" w:hint="default"/>
          <w:sz w:val="24"/>
          <w:szCs w:val="24"/>
        </w:rPr>
        <w:t>3,262.62</w:t>
      </w:r>
      <w:r>
        <w:rPr>
          <w:rFonts w:ascii="宋体" w:hAnsi="宋体" w:cs="宋体" w:eastAsia="宋体" w:hint="default"/>
          <w:sz w:val="24"/>
          <w:szCs w:val="24"/>
        </w:rPr>
        <w:t>万元，比上年同期下降</w:t>
      </w:r>
      <w:r>
        <w:rPr>
          <w:rFonts w:ascii="Times New Roman" w:hAnsi="Times New Roman" w:cs="Times New Roman" w:eastAsia="Times New Roman" w:hint="default"/>
          <w:sz w:val="24"/>
          <w:szCs w:val="24"/>
        </w:rPr>
        <w:t>63.53</w:t>
      </w:r>
      <w:r>
        <w:rPr>
          <w:rFonts w:ascii="宋体" w:hAnsi="宋体" w:cs="宋体" w:eastAsia="宋体" w:hint="default"/>
          <w:sz w:val="24"/>
          <w:szCs w:val="24"/>
        </w:rPr>
        <w:t>％；归属上市公司股</w:t>
      </w:r>
      <w:r>
        <w:rPr>
          <w:rFonts w:ascii="宋体" w:hAnsi="宋体" w:cs="宋体" w:eastAsia="宋体" w:hint="default"/>
          <w:spacing w:val="-53"/>
          <w:sz w:val="24"/>
          <w:szCs w:val="24"/>
        </w:rPr>
        <w:t> </w:t>
      </w:r>
      <w:r>
        <w:rPr>
          <w:rFonts w:ascii="宋体" w:hAnsi="宋体" w:cs="宋体" w:eastAsia="宋体" w:hint="default"/>
          <w:sz w:val="24"/>
          <w:szCs w:val="24"/>
        </w:rPr>
        <w:t>东的净利润</w:t>
      </w:r>
      <w:r>
        <w:rPr>
          <w:rFonts w:ascii="Times New Roman" w:hAnsi="Times New Roman" w:cs="Times New Roman" w:eastAsia="Times New Roman" w:hint="default"/>
          <w:sz w:val="24"/>
          <w:szCs w:val="24"/>
        </w:rPr>
        <w:t>3,161.64</w:t>
      </w:r>
      <w:r>
        <w:rPr>
          <w:rFonts w:ascii="宋体" w:hAnsi="宋体" w:cs="宋体" w:eastAsia="宋体" w:hint="default"/>
          <w:sz w:val="24"/>
          <w:szCs w:val="24"/>
        </w:rPr>
        <w:t>万元，比上年同期下降</w:t>
      </w:r>
      <w:r>
        <w:rPr>
          <w:rFonts w:ascii="Times New Roman" w:hAnsi="Times New Roman" w:cs="Times New Roman" w:eastAsia="Times New Roman" w:hint="default"/>
          <w:sz w:val="24"/>
          <w:szCs w:val="24"/>
        </w:rPr>
        <w:t>62.71</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spacing w:before="0"/>
        <w:ind w:left="114" w:right="97" w:firstLine="0"/>
        <w:jc w:val="left"/>
        <w:rPr>
          <w:rFonts w:ascii="宋体" w:hAnsi="宋体" w:cs="宋体" w:eastAsia="宋体" w:hint="default"/>
          <w:sz w:val="24"/>
          <w:szCs w:val="24"/>
        </w:rPr>
      </w:pP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11"/>
        <w:rPr>
          <w:rFonts w:ascii="宋体" w:hAnsi="宋体" w:cs="宋体" w:eastAsia="宋体" w:hint="default"/>
          <w:b/>
          <w:bCs/>
          <w:sz w:val="24"/>
          <w:szCs w:val="24"/>
        </w:rPr>
      </w:pPr>
    </w:p>
    <w:p>
      <w:pPr>
        <w:pStyle w:val="Heading5"/>
        <w:spacing w:line="240" w:lineRule="auto"/>
        <w:ind w:right="97"/>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429" w:right="97"/>
        <w:jc w:val="left"/>
      </w:pPr>
      <w:r>
        <w:rPr/>
        <w:t>报告期内，公司主营业务的范围：漆包线、铜管、铜杆、铜线的生产、销售。</w:t>
      </w:r>
    </w:p>
    <w:p>
      <w:pPr>
        <w:spacing w:line="240" w:lineRule="auto" w:before="0"/>
        <w:rPr>
          <w:rFonts w:ascii="宋体" w:hAnsi="宋体" w:cs="宋体" w:eastAsia="宋体" w:hint="default"/>
          <w:sz w:val="20"/>
          <w:szCs w:val="20"/>
        </w:rPr>
      </w:pPr>
    </w:p>
    <w:p>
      <w:pPr>
        <w:spacing w:before="152"/>
        <w:ind w:left="114" w:right="97"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56" w:lineRule="auto" w:before="90"/>
        <w:ind w:left="534" w:right="97" w:hanging="9"/>
        <w:jc w:val="left"/>
      </w:pPr>
      <w:r>
        <w:rPr>
          <w:rFonts w:ascii="Times New Roman" w:hAnsi="Times New Roman" w:cs="Times New Roman" w:eastAsia="Times New Roman" w:hint="default"/>
        </w:rPr>
        <w:t>1</w:t>
      </w:r>
      <w:r>
        <w:rPr/>
        <w:t>、加快项目建设，推动转型升级 </w:t>
      </w:r>
      <w:r>
        <w:rPr>
          <w:spacing w:val="-1"/>
        </w:rPr>
        <w:t>报告期内，公司按照年初拟定的《募投项目建设实施计划》，扎实推进《年产</w:t>
      </w:r>
      <w:r>
        <w:rPr>
          <w:rFonts w:ascii="Times New Roman" w:hAnsi="Times New Roman" w:cs="Times New Roman" w:eastAsia="Times New Roman" w:hint="default"/>
          <w:spacing w:val="-1"/>
        </w:rPr>
        <w:t>15</w:t>
      </w:r>
      <w:r>
        <w:rPr>
          <w:spacing w:val="-1"/>
        </w:rPr>
        <w:t>万吨高性能铜及铜合</w:t>
      </w:r>
    </w:p>
    <w:p>
      <w:pPr>
        <w:pStyle w:val="BodyText"/>
        <w:spacing w:line="261" w:lineRule="auto" w:before="6"/>
        <w:ind w:left="113" w:right="97"/>
        <w:jc w:val="left"/>
      </w:pPr>
      <w:r>
        <w:rPr/>
        <w:t>金杆材建设项目》、《年产</w:t>
      </w:r>
      <w:r>
        <w:rPr>
          <w:rFonts w:ascii="Times New Roman" w:hAnsi="Times New Roman" w:cs="Times New Roman" w:eastAsia="Times New Roman" w:hint="default"/>
        </w:rPr>
        <w:t>3</w:t>
      </w:r>
      <w:r>
        <w:rPr/>
        <w:t>万吨节能环保型特种漆包线建设项目》、《年产</w:t>
      </w:r>
      <w:r>
        <w:rPr>
          <w:rFonts w:ascii="Times New Roman" w:hAnsi="Times New Roman" w:cs="Times New Roman" w:eastAsia="Times New Roman" w:hint="default"/>
        </w:rPr>
        <w:t>5,000</w:t>
      </w:r>
      <w:r>
        <w:rPr/>
        <w:t>吨热交换器用高效节能</w:t>
      </w:r>
      <w:r>
        <w:rPr>
          <w:spacing w:val="-84"/>
        </w:rPr>
        <w:t> </w:t>
      </w:r>
      <w:r>
        <w:rPr>
          <w:spacing w:val="-84"/>
        </w:rPr>
      </w:r>
      <w:r>
        <w:rPr/>
        <w:t>高翅片铜管项目》三个募投项目的建设。公司《年产</w:t>
      </w:r>
      <w:r>
        <w:rPr>
          <w:rFonts w:ascii="Times New Roman" w:hAnsi="Times New Roman" w:cs="Times New Roman" w:eastAsia="Times New Roman" w:hint="default"/>
        </w:rPr>
        <w:t>15</w:t>
      </w:r>
      <w:r>
        <w:rPr/>
        <w:t>万吨高性能铜及铜合金杆材建设项目》募投项目从 德国引进的整套连铸连轧生产线在中外双方工程技术人员共同努力下，已建成并进入试生产阶段；《年产 </w:t>
      </w:r>
      <w:r>
        <w:rPr>
          <w:rFonts w:ascii="Times New Roman" w:hAnsi="Times New Roman" w:cs="Times New Roman" w:eastAsia="Times New Roman" w:hint="default"/>
          <w:spacing w:val="-4"/>
        </w:rPr>
        <w:t>3</w:t>
      </w:r>
      <w:r>
        <w:rPr>
          <w:spacing w:val="-4"/>
        </w:rPr>
        <w:t>万吨节能环保型特种漆包线建设项目》募投项目主体设备高速漆包机已陆续到位，正在安装；《年产</w:t>
      </w:r>
      <w:r>
        <w:rPr>
          <w:rFonts w:ascii="Times New Roman" w:hAnsi="Times New Roman" w:cs="Times New Roman" w:eastAsia="Times New Roman" w:hint="default"/>
          <w:spacing w:val="-4"/>
        </w:rPr>
        <w:t>5,000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吨热交换器用高效节能高翅片铜管建设项目》实施进度因宏天铜业土地厂房被政府征收而延缓，待新的生 </w:t>
      </w:r>
      <w:r>
        <w:rPr>
          <w:spacing w:val="-3"/>
        </w:rPr>
        <w:t>产基地落实之后，《年产</w:t>
      </w:r>
      <w:r>
        <w:rPr>
          <w:rFonts w:ascii="Times New Roman" w:hAnsi="Times New Roman" w:cs="Times New Roman" w:eastAsia="Times New Roman" w:hint="default"/>
          <w:spacing w:val="-3"/>
        </w:rPr>
        <w:t>5000</w:t>
      </w:r>
      <w:r>
        <w:rPr>
          <w:spacing w:val="-3"/>
        </w:rPr>
        <w:t>吨高效节能高翅片铜管项目》将与整体搬迁同时进行。募投项目的逐步建成，</w:t>
      </w:r>
      <w:r>
        <w:rPr>
          <w:spacing w:val="-89"/>
        </w:rPr>
        <w:t> </w:t>
      </w:r>
      <w:r>
        <w:rPr>
          <w:spacing w:val="-89"/>
        </w:rPr>
      </w:r>
      <w:r>
        <w:rPr/>
        <w:t>扩大了生产规模，优化了产品结构，推动了转型升级。</w:t>
      </w:r>
    </w:p>
    <w:p>
      <w:pPr>
        <w:pStyle w:val="BodyText"/>
        <w:spacing w:line="256" w:lineRule="auto" w:before="18"/>
        <w:ind w:left="534" w:right="97"/>
        <w:jc w:val="left"/>
      </w:pPr>
      <w:r>
        <w:rPr>
          <w:rFonts w:ascii="Times New Roman" w:hAnsi="Times New Roman" w:cs="Times New Roman" w:eastAsia="Times New Roman" w:hint="default"/>
        </w:rPr>
        <w:t>2</w:t>
      </w:r>
      <w:r>
        <w:rPr/>
        <w:t>、坚持科技创新，增强竞争能力 </w:t>
      </w:r>
      <w:r>
        <w:rPr>
          <w:spacing w:val="-1"/>
        </w:rPr>
        <w:t>报告期内，公司坚持科技创新的发展理念，充分发挥省级高新技术研究开发中心、省级企业技术中心</w:t>
      </w:r>
    </w:p>
    <w:p>
      <w:pPr>
        <w:pStyle w:val="BodyText"/>
        <w:spacing w:line="264" w:lineRule="auto" w:before="22"/>
        <w:ind w:right="228"/>
        <w:jc w:val="both"/>
      </w:pPr>
      <w:r>
        <w:rPr>
          <w:spacing w:val="-1"/>
        </w:rPr>
        <w:t>和博士后科研工作站科创平台的优势，增强了企业技术竞争能力。《螺旋型热交换用铜及铜合金高翅片管</w:t>
      </w:r>
      <w:r>
        <w:rPr>
          <w:spacing w:val="-83"/>
        </w:rPr>
        <w:t> </w:t>
      </w:r>
      <w:r>
        <w:rPr>
          <w:spacing w:val="-83"/>
        </w:rPr>
      </w:r>
      <w:r>
        <w:rPr/>
        <w:t>研发及产业化》项目通过诸暨市重点科技项目验收，</w:t>
      </w:r>
      <w:r>
        <w:rPr>
          <w:rFonts w:ascii="Times New Roman" w:hAnsi="Times New Roman" w:cs="Times New Roman" w:eastAsia="Times New Roman" w:hint="default"/>
        </w:rPr>
        <w:t>“</w:t>
      </w:r>
      <w:r>
        <w:rPr/>
        <w:t>海洋环境用白铜高翅片管</w:t>
      </w:r>
      <w:r>
        <w:rPr>
          <w:rFonts w:ascii="Times New Roman" w:hAnsi="Times New Roman" w:cs="Times New Roman" w:eastAsia="Times New Roman" w:hint="default"/>
        </w:rPr>
        <w:t>”</w:t>
      </w:r>
      <w:r>
        <w:rPr/>
        <w:t>产品被评定为浙江省优秀 工业新产品三等奖和中国有色金属工业科学技术奖三等奖，自主研发的</w:t>
      </w:r>
      <w:r>
        <w:rPr>
          <w:rFonts w:ascii="Times New Roman" w:hAnsi="Times New Roman" w:cs="Times New Roman" w:eastAsia="Times New Roman" w:hint="default"/>
        </w:rPr>
        <w:t>“</w:t>
      </w:r>
      <w:r>
        <w:rPr/>
        <w:t>内螺纹高翅片铜管</w:t>
      </w:r>
      <w:r>
        <w:rPr>
          <w:rFonts w:ascii="Times New Roman" w:hAnsi="Times New Roman" w:cs="Times New Roman" w:eastAsia="Times New Roman" w:hint="default"/>
        </w:rPr>
        <w:t>”</w:t>
      </w:r>
      <w:r>
        <w:rPr/>
        <w:t>产品被评定为 </w:t>
      </w:r>
      <w:r>
        <w:rPr>
          <w:spacing w:val="-1"/>
        </w:rPr>
        <w:t>浙江省工业新产品；《节能环保型特种漆包线研发及产业化项目》被列为</w:t>
      </w:r>
      <w:r>
        <w:rPr>
          <w:rFonts w:ascii="Times New Roman" w:hAnsi="Times New Roman" w:cs="Times New Roman" w:eastAsia="Times New Roman" w:hint="default"/>
          <w:spacing w:val="-1"/>
        </w:rPr>
        <w:t>2012</w:t>
      </w:r>
      <w:r>
        <w:rPr>
          <w:spacing w:val="-1"/>
        </w:rPr>
        <w:t>年诸暨市重点科技项目高新</w:t>
      </w:r>
      <w:r>
        <w:rPr>
          <w:spacing w:val="-82"/>
        </w:rPr>
        <w:t> </w:t>
      </w:r>
      <w:r>
        <w:rPr>
          <w:spacing w:val="-1"/>
        </w:rPr>
        <w:t>技术产业项目，《白铜紫铜复合高翅片管》被列为省级新产品实施项目。同时，浙江省省级创新型试点企</w:t>
      </w:r>
      <w:r>
        <w:rPr>
          <w:spacing w:val="-81"/>
        </w:rPr>
        <w:t> </w:t>
      </w:r>
      <w:r>
        <w:rPr>
          <w:spacing w:val="-81"/>
        </w:rPr>
      </w:r>
      <w:r>
        <w:rPr>
          <w:spacing w:val="-1"/>
        </w:rPr>
        <w:t>业通过验收，浙江省省级高新技术研究开发中心、浙江省省级企业技术中心通过复审；浙江省企业博士后</w:t>
      </w:r>
      <w:r>
        <w:rPr>
          <w:spacing w:val="-83"/>
        </w:rPr>
        <w:t> </w:t>
      </w:r>
      <w:r>
        <w:rPr>
          <w:spacing w:val="-83"/>
        </w:rPr>
      </w:r>
      <w:r>
        <w:rPr/>
        <w:t>工作站完成博士后入站及课题立项工作。</w:t>
      </w:r>
    </w:p>
    <w:p>
      <w:pPr>
        <w:pStyle w:val="BodyText"/>
        <w:spacing w:line="256" w:lineRule="auto" w:before="15"/>
        <w:ind w:right="97" w:firstLine="420"/>
        <w:jc w:val="left"/>
      </w:pPr>
      <w:r>
        <w:rPr>
          <w:rFonts w:ascii="Times New Roman" w:hAnsi="Times New Roman" w:cs="Times New Roman" w:eastAsia="Times New Roman" w:hint="default"/>
          <w:spacing w:val="-1"/>
        </w:rPr>
        <w:t>2012</w:t>
      </w:r>
      <w:r>
        <w:rPr>
          <w:spacing w:val="-1"/>
        </w:rPr>
        <w:t>年企业自主实施科技项目立项</w:t>
      </w:r>
      <w:r>
        <w:rPr>
          <w:rFonts w:ascii="Times New Roman" w:hAnsi="Times New Roman" w:cs="Times New Roman" w:eastAsia="Times New Roman" w:hint="default"/>
          <w:spacing w:val="-1"/>
        </w:rPr>
        <w:t>8</w:t>
      </w:r>
      <w:r>
        <w:rPr>
          <w:spacing w:val="-1"/>
        </w:rPr>
        <w:t>项，参与起草国家标准</w:t>
      </w:r>
      <w:r>
        <w:rPr>
          <w:rFonts w:ascii="Times New Roman" w:hAnsi="Times New Roman" w:cs="Times New Roman" w:eastAsia="Times New Roman" w:hint="default"/>
          <w:spacing w:val="-1"/>
        </w:rPr>
        <w:t>2</w:t>
      </w:r>
      <w:r>
        <w:rPr>
          <w:spacing w:val="-1"/>
        </w:rPr>
        <w:t>项，主持起草行业标准《铜及铜合金高翅</w:t>
      </w:r>
      <w:r>
        <w:rPr/>
        <w:t> 片管》已通过审定；新增申请专利</w:t>
      </w:r>
      <w:r>
        <w:rPr>
          <w:rFonts w:ascii="Times New Roman" w:hAnsi="Times New Roman" w:cs="Times New Roman" w:eastAsia="Times New Roman" w:hint="default"/>
        </w:rPr>
        <w:t>10</w:t>
      </w:r>
      <w:r>
        <w:rPr/>
        <w:t>项，新增授权专利</w:t>
      </w:r>
      <w:r>
        <w:rPr>
          <w:rFonts w:ascii="Times New Roman" w:hAnsi="Times New Roman" w:cs="Times New Roman" w:eastAsia="Times New Roman" w:hint="default"/>
        </w:rPr>
        <w:t>6</w:t>
      </w:r>
      <w:r>
        <w:rPr/>
        <w:t>项。截止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日，公司共拥有</w:t>
      </w:r>
      <w:r>
        <w:rPr>
          <w:rFonts w:ascii="Times New Roman" w:hAnsi="Times New Roman" w:cs="Times New Roman" w:eastAsia="Times New Roman" w:hint="default"/>
        </w:rPr>
        <w:t>35</w:t>
      </w:r>
      <w:r>
        <w:rPr/>
        <w:t>项专利</w:t>
      </w:r>
    </w:p>
    <w:p>
      <w:pPr>
        <w:spacing w:after="0" w:line="256" w:lineRule="auto"/>
        <w:jc w:val="left"/>
        <w:sectPr>
          <w:footerReference w:type="default" r:id="rId14"/>
          <w:pgSz w:w="11910" w:h="16840"/>
          <w:pgMar w:footer="980" w:header="747" w:top="1060" w:bottom="1160" w:left="1020" w:right="900"/>
        </w:sectPr>
      </w:pPr>
    </w:p>
    <w:p>
      <w:pPr>
        <w:spacing w:line="240" w:lineRule="auto" w:before="10"/>
        <w:rPr>
          <w:rFonts w:ascii="宋体" w:hAnsi="宋体" w:cs="宋体" w:eastAsia="宋体" w:hint="default"/>
          <w:sz w:val="24"/>
          <w:szCs w:val="24"/>
        </w:rPr>
      </w:pPr>
    </w:p>
    <w:p>
      <w:pPr>
        <w:pStyle w:val="BodyText"/>
        <w:spacing w:line="240" w:lineRule="auto" w:before="35"/>
        <w:ind w:right="0"/>
        <w:jc w:val="both"/>
      </w:pPr>
      <w:r>
        <w:rPr/>
        <w:t>权。</w:t>
      </w:r>
    </w:p>
    <w:p>
      <w:pPr>
        <w:pStyle w:val="BodyText"/>
        <w:spacing w:line="256" w:lineRule="auto" w:before="37"/>
        <w:ind w:left="534" w:right="102"/>
        <w:jc w:val="left"/>
      </w:pPr>
      <w:r>
        <w:rPr>
          <w:rFonts w:ascii="Times New Roman" w:hAnsi="Times New Roman" w:cs="Times New Roman" w:eastAsia="Times New Roman" w:hint="default"/>
        </w:rPr>
        <w:t>3</w:t>
      </w:r>
      <w:r>
        <w:rPr/>
        <w:t>、完善制度建设，提升内控水平 </w:t>
      </w:r>
      <w:r>
        <w:rPr>
          <w:spacing w:val="-1"/>
        </w:rPr>
        <w:t>报告期内，公司按照有关法律法规及监管部门的要求，修订了《浙江宏磊铜业股份有限公司对外担保</w:t>
      </w:r>
    </w:p>
    <w:p>
      <w:pPr>
        <w:pStyle w:val="BodyText"/>
        <w:spacing w:line="261" w:lineRule="auto" w:before="22"/>
        <w:ind w:left="113" w:right="105"/>
        <w:jc w:val="both"/>
      </w:pPr>
      <w:r>
        <w:rPr/>
        <w:t>管理制度》、《浙江宏磊铜业股份有限公司内幕信息知情人登记管理制度》等</w:t>
      </w:r>
      <w:r>
        <w:rPr>
          <w:spacing w:val="-78"/>
        </w:rPr>
        <w:t> </w:t>
      </w:r>
      <w:r>
        <w:rPr>
          <w:rFonts w:ascii="Times New Roman" w:hAnsi="Times New Roman" w:cs="Times New Roman" w:eastAsia="Times New Roman" w:hint="default"/>
        </w:rPr>
        <w:t>8</w:t>
      </w:r>
      <w:r>
        <w:rPr/>
        <w:t>个管理制度，制订了《浙</w:t>
      </w:r>
      <w:r>
        <w:rPr>
          <w:spacing w:val="-65"/>
        </w:rPr>
        <w:t> </w:t>
      </w:r>
      <w:r>
        <w:rPr>
          <w:spacing w:val="-65"/>
        </w:rPr>
      </w:r>
      <w:r>
        <w:rPr/>
        <w:t>江宏磊铜业股份有限公司董事、监事、高级管理人员持有和买卖本公司股票管理制度》、《浙江宏磊铜业</w:t>
      </w:r>
      <w:r>
        <w:rPr/>
        <w:t> </w:t>
      </w:r>
      <w:r>
        <w:rPr>
          <w:spacing w:val="-3"/>
        </w:rPr>
        <w:t>股份有限公司重大信息内部报告制度》等</w:t>
      </w:r>
      <w:r>
        <w:rPr>
          <w:rFonts w:ascii="Times New Roman" w:hAnsi="Times New Roman" w:cs="Times New Roman" w:eastAsia="Times New Roman" w:hint="default"/>
          <w:spacing w:val="-3"/>
        </w:rPr>
        <w:t>4</w:t>
      </w:r>
      <w:r>
        <w:rPr>
          <w:spacing w:val="-3"/>
        </w:rPr>
        <w:t>个管理制度，并且组织开展了</w:t>
      </w:r>
      <w:r>
        <w:rPr>
          <w:rFonts w:ascii="Times New Roman" w:hAnsi="Times New Roman" w:cs="Times New Roman" w:eastAsia="Times New Roman" w:hint="default"/>
          <w:spacing w:val="-3"/>
        </w:rPr>
        <w:t>“</w:t>
      </w:r>
      <w:r>
        <w:rPr>
          <w:spacing w:val="-3"/>
        </w:rPr>
        <w:t>内控提升年</w:t>
      </w:r>
      <w:r>
        <w:rPr>
          <w:rFonts w:ascii="Times New Roman" w:hAnsi="Times New Roman" w:cs="Times New Roman" w:eastAsia="Times New Roman" w:hint="default"/>
          <w:spacing w:val="-3"/>
        </w:rPr>
        <w:t>”</w:t>
      </w:r>
      <w:r>
        <w:rPr>
          <w:spacing w:val="-3"/>
        </w:rPr>
        <w:t>活动，管理层对制约</w:t>
      </w:r>
      <w:r>
        <w:rPr>
          <w:spacing w:val="-66"/>
        </w:rPr>
        <w:t> </w:t>
      </w:r>
      <w:r>
        <w:rPr>
          <w:spacing w:val="-66"/>
        </w:rPr>
      </w:r>
      <w:r>
        <w:rPr>
          <w:spacing w:val="-3"/>
        </w:rPr>
        <w:t>公司发展的瓶颈、影响市场拓展的因素进行重点突破，不断加强内部控制体系建设，进一步规范公司运作。</w:t>
      </w:r>
    </w:p>
    <w:p>
      <w:pPr>
        <w:pStyle w:val="BodyText"/>
        <w:spacing w:line="240" w:lineRule="auto" w:before="18"/>
        <w:ind w:left="533" w:right="102"/>
        <w:jc w:val="left"/>
      </w:pPr>
      <w:r>
        <w:rPr>
          <w:rFonts w:ascii="Times New Roman" w:hAnsi="Times New Roman" w:cs="Times New Roman" w:eastAsia="Times New Roman" w:hint="default"/>
        </w:rPr>
        <w:t>4</w:t>
      </w:r>
      <w:r>
        <w:rPr/>
        <w:t>、创新运营管理，实现节约增效</w:t>
      </w:r>
    </w:p>
    <w:p>
      <w:pPr>
        <w:pStyle w:val="BodyText"/>
        <w:spacing w:line="266" w:lineRule="auto" w:before="21"/>
        <w:ind w:left="113" w:right="102" w:firstLine="420"/>
        <w:jc w:val="left"/>
      </w:pPr>
      <w:r>
        <w:rPr/>
        <w:t>报告期内，公司根据企业发展需要，全面组织实施用友</w:t>
      </w:r>
      <w:r>
        <w:rPr>
          <w:rFonts w:ascii="Times New Roman" w:hAnsi="Times New Roman" w:cs="Times New Roman" w:eastAsia="Times New Roman" w:hint="default"/>
        </w:rPr>
        <w:t>NC</w:t>
      </w:r>
      <w:r>
        <w:rPr>
          <w:rFonts w:ascii="Times New Roman" w:hAnsi="Times New Roman" w:cs="Times New Roman" w:eastAsia="Times New Roman" w:hint="default"/>
          <w:spacing w:val="25"/>
        </w:rPr>
        <w:t> </w:t>
      </w:r>
      <w:r>
        <w:rPr>
          <w:rFonts w:ascii="Times New Roman" w:hAnsi="Times New Roman" w:cs="Times New Roman" w:eastAsia="Times New Roman" w:hint="default"/>
        </w:rPr>
        <w:t>ERP</w:t>
      </w:r>
      <w:r>
        <w:rPr/>
        <w:t>信息化管理系统，有效地安排企业的</w:t>
      </w:r>
      <w:r>
        <w:rPr>
          <w:spacing w:val="2"/>
        </w:rPr>
        <w:t> </w:t>
      </w:r>
      <w:r>
        <w:rPr/>
        <w:t>产、供、销活动，使得公司能够将经营过程中的有关供应商、制造工厂、分销网络、客户等各方均纳入一</w:t>
      </w:r>
      <w:r>
        <w:rPr/>
        <w:t> </w:t>
      </w:r>
      <w:r>
        <w:rPr>
          <w:spacing w:val="-3"/>
        </w:rPr>
        <w:t>个紧密的供应链中，满足了企业利用各种资源快速高效地响应市场的需求，进一步提高了运营效率。同时，</w:t>
      </w:r>
      <w:r>
        <w:rPr>
          <w:spacing w:val="-91"/>
        </w:rPr>
        <w:t> </w:t>
      </w:r>
      <w:r>
        <w:rPr>
          <w:spacing w:val="-91"/>
        </w:rPr>
      </w:r>
      <w:r>
        <w:rPr>
          <w:spacing w:val="-3"/>
        </w:rPr>
        <w:t>公司通过加强生产过程管理，严格推行质量管理体系，不断改进和优化产品质量，努力夯实宏磊品牌建设。</w:t>
      </w:r>
      <w:r>
        <w:rPr>
          <w:spacing w:val="-89"/>
        </w:rPr>
        <w:t> </w:t>
      </w:r>
      <w:r>
        <w:rPr>
          <w:spacing w:val="-89"/>
        </w:rPr>
      </w:r>
      <w:r>
        <w:rPr>
          <w:spacing w:val="-3"/>
        </w:rPr>
        <w:t>坚持按照省绿色企业的标准持续开展清洁生产工作，使工作环境整洁有序，提升现场管理水平，达到了</w:t>
      </w:r>
      <w:r>
        <w:rPr>
          <w:rFonts w:ascii="Times New Roman" w:hAnsi="Times New Roman" w:cs="Times New Roman" w:eastAsia="Times New Roman" w:hint="default"/>
          <w:spacing w:val="-3"/>
        </w:rPr>
        <w:t>“</w:t>
      </w:r>
      <w:r>
        <w:rPr>
          <w:spacing w:val="-3"/>
        </w:rPr>
        <w:t>安</w:t>
      </w:r>
      <w:r>
        <w:rPr>
          <w:spacing w:val="-80"/>
        </w:rPr>
        <w:t> </w:t>
      </w:r>
      <w:r>
        <w:rPr/>
        <w:t>全、节能、降耗、减污、增效</w:t>
      </w:r>
      <w:r>
        <w:rPr>
          <w:rFonts w:ascii="Times New Roman" w:hAnsi="Times New Roman" w:cs="Times New Roman" w:eastAsia="Times New Roman" w:hint="default"/>
        </w:rPr>
        <w:t>”</w:t>
      </w:r>
      <w:r>
        <w:rPr/>
        <w:t>的目标。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1"/>
        <w:ind w:left="114"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line="357" w:lineRule="auto" w:before="102"/>
        <w:ind w:left="113" w:right="6051" w:firstLine="0"/>
        <w:jc w:val="left"/>
        <w:rPr>
          <w:rFonts w:ascii="宋体" w:hAnsi="宋体" w:cs="宋体" w:eastAsia="宋体" w:hint="default"/>
          <w:sz w:val="18"/>
          <w:szCs w:val="18"/>
        </w:rPr>
      </w:pPr>
      <w:r>
        <w:rPr>
          <w:rFonts w:ascii="宋体" w:hAnsi="宋体" w:cs="宋体" w:eastAsia="宋体" w:hint="default"/>
          <w:sz w:val="18"/>
          <w:szCs w:val="18"/>
        </w:rPr>
        <w:t>√ 适用 □ 不适用 公司因其他往来款的增加，计提了坏账准备金。</w:t>
      </w:r>
    </w:p>
    <w:p>
      <w:pPr>
        <w:spacing w:line="240" w:lineRule="auto" w:before="2"/>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130"/>
        <w:gridCol w:w="2130"/>
        <w:gridCol w:w="2131"/>
        <w:gridCol w:w="2131"/>
      </w:tblGrid>
      <w:tr>
        <w:trPr>
          <w:trHeight w:val="347" w:hRule="exact"/>
        </w:trPr>
        <w:tc>
          <w:tcPr>
            <w:tcW w:w="2130" w:type="dxa"/>
            <w:tcBorders>
              <w:top w:val="single" w:sz="6" w:space="0" w:color="010101"/>
              <w:left w:val="single" w:sz="6" w:space="0" w:color="010101"/>
              <w:bottom w:val="single" w:sz="6" w:space="0" w:color="010101"/>
              <w:right w:val="single" w:sz="6" w:space="0" w:color="010101"/>
            </w:tcBorders>
          </w:tcPr>
          <w:p>
            <w:pPr>
              <w:pStyle w:val="TableParagraph"/>
              <w:tabs>
                <w:tab w:pos="1267" w:val="left" w:leader="none"/>
              </w:tabs>
              <w:spacing w:line="270" w:lineRule="exact"/>
              <w:ind w:left="638"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13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本期数（元）</w:t>
            </w:r>
            <w:r>
              <w:rPr>
                <w:rFonts w:ascii="宋体" w:hAnsi="宋体" w:cs="宋体" w:eastAsia="宋体" w:hint="default"/>
                <w:sz w:val="21"/>
                <w:szCs w:val="21"/>
              </w:rPr>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上年同期数（元）</w:t>
            </w:r>
            <w:r>
              <w:rPr>
                <w:rFonts w:ascii="宋体" w:hAnsi="宋体" w:cs="宋体" w:eastAsia="宋体" w:hint="default"/>
                <w:sz w:val="21"/>
                <w:szCs w:val="21"/>
              </w:rPr>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7" w:hRule="exact"/>
        </w:trPr>
        <w:tc>
          <w:tcPr>
            <w:tcW w:w="213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3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3,759,093,820.70</w:t>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4,002,123,734.59</w:t>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-6.07%</w:t>
            </w:r>
            <w:r>
              <w:rPr>
                <w:rFonts w:ascii="Times New Roman"/>
                <w:sz w:val="21"/>
              </w:rPr>
            </w:r>
          </w:p>
        </w:tc>
      </w:tr>
      <w:tr>
        <w:trPr>
          <w:trHeight w:val="347" w:hRule="exact"/>
        </w:trPr>
        <w:tc>
          <w:tcPr>
            <w:tcW w:w="213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3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790,646.99</w:t>
            </w:r>
            <w:r>
              <w:rPr>
                <w:rFonts w:ascii="Times New Roman"/>
                <w:sz w:val="21"/>
              </w:rPr>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3,660.00</w:t>
            </w:r>
            <w:r>
              <w:rPr>
                <w:rFonts w:ascii="Times New Roman"/>
                <w:sz w:val="21"/>
              </w:rPr>
            </w:r>
          </w:p>
        </w:tc>
        <w:tc>
          <w:tcPr>
            <w:tcW w:w="213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21502.38%</w:t>
            </w:r>
          </w:p>
        </w:tc>
      </w:tr>
    </w:tbl>
    <w:p>
      <w:pPr>
        <w:pStyle w:val="BodyText"/>
        <w:spacing w:line="260" w:lineRule="exact"/>
        <w:ind w:right="102"/>
        <w:jc w:val="left"/>
      </w:pPr>
      <w:r>
        <w:rPr/>
        <w:t>说明：其他业务收入较上年增长，主要是票据贴现款项收入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60" w:lineRule="auto" w:before="116"/>
        <w:ind w:left="114" w:right="7850" w:firstLine="0"/>
        <w:jc w:val="left"/>
        <w:rPr>
          <w:rFonts w:ascii="宋体" w:hAnsi="宋体" w:cs="宋体" w:eastAsia="宋体" w:hint="default"/>
          <w:sz w:val="18"/>
          <w:szCs w:val="18"/>
        </w:rPr>
      </w:pPr>
      <w:r>
        <w:rPr>
          <w:rFonts w:ascii="宋体" w:hAnsi="宋体" w:cs="宋体" w:eastAsia="宋体" w:hint="default"/>
          <w:sz w:val="18"/>
          <w:szCs w:val="18"/>
        </w:rPr>
        <w:t>□ 是 √ 否 公司重大的在手订单情况</w:t>
      </w:r>
    </w:p>
    <w:p>
      <w:pPr>
        <w:spacing w:line="357" w:lineRule="auto" w:before="26"/>
        <w:ind w:left="114" w:right="5510"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57" w:lineRule="auto" w:before="29"/>
        <w:ind w:left="114" w:right="8030"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746,667,361.05</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w:t>
            </w:r>
          </w:p>
        </w:tc>
      </w:tr>
    </w:tbl>
    <w:p>
      <w:pPr>
        <w:spacing w:before="68"/>
        <w:ind w:left="114" w:right="10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footerReference w:type="default" r:id="rId15"/>
          <w:pgSz w:w="11910" w:h="16840"/>
          <w:pgMar w:footer="980" w:header="747" w:top="1060" w:bottom="1160" w:left="1020" w:right="920"/>
          <w:pgNumType w:start="11"/>
        </w:sectPr>
      </w:pPr>
    </w:p>
    <w:p>
      <w:pPr>
        <w:spacing w:line="240" w:lineRule="auto" w:before="12"/>
        <w:rPr>
          <w:rFonts w:ascii="宋体" w:hAnsi="宋体" w:cs="宋体" w:eastAsia="宋体" w:hint="default"/>
          <w:sz w:val="25"/>
          <w:szCs w:val="25"/>
        </w:rPr>
      </w:pPr>
    </w:p>
    <w:p>
      <w:pPr>
        <w:spacing w:before="44"/>
        <w:ind w:left="113"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235,916,087.89</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172,231,274.48</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162,284,088.40</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91,484,422.97</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84,751,487.31</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746,667,361.05</w:t>
            </w:r>
          </w:p>
        </w:tc>
        <w:tc>
          <w:tcPr>
            <w:tcW w:w="31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19.86%</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10101"/>
              <w:bottom w:val="single" w:sz="4" w:space="0" w:color="010101"/>
              <w:right w:val="single" w:sz="4" w:space="0" w:color="010101"/>
            </w:tcBorders>
            <w:shd w:val="clear" w:color="auto" w:fill="D3D3D3"/>
          </w:tcPr>
          <w:p>
            <w:pPr/>
          </w:p>
        </w:tc>
        <w:tc>
          <w:tcPr>
            <w:tcW w:w="1367"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变压器类</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3"/>
                <w:sz w:val="18"/>
              </w:rPr>
              <w:t>111,211,469.58</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255,876,143.78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-56.54%</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电动工具类</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179,734,154.62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229,986,122.72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-21.85%</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电机类</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1,174,225,820.13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32.83%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1,863,940,338.25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49.51%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电器类</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283,241,021.29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7.92%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408,422,189.44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10.85%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-30.65%</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1,412,433,177.86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39.49%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227,328,301.68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6.04%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521.32%</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415,973,974.37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11.63%</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778,906,136.97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20.69%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-46.6%</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10101"/>
              <w:bottom w:val="single" w:sz="4" w:space="0" w:color="010101"/>
              <w:right w:val="single" w:sz="4" w:space="0" w:color="010101"/>
            </w:tcBorders>
            <w:shd w:val="clear" w:color="auto" w:fill="D3D3D3"/>
          </w:tcPr>
          <w:p>
            <w:pPr/>
          </w:p>
        </w:tc>
        <w:tc>
          <w:tcPr>
            <w:tcW w:w="1367"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1,900,931,004.87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2,985,553,095.87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79.31%</w:t>
            </w:r>
          </w:p>
        </w:tc>
        <w:tc>
          <w:tcPr>
            <w:tcW w:w="13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415,973,974.37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11.63%</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778,906,136.97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c>
          <w:tcPr>
            <w:tcW w:w="13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1,259,914,638.61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9370"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8"/>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180,858.06</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52.43%</w:t>
            </w:r>
          </w:p>
        </w:tc>
      </w:tr>
    </w:tbl>
    <w:p>
      <w:pPr>
        <w:spacing w:before="49"/>
        <w:ind w:left="114" w:right="105" w:firstLine="0"/>
        <w:jc w:val="left"/>
        <w:rPr>
          <w:rFonts w:ascii="宋体" w:hAnsi="宋体" w:cs="宋体" w:eastAsia="宋体" w:hint="default"/>
          <w:sz w:val="18"/>
          <w:szCs w:val="18"/>
        </w:rPr>
      </w:pPr>
      <w:r>
        <w:rPr/>
        <w:pict>
          <v:shape style="position:absolute;margin-left:263.579712pt;margin-top:-20.157980pt;width:271.350pt;height:19.7pt;mso-position-horizontal-relative:page;mso-position-vertical-relative:paragraph;z-index:-835288"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69.760010pt;margin-top:-20.157980pt;width:265.150pt;height:19.7pt;mso-position-horizontal-relative:page;mso-position-vertical-relative:paragraph;z-index:-835264" coordorigin="5395,-403" coordsize="5303,394">
            <v:shape style="position:absolute;left:5395;top:-403;width:5303;height:394" coordorigin="5395,-403" coordsize="5303,394" path="m5395,-10l10698,-10,10698,-403,5395,-403,5395,-10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spacing w:before="44"/>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65" w:lineRule="exact"/>
        <w:ind w:left="11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960502" cy="10572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5960502" cy="105727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3"/>
        <w:rPr>
          <w:rFonts w:ascii="宋体" w:hAnsi="宋体" w:cs="宋体" w:eastAsia="宋体" w:hint="default"/>
          <w:b/>
          <w:bCs/>
          <w:sz w:val="5"/>
          <w:szCs w:val="5"/>
        </w:rPr>
      </w:pPr>
    </w:p>
    <w:p>
      <w:pPr>
        <w:spacing w:before="44"/>
        <w:ind w:left="114" w:right="10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所得税费用由于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年度实现的利润总额较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年度下降</w:t>
      </w:r>
      <w:r>
        <w:rPr>
          <w:rFonts w:ascii="Times New Roman" w:hAnsi="Times New Roman" w:cs="Times New Roman" w:eastAsia="Times New Roman" w:hint="default"/>
          <w:sz w:val="18"/>
          <w:szCs w:val="18"/>
        </w:rPr>
        <w:t>59%</w:t>
      </w:r>
      <w:r>
        <w:rPr>
          <w:rFonts w:ascii="宋体" w:hAnsi="宋体" w:cs="宋体" w:eastAsia="宋体" w:hint="default"/>
          <w:sz w:val="18"/>
          <w:szCs w:val="18"/>
        </w:rPr>
        <w:t>导致所得税费用同比下降</w:t>
      </w:r>
      <w:r>
        <w:rPr>
          <w:rFonts w:ascii="Times New Roman" w:hAnsi="Times New Roman" w:cs="Times New Roman" w:eastAsia="Times New Roman" w:hint="default"/>
          <w:sz w:val="18"/>
          <w:szCs w:val="18"/>
        </w:rPr>
        <w:t>47.6%</w:t>
      </w:r>
    </w:p>
    <w:p>
      <w:pPr>
        <w:spacing w:line="240" w:lineRule="auto" w:before="0"/>
        <w:rPr>
          <w:rFonts w:ascii="Times New Roman" w:hAnsi="Times New Roman" w:cs="Times New Roman" w:eastAsia="Times New Roman" w:hint="default"/>
          <w:sz w:val="18"/>
          <w:szCs w:val="18"/>
        </w:rPr>
      </w:pPr>
    </w:p>
    <w:p>
      <w:pPr>
        <w:pStyle w:val="Heading5"/>
        <w:spacing w:line="240" w:lineRule="auto" w:before="131"/>
        <w:ind w:right="105"/>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line="1335" w:lineRule="exact"/>
        <w:ind w:left="11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5750515" cy="8477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5750515" cy="847725"/>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10"/>
        <w:rPr>
          <w:rFonts w:ascii="宋体" w:hAnsi="宋体" w:cs="宋体" w:eastAsia="宋体" w:hint="default"/>
          <w:b/>
          <w:bCs/>
          <w:sz w:val="27"/>
          <w:szCs w:val="27"/>
        </w:rPr>
      </w:pPr>
    </w:p>
    <w:p>
      <w:pPr>
        <w:spacing w:before="35"/>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4,706,219,402.24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4,737,173,466.45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5,269,467,846.15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4,506,083,402.14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-563,248,443.91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231,090,064.31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-343.74%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760,561.45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28,598,787.90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210,684,249.40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100,547,614.70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109.54%</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-209,923,687.95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-71,948,826.80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191.77%</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984,890,832.41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1,367,136,207.06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-27.96%</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922,405,416.55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1,072,256,251.22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62,485,415.86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294,879,955.84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-78.81%</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-712,795,197.97</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453,851,783.89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-257.05%</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13"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13" w:right="10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年度经营活动产生的现金流量净额流出</w:t>
      </w:r>
      <w:r>
        <w:rPr>
          <w:rFonts w:ascii="Times New Roman" w:hAnsi="Times New Roman" w:cs="Times New Roman" w:eastAsia="Times New Roman" w:hint="default"/>
          <w:sz w:val="18"/>
          <w:szCs w:val="18"/>
        </w:rPr>
        <w:t>,</w:t>
      </w:r>
      <w:r>
        <w:rPr>
          <w:rFonts w:ascii="宋体" w:hAnsi="宋体" w:cs="宋体" w:eastAsia="宋体" w:hint="default"/>
          <w:sz w:val="18"/>
          <w:szCs w:val="18"/>
        </w:rPr>
        <w:t>主要是由于公司购买货物支付的货款增加及关联方资金使用之故</w:t>
      </w:r>
      <w:r>
        <w:rPr>
          <w:rFonts w:ascii="Times New Roman" w:hAnsi="Times New Roman" w:cs="Times New Roman" w:eastAsia="Times New Roman" w:hint="default"/>
          <w:sz w:val="18"/>
          <w:szCs w:val="18"/>
        </w:rPr>
        <w:t>;</w:t>
      </w:r>
    </w:p>
    <w:p>
      <w:pPr>
        <w:spacing w:before="63"/>
        <w:ind w:left="114" w:right="105" w:firstLine="0"/>
        <w:jc w:val="left"/>
        <w:rPr>
          <w:rFonts w:ascii="宋体" w:hAnsi="宋体" w:cs="宋体" w:eastAsia="宋体" w:hint="default"/>
          <w:sz w:val="18"/>
          <w:szCs w:val="18"/>
        </w:rPr>
      </w:pPr>
      <w:r>
        <w:rPr>
          <w:rFonts w:ascii="宋体" w:hAnsi="宋体" w:cs="宋体" w:eastAsia="宋体" w:hint="default"/>
          <w:sz w:val="18"/>
          <w:szCs w:val="18"/>
        </w:rPr>
        <w:t>投资活动产生的现金流量净额流出</w:t>
      </w:r>
      <w:r>
        <w:rPr>
          <w:rFonts w:ascii="Times New Roman" w:hAnsi="Times New Roman" w:cs="Times New Roman" w:eastAsia="Times New Roman" w:hint="default"/>
          <w:sz w:val="18"/>
          <w:szCs w:val="18"/>
        </w:rPr>
        <w:t>,</w:t>
      </w:r>
      <w:r>
        <w:rPr>
          <w:rFonts w:ascii="宋体" w:hAnsi="宋体" w:cs="宋体" w:eastAsia="宋体" w:hint="default"/>
          <w:sz w:val="18"/>
          <w:szCs w:val="18"/>
        </w:rPr>
        <w:t>主要是由于募投项目年产</w:t>
      </w:r>
      <w:r>
        <w:rPr>
          <w:rFonts w:ascii="Times New Roman" w:hAnsi="Times New Roman" w:cs="Times New Roman" w:eastAsia="Times New Roman" w:hint="default"/>
          <w:sz w:val="18"/>
          <w:szCs w:val="18"/>
        </w:rPr>
        <w:t>15</w:t>
      </w:r>
      <w:r>
        <w:rPr>
          <w:rFonts w:ascii="宋体" w:hAnsi="宋体" w:cs="宋体" w:eastAsia="宋体" w:hint="default"/>
          <w:sz w:val="18"/>
          <w:szCs w:val="18"/>
        </w:rPr>
        <w:t>万吨连铸连扎生产线和年产</w:t>
      </w:r>
      <w:r>
        <w:rPr>
          <w:rFonts w:ascii="Times New Roman" w:hAnsi="Times New Roman" w:cs="Times New Roman" w:eastAsia="Times New Roman" w:hint="default"/>
          <w:sz w:val="18"/>
          <w:szCs w:val="18"/>
        </w:rPr>
        <w:t>3</w:t>
      </w:r>
      <w:r>
        <w:rPr>
          <w:rFonts w:ascii="宋体" w:hAnsi="宋体" w:cs="宋体" w:eastAsia="宋体" w:hint="default"/>
          <w:sz w:val="18"/>
          <w:szCs w:val="18"/>
        </w:rPr>
        <w:t>万吨特种漆包线的实施</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spacing w:line="300" w:lineRule="auto" w:before="44"/>
        <w:ind w:left="113" w:right="36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金的投入支出</w:t>
      </w:r>
      <w:r>
        <w:rPr>
          <w:rFonts w:ascii="Times New Roman" w:hAnsi="Times New Roman" w:cs="Times New Roman" w:eastAsia="Times New Roman" w:hint="default"/>
          <w:sz w:val="18"/>
          <w:szCs w:val="18"/>
        </w:rPr>
        <w:t>; </w:t>
      </w:r>
      <w:r>
        <w:rPr>
          <w:rFonts w:ascii="宋体" w:hAnsi="宋体" w:cs="宋体" w:eastAsia="宋体" w:hint="default"/>
          <w:sz w:val="18"/>
          <w:szCs w:val="18"/>
        </w:rPr>
        <w:t>筹资活动产生的现金流量净额增加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主要是由于银行贷款的增加所致</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before="159"/>
        <w:ind w:left="114" w:right="10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before="0"/>
        <w:ind w:right="105"/>
        <w:jc w:val="left"/>
        <w:rPr>
          <w:b w:val="0"/>
          <w:bCs w:val="0"/>
        </w:rPr>
      </w:pPr>
      <w:r>
        <w:rPr/>
        <w:t>三、主营业务构成情况</w:t>
      </w:r>
      <w:r>
        <w:rPr>
          <w:b w:val="0"/>
          <w:bCs w:val="0"/>
        </w:rPr>
      </w:r>
    </w:p>
    <w:p>
      <w:pPr>
        <w:spacing w:line="240" w:lineRule="auto" w:before="2"/>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370"/>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4"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变压器类</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117,531,965.26</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111,211,469.58</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-56.54%</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电动工具类</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191,287,582.63</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179,734,154.62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-21.85%</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电机类</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1,250,179,937.27</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1,174,225,820.13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电器类</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299,913,730.89</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283,241,021.29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1,456,345,755.37</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1,412,433,177.86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508.92%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521.32%</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443,834,849.28</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415,973,974.37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2,023,513,462.38</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1,900,931,004.87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-36.33%</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443,834,849.29</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415,973,974.37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铜线、坯管等</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1,291,745,509.03</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1,259,914,638.61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3,629,415,048.09</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3,456,177,932.09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129,678,772.61</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120,641,685.76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2"/>
        <w:ind w:left="113"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25"/>
          <w:szCs w:val="25"/>
        </w:rPr>
      </w:pPr>
    </w:p>
    <w:p>
      <w:pPr>
        <w:pStyle w:val="Heading2"/>
        <w:spacing w:line="240" w:lineRule="auto" w:before="0"/>
        <w:ind w:right="105"/>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9"/>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1"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412,374,213.4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14.84%</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808,271,139.44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36.46%</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-21.62%</w:t>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9"/>
        <w:gridCol w:w="2918"/>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486,583,905.3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336,518,993.76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15.18%</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2.33%</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379,216,186.2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13.65%</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335,617,145.14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15.14%</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89,002,000.00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189,238,507.7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193,548,241.36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190,025,869.8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141,214,610.32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0.47%</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0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9"/>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1"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625,499,243.2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22.51%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522,600,000.00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23.57%</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-1.06%</w:t>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5"/>
        <w:spacing w:line="240" w:lineRule="auto" w:before="35"/>
        <w:ind w:right="102"/>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9"/>
        <w:gridCol w:w="1195"/>
        <w:gridCol w:w="1196"/>
        <w:gridCol w:w="1196"/>
        <w:gridCol w:w="1195"/>
        <w:gridCol w:w="1196"/>
        <w:gridCol w:w="1196"/>
        <w:gridCol w:w="1194"/>
      </w:tblGrid>
      <w:tr>
        <w:trPr>
          <w:trHeight w:val="1026" w:hRule="exact"/>
        </w:trPr>
        <w:tc>
          <w:tcPr>
            <w:tcW w:w="11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3"/>
              <w:jc w:val="righ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2" w:right="5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444"/>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70" w:type="dxa"/>
            <w:gridSpan w:val="7"/>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1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444"/>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1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444"/>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before="50"/>
        <w:ind w:left="114" w:right="0" w:firstLine="0"/>
        <w:jc w:val="both"/>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6"/>
        <w:ind w:left="114" w:right="0" w:firstLine="0"/>
        <w:jc w:val="both"/>
        <w:rPr>
          <w:rFonts w:ascii="宋体" w:hAnsi="宋体" w:cs="宋体" w:eastAsia="宋体" w:hint="default"/>
          <w:sz w:val="18"/>
          <w:szCs w:val="18"/>
        </w:rPr>
      </w:pPr>
      <w:r>
        <w:rPr>
          <w:rFonts w:ascii="宋体" w:hAnsi="宋体" w:cs="宋体" w:eastAsia="宋体" w:hint="default"/>
          <w:sz w:val="18"/>
          <w:szCs w:val="18"/>
        </w:rPr>
        <w:t>□ 是 √ 否 </w:t>
      </w:r>
    </w:p>
    <w:p>
      <w:pPr>
        <w:spacing w:line="240" w:lineRule="auto" w:before="2"/>
        <w:rPr>
          <w:rFonts w:ascii="宋体" w:hAnsi="宋体" w:cs="宋体" w:eastAsia="宋体" w:hint="default"/>
          <w:sz w:val="25"/>
          <w:szCs w:val="25"/>
        </w:rPr>
      </w:pPr>
    </w:p>
    <w:p>
      <w:pPr>
        <w:pStyle w:val="Heading2"/>
        <w:spacing w:line="240" w:lineRule="auto" w:before="0"/>
        <w:ind w:right="0"/>
        <w:jc w:val="both"/>
        <w:rPr>
          <w:b w:val="0"/>
          <w:bCs w:val="0"/>
        </w:rPr>
      </w:pPr>
      <w:r>
        <w:rPr/>
        <w:t>五、核心竞争力分析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34" w:right="20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、规模和技术优势 本公司是国内规模较大、技术领先的综合性漆包线产品生产商之一，公司原有漆包线产品年产能约</w:t>
      </w:r>
      <w:r>
        <w:rPr>
          <w:spacing w:val="-32"/>
        </w:rPr>
        <w:t> </w:t>
      </w:r>
      <w:r>
        <w:rPr>
          <w:rFonts w:ascii="Times New Roman" w:hAnsi="Times New Roman" w:cs="Times New Roman" w:eastAsia="Times New Roman" w:hint="default"/>
        </w:rPr>
        <w:t>6</w:t>
      </w:r>
    </w:p>
    <w:p>
      <w:pPr>
        <w:pStyle w:val="BodyText"/>
        <w:spacing w:line="264" w:lineRule="auto" w:before="5"/>
        <w:ind w:left="113" w:right="206"/>
        <w:jc w:val="both"/>
      </w:pPr>
      <w:r>
        <w:rPr>
          <w:spacing w:val="-3"/>
        </w:rPr>
        <w:t>万吨，随着募集资金项目《年产</w:t>
      </w:r>
      <w:r>
        <w:rPr>
          <w:rFonts w:ascii="Times New Roman" w:hAnsi="Times New Roman" w:cs="Times New Roman" w:eastAsia="Times New Roman" w:hint="default"/>
          <w:spacing w:val="-3"/>
        </w:rPr>
        <w:t>3</w:t>
      </w:r>
      <w:r>
        <w:rPr>
          <w:spacing w:val="-3"/>
        </w:rPr>
        <w:t>万吨节能环保型特种漆包线建设项目》陆续进入生产、试生产阶段，</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年产品产能逐步释放，高档、特种漆包线比例将进一步提升，公司经营规模将进一步扩张。另外，公司铜</w:t>
      </w:r>
      <w:r>
        <w:rPr>
          <w:spacing w:val="-81"/>
        </w:rPr>
        <w:t> </w:t>
      </w:r>
      <w:r>
        <w:rPr>
          <w:spacing w:val="-81"/>
        </w:rPr>
      </w:r>
      <w:r>
        <w:rPr/>
        <w:t>管材产品致力于细分市场，为国内无缝高翅片铜管和空调制冷用蚊香盘管的重要生产基地之一。</w:t>
      </w:r>
    </w:p>
    <w:p>
      <w:pPr>
        <w:pStyle w:val="BodyText"/>
        <w:spacing w:line="240" w:lineRule="auto" w:before="16"/>
        <w:ind w:left="533" w:right="0"/>
        <w:jc w:val="left"/>
      </w:pPr>
      <w:r>
        <w:rPr>
          <w:spacing w:val="-2"/>
        </w:rPr>
        <w:t>公司秉承</w:t>
      </w:r>
      <w:r>
        <w:rPr>
          <w:rFonts w:ascii="Times New Roman" w:hAnsi="Times New Roman" w:cs="Times New Roman" w:eastAsia="Times New Roman" w:hint="default"/>
          <w:spacing w:val="-2"/>
        </w:rPr>
        <w:t>“</w:t>
      </w:r>
      <w:r>
        <w:rPr>
          <w:spacing w:val="-2"/>
        </w:rPr>
        <w:t>科技兴企</w:t>
      </w:r>
      <w:r>
        <w:rPr>
          <w:rFonts w:ascii="Times New Roman" w:hAnsi="Times New Roman" w:cs="Times New Roman" w:eastAsia="Times New Roman" w:hint="default"/>
          <w:spacing w:val="-2"/>
        </w:rPr>
        <w:t>”</w:t>
      </w:r>
      <w:r>
        <w:rPr>
          <w:spacing w:val="-2"/>
        </w:rPr>
        <w:t>的发展理念，坚持</w:t>
      </w:r>
      <w:r>
        <w:rPr>
          <w:rFonts w:ascii="Times New Roman" w:hAnsi="Times New Roman" w:cs="Times New Roman" w:eastAsia="Times New Roman" w:hint="default"/>
          <w:spacing w:val="-2"/>
        </w:rPr>
        <w:t>“</w:t>
      </w:r>
      <w:r>
        <w:rPr>
          <w:spacing w:val="-2"/>
        </w:rPr>
        <w:t>应用一代、试制一代、研究一代、规划一代</w:t>
      </w:r>
      <w:r>
        <w:rPr>
          <w:rFonts w:ascii="Times New Roman" w:hAnsi="Times New Roman" w:cs="Times New Roman" w:eastAsia="Times New Roman" w:hint="default"/>
          <w:spacing w:val="-2"/>
        </w:rPr>
        <w:t>”</w:t>
      </w:r>
      <w:r>
        <w:rPr>
          <w:spacing w:val="-2"/>
        </w:rPr>
        <w:t>的自主创新战略，</w:t>
      </w:r>
    </w:p>
    <w:p>
      <w:pPr>
        <w:spacing w:after="0" w:line="240" w:lineRule="auto"/>
        <w:jc w:val="left"/>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73" w:lineRule="auto" w:before="35"/>
        <w:ind w:right="101"/>
        <w:jc w:val="left"/>
      </w:pPr>
      <w:r>
        <w:rPr/>
        <w:t>不仅在业内率先建立了省级高新技术研究开发中心、省级企业技术中心和博士后科研工作站，而且与江西 </w:t>
      </w:r>
      <w:r>
        <w:rPr>
          <w:spacing w:val="-3"/>
        </w:rPr>
        <w:t>理工大学、中南大学、上海电缆研究所等省内外多家重点高校、科研院所建立了长期产学研深度合作关系，</w:t>
      </w:r>
      <w:r>
        <w:rPr>
          <w:spacing w:val="-91"/>
        </w:rPr>
        <w:t> </w:t>
      </w:r>
      <w:r>
        <w:rPr>
          <w:spacing w:val="-91"/>
        </w:rPr>
      </w:r>
      <w:r>
        <w:rPr/>
        <w:t>通过自主研发和引进吸收等方式不断提升产品技术水平，增强核心竞争力。</w:t>
      </w:r>
    </w:p>
    <w:p>
      <w:pPr>
        <w:pStyle w:val="BodyText"/>
        <w:spacing w:line="256" w:lineRule="auto" w:before="7"/>
        <w:ind w:left="113" w:right="207" w:firstLine="420"/>
        <w:jc w:val="both"/>
      </w:pPr>
      <w:r>
        <w:rPr/>
        <w:t>近年来，公司累计承担国家重点项目</w:t>
      </w:r>
      <w:r>
        <w:rPr>
          <w:rFonts w:ascii="Times New Roman" w:hAnsi="Times New Roman" w:cs="Times New Roman" w:eastAsia="Times New Roman" w:hint="default"/>
        </w:rPr>
        <w:t>6</w:t>
      </w:r>
      <w:r>
        <w:rPr/>
        <w:t>项，省重点科技项目</w:t>
      </w:r>
      <w:r>
        <w:rPr>
          <w:rFonts w:ascii="Times New Roman" w:hAnsi="Times New Roman" w:cs="Times New Roman" w:eastAsia="Times New Roman" w:hint="default"/>
        </w:rPr>
        <w:t>10</w:t>
      </w:r>
      <w:r>
        <w:rPr/>
        <w:t>项，</w:t>
      </w:r>
      <w:r>
        <w:rPr>
          <w:rFonts w:ascii="Times New Roman" w:hAnsi="Times New Roman" w:cs="Times New Roman" w:eastAsia="Times New Roman" w:hint="default"/>
        </w:rPr>
        <w:t>“</w:t>
      </w:r>
      <w:r>
        <w:rPr/>
        <w:t>高压电机用特种漆包线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螺旋型 热交换器用铜及铜合金高翅片管</w:t>
      </w:r>
      <w:r>
        <w:rPr>
          <w:rFonts w:ascii="Times New Roman" w:hAnsi="Times New Roman" w:cs="Times New Roman" w:eastAsia="Times New Roman" w:hint="default"/>
        </w:rPr>
        <w:t>”</w:t>
      </w:r>
      <w:r>
        <w:rPr/>
        <w:t>等</w:t>
      </w:r>
      <w:r>
        <w:rPr>
          <w:rFonts w:ascii="Times New Roman" w:hAnsi="Times New Roman" w:cs="Times New Roman" w:eastAsia="Times New Roman" w:hint="default"/>
        </w:rPr>
        <w:t>10</w:t>
      </w:r>
      <w:r>
        <w:rPr/>
        <w:t>多项产品被评定为浙江省省级工业新产品，参与起草制定了</w:t>
      </w:r>
      <w:r>
        <w:rPr>
          <w:rFonts w:ascii="Times New Roman" w:hAnsi="Times New Roman" w:cs="Times New Roman" w:eastAsia="Times New Roman" w:hint="default"/>
        </w:rPr>
        <w:t>20</w:t>
      </w:r>
      <w:r>
        <w:rPr/>
        <w:t>多项</w:t>
      </w:r>
      <w:r>
        <w:rPr>
          <w:spacing w:val="-28"/>
        </w:rPr>
        <w:t> </w:t>
      </w:r>
      <w:r>
        <w:rPr/>
        <w:t>产品国家标准，拥有</w:t>
      </w:r>
      <w:r>
        <w:rPr>
          <w:rFonts w:ascii="Times New Roman" w:hAnsi="Times New Roman" w:cs="Times New Roman" w:eastAsia="Times New Roman" w:hint="default"/>
        </w:rPr>
        <w:t>35</w:t>
      </w:r>
      <w:r>
        <w:rPr/>
        <w:t>项专利。</w:t>
      </w:r>
    </w:p>
    <w:p>
      <w:pPr>
        <w:pStyle w:val="BodyText"/>
        <w:spacing w:line="256" w:lineRule="auto" w:before="5"/>
        <w:ind w:left="533" w:right="137"/>
        <w:jc w:val="left"/>
      </w:pPr>
      <w:r>
        <w:rPr>
          <w:rFonts w:ascii="Times New Roman" w:hAnsi="Times New Roman" w:cs="Times New Roman" w:eastAsia="Times New Roman" w:hint="default"/>
        </w:rPr>
        <w:t>2</w:t>
      </w:r>
      <w:r>
        <w:rPr/>
        <w:t>、品牌优势 本公司为</w:t>
      </w:r>
      <w:r>
        <w:rPr>
          <w:rFonts w:ascii="Times New Roman" w:hAnsi="Times New Roman" w:cs="Times New Roman" w:eastAsia="Times New Roman" w:hint="default"/>
        </w:rPr>
        <w:t>“</w:t>
      </w:r>
      <w:r>
        <w:rPr/>
        <w:t>中国制造业</w:t>
      </w:r>
      <w:r>
        <w:rPr>
          <w:rFonts w:ascii="Times New Roman" w:hAnsi="Times New Roman" w:cs="Times New Roman" w:eastAsia="Times New Roman" w:hint="default"/>
        </w:rPr>
        <w:t>500</w:t>
      </w:r>
      <w:r>
        <w:rPr/>
        <w:t>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中国自主创新能力行业十强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中国电器工业最具竞争力企业</w:t>
      </w:r>
      <w:r>
        <w:rPr>
          <w:rFonts w:ascii="Times New Roman" w:hAnsi="Times New Roman" w:cs="Times New Roman" w:eastAsia="Times New Roman" w:hint="default"/>
        </w:rPr>
        <w:t>”</w:t>
      </w:r>
      <w:r>
        <w:rPr/>
        <w:t>。</w:t>
      </w:r>
    </w:p>
    <w:p>
      <w:pPr>
        <w:pStyle w:val="BodyText"/>
        <w:spacing w:line="256" w:lineRule="auto" w:before="5"/>
        <w:ind w:left="113" w:right="208"/>
        <w:jc w:val="both"/>
      </w:pPr>
      <w:r>
        <w:rPr>
          <w:spacing w:val="-2"/>
        </w:rPr>
        <w:t>公司漆包线产品为</w:t>
      </w:r>
      <w:r>
        <w:rPr>
          <w:rFonts w:ascii="Times New Roman" w:hAnsi="Times New Roman" w:cs="Times New Roman" w:eastAsia="Times New Roman" w:hint="default"/>
          <w:spacing w:val="-2"/>
        </w:rPr>
        <w:t>“</w:t>
      </w:r>
      <w:r>
        <w:rPr>
          <w:spacing w:val="-2"/>
        </w:rPr>
        <w:t>中国名牌</w:t>
      </w:r>
      <w:r>
        <w:rPr>
          <w:rFonts w:ascii="Times New Roman" w:hAnsi="Times New Roman" w:cs="Times New Roman" w:eastAsia="Times New Roman" w:hint="default"/>
          <w:spacing w:val="-2"/>
        </w:rPr>
        <w:t>”</w:t>
      </w:r>
      <w:r>
        <w:rPr>
          <w:spacing w:val="-2"/>
        </w:rPr>
        <w:t>产品、</w:t>
      </w:r>
      <w:r>
        <w:rPr>
          <w:rFonts w:ascii="Times New Roman" w:hAnsi="Times New Roman" w:cs="Times New Roman" w:eastAsia="Times New Roman" w:hint="default"/>
          <w:spacing w:val="-2"/>
        </w:rPr>
        <w:t>“</w:t>
      </w:r>
      <w:r>
        <w:rPr>
          <w:spacing w:val="-2"/>
        </w:rPr>
        <w:t>宏磊</w:t>
      </w:r>
      <w:r>
        <w:rPr>
          <w:rFonts w:ascii="Times New Roman" w:hAnsi="Times New Roman" w:cs="Times New Roman" w:eastAsia="Times New Roman" w:hint="default"/>
          <w:spacing w:val="-2"/>
        </w:rPr>
        <w:t>”</w:t>
      </w:r>
      <w:r>
        <w:rPr>
          <w:spacing w:val="-2"/>
        </w:rPr>
        <w:t>商标为中国驰名商标。公司自</w:t>
      </w:r>
      <w:r>
        <w:rPr>
          <w:rFonts w:ascii="Times New Roman" w:hAnsi="Times New Roman" w:cs="Times New Roman" w:eastAsia="Times New Roman" w:hint="default"/>
          <w:spacing w:val="-2"/>
        </w:rPr>
        <w:t>1998</w:t>
      </w:r>
      <w:r>
        <w:rPr>
          <w:spacing w:val="-2"/>
        </w:rPr>
        <w:t>年成立以来，一直秉承</w:t>
      </w:r>
      <w:r>
        <w:rPr>
          <w:rFonts w:ascii="Times New Roman" w:hAnsi="Times New Roman" w:cs="Times New Roman" w:eastAsia="Times New Roman" w:hint="default"/>
          <w:spacing w:val="-2"/>
        </w:rPr>
        <w:t>“</w:t>
      </w:r>
      <w:r>
        <w:rPr>
          <w:spacing w:val="-2"/>
        </w:rPr>
        <w:t>以科</w:t>
      </w:r>
      <w:r>
        <w:rPr>
          <w:spacing w:val="-75"/>
        </w:rPr>
        <w:t> </w:t>
      </w:r>
      <w:r>
        <w:rPr/>
        <w:t>技创造市场，以质量赢得市场，以诚信稳固市场</w:t>
      </w:r>
      <w:r>
        <w:rPr>
          <w:rFonts w:ascii="Times New Roman" w:hAnsi="Times New Roman" w:cs="Times New Roman" w:eastAsia="Times New Roman" w:hint="default"/>
        </w:rPr>
        <w:t>”</w:t>
      </w:r>
      <w:r>
        <w:rPr/>
        <w:t>的经营理念，树立了良好品牌形象，赢得了客户美誉。</w:t>
      </w:r>
    </w:p>
    <w:p>
      <w:pPr>
        <w:pStyle w:val="BodyText"/>
        <w:spacing w:line="256" w:lineRule="auto" w:before="5"/>
        <w:ind w:left="533" w:right="102"/>
        <w:jc w:val="left"/>
      </w:pPr>
      <w:r>
        <w:rPr>
          <w:rFonts w:ascii="Times New Roman" w:hAnsi="Times New Roman" w:cs="Times New Roman" w:eastAsia="Times New Roman" w:hint="default"/>
        </w:rPr>
        <w:t>3</w:t>
      </w:r>
      <w:r>
        <w:rPr/>
        <w:t>、市场营销和服务优势 </w:t>
      </w:r>
      <w:r>
        <w:rPr>
          <w:spacing w:val="-1"/>
        </w:rPr>
        <w:t>为满足客户日益增多的差异化需求、提高市场反应能力，公司采取了以直销为主，经销为辅的销售模</w:t>
      </w:r>
    </w:p>
    <w:p>
      <w:pPr>
        <w:pStyle w:val="BodyText"/>
        <w:spacing w:line="273" w:lineRule="auto" w:before="22"/>
        <w:ind w:left="113" w:right="202"/>
        <w:jc w:val="both"/>
      </w:pPr>
      <w:r>
        <w:rPr>
          <w:spacing w:val="-1"/>
        </w:rPr>
        <w:t>式。目前，本公司已在浙江、江苏、上海、广东、重庆、天津、安徽、湖北等多地设有直销网点，形成了</w:t>
      </w:r>
      <w:r>
        <w:rPr>
          <w:spacing w:val="-81"/>
        </w:rPr>
        <w:t> </w:t>
      </w:r>
      <w:r>
        <w:rPr>
          <w:spacing w:val="-81"/>
        </w:rPr>
      </w:r>
      <w:r>
        <w:rPr>
          <w:spacing w:val="-1"/>
        </w:rPr>
        <w:t>覆盖华东、华南、华北、西南、华中、东北等核心区域的市场网络和服务体系。同时与亚太、中东等国家</w:t>
      </w:r>
      <w:r>
        <w:rPr>
          <w:spacing w:val="-80"/>
        </w:rPr>
        <w:t> </w:t>
      </w:r>
      <w:r>
        <w:rPr>
          <w:spacing w:val="-80"/>
        </w:rPr>
      </w:r>
      <w:r>
        <w:rPr/>
        <w:t>和地区的客户建立了长期合作和贸易伙伴关系，进一步完善了本公司的产品销售网络。</w:t>
      </w:r>
    </w:p>
    <w:p>
      <w:pPr>
        <w:pStyle w:val="BodyText"/>
        <w:spacing w:line="264" w:lineRule="auto" w:before="7"/>
        <w:ind w:left="113" w:right="208" w:firstLine="420"/>
        <w:jc w:val="both"/>
      </w:pPr>
      <w:r>
        <w:rPr>
          <w:spacing w:val="-1"/>
        </w:rPr>
        <w:t>本公司各销售网点不仅负责公司的市场销售，还承担了区域内客户关系的维护及售后服务工作，有助</w:t>
      </w:r>
      <w:r>
        <w:rPr/>
        <w:t> </w:t>
      </w:r>
      <w:r>
        <w:rPr>
          <w:spacing w:val="-1"/>
        </w:rPr>
        <w:t>于公司及时掌握市场需求的变化，及时调整营销策略，以最快的速度对客户的需求做出反应。同时，公司</w:t>
      </w:r>
      <w:r>
        <w:rPr>
          <w:spacing w:val="-80"/>
        </w:rPr>
        <w:t> </w:t>
      </w:r>
      <w:r>
        <w:rPr>
          <w:spacing w:val="-80"/>
        </w:rPr>
      </w:r>
      <w:r>
        <w:rPr/>
        <w:t>秉承</w:t>
      </w:r>
      <w:r>
        <w:rPr>
          <w:rFonts w:ascii="Times New Roman" w:hAnsi="Times New Roman" w:cs="Times New Roman" w:eastAsia="Times New Roman" w:hint="default"/>
        </w:rPr>
        <w:t>“</w:t>
      </w:r>
      <w:r>
        <w:rPr/>
        <w:t>合作共赢</w:t>
      </w:r>
      <w:r>
        <w:rPr>
          <w:rFonts w:ascii="Times New Roman" w:hAnsi="Times New Roman" w:cs="Times New Roman" w:eastAsia="Times New Roman" w:hint="default"/>
        </w:rPr>
        <w:t>”</w:t>
      </w:r>
      <w:r>
        <w:rPr/>
        <w:t>原则，坚持</w:t>
      </w:r>
      <w:r>
        <w:rPr>
          <w:rFonts w:ascii="Times New Roman" w:hAnsi="Times New Roman" w:cs="Times New Roman" w:eastAsia="Times New Roman" w:hint="default"/>
        </w:rPr>
        <w:t>“</w:t>
      </w:r>
      <w:r>
        <w:rPr/>
        <w:t>产品营销、文化营销、服务营销</w:t>
      </w:r>
      <w:r>
        <w:rPr>
          <w:rFonts w:ascii="Times New Roman" w:hAnsi="Times New Roman" w:cs="Times New Roman" w:eastAsia="Times New Roman" w:hint="default"/>
        </w:rPr>
        <w:t>”</w:t>
      </w:r>
      <w:r>
        <w:rPr/>
        <w:t>的策略，致力于不断为顾客提供优质产品和</w:t>
      </w:r>
      <w:r>
        <w:rPr>
          <w:spacing w:val="-94"/>
        </w:rPr>
        <w:t> </w:t>
      </w:r>
      <w:r>
        <w:rPr/>
        <w:t>服务，与客户建立良好的互动关系，并可以为客户提供</w:t>
      </w:r>
      <w:r>
        <w:rPr>
          <w:rFonts w:ascii="Times New Roman" w:hAnsi="Times New Roman" w:cs="Times New Roman" w:eastAsia="Times New Roman" w:hint="default"/>
        </w:rPr>
        <w:t>“</w:t>
      </w:r>
      <w:r>
        <w:rPr/>
        <w:t>量体裁衣</w:t>
      </w:r>
      <w:r>
        <w:rPr>
          <w:rFonts w:ascii="Times New Roman" w:hAnsi="Times New Roman" w:cs="Times New Roman" w:eastAsia="Times New Roman" w:hint="default"/>
        </w:rPr>
        <w:t>”</w:t>
      </w:r>
      <w:r>
        <w:rPr/>
        <w:t>式的定制产品，与客户的产品开发融为 一体，与之建立战略合作关系。</w:t>
      </w:r>
    </w:p>
    <w:p>
      <w:pPr>
        <w:pStyle w:val="BodyText"/>
        <w:spacing w:line="256" w:lineRule="auto" w:before="16"/>
        <w:ind w:left="533" w:right="102"/>
        <w:jc w:val="left"/>
      </w:pPr>
      <w:r>
        <w:rPr>
          <w:rFonts w:ascii="Times New Roman" w:hAnsi="Times New Roman" w:cs="Times New Roman" w:eastAsia="Times New Roman" w:hint="default"/>
        </w:rPr>
        <w:t>4</w:t>
      </w:r>
      <w:r>
        <w:rPr/>
        <w:t>、地缘优势 </w:t>
      </w:r>
      <w:r>
        <w:rPr>
          <w:spacing w:val="-1"/>
        </w:rPr>
        <w:t>本公司位于中国制造业最发达的浙江省，产品销售覆盖包括以山东、江苏、上海、浙江为代表的华东</w:t>
      </w:r>
    </w:p>
    <w:p>
      <w:pPr>
        <w:pStyle w:val="BodyText"/>
        <w:spacing w:line="273" w:lineRule="auto" w:before="22"/>
        <w:ind w:left="113" w:right="188"/>
        <w:jc w:val="both"/>
      </w:pPr>
      <w:r>
        <w:rPr/>
        <w:t>市场、以广东为代表的华南市场及其他地区，目前我国规模较大的电机生产企业主要分布于浙江、江苏、 </w:t>
      </w:r>
      <w:r>
        <w:rPr>
          <w:spacing w:val="-1"/>
        </w:rPr>
        <w:t>山东、上海、广东等东部沿海地区，产业集中度较高。产业集群促进了公司产品品牌的推广，地缘相近的</w:t>
      </w:r>
      <w:r>
        <w:rPr>
          <w:spacing w:val="-81"/>
        </w:rPr>
        <w:t> </w:t>
      </w:r>
      <w:r>
        <w:rPr>
          <w:spacing w:val="-81"/>
        </w:rPr>
      </w:r>
      <w:r>
        <w:rPr/>
        <w:t>优势缩短了运输时间，减少了运输费用，更有助于公司与客户的沟通交流。</w:t>
      </w:r>
    </w:p>
    <w:p>
      <w:pPr>
        <w:pStyle w:val="BodyText"/>
        <w:spacing w:line="256" w:lineRule="auto" w:before="7"/>
        <w:ind w:left="524" w:right="102" w:firstLine="9"/>
        <w:jc w:val="left"/>
      </w:pPr>
      <w:r>
        <w:rPr>
          <w:rFonts w:ascii="Times New Roman" w:hAnsi="Times New Roman" w:cs="Times New Roman" w:eastAsia="Times New Roman" w:hint="default"/>
        </w:rPr>
        <w:t>5</w:t>
      </w:r>
      <w:r>
        <w:rPr/>
        <w:t>、质量管理优势 </w:t>
      </w:r>
      <w:r>
        <w:rPr>
          <w:spacing w:val="-1"/>
        </w:rPr>
        <w:t>公司管理优势体现在产品性能的先进性和稳定性方面。公司已建立了一整套覆盖原材料进货检验、工</w:t>
      </w:r>
    </w:p>
    <w:p>
      <w:pPr>
        <w:pStyle w:val="BodyText"/>
        <w:spacing w:line="264" w:lineRule="auto" w:before="22"/>
        <w:ind w:left="113" w:right="201"/>
        <w:jc w:val="both"/>
      </w:pPr>
      <w:r>
        <w:rPr>
          <w:spacing w:val="-1"/>
        </w:rPr>
        <w:t>序检验及不合格产品预防、出厂检验等方面的控制制度，保证了公司质量目标的实现及持续改进。公司是</w:t>
      </w:r>
      <w:r>
        <w:rPr>
          <w:spacing w:val="-82"/>
        </w:rPr>
        <w:t> </w:t>
      </w:r>
      <w:r>
        <w:rPr>
          <w:spacing w:val="-82"/>
        </w:rPr>
      </w:r>
      <w:r>
        <w:rPr/>
        <w:t>业内率先通过</w:t>
      </w:r>
      <w:r>
        <w:rPr>
          <w:rFonts w:ascii="Times New Roman" w:hAnsi="Times New Roman" w:cs="Times New Roman" w:eastAsia="Times New Roman" w:hint="default"/>
        </w:rPr>
        <w:t>ISO9001:2008</w:t>
      </w:r>
      <w:r>
        <w:rPr/>
        <w:t>质量管理体系、</w:t>
      </w:r>
      <w:r>
        <w:rPr>
          <w:rFonts w:ascii="Times New Roman" w:hAnsi="Times New Roman" w:cs="Times New Roman" w:eastAsia="Times New Roman" w:hint="default"/>
        </w:rPr>
        <w:t>ISO14001:2004</w:t>
      </w:r>
      <w:r>
        <w:rPr/>
        <w:t>环境管理体系和</w:t>
      </w:r>
      <w:r>
        <w:rPr>
          <w:rFonts w:ascii="Times New Roman" w:hAnsi="Times New Roman" w:cs="Times New Roman" w:eastAsia="Times New Roman" w:hint="default"/>
        </w:rPr>
        <w:t>BS-OHSAS18001:2007</w:t>
      </w:r>
      <w:r>
        <w:rPr/>
        <w:t>职业健康 安全管理体系认证的企业。</w:t>
      </w:r>
    </w:p>
    <w:p>
      <w:pPr>
        <w:pStyle w:val="BodyText"/>
        <w:spacing w:line="268" w:lineRule="auto" w:before="16"/>
        <w:ind w:left="113" w:right="102" w:firstLine="487"/>
        <w:jc w:val="left"/>
      </w:pPr>
      <w:r>
        <w:rPr/>
        <w:t>公司实行</w:t>
      </w:r>
      <w:r>
        <w:rPr>
          <w:rFonts w:ascii="Times New Roman" w:hAnsi="Times New Roman" w:cs="Times New Roman" w:eastAsia="Times New Roman" w:hint="default"/>
        </w:rPr>
        <w:t>“</w:t>
      </w:r>
      <w:r>
        <w:rPr/>
        <w:t>全面质量管理</w:t>
      </w:r>
      <w:r>
        <w:rPr>
          <w:rFonts w:ascii="Times New Roman" w:hAnsi="Times New Roman" w:cs="Times New Roman" w:eastAsia="Times New Roman" w:hint="default"/>
        </w:rPr>
        <w:t>”</w:t>
      </w:r>
      <w:r>
        <w:rPr/>
        <w:t>，即全过程、全企业、全员参与的质量管理。公司设有品质管理部，全面负 责公司产品的质量控制和管理。品质管理部严格遵照公司质量管理方针、目标，制定管理计划。公司根据 </w:t>
      </w:r>
      <w:r>
        <w:rPr>
          <w:spacing w:val="-3"/>
        </w:rPr>
        <w:t>漆包线和铜管生产工艺流程图及工序质量关键点控制表，按生产过程设有来料检验、工序检验及成品检验，</w:t>
      </w:r>
      <w:r>
        <w:rPr>
          <w:spacing w:val="-92"/>
        </w:rPr>
        <w:t> </w:t>
      </w:r>
      <w:r>
        <w:rPr>
          <w:spacing w:val="-92"/>
        </w:rPr>
      </w:r>
      <w:r>
        <w:rPr>
          <w:spacing w:val="-3"/>
        </w:rPr>
        <w:t>通过对日、周、月质量报表的统计分析和客户投诉的情况分析，运用相关统计方法，控制产品的生产过程，</w:t>
      </w:r>
      <w:r>
        <w:rPr>
          <w:spacing w:val="-93"/>
        </w:rPr>
        <w:t> </w:t>
      </w:r>
      <w:r>
        <w:rPr>
          <w:spacing w:val="-93"/>
        </w:rPr>
      </w:r>
      <w:r>
        <w:rPr/>
        <w:t>不断改进产品质量，提高客户满意度。</w:t>
      </w:r>
    </w:p>
    <w:p>
      <w:pPr>
        <w:spacing w:after="0" w:line="268" w:lineRule="auto"/>
        <w:jc w:val="left"/>
        <w:sectPr>
          <w:pgSz w:w="11910" w:h="16840"/>
          <w:pgMar w:header="747" w:footer="980" w:top="1060" w:bottom="1160" w:left="1020" w:right="920"/>
        </w:sectPr>
      </w:pPr>
    </w:p>
    <w:p>
      <w:pPr>
        <w:spacing w:line="240" w:lineRule="auto" w:before="9"/>
        <w:rPr>
          <w:rFonts w:ascii="宋体" w:hAnsi="宋体" w:cs="宋体" w:eastAsia="宋体" w:hint="default"/>
          <w:sz w:val="23"/>
          <w:szCs w:val="23"/>
        </w:rPr>
      </w:pPr>
    </w:p>
    <w:p>
      <w:pPr>
        <w:pStyle w:val="Heading2"/>
        <w:spacing w:line="240" w:lineRule="auto"/>
        <w:ind w:right="105"/>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957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年投资额（元）</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年投资额（元）</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89,002,000.00</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4"/>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2" w:hRule="exact"/>
        </w:trPr>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诸暨市宏润小额贷款有限公司</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办理各项小额贷款业务</w:t>
            </w:r>
          </w:p>
        </w:tc>
        <w:tc>
          <w:tcPr>
            <w:tcW w:w="319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b/>
          <w:bCs/>
          <w:sz w:val="19"/>
          <w:szCs w:val="19"/>
        </w:rPr>
      </w:pPr>
    </w:p>
    <w:p>
      <w:pPr>
        <w:pStyle w:val="Heading5"/>
        <w:spacing w:line="240" w:lineRule="auto" w:before="35"/>
        <w:ind w:right="105"/>
        <w:jc w:val="left"/>
        <w:rPr>
          <w:b w:val="0"/>
          <w:bCs w:val="0"/>
        </w:rPr>
      </w:pPr>
      <w:r>
        <w:rPr/>
        <w:pict>
          <v:shape style="position:absolute;margin-left:146.160004pt;margin-top:33.633961pt;width:85.45pt;height:35.3pt;mso-position-horizontal-relative:page;mso-position-vertical-relative:paragraph;z-index:-835240"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660004pt;margin-top:33.633961pt;width:85.35pt;height:35.3pt;mso-position-horizontal-relative:page;mso-position-vertical-relative:paragraph;z-index:-83521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540009pt;margin-top:33.633961pt;width:85.3pt;height:35.3pt;mso-position-horizontal-relative:page;mso-position-vertical-relative:paragraph;z-index:-835192"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81"/>
        <w:gridCol w:w="881"/>
        <w:gridCol w:w="870"/>
        <w:gridCol w:w="870"/>
        <w:gridCol w:w="868"/>
        <w:gridCol w:w="869"/>
        <w:gridCol w:w="868"/>
        <w:gridCol w:w="868"/>
        <w:gridCol w:w="869"/>
        <w:gridCol w:w="868"/>
        <w:gridCol w:w="856"/>
      </w:tblGrid>
      <w:tr>
        <w:trPr>
          <w:trHeight w:val="714" w:hRule="exact"/>
        </w:trPr>
        <w:tc>
          <w:tcPr>
            <w:tcW w:w="8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最初投资</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67"/>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2" w:hRule="exact"/>
        </w:trPr>
        <w:tc>
          <w:tcPr>
            <w:tcW w:w="176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9"/>
          <w:szCs w:val="19"/>
        </w:rPr>
      </w:pPr>
    </w:p>
    <w:p>
      <w:pPr>
        <w:pStyle w:val="Heading5"/>
        <w:spacing w:line="240" w:lineRule="auto" w:before="35"/>
        <w:ind w:right="105"/>
        <w:jc w:val="left"/>
        <w:rPr>
          <w:b w:val="0"/>
          <w:bCs w:val="0"/>
        </w:rPr>
      </w:pPr>
      <w:r>
        <w:rPr/>
        <w:pict>
          <v:shape style="position:absolute;margin-left:192.840302pt;margin-top:33.633961pt;width:63.6pt;height:35.25pt;mso-position-horizontal-relative:page;mso-position-vertical-relative:paragraph;z-index:-83516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shape style="position:absolute;margin-left:232.679993pt;margin-top:33.633961pt;width:63.75pt;height:35.25pt;mso-position-horizontal-relative:page;mso-position-vertical-relative:paragraph;z-index:-835144"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290.639404pt;margin-top:33.633961pt;width:45.6pt;height:35.25pt;mso-position-horizontal-relative:page;mso-position-vertical-relative:paragraph;z-index:-835120"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12.480011pt;margin-top:33.633961pt;width:63.75pt;height:35.25pt;mso-position-horizontal-relative:page;mso-position-vertical-relative:paragraph;z-index:-835096"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370.439392pt;margin-top:33.633961pt;width:45.6pt;height:35.3pt;mso-position-horizontal-relative:page;mso-position-vertical-relative:paragraph;z-index:-835072"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Times New Roman" w:hAnsi="Times New Roman" w:cs="Times New Roman" w:eastAsia="Times New Roman" w:hint="default"/>
        </w:rPr>
        <w:t>3</w:t>
      </w:r>
      <w:r>
        <w:rPr/>
        <w:t>）证券投资情况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2"/>
        <w:gridCol w:w="798"/>
        <w:gridCol w:w="812"/>
        <w:gridCol w:w="799"/>
        <w:gridCol w:w="797"/>
        <w:gridCol w:w="799"/>
        <w:gridCol w:w="797"/>
        <w:gridCol w:w="799"/>
        <w:gridCol w:w="797"/>
        <w:gridCol w:w="799"/>
        <w:gridCol w:w="797"/>
        <w:gridCol w:w="784"/>
      </w:tblGrid>
      <w:tr>
        <w:trPr>
          <w:trHeight w:val="714"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firstLine="1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2"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2"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2" w:right="32"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2" w:hRule="exact"/>
        </w:trPr>
        <w:tc>
          <w:tcPr>
            <w:tcW w:w="2402"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持有其他上市公司股权情况的说明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2"/>
        <w:gridCol w:w="798"/>
        <w:gridCol w:w="797"/>
        <w:gridCol w:w="806"/>
        <w:gridCol w:w="797"/>
        <w:gridCol w:w="799"/>
        <w:gridCol w:w="797"/>
        <w:gridCol w:w="799"/>
        <w:gridCol w:w="797"/>
        <w:gridCol w:w="799"/>
        <w:gridCol w:w="797"/>
        <w:gridCol w:w="792"/>
      </w:tblGrid>
      <w:tr>
        <w:trPr>
          <w:trHeight w:val="714"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1" w:right="29"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7" w:right="37"/>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12"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 w:right="32"/>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14" w:right="32"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12" w:right="32"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2"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line="360" w:lineRule="auto" w:before="116"/>
        <w:ind w:left="114" w:right="8200" w:firstLine="0"/>
        <w:jc w:val="left"/>
        <w:rPr>
          <w:rFonts w:ascii="宋体" w:hAnsi="宋体" w:cs="宋体" w:eastAsia="宋体" w:hint="default"/>
          <w:sz w:val="18"/>
          <w:szCs w:val="18"/>
        </w:rPr>
      </w:pPr>
      <w:r>
        <w:rPr>
          <w:rFonts w:ascii="宋体" w:hAnsi="宋体" w:cs="宋体" w:eastAsia="宋体" w:hint="default"/>
          <w:sz w:val="18"/>
          <w:szCs w:val="18"/>
        </w:rPr>
        <w:t>□ 适用 √ 不适用 说明</w:t>
      </w:r>
    </w:p>
    <w:p>
      <w:pPr>
        <w:spacing w:after="0" w:line="36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0"/>
        <w:gridCol w:w="959"/>
        <w:gridCol w:w="1181"/>
        <w:gridCol w:w="1182"/>
        <w:gridCol w:w="1181"/>
        <w:gridCol w:w="1181"/>
        <w:gridCol w:w="1181"/>
        <w:gridCol w:w="1181"/>
      </w:tblGrid>
      <w:tr>
        <w:trPr>
          <w:trHeight w:val="1026" w:hRule="exact"/>
        </w:trPr>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4"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4" w:right="44" w:hanging="450"/>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4" w:right="44"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4"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4" w:right="44"/>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2" w:hRule="exact"/>
        </w:trPr>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50,285.2</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33,763.04</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33,763.04</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万元，以前年度收到的银行存款利息扣除银行手续费等的净额为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实际使用募集资金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33,763.04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年度使用闲置募集资金暂时补充流动资金尚未归还余额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 到的银行存款利息扣除银行手续费等的净额为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69.24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万元；累计已使用募集资金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33,763.04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万元，累计使用闲置募集资金暂</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时补充流动资金尚未归还余额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 </w:t>
            </w:r>
            <w:r>
              <w:rPr>
                <w:rFonts w:ascii="Times New Roman" w:hAnsi="Times New Roman" w:cs="Times New Roman" w:eastAsia="Times New Roman" w:hint="default"/>
                <w:sz w:val="18"/>
                <w:szCs w:val="18"/>
              </w:rPr>
              <w:t>2012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1,591.40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元，不包括使用闲置募集资金暂时补充流动资金尚未归还余额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1338"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万吨高性能 铜及铜合金杆材项目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16,398</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14,072.82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14,072.82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万吨节能环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17,532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17,532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1" w:right="0"/>
              <w:jc w:val="center"/>
              <w:rPr>
                <w:rFonts w:ascii="Times New Roman" w:hAnsi="Times New Roman" w:cs="Times New Roman" w:eastAsia="Times New Roman" w:hint="default"/>
                <w:sz w:val="18"/>
                <w:szCs w:val="18"/>
              </w:rPr>
            </w:pPr>
            <w:r>
              <w:rPr>
                <w:rFonts w:ascii="Times New Roman"/>
                <w:sz w:val="18"/>
              </w:rPr>
              <w:t>8,315.02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8,315.02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47.43%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pt;width:479.2pt;height:692.9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674"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保型特种漆包线项目</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吨热交换 器用高效节能高翘片 铜管建设项目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w:t>
                        </w: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22,387.84</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22,387.84</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补充流动资金</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50,285.2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50,285.2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33,763.04</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33,763.04</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58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307" w:lineRule="auto" w:before="50"/>
                          <w:ind w:left="22" w:right="24"/>
                          <w:jc w:val="both"/>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万吨高性能铜及铜合金杆材建设项目》由于（</w:t>
                        </w:r>
                        <w:r>
                          <w:rPr>
                            <w:rFonts w:ascii="Times New Roman" w:hAnsi="Times New Roman" w:cs="Times New Roman" w:eastAsia="Times New Roman" w:hint="default"/>
                            <w:sz w:val="18"/>
                            <w:szCs w:val="18"/>
                          </w:rPr>
                          <w:t>1</w:t>
                        </w:r>
                        <w:r>
                          <w:rPr>
                            <w:rFonts w:ascii="宋体" w:hAnsi="宋体" w:cs="宋体" w:eastAsia="宋体" w:hint="default"/>
                            <w:sz w:val="18"/>
                            <w:szCs w:val="18"/>
                          </w:rPr>
                          <w:t>）进口设备与国产设备系统运行尚在磨 </w:t>
                        </w:r>
                        <w:r>
                          <w:rPr>
                            <w:rFonts w:ascii="宋体" w:hAnsi="宋体" w:cs="宋体" w:eastAsia="宋体" w:hint="default"/>
                            <w:spacing w:val="-4"/>
                            <w:sz w:val="18"/>
                            <w:szCs w:val="18"/>
                          </w:rPr>
                          <w:t>合期；（</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）主体工程虽已完成，但部分配套设施尚未实施、备品备件尚未到位；（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）技术人员尚在</w:t>
                        </w:r>
                        <w:r>
                          <w:rPr>
                            <w:rFonts w:ascii="宋体" w:hAnsi="宋体" w:cs="宋体" w:eastAsia="宋体" w:hint="default"/>
                            <w:sz w:val="18"/>
                            <w:szCs w:val="18"/>
                          </w:rPr>
                          <w:t> 培训，不能熟练掌握操作技能等原因，设备运行尚不稳定，产品质量存在一定瑕疵，产能也未能达 </w:t>
                        </w:r>
                        <w:r>
                          <w:rPr>
                            <w:rFonts w:ascii="宋体" w:hAnsi="宋体" w:cs="宋体" w:eastAsia="宋体" w:hint="default"/>
                            <w:spacing w:val="-4"/>
                            <w:sz w:val="18"/>
                            <w:szCs w:val="18"/>
                          </w:rPr>
                          <w:t>到设计要求，项目尚未达到竣工验收条件。</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吨节能环保型特种漆包线建设项目》主</w:t>
                        </w:r>
                      </w:p>
                      <w:p>
                        <w:pPr>
                          <w:pStyle w:val="TableParagraph"/>
                          <w:spacing w:line="307" w:lineRule="auto" w:before="7"/>
                          <w:ind w:left="22" w:right="24"/>
                          <w:jc w:val="left"/>
                          <w:rPr>
                            <w:rFonts w:ascii="宋体" w:hAnsi="宋体" w:cs="宋体" w:eastAsia="宋体" w:hint="default"/>
                            <w:sz w:val="18"/>
                            <w:szCs w:val="18"/>
                          </w:rPr>
                        </w:pPr>
                        <w:r>
                          <w:rPr>
                            <w:rFonts w:ascii="宋体" w:hAnsi="宋体" w:cs="宋体" w:eastAsia="宋体" w:hint="default"/>
                            <w:spacing w:val="-9"/>
                            <w:sz w:val="18"/>
                            <w:szCs w:val="18"/>
                          </w:rPr>
                          <w:t>要因为主体设备定制技术、工艺要求提高，交货期延长。</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吨高效节能高翅片铜管项目 由子公司浙江宏天铜业有限公司实施承建，因城市规划之需，浙江宏天铜业有限公司土地厂房已被 </w:t>
                        </w:r>
                        <w:r>
                          <w:rPr>
                            <w:rFonts w:ascii="宋体" w:hAnsi="宋体" w:cs="宋体" w:eastAsia="宋体" w:hint="default"/>
                            <w:spacing w:val="-4"/>
                            <w:sz w:val="18"/>
                            <w:szCs w:val="18"/>
                          </w:rPr>
                          <w:t>政府征收。目前新的生产基地尚在落实之中，《年产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吨高效节能高翅片铜管项目》将与整体搬 迁同时进行。</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tcPr>
                      <w:p>
                        <w:pP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日召开第二届董事第六次会议，决定使用超募资金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113,752,010.00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元永久性补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充公司流动资金。已于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日将该笔超募资金划出相应的募集资金专项账户。</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日召开第二届董事第六次会议，审议通过了《关于用募集资金置换先期投入的</w:t>
                        </w:r>
                      </w:p>
                      <w:p>
                        <w:pPr>
                          <w:pStyle w:val="TableParagraph"/>
                          <w:spacing w:line="300" w:lineRule="auto" w:before="63"/>
                          <w:ind w:left="22" w:right="76"/>
                          <w:jc w:val="left"/>
                          <w:rPr>
                            <w:rFonts w:ascii="宋体" w:hAnsi="宋体" w:cs="宋体" w:eastAsia="宋体" w:hint="default"/>
                            <w:sz w:val="18"/>
                            <w:szCs w:val="18"/>
                          </w:rPr>
                        </w:pPr>
                        <w:r>
                          <w:rPr>
                            <w:rFonts w:ascii="宋体" w:hAnsi="宋体" w:cs="宋体" w:eastAsia="宋体" w:hint="default"/>
                            <w:spacing w:val="-5"/>
                            <w:sz w:val="18"/>
                            <w:szCs w:val="18"/>
                          </w:rPr>
                          <w:t>议案》，公司用募集资金置换先期投入自筹资金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11,369.24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日将该笔自筹资 金划出相应的募集资金专项账户。</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日公司第二届董事会第七次会议、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次临时股东大会决议，公司使用闲置募集资金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万元暂时补充流动资金，使用具体期限自股东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大会决议通过之日起不超过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个月。公司已于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日归还至公司相应的募集资金专项账户。根据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时股东大会决议，公司使用闲置募集资金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万元暂时补充流动资金，使用具体期限自股东大会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决议通过之日起不超过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日，暂时补充流动资金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日，尚未使用的募集资金均存在银行账户。</w:t>
                        </w:r>
                      </w:p>
                    </w:tc>
                  </w:tr>
                  <w:tr>
                    <w:trPr>
                      <w:trHeight w:val="41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3"/>
        <w:rPr>
          <w:rFonts w:ascii="宋体" w:hAnsi="宋体" w:cs="宋体" w:eastAsia="宋体" w:hint="default"/>
          <w:sz w:val="28"/>
          <w:szCs w:val="28"/>
        </w:rPr>
      </w:pPr>
    </w:p>
    <w:p>
      <w:pPr>
        <w:spacing w:line="688" w:lineRule="exact"/>
        <w:ind w:left="10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4pt;height:34.450pt;mso-position-horizontal-relative:char;mso-position-vertical-relative:line" coordorigin="0,0" coordsize="9588,689">
            <v:group style="position:absolute;left:14;top:14;width:1762;height:666" coordorigin="14,14" coordsize="1762,666">
              <v:shape style="position:absolute;left:14;top:14;width:1762;height:666" coordorigin="14,14" coordsize="1762,666" path="m14,680l1776,680,1776,14,14,14,14,680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684;width:9579;height:2" coordorigin="5,684" coordsize="9579,2">
              <v:shape style="position:absolute;left:5;top:684;width:9579;height:2" coordorigin="5,684" coordsize="9579,0" path="m5,684l9583,684e" filled="false" stroked="true" strokeweight=".48pt" strokecolor="#010101">
                <v:path arrowok="t"/>
              </v:shape>
            </v:group>
            <v:group style="position:absolute;left:10;top:5;width:2;height:675" coordorigin="10,5" coordsize="2,675">
              <v:shape style="position:absolute;left:10;top:5;width:2;height:675" coordorigin="10,5" coordsize="0,675" path="m10,5l10,679e" filled="false" stroked="true" strokeweight=".48pt" strokecolor="#010101">
                <v:path arrowok="t"/>
              </v:shape>
            </v:group>
            <v:group style="position:absolute;left:1780;top:5;width:2;height:675" coordorigin="1780,5" coordsize="2,675">
              <v:shape style="position:absolute;left:1780;top:5;width:2;height:675" coordorigin="1780,5" coordsize="0,675" path="m1780,5l1780,679e" filled="false" stroked="true" strokeweight=".48pt" strokecolor="#010101">
                <v:path arrowok="t"/>
              </v:shape>
            </v:group>
            <v:group style="position:absolute;left:9578;top:5;width:2;height:675" coordorigin="9578,5" coordsize="2,675">
              <v:shape style="position:absolute;left:9578;top:5;width:2;height:675" coordorigin="9578,5" coordsize="0,675" path="m9578,5l9578,679e" filled="false" stroked="true" strokeweight=".48pt" strokecolor="#010101">
                <v:path arrowok="t"/>
              </v:shape>
              <v:shape style="position:absolute;left:10;top:10;width:1770;height:675" type="#_x0000_t202" filled="false" stroked="false">
                <v:textbox inset="0,0,0,0">
                  <w:txbxContent>
                    <w:p>
                      <w:pPr>
                        <w:spacing w:line="316" w:lineRule="auto" w:before="34"/>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3"/>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6"/>
      </w:tblGrid>
      <w:tr>
        <w:trPr>
          <w:trHeight w:val="1338"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0"/>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362" w:lineRule="auto" w:before="60"/>
              <w:ind w:left="55" w:right="46"/>
              <w:jc w:val="center"/>
              <w:rPr>
                <w:rFonts w:ascii="Times New Roman" w:hAnsi="Times New Roman" w:cs="Times New Roman" w:eastAsia="Times New Roman" w:hint="default"/>
                <w:sz w:val="18"/>
                <w:szCs w:val="18"/>
              </w:rPr>
            </w:pPr>
            <w:r>
              <w:rPr>
                <w:rFonts w:ascii="Times New Roman"/>
                <w:sz w:val="18"/>
              </w:rPr>
              <w:t>(%)(3)=(2)/ (1)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gridSpan w:val="7"/>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6"/>
        <w:gridCol w:w="1076"/>
        <w:gridCol w:w="942"/>
        <w:gridCol w:w="942"/>
        <w:gridCol w:w="943"/>
        <w:gridCol w:w="944"/>
        <w:gridCol w:w="943"/>
        <w:gridCol w:w="943"/>
        <w:gridCol w:w="809"/>
        <w:gridCol w:w="1076"/>
      </w:tblGrid>
      <w:tr>
        <w:trPr>
          <w:trHeight w:val="714" w:hRule="exact"/>
        </w:trPr>
        <w:tc>
          <w:tcPr>
            <w:tcW w:w="9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95" w:right="104"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8"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浙江宏天 铜业有限 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铜加工</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8"/>
              <w:jc w:val="left"/>
              <w:rPr>
                <w:rFonts w:ascii="宋体" w:hAnsi="宋体" w:cs="宋体" w:eastAsia="宋体" w:hint="default"/>
                <w:sz w:val="18"/>
                <w:szCs w:val="18"/>
              </w:rPr>
            </w:pPr>
            <w:r>
              <w:rPr>
                <w:rFonts w:ascii="宋体" w:hAnsi="宋体" w:cs="宋体" w:eastAsia="宋体" w:hint="default"/>
                <w:sz w:val="18"/>
                <w:szCs w:val="18"/>
              </w:rPr>
              <w:t>高齿翅片 </w:t>
            </w:r>
            <w:r>
              <w:rPr>
                <w:rFonts w:ascii="宋体" w:hAnsi="宋体" w:cs="宋体" w:eastAsia="宋体" w:hint="default"/>
                <w:spacing w:val="-3"/>
                <w:sz w:val="18"/>
                <w:szCs w:val="18"/>
              </w:rPr>
              <w:t>铜管、铜管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材的研发、 </w:t>
            </w:r>
            <w:r>
              <w:rPr>
                <w:rFonts w:ascii="宋体" w:hAnsi="宋体" w:cs="宋体" w:eastAsia="宋体" w:hint="default"/>
                <w:spacing w:val="-3"/>
                <w:sz w:val="18"/>
                <w:szCs w:val="18"/>
              </w:rPr>
              <w:t>生产、销售</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USD4093.0</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万元</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676,747,31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6.60</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357,282,00</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1.98</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1,143,534,0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79.93</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4,083,615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2,049,919.15</w:t>
            </w:r>
          </w:p>
        </w:tc>
      </w:tr>
      <w:tr>
        <w:trPr>
          <w:trHeight w:val="1338"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江西宏磊 铜业有限 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电器机械 及器材制 造业</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20"/>
              <w:jc w:val="left"/>
              <w:rPr>
                <w:rFonts w:ascii="宋体" w:hAnsi="宋体" w:cs="宋体" w:eastAsia="宋体" w:hint="default"/>
                <w:sz w:val="18"/>
                <w:szCs w:val="18"/>
              </w:rPr>
            </w:pPr>
            <w:r>
              <w:rPr>
                <w:rFonts w:ascii="宋体" w:hAnsi="宋体" w:cs="宋体" w:eastAsia="宋体" w:hint="default"/>
                <w:spacing w:val="-3"/>
                <w:sz w:val="18"/>
                <w:szCs w:val="18"/>
              </w:rPr>
              <w:t>漆包线、铜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线等铜材 </w:t>
            </w:r>
            <w:r>
              <w:rPr>
                <w:rFonts w:ascii="宋体" w:hAnsi="宋体" w:cs="宋体" w:eastAsia="宋体" w:hint="default"/>
                <w:spacing w:val="-3"/>
                <w:sz w:val="18"/>
                <w:szCs w:val="18"/>
              </w:rPr>
              <w:t>的研发、生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产和销售</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5118.00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151,177,77</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6.41</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54,732,557.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508,506,30</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2.13</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28,651.60</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40,165.85</w:t>
            </w:r>
          </w:p>
        </w:tc>
      </w:tr>
    </w:tbl>
    <w:p>
      <w:pPr>
        <w:spacing w:line="357" w:lineRule="auto" w:before="50"/>
        <w:ind w:left="114" w:right="703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不适用 报告期内取得和处置子公司的情况</w:t>
      </w:r>
    </w:p>
    <w:p>
      <w:pPr>
        <w:spacing w:before="29"/>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after="0" w:line="240" w:lineRule="auto"/>
        <w:jc w:val="center"/>
        <w:rPr>
          <w:rFonts w:ascii="宋体" w:hAnsi="宋体" w:cs="宋体" w:eastAsia="宋体" w:hint="default"/>
          <w:sz w:val="18"/>
          <w:szCs w:val="18"/>
        </w:rPr>
        <w:sectPr>
          <w:footerReference w:type="default" r:id="rId18"/>
          <w:pgSz w:w="11910" w:h="16840"/>
          <w:pgMar w:footer="980" w:header="747"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102"/>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102"/>
        <w:jc w:val="left"/>
        <w:rPr>
          <w:b w:val="0"/>
          <w:bCs w:val="0"/>
        </w:rPr>
      </w:pPr>
      <w:r>
        <w:rPr/>
        <w:t>八、公司未来发展的展望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4" w:right="102"/>
        <w:jc w:val="left"/>
      </w:pPr>
      <w:r>
        <w:rPr/>
        <w:t>（一）公司所处行业的发展趋势</w:t>
      </w:r>
    </w:p>
    <w:p>
      <w:pPr>
        <w:pStyle w:val="BodyText"/>
        <w:spacing w:line="264" w:lineRule="auto" w:before="37"/>
        <w:ind w:right="102" w:firstLine="420"/>
        <w:jc w:val="left"/>
      </w:pPr>
      <w:r>
        <w:rPr>
          <w:rFonts w:ascii="Times New Roman" w:hAnsi="Times New Roman" w:cs="Times New Roman" w:eastAsia="Times New Roman" w:hint="default"/>
        </w:rPr>
        <w:t>1</w:t>
      </w:r>
      <w:r>
        <w:rPr/>
        <w:t>、漆包线行业：漆包线是广泛应用于电机、电子变压器、家电、通讯、电子信息、仪器仪表、电动 </w:t>
      </w:r>
      <w:r>
        <w:rPr>
          <w:spacing w:val="-1"/>
        </w:rPr>
        <w:t>工具、汽车等电子元器件行业和电子信息产品的配套基础原材料。电子器件的轻、小、薄化、高性能化和</w:t>
      </w:r>
      <w:r>
        <w:rPr>
          <w:spacing w:val="-84"/>
        </w:rPr>
        <w:t> </w:t>
      </w:r>
      <w:r>
        <w:rPr>
          <w:spacing w:val="-84"/>
        </w:rPr>
      </w:r>
      <w:r>
        <w:rPr/>
        <w:t>高可靠性已成为今后电子元器件发展的必然趋势。</w:t>
      </w:r>
    </w:p>
    <w:p>
      <w:pPr>
        <w:pStyle w:val="BodyText"/>
        <w:spacing w:line="268" w:lineRule="auto" w:before="16"/>
        <w:ind w:left="113" w:right="210" w:firstLine="381"/>
        <w:jc w:val="both"/>
      </w:pPr>
      <w:r>
        <w:rPr/>
        <w:t>按照国家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规划，节能减排和产业升级、结构调整的有关经济政策将进一步得到落实，将推进 </w:t>
      </w:r>
      <w:r>
        <w:rPr>
          <w:spacing w:val="-1"/>
        </w:rPr>
        <w:t>国内漆包线行业的整合与技术升级的进程，行业竞争加剧的现状逐步淘汰技术落后企业，行业集中度将不</w:t>
      </w:r>
      <w:r>
        <w:rPr>
          <w:spacing w:val="-81"/>
        </w:rPr>
        <w:t> </w:t>
      </w:r>
      <w:r>
        <w:rPr>
          <w:spacing w:val="-81"/>
        </w:rPr>
      </w:r>
      <w:r>
        <w:rPr>
          <w:spacing w:val="-1"/>
        </w:rPr>
        <w:t>断提高。新能源、新材料、电动汽车、节能设备、信息网络等一批新兴产业群不断涌现，漆包线作为重要</w:t>
      </w:r>
      <w:r>
        <w:rPr>
          <w:spacing w:val="-83"/>
        </w:rPr>
        <w:t> </w:t>
      </w:r>
      <w:r>
        <w:rPr>
          <w:spacing w:val="-83"/>
        </w:rPr>
      </w:r>
      <w:r>
        <w:rPr>
          <w:spacing w:val="-1"/>
        </w:rPr>
        <w:t>的配套元件，市场需求将进一步扩大，同时对产品性能提出了更高的要求，逐步向耐冷媒、耐电晕、耐高</w:t>
      </w:r>
      <w:r>
        <w:rPr>
          <w:spacing w:val="-82"/>
        </w:rPr>
        <w:t> </w:t>
      </w:r>
      <w:r>
        <w:rPr>
          <w:spacing w:val="-82"/>
        </w:rPr>
      </w:r>
      <w:r>
        <w:rPr/>
        <w:t>温、耐腐蚀、超细微、高张力、抗电磁干扰等高性能发展。</w:t>
      </w:r>
    </w:p>
    <w:p>
      <w:pPr>
        <w:pStyle w:val="BodyText"/>
        <w:spacing w:line="266" w:lineRule="auto" w:before="12"/>
        <w:ind w:left="113" w:right="102" w:firstLine="420"/>
        <w:jc w:val="left"/>
      </w:pPr>
      <w:r>
        <w:rPr>
          <w:rFonts w:ascii="Times New Roman" w:hAnsi="Times New Roman" w:cs="Times New Roman" w:eastAsia="Times New Roman" w:hint="default"/>
        </w:rPr>
        <w:t>2</w:t>
      </w:r>
      <w:r>
        <w:rPr/>
        <w:t>、铜管材行业：近年来，国内铜管材市场产能饱和，产品同质化、产能过剩等产业结构性矛盾开始 </w:t>
      </w:r>
      <w:r>
        <w:rPr>
          <w:spacing w:val="-1"/>
        </w:rPr>
        <w:t>显现出来，国际市场壁垒频出，产品出口受阻，国内市场竞争激烈。国家出台的《加快发展海水淡化产业</w:t>
      </w:r>
      <w:r>
        <w:rPr>
          <w:spacing w:val="-82"/>
        </w:rPr>
        <w:t> </w:t>
      </w:r>
      <w:r>
        <w:rPr>
          <w:spacing w:val="-82"/>
        </w:rPr>
      </w:r>
      <w:r>
        <w:rPr>
          <w:spacing w:val="-1"/>
        </w:rPr>
        <w:t>的意见》，将引导铜管材行业进一步加快转型升级，产品性能向高精度、耐腐蚀、高效节能方向发展，公</w:t>
      </w:r>
      <w:r>
        <w:rPr>
          <w:spacing w:val="-81"/>
        </w:rPr>
        <w:t> </w:t>
      </w:r>
      <w:r>
        <w:rPr>
          <w:spacing w:val="-81"/>
        </w:rPr>
      </w:r>
      <w:r>
        <w:rPr/>
        <w:t>司重点研发生产的热交换器用翅片铜管及铜合金管应用领域将逐步扩大。</w:t>
      </w:r>
    </w:p>
    <w:p>
      <w:pPr>
        <w:pStyle w:val="BodyText"/>
        <w:spacing w:line="273" w:lineRule="auto" w:before="14"/>
        <w:ind w:left="533" w:right="195" w:hanging="105"/>
        <w:jc w:val="left"/>
      </w:pPr>
      <w:r>
        <w:rPr/>
        <w:t>（二）公司的发展战略 根据公司</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发展规划，全力推进募投项目建设，加快转型升级步伐，加大科技创新力度，增强</w:t>
      </w:r>
    </w:p>
    <w:p>
      <w:pPr>
        <w:pStyle w:val="BodyText"/>
        <w:spacing w:line="273" w:lineRule="auto"/>
        <w:ind w:left="113" w:right="102"/>
        <w:jc w:val="left"/>
      </w:pPr>
      <w:r>
        <w:rPr>
          <w:spacing w:val="-1"/>
        </w:rPr>
        <w:t>核心竞争力，优化公司治理结构，提升内控管理水平，认真履行社会责任，着力提升企业价值和股东利益</w:t>
      </w:r>
      <w:r>
        <w:rPr>
          <w:spacing w:val="-81"/>
        </w:rPr>
        <w:t> </w:t>
      </w:r>
      <w:r>
        <w:rPr>
          <w:spacing w:val="-81"/>
        </w:rPr>
      </w:r>
      <w:r>
        <w:rPr/>
        <w:t>最大化。</w:t>
      </w:r>
    </w:p>
    <w:p>
      <w:pPr>
        <w:pStyle w:val="BodyText"/>
        <w:spacing w:line="240" w:lineRule="auto" w:before="7"/>
        <w:ind w:left="429" w:right="102"/>
        <w:jc w:val="left"/>
      </w:pPr>
      <w:r>
        <w:rPr/>
        <w:t>（三）</w:t>
      </w:r>
      <w:r>
        <w:rPr>
          <w:rFonts w:ascii="Times New Roman" w:hAnsi="Times New Roman" w:cs="Times New Roman" w:eastAsia="Times New Roman" w:hint="default"/>
        </w:rPr>
        <w:t>2013</w:t>
      </w:r>
      <w:r>
        <w:rPr/>
        <w:t>年度经营计划</w:t>
      </w:r>
    </w:p>
    <w:p>
      <w:pPr>
        <w:pStyle w:val="BodyText"/>
        <w:spacing w:line="266" w:lineRule="auto" w:before="21"/>
        <w:ind w:left="113" w:right="210" w:firstLine="420"/>
        <w:jc w:val="both"/>
      </w:pPr>
      <w:r>
        <w:rPr>
          <w:rFonts w:ascii="Times New Roman" w:hAnsi="Times New Roman" w:cs="Times New Roman" w:eastAsia="Times New Roman" w:hint="default"/>
        </w:rPr>
        <w:t>2013</w:t>
      </w:r>
      <w:r>
        <w:rPr/>
        <w:t>年是实施</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规划承前启后的关键一年。由于全球经济复苏仍充满艰难曲折，国际市场需求 </w:t>
      </w:r>
      <w:r>
        <w:rPr>
          <w:spacing w:val="-1"/>
        </w:rPr>
        <w:t>低迷形势短期内难以明显好转，国内经济持续回升的基础还不稳固，企业面临的成本上升、融资困难、市</w:t>
      </w:r>
      <w:r>
        <w:rPr>
          <w:spacing w:val="-81"/>
        </w:rPr>
        <w:t> </w:t>
      </w:r>
      <w:r>
        <w:rPr>
          <w:spacing w:val="-81"/>
        </w:rPr>
      </w:r>
      <w:r>
        <w:rPr>
          <w:spacing w:val="-1"/>
        </w:rPr>
        <w:t>场约束等问题突出，区域竞争更趋激烈。对此，我们必须保持清醒头脑，用筚路蓝缕的精神破解企业发展</w:t>
      </w:r>
      <w:r>
        <w:rPr>
          <w:spacing w:val="-81"/>
        </w:rPr>
        <w:t> </w:t>
      </w:r>
      <w:r>
        <w:rPr>
          <w:spacing w:val="-81"/>
        </w:rPr>
      </w:r>
      <w:r>
        <w:rPr/>
        <w:t>过程中遇到的困难，实现公司既稳又快地发展。</w:t>
      </w:r>
      <w:r>
        <w:rPr>
          <w:rFonts w:ascii="Times New Roman" w:hAnsi="Times New Roman" w:cs="Times New Roman" w:eastAsia="Times New Roman" w:hint="default"/>
        </w:rPr>
        <w:t>2013</w:t>
      </w:r>
      <w:r>
        <w:rPr/>
        <w:t>年度主要工作如下：</w:t>
      </w:r>
    </w:p>
    <w:p>
      <w:pPr>
        <w:pStyle w:val="BodyText"/>
        <w:spacing w:line="256" w:lineRule="auto"/>
        <w:ind w:left="533" w:right="102"/>
        <w:jc w:val="left"/>
      </w:pPr>
      <w:r>
        <w:rPr>
          <w:rFonts w:ascii="Times New Roman" w:hAnsi="Times New Roman" w:cs="Times New Roman" w:eastAsia="Times New Roman" w:hint="default"/>
        </w:rPr>
        <w:t>1</w:t>
      </w:r>
      <w:r>
        <w:rPr/>
        <w:t>、推进募投项目建设，努力实现达产增效 </w:t>
      </w:r>
      <w:r>
        <w:rPr>
          <w:spacing w:val="-1"/>
        </w:rPr>
        <w:t>大力实施以三大募投项目为主的高新项目建设，持续推动产业转型升级。认真做好《</w:t>
      </w:r>
      <w:r>
        <w:rPr>
          <w:rFonts w:ascii="Times New Roman" w:hAnsi="Times New Roman" w:cs="Times New Roman" w:eastAsia="Times New Roman" w:hint="default"/>
          <w:spacing w:val="-1"/>
        </w:rPr>
        <w:t>15</w:t>
      </w:r>
      <w:r>
        <w:rPr>
          <w:spacing w:val="-1"/>
        </w:rPr>
        <w:t>万吨连铸连轧</w:t>
      </w:r>
    </w:p>
    <w:p>
      <w:pPr>
        <w:pStyle w:val="BodyText"/>
        <w:spacing w:line="256" w:lineRule="auto" w:before="5"/>
        <w:ind w:left="113" w:right="0" w:hanging="1"/>
        <w:jc w:val="left"/>
      </w:pPr>
      <w:r>
        <w:rPr>
          <w:spacing w:val="-1"/>
        </w:rPr>
        <w:t>铜杆项目》设备调试、试生产、项目验收等各环节工作；要加快《年产</w:t>
      </w:r>
      <w:r>
        <w:rPr>
          <w:rFonts w:ascii="Times New Roman" w:hAnsi="Times New Roman" w:cs="Times New Roman" w:eastAsia="Times New Roman" w:hint="default"/>
          <w:spacing w:val="-1"/>
        </w:rPr>
        <w:t>3</w:t>
      </w:r>
      <w:r>
        <w:rPr>
          <w:spacing w:val="-1"/>
        </w:rPr>
        <w:t>万吨节能环保型特种漆包线项目》</w:t>
      </w:r>
      <w:r>
        <w:rPr>
          <w:spacing w:val="-79"/>
        </w:rPr>
        <w:t> </w:t>
      </w:r>
      <w:r>
        <w:rPr>
          <w:spacing w:val="-79"/>
        </w:rPr>
      </w:r>
      <w:r>
        <w:rPr/>
        <w:t>设备安装调试进度，力争今年全面建成投产，使特种线、微细线占比达到全部产能的</w:t>
      </w:r>
      <w:r>
        <w:rPr>
          <w:rFonts w:ascii="Times New Roman" w:hAnsi="Times New Roman" w:cs="Times New Roman" w:eastAsia="Times New Roman" w:hint="default"/>
        </w:rPr>
        <w:t>65%</w:t>
      </w:r>
      <w:r>
        <w:rPr/>
        <w:t>以上。做好《年</w:t>
      </w:r>
      <w:r>
        <w:rPr>
          <w:spacing w:val="-96"/>
        </w:rPr>
        <w:t> </w:t>
      </w:r>
      <w:r>
        <w:rPr/>
        <w:t>产</w:t>
      </w:r>
      <w:r>
        <w:rPr>
          <w:rFonts w:ascii="Times New Roman" w:hAnsi="Times New Roman" w:cs="Times New Roman" w:eastAsia="Times New Roman" w:hint="default"/>
        </w:rPr>
        <w:t>5000</w:t>
      </w:r>
      <w:r>
        <w:rPr/>
        <w:t>吨热交换器用高效节能高翅片铜管建设项目》。</w:t>
      </w:r>
    </w:p>
    <w:p>
      <w:pPr>
        <w:pStyle w:val="BodyText"/>
        <w:spacing w:line="264" w:lineRule="auto" w:before="5"/>
        <w:ind w:right="208" w:firstLine="420"/>
        <w:jc w:val="both"/>
      </w:pPr>
      <w:r>
        <w:rPr>
          <w:spacing w:val="-1"/>
        </w:rPr>
        <w:t>同时，公司要科学、及时、稳妥的拟定搬迁计划，力争在最短的时间尽快落实新的生产基地，最大限</w:t>
      </w:r>
      <w:r>
        <w:rPr/>
        <w:t> </w:t>
      </w:r>
      <w:r>
        <w:rPr>
          <w:spacing w:val="-2"/>
        </w:rPr>
        <w:t>度降低因搬迁对生产经营造成的影响。加快做好后备项目的培育工作，按照公司的总体发展思路，储备</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48"/>
        </w:rPr>
        <w:t> </w:t>
      </w:r>
      <w:r>
        <w:rPr/>
        <w:t>个优质项目，完成市场调研、可行性研究、建设规划等工作。</w:t>
      </w:r>
    </w:p>
    <w:p>
      <w:pPr>
        <w:pStyle w:val="BodyText"/>
        <w:spacing w:line="256" w:lineRule="auto" w:before="16"/>
        <w:ind w:left="534" w:right="194"/>
        <w:jc w:val="left"/>
      </w:pPr>
      <w:r>
        <w:rPr>
          <w:rFonts w:ascii="Times New Roman" w:hAnsi="Times New Roman" w:cs="Times New Roman" w:eastAsia="Times New Roman" w:hint="default"/>
        </w:rPr>
        <w:t>2</w:t>
      </w:r>
      <w:r>
        <w:rPr/>
        <w:t>、创新产品营销策略，大力拓展销售渠道 深化</w:t>
      </w:r>
      <w:r>
        <w:rPr>
          <w:rFonts w:ascii="Times New Roman" w:hAnsi="Times New Roman" w:cs="Times New Roman" w:eastAsia="Times New Roman" w:hint="default"/>
        </w:rPr>
        <w:t>“</w:t>
      </w:r>
      <w:r>
        <w:rPr/>
        <w:t>直销为主、经销为辅</w:t>
      </w:r>
      <w:r>
        <w:rPr>
          <w:rFonts w:ascii="Times New Roman" w:hAnsi="Times New Roman" w:cs="Times New Roman" w:eastAsia="Times New Roman" w:hint="default"/>
        </w:rPr>
        <w:t>”</w:t>
      </w:r>
      <w:r>
        <w:rPr/>
        <w:t>营销模式，优化公司客户结构，着力培育一批具有行业地位、规模优势和</w:t>
      </w:r>
    </w:p>
    <w:p>
      <w:pPr>
        <w:pStyle w:val="BodyText"/>
        <w:spacing w:line="266" w:lineRule="auto" w:before="5"/>
        <w:ind w:left="113" w:right="211"/>
        <w:jc w:val="both"/>
      </w:pPr>
      <w:r>
        <w:rPr>
          <w:spacing w:val="-3"/>
        </w:rPr>
        <w:t>商誉知名度的优质客户，完善大市场营销网络，形成</w:t>
      </w:r>
      <w:r>
        <w:rPr>
          <w:spacing w:val="-33"/>
        </w:rPr>
        <w:t> </w:t>
      </w:r>
      <w:r>
        <w:rPr>
          <w:rFonts w:ascii="Times New Roman" w:hAnsi="Times New Roman" w:cs="Times New Roman" w:eastAsia="Times New Roman" w:hint="default"/>
        </w:rPr>
        <w:t>“</w:t>
      </w:r>
      <w:r>
        <w:rPr/>
        <w:t>金字塔型</w:t>
      </w:r>
      <w:r>
        <w:rPr>
          <w:rFonts w:ascii="Times New Roman" w:hAnsi="Times New Roman" w:cs="Times New Roman" w:eastAsia="Times New Roman" w:hint="default"/>
        </w:rPr>
        <w:t>”</w:t>
      </w:r>
      <w:r>
        <w:rPr/>
        <w:t>优质客户群体。充分发挥全规格产品生产 </w:t>
      </w:r>
      <w:r>
        <w:rPr>
          <w:spacing w:val="-1"/>
        </w:rPr>
        <w:t>商的优势，创新营销模式，精耕特种电机、高效电机（含变频电机）、超大型变压器以及精密仪表等领域</w:t>
      </w:r>
      <w:r>
        <w:rPr>
          <w:spacing w:val="-84"/>
        </w:rPr>
        <w:t> </w:t>
      </w:r>
      <w:r>
        <w:rPr>
          <w:spacing w:val="-84"/>
        </w:rPr>
      </w:r>
      <w:r>
        <w:rPr>
          <w:spacing w:val="-1"/>
        </w:rPr>
        <w:t>的市场销售，不断巩固中小型电机、家用电器、变压器等传统领域客户群，配合募投项目的产能释放，加</w:t>
      </w:r>
      <w:r>
        <w:rPr>
          <w:spacing w:val="-81"/>
        </w:rPr>
        <w:t> </w:t>
      </w:r>
      <w:r>
        <w:rPr>
          <w:spacing w:val="-81"/>
        </w:rPr>
      </w:r>
      <w:r>
        <w:rPr/>
        <w:t>大对已有的压缩电机、汽车电子电器等细分行业的市场开拓，进一步拓宽公司销售渠道。</w:t>
      </w:r>
    </w:p>
    <w:p>
      <w:pPr>
        <w:pStyle w:val="BodyText"/>
        <w:spacing w:line="256" w:lineRule="auto" w:before="14"/>
        <w:ind w:left="533" w:right="195" w:hanging="24"/>
        <w:jc w:val="left"/>
      </w:pPr>
      <w:r>
        <w:rPr>
          <w:rFonts w:ascii="Times New Roman" w:hAnsi="Times New Roman" w:cs="Times New Roman" w:eastAsia="Times New Roman" w:hint="default"/>
        </w:rPr>
        <w:t>3</w:t>
      </w:r>
      <w:r>
        <w:rPr/>
        <w:t>、坚持科技兴企战略，健全研发创新体系 进一步加大科研经费投入，依托</w:t>
      </w:r>
      <w:r>
        <w:rPr>
          <w:rFonts w:ascii="Times New Roman" w:hAnsi="Times New Roman" w:cs="Times New Roman" w:eastAsia="Times New Roman" w:hint="default"/>
        </w:rPr>
        <w:t>“</w:t>
      </w:r>
      <w:r>
        <w:rPr/>
        <w:t>省级高新技术研发中心、省级企业技术中心、博士后工作站</w:t>
      </w:r>
      <w:r>
        <w:rPr>
          <w:rFonts w:ascii="Times New Roman" w:hAnsi="Times New Roman" w:cs="Times New Roman" w:eastAsia="Times New Roman" w:hint="default"/>
        </w:rPr>
        <w:t>”</w:t>
      </w:r>
      <w:r>
        <w:rPr/>
        <w:t>三位一</w:t>
      </w:r>
    </w:p>
    <w:p>
      <w:pPr>
        <w:spacing w:after="0" w:line="256" w:lineRule="auto"/>
        <w:jc w:val="left"/>
        <w:sectPr>
          <w:footerReference w:type="default" r:id="rId19"/>
          <w:pgSz w:w="11910" w:h="16840"/>
          <w:pgMar w:footer="980" w:header="747" w:top="1060" w:bottom="1160" w:left="1020" w:right="920"/>
          <w:pgNumType w:start="21"/>
        </w:sectPr>
      </w:pPr>
    </w:p>
    <w:p>
      <w:pPr>
        <w:spacing w:line="240" w:lineRule="auto" w:before="10"/>
        <w:rPr>
          <w:rFonts w:ascii="宋体" w:hAnsi="宋体" w:cs="宋体" w:eastAsia="宋体" w:hint="default"/>
          <w:sz w:val="24"/>
          <w:szCs w:val="24"/>
        </w:rPr>
      </w:pPr>
    </w:p>
    <w:p>
      <w:pPr>
        <w:pStyle w:val="BodyText"/>
        <w:spacing w:line="273" w:lineRule="auto" w:before="35"/>
        <w:ind w:right="208"/>
        <w:jc w:val="both"/>
      </w:pPr>
      <w:r>
        <w:rPr>
          <w:spacing w:val="-1"/>
        </w:rPr>
        <w:t>体的研发科创平台，瞄准科技前沿及未来需求趋势，开展原创性新材料开发、产品性能优化研究、加工工</w:t>
      </w:r>
      <w:r>
        <w:rPr>
          <w:spacing w:val="-80"/>
        </w:rPr>
        <w:t> </w:t>
      </w:r>
      <w:r>
        <w:rPr>
          <w:spacing w:val="-80"/>
        </w:rPr>
      </w:r>
      <w:r>
        <w:rPr>
          <w:spacing w:val="-1"/>
        </w:rPr>
        <w:t>艺创新以及工装设备技改，确保公司研发能力、科技成果立于行业领先水平。重点做好漆包线实验中心的</w:t>
      </w:r>
      <w:r>
        <w:rPr>
          <w:spacing w:val="-83"/>
        </w:rPr>
        <w:t> </w:t>
      </w:r>
      <w:r>
        <w:rPr>
          <w:spacing w:val="-83"/>
        </w:rPr>
      </w:r>
      <w:r>
        <w:rPr>
          <w:spacing w:val="-1"/>
        </w:rPr>
        <w:t>规划设计和建设工程，引进国内外先进检测设备，创建一个在行业中领先的现代化实验中心。扎实做好自</w:t>
      </w:r>
      <w:r>
        <w:rPr>
          <w:spacing w:val="-83"/>
        </w:rPr>
        <w:t> </w:t>
      </w:r>
      <w:r>
        <w:rPr>
          <w:spacing w:val="-83"/>
        </w:rPr>
      </w:r>
      <w:r>
        <w:rPr>
          <w:spacing w:val="-1"/>
        </w:rPr>
        <w:t>主知识产权保护及专利申报工作，探索建立健全创新激励机制、研发团队培养机制以及科研小组的活动机</w:t>
      </w:r>
      <w:r>
        <w:rPr>
          <w:spacing w:val="-81"/>
        </w:rPr>
        <w:t> </w:t>
      </w:r>
      <w:r>
        <w:rPr>
          <w:spacing w:val="-81"/>
        </w:rPr>
      </w:r>
      <w:r>
        <w:rPr/>
        <w:t>制，形成技术研发创新体系。</w:t>
      </w:r>
    </w:p>
    <w:p>
      <w:pPr>
        <w:pStyle w:val="BodyText"/>
        <w:spacing w:line="240" w:lineRule="auto" w:before="7"/>
        <w:ind w:left="534" w:right="102"/>
        <w:jc w:val="left"/>
      </w:pPr>
      <w:r>
        <w:rPr>
          <w:rFonts w:ascii="Times New Roman" w:hAnsi="Times New Roman" w:cs="Times New Roman" w:eastAsia="Times New Roman" w:hint="default"/>
        </w:rPr>
        <w:t>4</w:t>
      </w:r>
      <w:r>
        <w:rPr/>
        <w:t>、深化内控提升活动，探索新型管理方法</w:t>
      </w:r>
    </w:p>
    <w:p>
      <w:pPr>
        <w:pStyle w:val="BodyText"/>
        <w:spacing w:line="266" w:lineRule="auto" w:before="21"/>
        <w:ind w:right="101" w:firstLine="420"/>
        <w:jc w:val="left"/>
      </w:pPr>
      <w:r>
        <w:rPr/>
        <w:t>认真开展</w:t>
      </w:r>
      <w:r>
        <w:rPr>
          <w:rFonts w:ascii="Times New Roman" w:hAnsi="Times New Roman" w:cs="Times New Roman" w:eastAsia="Times New Roman" w:hint="default"/>
        </w:rPr>
        <w:t>6S</w:t>
      </w:r>
      <w:r>
        <w:rPr/>
        <w:t>基础管理</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修订完善生产现场管理检查标准，健全目标考核机制，提升现场管理水平。加 强质量体系实施的有效性和生产过程管理，提高顾客满意度和产品实物质量。完善设备维护管理，提升装 </w:t>
      </w:r>
      <w:r>
        <w:rPr>
          <w:spacing w:val="-3"/>
        </w:rPr>
        <w:t>备性能，加快新设备安装调试及投产的效率，充分发挥生产线设备系统的综合效能。认真开展高效、节能、</w:t>
      </w:r>
      <w:r>
        <w:rPr>
          <w:spacing w:val="-94"/>
        </w:rPr>
        <w:t> </w:t>
      </w:r>
      <w:r>
        <w:rPr>
          <w:spacing w:val="-94"/>
        </w:rPr>
      </w:r>
      <w:r>
        <w:rPr/>
        <w:t>环保的技术改造项目，有效促进公司整体能耗水平继续下降，环境保护能力得到提升。完善信息化平台建</w:t>
      </w:r>
      <w:r>
        <w:rPr/>
        <w:t> 设，充分发挥</w:t>
      </w:r>
      <w:r>
        <w:rPr>
          <w:rFonts w:ascii="Times New Roman" w:hAnsi="Times New Roman" w:cs="Times New Roman" w:eastAsia="Times New Roman" w:hint="default"/>
        </w:rPr>
        <w:t>ERP</w:t>
      </w:r>
      <w:r>
        <w:rPr/>
        <w:t>流程的开发能力，强化财务管理，加快公司运营流程效率，有效提高内控管理的质量， 降低生产成本。</w:t>
      </w:r>
    </w:p>
    <w:p>
      <w:pPr>
        <w:pStyle w:val="BodyText"/>
        <w:spacing w:line="256" w:lineRule="auto" w:before="14"/>
        <w:ind w:left="429" w:right="206" w:firstLine="104"/>
        <w:jc w:val="left"/>
      </w:pPr>
      <w:r>
        <w:rPr>
          <w:rFonts w:ascii="Times New Roman" w:hAnsi="Times New Roman" w:cs="Times New Roman" w:eastAsia="Times New Roman" w:hint="default"/>
        </w:rPr>
        <w:t>5</w:t>
      </w:r>
      <w:r>
        <w:rPr/>
        <w:t>、创建宏磊企业文化，培育优秀人才团队 </w:t>
      </w:r>
      <w:r>
        <w:rPr>
          <w:spacing w:val="-2"/>
        </w:rPr>
        <w:t>创建宏磊企业文化，以</w:t>
      </w:r>
      <w:r>
        <w:rPr>
          <w:rFonts w:ascii="Times New Roman" w:hAnsi="Times New Roman" w:cs="Times New Roman" w:eastAsia="Times New Roman" w:hint="default"/>
          <w:spacing w:val="-2"/>
        </w:rPr>
        <w:t>“</w:t>
      </w:r>
      <w:r>
        <w:rPr>
          <w:spacing w:val="-2"/>
        </w:rPr>
        <w:t>宏千秋伟业、磊百年铜城</w:t>
      </w:r>
      <w:r>
        <w:rPr>
          <w:rFonts w:ascii="Times New Roman" w:hAnsi="Times New Roman" w:cs="Times New Roman" w:eastAsia="Times New Roman" w:hint="default"/>
          <w:spacing w:val="-2"/>
        </w:rPr>
        <w:t>”</w:t>
      </w:r>
      <w:r>
        <w:rPr>
          <w:spacing w:val="-2"/>
        </w:rPr>
        <w:t>的共同愿景吸引人才，以</w:t>
      </w:r>
      <w:r>
        <w:rPr>
          <w:rFonts w:ascii="Times New Roman" w:hAnsi="Times New Roman" w:cs="Times New Roman" w:eastAsia="Times New Roman" w:hint="default"/>
          <w:spacing w:val="-2"/>
        </w:rPr>
        <w:t>“</w:t>
      </w:r>
      <w:r>
        <w:rPr>
          <w:spacing w:val="-2"/>
        </w:rPr>
        <w:t>责任、忠诚、感恩</w:t>
      </w:r>
      <w:r>
        <w:rPr>
          <w:rFonts w:ascii="Times New Roman" w:hAnsi="Times New Roman" w:cs="Times New Roman" w:eastAsia="Times New Roman" w:hint="default"/>
          <w:spacing w:val="-2"/>
        </w:rPr>
        <w:t>”</w:t>
      </w:r>
      <w:r>
        <w:rPr>
          <w:spacing w:val="-2"/>
        </w:rPr>
        <w:t>的核心</w:t>
      </w:r>
    </w:p>
    <w:p>
      <w:pPr>
        <w:pStyle w:val="BodyText"/>
        <w:spacing w:line="273" w:lineRule="auto" w:before="5"/>
        <w:ind w:left="113" w:right="188"/>
        <w:jc w:val="both"/>
      </w:pPr>
      <w:r>
        <w:rPr>
          <w:spacing w:val="-1"/>
        </w:rPr>
        <w:t>价值观引领人才，使人才真正成为强企之基、转型之要、竞争之本。根据企业发展战略，加快实施人才战</w:t>
      </w:r>
      <w:r>
        <w:rPr>
          <w:spacing w:val="-81"/>
        </w:rPr>
        <w:t> </w:t>
      </w:r>
      <w:r>
        <w:rPr>
          <w:spacing w:val="-81"/>
        </w:rPr>
      </w:r>
      <w:r>
        <w:rPr/>
        <w:t>略，科学合理地做好岗位编制，拟定人才引进、培育和储备计划，努力营造尊重、爱护人才的良好氛围， </w:t>
      </w:r>
      <w:r>
        <w:rPr>
          <w:spacing w:val="-1"/>
        </w:rPr>
        <w:t>确保人才留得住，用得好。积极支持和鼓励业务人才及生产骨干参加各种学习培训，努力培育一支高素质</w:t>
      </w:r>
      <w:r>
        <w:rPr>
          <w:spacing w:val="-83"/>
        </w:rPr>
        <w:t> </w:t>
      </w:r>
      <w:r>
        <w:rPr>
          <w:spacing w:val="-83"/>
        </w:rPr>
      </w:r>
      <w:r>
        <w:rPr/>
        <w:t>的团队。创新人才薪资及福利机制，增强行政后勤服务保障能力，丰富文化娱乐生活，提高员工满意度， 努力创建劳动关系和谐企业。</w:t>
      </w:r>
    </w:p>
    <w:p>
      <w:pPr>
        <w:pStyle w:val="BodyText"/>
        <w:spacing w:line="273" w:lineRule="auto" w:before="7"/>
        <w:ind w:left="533" w:right="102"/>
        <w:jc w:val="left"/>
      </w:pPr>
      <w:r>
        <w:rPr/>
        <w:t>（四）资金需求与筹措 </w:t>
      </w:r>
      <w:r>
        <w:rPr>
          <w:spacing w:val="-1"/>
        </w:rPr>
        <w:t>随着募集资金项目陆续进入生产、试生产阶段，</w:t>
      </w:r>
      <w:r>
        <w:rPr>
          <w:rFonts w:ascii="Times New Roman" w:hAnsi="Times New Roman" w:cs="Times New Roman" w:eastAsia="Times New Roman" w:hint="default"/>
          <w:spacing w:val="-1"/>
        </w:rPr>
        <w:t>2013</w:t>
      </w:r>
      <w:r>
        <w:rPr>
          <w:spacing w:val="-1"/>
        </w:rPr>
        <w:t>年产品产能逐步释放，公司经营规模将进一步扩</w:t>
      </w:r>
    </w:p>
    <w:p>
      <w:pPr>
        <w:pStyle w:val="BodyText"/>
        <w:spacing w:line="268" w:lineRule="auto"/>
        <w:ind w:left="113" w:right="102"/>
        <w:jc w:val="left"/>
      </w:pPr>
      <w:r>
        <w:rPr/>
        <w:t>张。为推动企业持续稳健经营，满足公司不断扩展的经营规模对流动资金需求，确保公司现金流充足，公 司及控股子公司</w:t>
      </w:r>
      <w:r>
        <w:rPr>
          <w:rFonts w:ascii="Times New Roman" w:hAnsi="Times New Roman" w:cs="Times New Roman" w:eastAsia="Times New Roman" w:hint="default"/>
        </w:rPr>
        <w:t>2013</w:t>
      </w:r>
      <w:r>
        <w:rPr/>
        <w:t>年度拟向银行等金融机构申请不超过</w:t>
      </w:r>
      <w:r>
        <w:rPr>
          <w:rFonts w:ascii="Times New Roman" w:hAnsi="Times New Roman" w:cs="Times New Roman" w:eastAsia="Times New Roman" w:hint="default"/>
        </w:rPr>
        <w:t>20</w:t>
      </w:r>
      <w:r>
        <w:rPr/>
        <w:t>亿元人民币的综合授信额度（按有效到位资金 </w:t>
      </w:r>
      <w:r>
        <w:rPr>
          <w:spacing w:val="-3"/>
        </w:rPr>
        <w:t>统计），授信种类包含但不限于各类贷款、保函、承兑汇票、信用证、进口押汇、进口代付、进出口保理、</w:t>
      </w:r>
      <w:r>
        <w:rPr>
          <w:spacing w:val="-93"/>
        </w:rPr>
        <w:t> </w:t>
      </w:r>
      <w:r>
        <w:rPr>
          <w:spacing w:val="-93"/>
        </w:rPr>
      </w:r>
      <w:r>
        <w:rPr/>
        <w:t>融资租赁等品种。在实际授信审批过程中，在上述申请授信的总额度内，各银行等金融机构之间的授信额</w:t>
      </w:r>
      <w:r>
        <w:rPr/>
        <w:t> 度可作适当调整。</w:t>
      </w:r>
    </w:p>
    <w:p>
      <w:pPr>
        <w:pStyle w:val="BodyText"/>
        <w:spacing w:line="240" w:lineRule="auto" w:before="12"/>
        <w:ind w:left="410" w:right="6153"/>
        <w:jc w:val="center"/>
      </w:pPr>
      <w:r>
        <w:rPr/>
        <w:t>（五）主要风险因素及公司应对策略</w:t>
      </w:r>
    </w:p>
    <w:p>
      <w:pPr>
        <w:pStyle w:val="BodyText"/>
        <w:spacing w:line="256" w:lineRule="auto" w:before="37"/>
        <w:ind w:left="533" w:right="102"/>
        <w:jc w:val="left"/>
      </w:pPr>
      <w:r>
        <w:rPr>
          <w:rFonts w:ascii="Times New Roman" w:hAnsi="Times New Roman" w:cs="Times New Roman" w:eastAsia="Times New Roman" w:hint="default"/>
        </w:rPr>
        <w:t>1</w:t>
      </w:r>
      <w:r>
        <w:rPr/>
        <w:t>、原材料价格波动的风险 </w:t>
      </w:r>
      <w:r>
        <w:rPr>
          <w:spacing w:val="-1"/>
        </w:rPr>
        <w:t>本公司产品售价按照</w:t>
      </w:r>
      <w:r>
        <w:rPr>
          <w:rFonts w:ascii="Times New Roman" w:hAnsi="Times New Roman" w:cs="Times New Roman" w:eastAsia="Times New Roman" w:hint="default"/>
          <w:spacing w:val="-1"/>
        </w:rPr>
        <w:t>“</w:t>
      </w:r>
      <w:r>
        <w:rPr>
          <w:spacing w:val="-1"/>
        </w:rPr>
        <w:t>铜价</w:t>
      </w:r>
      <w:r>
        <w:rPr>
          <w:rFonts w:ascii="Times New Roman" w:hAnsi="Times New Roman" w:cs="Times New Roman" w:eastAsia="Times New Roman" w:hint="default"/>
          <w:spacing w:val="-1"/>
        </w:rPr>
        <w:t>+</w:t>
      </w:r>
      <w:r>
        <w:rPr>
          <w:spacing w:val="-1"/>
        </w:rPr>
        <w:t>加工费</w:t>
      </w:r>
      <w:r>
        <w:rPr>
          <w:rFonts w:ascii="Times New Roman" w:hAnsi="Times New Roman" w:cs="Times New Roman" w:eastAsia="Times New Roman" w:hint="default"/>
          <w:spacing w:val="-1"/>
        </w:rPr>
        <w:t>”</w:t>
      </w:r>
      <w:r>
        <w:rPr>
          <w:spacing w:val="-1"/>
        </w:rPr>
        <w:t>的原则确定，利润来源于相对稳定的加工费，从定价模式上来看，</w:t>
      </w:r>
    </w:p>
    <w:p>
      <w:pPr>
        <w:pStyle w:val="BodyText"/>
        <w:spacing w:line="273" w:lineRule="auto" w:before="5"/>
        <w:ind w:left="113" w:right="211"/>
        <w:jc w:val="both"/>
      </w:pPr>
      <w:r>
        <w:rPr>
          <w:spacing w:val="-1"/>
        </w:rPr>
        <w:t>公司可将铜价波动的风险转移给下游客户，但若铜材价格发生持续大幅波动，仍可能对公司经营业绩的稳</w:t>
      </w:r>
      <w:r>
        <w:rPr>
          <w:spacing w:val="-81"/>
        </w:rPr>
        <w:t> </w:t>
      </w:r>
      <w:r>
        <w:rPr>
          <w:spacing w:val="-81"/>
        </w:rPr>
      </w:r>
      <w:r>
        <w:rPr/>
        <w:t>定性带来一定程度的影响。</w:t>
      </w:r>
    </w:p>
    <w:p>
      <w:pPr>
        <w:pStyle w:val="BodyText"/>
        <w:spacing w:line="256" w:lineRule="auto" w:before="7"/>
        <w:ind w:left="113" w:right="198" w:firstLine="420"/>
        <w:jc w:val="both"/>
      </w:pPr>
      <w:r>
        <w:rPr/>
        <w:t>应对策略：为防范铜价波动对公司存货带来的跌价风险，公司逐步建立和完善了</w:t>
      </w:r>
      <w:r>
        <w:rPr>
          <w:rFonts w:ascii="Times New Roman" w:hAnsi="Times New Roman" w:cs="Times New Roman" w:eastAsia="Times New Roman" w:hint="default"/>
        </w:rPr>
        <w:t>“</w:t>
      </w:r>
      <w:r>
        <w:rPr/>
        <w:t>以现货管理为主、</w:t>
      </w:r>
      <w:r>
        <w:rPr>
          <w:spacing w:val="2"/>
        </w:rPr>
        <w:t> </w:t>
      </w:r>
      <w:r>
        <w:rPr/>
        <w:t>套期保值为辅</w:t>
      </w:r>
      <w:r>
        <w:rPr>
          <w:rFonts w:ascii="Times New Roman" w:hAnsi="Times New Roman" w:cs="Times New Roman" w:eastAsia="Times New Roman" w:hint="default"/>
        </w:rPr>
        <w:t>”</w:t>
      </w:r>
      <w:r>
        <w:rPr/>
        <w:t>的存货风险控制机制，制定并严格执行《存货风险控制管理办法》、《期货套期保值业务</w:t>
      </w:r>
      <w:r>
        <w:rPr>
          <w:spacing w:val="-17"/>
        </w:rPr>
        <w:t> </w:t>
      </w:r>
      <w:r>
        <w:rPr>
          <w:spacing w:val="-1"/>
        </w:rPr>
        <w:t>管理办法》、《期货套期保值业务操作实施细则》等内控制度。根据公司生产经营需要，</w:t>
      </w:r>
      <w:r>
        <w:rPr>
          <w:rFonts w:ascii="Times New Roman" w:hAnsi="Times New Roman" w:cs="Times New Roman" w:eastAsia="Times New Roman" w:hint="default"/>
          <w:spacing w:val="-1"/>
        </w:rPr>
        <w:t>2012</w:t>
      </w:r>
      <w:r>
        <w:rPr>
          <w:spacing w:val="-1"/>
        </w:rPr>
        <w:t>年度将继续</w:t>
      </w:r>
      <w:r>
        <w:rPr>
          <w:spacing w:val="-83"/>
        </w:rPr>
        <w:t> </w:t>
      </w:r>
      <w:r>
        <w:rPr/>
        <w:t>开展电解铜期货套期保值业务。</w:t>
      </w:r>
    </w:p>
    <w:p>
      <w:pPr>
        <w:pStyle w:val="BodyText"/>
        <w:spacing w:line="256" w:lineRule="auto" w:before="22"/>
        <w:ind w:left="533" w:right="102"/>
        <w:jc w:val="left"/>
      </w:pPr>
      <w:r>
        <w:rPr>
          <w:rFonts w:ascii="Times New Roman" w:hAnsi="Times New Roman" w:cs="Times New Roman" w:eastAsia="Times New Roman" w:hint="default"/>
        </w:rPr>
        <w:t>2</w:t>
      </w:r>
      <w:r>
        <w:rPr/>
        <w:t>、控股子公司宏天铜业搬迁的风险 </w:t>
      </w:r>
      <w:r>
        <w:rPr>
          <w:spacing w:val="-1"/>
        </w:rPr>
        <w:t>为提升城市形象，完善城市功能，诸暨市人民政府决定对公司控股子公司宏天铜业位于诸暨市大唐镇</w:t>
      </w:r>
    </w:p>
    <w:p>
      <w:pPr>
        <w:pStyle w:val="BodyText"/>
        <w:spacing w:line="273" w:lineRule="auto" w:before="22"/>
        <w:ind w:left="113" w:right="208"/>
        <w:jc w:val="both"/>
      </w:pPr>
      <w:r>
        <w:rPr>
          <w:spacing w:val="-1"/>
        </w:rPr>
        <w:t>路西新村（原大唐镇庙山头村）的土地及厂房建筑物进行征收。宏天铜业的搬迁将对公司生产经营造成一</w:t>
      </w:r>
      <w:r>
        <w:rPr>
          <w:spacing w:val="-82"/>
        </w:rPr>
        <w:t> </w:t>
      </w:r>
      <w:r>
        <w:rPr>
          <w:spacing w:val="-82"/>
        </w:rPr>
      </w:r>
      <w:r>
        <w:rPr/>
        <w:t>定的影响。</w:t>
      </w:r>
    </w:p>
    <w:p>
      <w:pPr>
        <w:pStyle w:val="BodyText"/>
        <w:spacing w:line="266" w:lineRule="auto" w:before="7"/>
        <w:ind w:left="113" w:right="210" w:firstLine="420"/>
        <w:jc w:val="both"/>
      </w:pPr>
      <w:r>
        <w:rPr>
          <w:spacing w:val="-1"/>
        </w:rPr>
        <w:t>应对策略：公司将尽快落实新的生产基地，科学、及时、稳妥地拟定搬迁计划，并结合当前铜加工产</w:t>
      </w:r>
      <w:r>
        <w:rPr/>
        <w:t> </w:t>
      </w:r>
      <w:r>
        <w:rPr>
          <w:spacing w:val="-2"/>
        </w:rPr>
        <w:t>业发展趋势，进行整体搬迁式技术改造，《年产</w:t>
      </w:r>
      <w:r>
        <w:rPr>
          <w:rFonts w:ascii="Times New Roman" w:hAnsi="Times New Roman" w:cs="Times New Roman" w:eastAsia="Times New Roman" w:hint="default"/>
          <w:spacing w:val="-2"/>
        </w:rPr>
        <w:t>5,000</w:t>
      </w:r>
      <w:r>
        <w:rPr>
          <w:spacing w:val="-2"/>
        </w:rPr>
        <w:t>吨热交换器用高效节能高翅片铜管》募投项目将与搬</w:t>
      </w:r>
      <w:r>
        <w:rPr>
          <w:spacing w:val="-86"/>
        </w:rPr>
        <w:t> </w:t>
      </w:r>
      <w:r>
        <w:rPr>
          <w:spacing w:val="-86"/>
        </w:rPr>
      </w:r>
      <w:r>
        <w:rPr>
          <w:spacing w:val="-1"/>
        </w:rPr>
        <w:t>迁同时进行，重点研发生产高精度、耐腐蚀、高效节能的热交换器用翅片铜管及铜合金管，推动产业转型</w:t>
      </w:r>
      <w:r>
        <w:rPr>
          <w:spacing w:val="-81"/>
        </w:rPr>
        <w:t> </w:t>
      </w:r>
      <w:r>
        <w:rPr>
          <w:spacing w:val="-81"/>
        </w:rPr>
      </w:r>
      <w:r>
        <w:rPr/>
        <w:t>升级，打造公司新的经济增长点。</w:t>
      </w:r>
    </w:p>
    <w:p>
      <w:pPr>
        <w:pStyle w:val="BodyText"/>
        <w:spacing w:line="240" w:lineRule="auto" w:before="14"/>
        <w:ind w:left="533" w:right="102"/>
        <w:jc w:val="left"/>
      </w:pPr>
      <w:r>
        <w:rPr>
          <w:rFonts w:ascii="Times New Roman" w:hAnsi="Times New Roman" w:cs="Times New Roman" w:eastAsia="Times New Roman" w:hint="default"/>
        </w:rPr>
        <w:t>3</w:t>
      </w:r>
      <w:r>
        <w:rPr/>
        <w:t>、关联方资金不能及时收回的风险</w:t>
      </w:r>
    </w:p>
    <w:p>
      <w:pPr>
        <w:spacing w:after="0" w:line="240" w:lineRule="auto"/>
        <w:jc w:val="left"/>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64" w:lineRule="auto" w:before="35"/>
        <w:ind w:right="208" w:firstLine="420"/>
        <w:jc w:val="both"/>
      </w:pPr>
      <w:r>
        <w:rPr/>
        <w:t>在外需疲软、内需不足及国家稳健货币政策的经济大环境下，区域民营企业间互保圈信贷危机爆发， </w:t>
      </w:r>
      <w:r>
        <w:rPr>
          <w:spacing w:val="-1"/>
        </w:rPr>
        <w:t>使得公司关联方浙江宏磊控股集团有限公司及其子公司（以下简称宏磊控股及子公司）资金面承受巨大压</w:t>
      </w:r>
      <w:r>
        <w:rPr>
          <w:spacing w:val="-81"/>
        </w:rPr>
        <w:t> </w:t>
      </w:r>
      <w:r>
        <w:rPr>
          <w:spacing w:val="-81"/>
        </w:rPr>
      </w:r>
      <w:r>
        <w:rPr/>
        <w:t>力。主要为：</w:t>
      </w:r>
      <w:r>
        <w:rPr>
          <w:rFonts w:ascii="Times New Roman" w:hAnsi="Times New Roman" w:cs="Times New Roman" w:eastAsia="Times New Roman" w:hint="default"/>
        </w:rPr>
        <w:t>1.</w:t>
      </w:r>
      <w:r>
        <w:rPr/>
        <w:t>曾为公司银行融资提供担保的达亨控股集团有限公司、浙江省凯翔集团有限公司等公司，</w:t>
      </w:r>
      <w:r>
        <w:rPr>
          <w:spacing w:val="-101"/>
        </w:rPr>
        <w:t> </w:t>
      </w:r>
      <w:r>
        <w:rPr>
          <w:spacing w:val="-101"/>
        </w:rPr>
      </w:r>
      <w:r>
        <w:rPr>
          <w:spacing w:val="-1"/>
        </w:rPr>
        <w:t>同时由关联方宏磊控股及子公司为其提供反担保，随着</w:t>
      </w:r>
      <w:r>
        <w:rPr>
          <w:rFonts w:ascii="Times New Roman" w:hAnsi="Times New Roman" w:cs="Times New Roman" w:eastAsia="Times New Roman" w:hint="default"/>
          <w:spacing w:val="-1"/>
        </w:rPr>
        <w:t>2012</w:t>
      </w:r>
      <w:r>
        <w:rPr>
          <w:spacing w:val="-1"/>
        </w:rPr>
        <w:t>年度达亨控股集团有限公司、浙江省凯翔集团</w:t>
      </w:r>
      <w:r>
        <w:rPr>
          <w:spacing w:val="-81"/>
        </w:rPr>
        <w:t> </w:t>
      </w:r>
      <w:r>
        <w:rPr>
          <w:spacing w:val="-81"/>
        </w:rPr>
      </w:r>
      <w:r>
        <w:rPr>
          <w:spacing w:val="-2"/>
        </w:rPr>
        <w:t>有限公司等公司资金链断裂，导致宏磊控股及子公司为该等公司代偿连带责任的银行债务约</w:t>
      </w:r>
      <w:r>
        <w:rPr>
          <w:rFonts w:ascii="Times New Roman" w:hAnsi="Times New Roman" w:cs="Times New Roman" w:eastAsia="Times New Roman" w:hint="default"/>
          <w:spacing w:val="-2"/>
        </w:rPr>
        <w:t>2</w:t>
      </w:r>
      <w:r>
        <w:rPr>
          <w:spacing w:val="-2"/>
        </w:rPr>
        <w:t>亿元；</w:t>
      </w:r>
      <w:r>
        <w:rPr>
          <w:rFonts w:ascii="Times New Roman" w:hAnsi="Times New Roman" w:cs="Times New Roman" w:eastAsia="Times New Roman" w:hint="default"/>
          <w:spacing w:val="-2"/>
        </w:rPr>
        <w:t>2.</w:t>
      </w:r>
      <w:r>
        <w:rPr>
          <w:spacing w:val="-2"/>
        </w:rPr>
        <w:t>受该</w:t>
      </w:r>
      <w:r>
        <w:rPr>
          <w:spacing w:val="-85"/>
        </w:rPr>
        <w:t> </w:t>
      </w:r>
      <w:r>
        <w:rPr/>
        <w:t>类事件影响，相关银行收紧了对外的信贷融资额度，宏磊控股及子公司受到直接影响；</w:t>
      </w:r>
      <w:r>
        <w:rPr>
          <w:spacing w:val="-80"/>
        </w:rPr>
        <w:t> </w:t>
      </w:r>
      <w:r>
        <w:rPr>
          <w:rFonts w:ascii="Times New Roman" w:hAnsi="Times New Roman" w:cs="Times New Roman" w:eastAsia="Times New Roman" w:hint="default"/>
        </w:rPr>
        <w:t>3.</w:t>
      </w:r>
      <w:r>
        <w:rPr/>
        <w:t>宏磊控股及子公 司所经营的房地产开发业务亦受到宏观调控的持续影响，资金面吃紧。为解关联企业资金上的燃眉之急， </w:t>
      </w:r>
      <w:r>
        <w:rPr>
          <w:spacing w:val="-1"/>
        </w:rPr>
        <w:t>公司通过铜材交易平台从事铜材贸易业务，以票据形式进行了筹融资。公司收到的大部分应收票据由上述</w:t>
      </w:r>
      <w:r>
        <w:rPr>
          <w:spacing w:val="-81"/>
        </w:rPr>
        <w:t> </w:t>
      </w:r>
      <w:r>
        <w:rPr>
          <w:spacing w:val="-81"/>
        </w:rPr>
      </w:r>
      <w:r>
        <w:rPr>
          <w:spacing w:val="-2"/>
        </w:rPr>
        <w:t>关联企业领取使用，截至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日，公司将由上述关联方领取的应收票据</w:t>
      </w:r>
      <w:r>
        <w:rPr>
          <w:rFonts w:ascii="Times New Roman" w:hAnsi="Times New Roman" w:cs="Times New Roman" w:eastAsia="Times New Roman" w:hint="default"/>
          <w:spacing w:val="-2"/>
        </w:rPr>
        <w:t>463,215,650.54</w:t>
      </w:r>
      <w:r>
        <w:rPr>
          <w:spacing w:val="-2"/>
        </w:rPr>
        <w:t>元，及计提</w:t>
      </w:r>
      <w:r>
        <w:rPr>
          <w:spacing w:val="-76"/>
        </w:rPr>
        <w:t> </w:t>
      </w:r>
      <w:r>
        <w:rPr>
          <w:spacing w:val="-76"/>
        </w:rPr>
      </w:r>
      <w:r>
        <w:rPr>
          <w:spacing w:val="-1"/>
        </w:rPr>
        <w:t>的相应资金占用利息</w:t>
      </w:r>
      <w:r>
        <w:rPr>
          <w:rFonts w:ascii="Times New Roman" w:hAnsi="Times New Roman" w:cs="Times New Roman" w:eastAsia="Times New Roman" w:hint="default"/>
          <w:spacing w:val="-1"/>
        </w:rPr>
        <w:t>11,206,282.62</w:t>
      </w:r>
      <w:r>
        <w:rPr>
          <w:spacing w:val="-1"/>
        </w:rPr>
        <w:t>元，共计</w:t>
      </w:r>
      <w:r>
        <w:rPr>
          <w:rFonts w:ascii="Times New Roman" w:hAnsi="Times New Roman" w:cs="Times New Roman" w:eastAsia="Times New Roman" w:hint="default"/>
          <w:spacing w:val="-1"/>
        </w:rPr>
        <w:t>474,421,933.16</w:t>
      </w:r>
      <w:r>
        <w:rPr>
          <w:spacing w:val="-1"/>
        </w:rPr>
        <w:t>元。关联方资金余额较大，可能面临深圳证券交</w:t>
      </w:r>
      <w:r>
        <w:rPr>
          <w:spacing w:val="-80"/>
        </w:rPr>
        <w:t> </w:t>
      </w:r>
      <w:r>
        <w:rPr>
          <w:spacing w:val="-80"/>
        </w:rPr>
      </w:r>
      <w:r>
        <w:rPr/>
        <w:t>易所对公司股票实行风险警示。</w:t>
      </w:r>
    </w:p>
    <w:p>
      <w:pPr>
        <w:pStyle w:val="BodyText"/>
        <w:spacing w:line="273" w:lineRule="auto" w:before="16"/>
        <w:ind w:right="230" w:firstLine="420"/>
        <w:jc w:val="both"/>
      </w:pPr>
      <w:r>
        <w:rPr>
          <w:spacing w:val="-1"/>
        </w:rPr>
        <w:t>应对策略：宏磊控股及其子公司正努力筹措资金，或考虑以股权、实物资产和土地等优质资产盘活资</w:t>
      </w:r>
      <w:r>
        <w:rPr/>
        <w:t> 金，以弥补资金缺口，维护公司及中小股东利益。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0"/>
        <w:jc w:val="both"/>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0"/>
        <w:rPr>
          <w:rFonts w:ascii="宋体" w:hAnsi="宋体" w:cs="宋体" w:eastAsia="宋体" w:hint="default"/>
          <w:b/>
          <w:bCs/>
          <w:sz w:val="23"/>
          <w:szCs w:val="23"/>
        </w:rPr>
      </w:pPr>
    </w:p>
    <w:p>
      <w:pPr>
        <w:pStyle w:val="Heading3"/>
        <w:spacing w:line="312" w:lineRule="exact"/>
        <w:ind w:left="594" w:right="97"/>
        <w:jc w:val="left"/>
      </w:pPr>
      <w:r>
        <w:rPr>
          <w:rFonts w:ascii="Times New Roman" w:hAnsi="Times New Roman" w:cs="Times New Roman" w:eastAsia="Times New Roman" w:hint="default"/>
        </w:rPr>
        <w:t>1</w:t>
      </w:r>
      <w:r>
        <w:rPr/>
        <w:t>、非标准无保留审计意见涉及事项的基本情况 在外需疲软、内需不足及国家稳健货币政策的经济大环境下，区域民营企业间互保圈信</w:t>
      </w:r>
    </w:p>
    <w:p>
      <w:pPr>
        <w:spacing w:line="312" w:lineRule="exact" w:before="0"/>
        <w:ind w:left="114" w:right="222" w:firstLine="0"/>
        <w:jc w:val="both"/>
        <w:rPr>
          <w:rFonts w:ascii="宋体" w:hAnsi="宋体" w:cs="宋体" w:eastAsia="宋体" w:hint="default"/>
          <w:sz w:val="24"/>
          <w:szCs w:val="24"/>
        </w:rPr>
      </w:pPr>
      <w:r>
        <w:rPr>
          <w:rFonts w:ascii="宋体" w:hAnsi="宋体" w:cs="宋体" w:eastAsia="宋体" w:hint="default"/>
          <w:sz w:val="24"/>
          <w:szCs w:val="24"/>
        </w:rPr>
        <w:t>贷危机爆发，使得公司关联方浙江宏磊控股集团有限公司及其子公司（以下简称宏磊控股及 子公司）资金面承受巨大压力。主要为：</w:t>
      </w:r>
      <w:r>
        <w:rPr>
          <w:rFonts w:ascii="Times New Roman" w:hAnsi="Times New Roman" w:cs="Times New Roman" w:eastAsia="Times New Roman" w:hint="default"/>
          <w:sz w:val="24"/>
          <w:szCs w:val="24"/>
        </w:rPr>
        <w:t>1.</w:t>
      </w:r>
      <w:r>
        <w:rPr>
          <w:rFonts w:ascii="宋体" w:hAnsi="宋体" w:cs="宋体" w:eastAsia="宋体" w:hint="default"/>
          <w:sz w:val="24"/>
          <w:szCs w:val="24"/>
        </w:rPr>
        <w:t>曾为公司银行融资提供担保的达亨控股集团有限</w:t>
      </w:r>
      <w:r>
        <w:rPr>
          <w:rFonts w:ascii="宋体" w:hAnsi="宋体" w:cs="宋体" w:eastAsia="宋体" w:hint="default"/>
          <w:spacing w:val="-40"/>
          <w:sz w:val="24"/>
          <w:szCs w:val="24"/>
        </w:rPr>
        <w:t> </w:t>
      </w:r>
      <w:r>
        <w:rPr>
          <w:rFonts w:ascii="宋体" w:hAnsi="宋体" w:cs="宋体" w:eastAsia="宋体" w:hint="default"/>
          <w:sz w:val="24"/>
          <w:szCs w:val="24"/>
        </w:rPr>
        <w:t>公司、浙江省凯翔集团有限公司等公司，同时由关联方宏磊控股及子公司为其提供反担保，</w:t>
      </w:r>
      <w:r>
        <w:rPr>
          <w:rFonts w:ascii="宋体" w:hAnsi="宋体" w:cs="宋体" w:eastAsia="宋体" w:hint="default"/>
          <w:sz w:val="24"/>
          <w:szCs w:val="24"/>
        </w:rPr>
        <w:t> 随着</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年度达亨控股集团有限公司、浙江省凯翔集团有限公司等公司资金链断裂，导致宏</w:t>
      </w:r>
      <w:r>
        <w:rPr>
          <w:rFonts w:ascii="宋体" w:hAnsi="宋体" w:cs="宋体" w:eastAsia="宋体" w:hint="default"/>
          <w:spacing w:val="-83"/>
          <w:sz w:val="24"/>
          <w:szCs w:val="24"/>
        </w:rPr>
        <w:t> </w:t>
      </w:r>
      <w:r>
        <w:rPr>
          <w:rFonts w:ascii="宋体" w:hAnsi="宋体" w:cs="宋体" w:eastAsia="宋体" w:hint="default"/>
          <w:spacing w:val="-1"/>
          <w:sz w:val="24"/>
          <w:szCs w:val="24"/>
        </w:rPr>
        <w:t>磊控股及子公司为该等公司代偿连带责任的银行债务约</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亿元；</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受该类事件影响，相关银行</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收紧了对外的信贷融资额度，宏磊控股及子公司受到直接影响；</w:t>
      </w:r>
      <w:r>
        <w:rPr>
          <w:rFonts w:ascii="Times New Roman" w:hAnsi="Times New Roman" w:cs="Times New Roman" w:eastAsia="Times New Roman" w:hint="default"/>
          <w:spacing w:val="2"/>
          <w:sz w:val="24"/>
          <w:szCs w:val="24"/>
        </w:rPr>
        <w:t>3.</w:t>
      </w:r>
      <w:r>
        <w:rPr>
          <w:rFonts w:ascii="宋体" w:hAnsi="宋体" w:cs="宋体" w:eastAsia="宋体" w:hint="default"/>
          <w:spacing w:val="2"/>
          <w:sz w:val="24"/>
          <w:szCs w:val="24"/>
        </w:rPr>
        <w:t>宏磊控股及子公司所经营</w:t>
      </w:r>
      <w:r>
        <w:rPr>
          <w:rFonts w:ascii="宋体" w:hAnsi="宋体" w:cs="宋体" w:eastAsia="宋体" w:hint="default"/>
          <w:sz w:val="24"/>
          <w:szCs w:val="24"/>
        </w:rPr>
      </w:r>
    </w:p>
    <w:p>
      <w:pPr>
        <w:spacing w:line="312" w:lineRule="exact" w:before="1"/>
        <w:ind w:left="114" w:right="111" w:firstLine="0"/>
        <w:jc w:val="both"/>
        <w:rPr>
          <w:rFonts w:ascii="宋体" w:hAnsi="宋体" w:cs="宋体" w:eastAsia="宋体" w:hint="default"/>
          <w:sz w:val="24"/>
          <w:szCs w:val="24"/>
        </w:rPr>
      </w:pPr>
      <w:r>
        <w:rPr>
          <w:rFonts w:ascii="宋体" w:hAnsi="宋体" w:cs="宋体" w:eastAsia="宋体" w:hint="default"/>
          <w:sz w:val="24"/>
          <w:szCs w:val="24"/>
        </w:rPr>
        <w:t>的房地产开发业务亦受到宏观调控的持续影响，资金面吃紧。为解关联企业资金上的燃眉之 急，公司收到的大部分应收票据被上述关联企业使用，截至</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日，上述关联方领</w:t>
      </w:r>
      <w:r>
        <w:rPr>
          <w:rFonts w:ascii="宋体" w:hAnsi="宋体" w:cs="宋体" w:eastAsia="宋体" w:hint="default"/>
          <w:spacing w:val="-88"/>
          <w:sz w:val="24"/>
          <w:szCs w:val="24"/>
        </w:rPr>
        <w:t> </w:t>
      </w:r>
      <w:r>
        <w:rPr>
          <w:rFonts w:ascii="宋体" w:hAnsi="宋体" w:cs="宋体" w:eastAsia="宋体" w:hint="default"/>
          <w:spacing w:val="-3"/>
          <w:sz w:val="24"/>
          <w:szCs w:val="24"/>
        </w:rPr>
        <w:t>用应收票据</w:t>
      </w:r>
      <w:r>
        <w:rPr>
          <w:rFonts w:ascii="Times New Roman" w:hAnsi="Times New Roman" w:cs="Times New Roman" w:eastAsia="Times New Roman" w:hint="default"/>
          <w:spacing w:val="-3"/>
          <w:sz w:val="24"/>
          <w:szCs w:val="24"/>
        </w:rPr>
        <w:t>463,215,650.54</w:t>
      </w:r>
      <w:r>
        <w:rPr>
          <w:rFonts w:ascii="宋体" w:hAnsi="宋体" w:cs="宋体" w:eastAsia="宋体" w:hint="default"/>
          <w:spacing w:val="-3"/>
          <w:sz w:val="24"/>
          <w:szCs w:val="24"/>
        </w:rPr>
        <w:t>元，计提相应资金使用利息</w:t>
      </w:r>
      <w:r>
        <w:rPr>
          <w:rFonts w:ascii="Times New Roman" w:hAnsi="Times New Roman" w:cs="Times New Roman" w:eastAsia="Times New Roman" w:hint="default"/>
          <w:spacing w:val="-3"/>
          <w:sz w:val="24"/>
          <w:szCs w:val="24"/>
        </w:rPr>
        <w:t>11,206,282.62</w:t>
      </w:r>
      <w:r>
        <w:rPr>
          <w:rFonts w:ascii="宋体" w:hAnsi="宋体" w:cs="宋体" w:eastAsia="宋体" w:hint="default"/>
          <w:spacing w:val="-3"/>
          <w:sz w:val="24"/>
          <w:szCs w:val="24"/>
        </w:rPr>
        <w:t>元，共计</w:t>
      </w:r>
      <w:r>
        <w:rPr>
          <w:rFonts w:ascii="Times New Roman" w:hAnsi="Times New Roman" w:cs="Times New Roman" w:eastAsia="Times New Roman" w:hint="default"/>
          <w:spacing w:val="-3"/>
          <w:sz w:val="24"/>
          <w:szCs w:val="24"/>
        </w:rPr>
        <w:t>474,421,933.16</w:t>
      </w:r>
      <w:r>
        <w:rPr>
          <w:rFonts w:ascii="宋体" w:hAnsi="宋体" w:cs="宋体" w:eastAsia="宋体" w:hint="default"/>
          <w:spacing w:val="-3"/>
          <w:sz w:val="24"/>
          <w:szCs w:val="24"/>
        </w:rPr>
        <w:t>元。</w:t>
      </w:r>
    </w:p>
    <w:p>
      <w:pPr>
        <w:spacing w:line="312" w:lineRule="exact" w:before="0"/>
        <w:ind w:left="594" w:right="22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、该事项对上市公司的影响程度 上述强调事项段中涉及事项对宏磊股份</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年度财务状况及经营成果无重大影响。 </w:t>
      </w:r>
      <w:r>
        <w:rPr>
          <w:rFonts w:ascii="Times New Roman" w:hAnsi="Times New Roman" w:cs="Times New Roman" w:eastAsia="Times New Roman" w:hint="default"/>
          <w:sz w:val="24"/>
          <w:szCs w:val="24"/>
        </w:rPr>
        <w:t>3</w:t>
      </w:r>
      <w:r>
        <w:rPr>
          <w:rFonts w:ascii="宋体" w:hAnsi="宋体" w:cs="宋体" w:eastAsia="宋体" w:hint="default"/>
          <w:sz w:val="24"/>
          <w:szCs w:val="24"/>
        </w:rPr>
        <w:t>、公司关联方资金占用问题解决的方案 </w:t>
      </w:r>
      <w:r>
        <w:rPr>
          <w:rFonts w:ascii="宋体" w:hAnsi="宋体" w:cs="宋体" w:eastAsia="宋体" w:hint="default"/>
          <w:spacing w:val="-2"/>
          <w:sz w:val="24"/>
          <w:szCs w:val="24"/>
        </w:rPr>
        <w:t>根据宏磊控股所出具的承诺函：</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公司目前正努力筹措资金，积极通过向银行等金融机构</w:t>
      </w:r>
    </w:p>
    <w:p>
      <w:pPr>
        <w:spacing w:line="312" w:lineRule="exact" w:before="0"/>
        <w:ind w:left="114" w:right="231" w:firstLine="0"/>
        <w:jc w:val="both"/>
        <w:rPr>
          <w:rFonts w:ascii="宋体" w:hAnsi="宋体" w:cs="宋体" w:eastAsia="宋体" w:hint="default"/>
          <w:sz w:val="24"/>
          <w:szCs w:val="24"/>
        </w:rPr>
      </w:pPr>
      <w:r>
        <w:rPr>
          <w:rFonts w:ascii="宋体" w:hAnsi="宋体" w:cs="宋体" w:eastAsia="宋体" w:hint="default"/>
          <w:spacing w:val="-2"/>
          <w:sz w:val="24"/>
          <w:szCs w:val="24"/>
        </w:rPr>
        <w:t>筹资以及处置股权、实物资产和土地等资产盘活资金，在一个月内还清资金占用款。</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公司董</w:t>
      </w:r>
      <w:r>
        <w:rPr>
          <w:rFonts w:ascii="宋体" w:hAnsi="宋体" w:cs="宋体" w:eastAsia="宋体" w:hint="default"/>
          <w:spacing w:val="-107"/>
          <w:sz w:val="24"/>
          <w:szCs w:val="24"/>
        </w:rPr>
        <w:t> </w:t>
      </w:r>
      <w:r>
        <w:rPr>
          <w:rFonts w:ascii="宋体" w:hAnsi="宋体" w:cs="宋体" w:eastAsia="宋体" w:hint="default"/>
          <w:sz w:val="24"/>
          <w:szCs w:val="24"/>
        </w:rPr>
        <w:t>事会特拟定关于公司关联方资金占用问题解决的方案。具体如下：</w:t>
      </w:r>
    </w:p>
    <w:p>
      <w:pPr>
        <w:spacing w:line="291" w:lineRule="exact" w:before="0"/>
        <w:ind w:left="594" w:right="9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日前，以现金方式收回资金占用余款及资金使用期间所有利息。</w:t>
      </w:r>
    </w:p>
    <w:p>
      <w:pPr>
        <w:spacing w:line="312" w:lineRule="exact" w:before="0"/>
        <w:ind w:left="594" w:right="9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、董事会对资金占用情况及解决方案的意见</w:t>
      </w:r>
    </w:p>
    <w:p>
      <w:pPr>
        <w:spacing w:line="312" w:lineRule="exact" w:before="20"/>
        <w:ind w:left="114" w:right="228"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）鉴于公司关联方已向公司出具《承诺函》，董事会认为关联方宏磊控股提出在一个</w:t>
      </w:r>
      <w:r>
        <w:rPr>
          <w:rFonts w:ascii="宋体" w:hAnsi="宋体" w:cs="宋体" w:eastAsia="宋体" w:hint="default"/>
          <w:sz w:val="24"/>
          <w:szCs w:val="24"/>
        </w:rPr>
        <w:t> 月内还清资金占用款的方案是可行的。</w:t>
      </w:r>
    </w:p>
    <w:p>
      <w:pPr>
        <w:spacing w:line="312" w:lineRule="exact" w:before="0"/>
        <w:ind w:left="114" w:right="148"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）董事会认为公司关联方占用公司资金情况不构成《深圳证券交易所股票上市规则》 第十三章《风险警示》</w:t>
      </w:r>
      <w:r>
        <w:rPr>
          <w:rFonts w:ascii="Times New Roman" w:hAnsi="Times New Roman" w:cs="Times New Roman" w:eastAsia="Times New Roman" w:hint="default"/>
          <w:sz w:val="24"/>
          <w:szCs w:val="24"/>
        </w:rPr>
        <w:t>13.3.1/13.3.2</w:t>
      </w:r>
      <w:r>
        <w:rPr>
          <w:rFonts w:ascii="宋体" w:hAnsi="宋体" w:cs="宋体" w:eastAsia="宋体" w:hint="default"/>
          <w:sz w:val="24"/>
          <w:szCs w:val="24"/>
        </w:rPr>
        <w:t>条款中有关情形。</w:t>
      </w:r>
    </w:p>
    <w:p>
      <w:pPr>
        <w:spacing w:line="300" w:lineRule="exact" w:before="0"/>
        <w:ind w:left="594" w:right="97"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）董事会认为不用实行其他风险警示。</w:t>
      </w:r>
    </w:p>
    <w:p>
      <w:pPr>
        <w:spacing w:after="0" w:line="300" w:lineRule="exact"/>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3"/>
        <w:ind w:left="114" w:right="102" w:firstLine="0"/>
        <w:jc w:val="left"/>
        <w:rPr>
          <w:rFonts w:ascii="宋体" w:hAnsi="宋体" w:cs="宋体" w:eastAsia="宋体" w:hint="default"/>
          <w:sz w:val="24"/>
          <w:szCs w:val="24"/>
        </w:rPr>
      </w:pPr>
      <w:r>
        <w:rPr>
          <w:rFonts w:ascii="宋体" w:hAnsi="宋体" w:cs="宋体" w:eastAsia="宋体" w:hint="default"/>
          <w:b/>
          <w:bCs/>
          <w:sz w:val="24"/>
          <w:szCs w:val="24"/>
        </w:rPr>
        <w:t>十、与上年度财务报告相比，会计政策、会计估计和核算方法发生变化的情况说明</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102"/>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before="0"/>
        <w:ind w:right="102"/>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before="0"/>
        <w:ind w:right="102"/>
        <w:jc w:val="left"/>
        <w:rPr>
          <w:b w:val="0"/>
          <w:bCs w:val="0"/>
        </w:rPr>
      </w:pP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261" w:lineRule="auto" w:before="90"/>
        <w:ind w:left="113" w:right="102" w:firstLine="73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日召开的公司</w:t>
      </w:r>
      <w:r>
        <w:rPr>
          <w:rFonts w:ascii="Times New Roman" w:hAnsi="Times New Roman" w:cs="Times New Roman" w:eastAsia="Times New Roman" w:hint="default"/>
        </w:rPr>
        <w:t>2011</w:t>
      </w:r>
      <w:r>
        <w:rPr/>
        <w:t>年第三次临时股东大会审议通过了《关于</w:t>
      </w:r>
      <w:r>
        <w:rPr>
          <w:rFonts w:ascii="Times New Roman" w:hAnsi="Times New Roman" w:cs="Times New Roman" w:eastAsia="Times New Roman" w:hint="default"/>
        </w:rPr>
        <w:t>&lt;</w:t>
      </w:r>
      <w:r>
        <w:rPr/>
        <w:t>浙江宏磊铜业股份有限 公司章程（草案）</w:t>
      </w:r>
      <w:r>
        <w:rPr>
          <w:rFonts w:ascii="Times New Roman" w:hAnsi="Times New Roman" w:cs="Times New Roman" w:eastAsia="Times New Roman" w:hint="default"/>
        </w:rPr>
        <w:t>&gt;</w:t>
      </w:r>
      <w:r>
        <w:rPr/>
        <w:t>的议案》，对分红政策进行了补充完善。报告期内，公司严格按照中国证监会《关于 修改上市公司现金分红若干规定的决定》、《关于进一步落实上市公司现金分红有关事项的通知》、深交 所《中小企业板信息披露业务备忘录第</w:t>
      </w:r>
      <w:r>
        <w:rPr>
          <w:rFonts w:ascii="Times New Roman" w:hAnsi="Times New Roman" w:cs="Times New Roman" w:eastAsia="Times New Roman" w:hint="default"/>
        </w:rPr>
        <w:t>33</w:t>
      </w:r>
      <w:r>
        <w:rPr/>
        <w:t>号：利润分配和资本公积转增股本》以及《公司章程》等有关制 度的规定和要求，积极做好公司利润分配方案实施工作。公司董事会在详细咨询、听取独立董事及公司股 </w:t>
      </w:r>
      <w:r>
        <w:rPr>
          <w:spacing w:val="-3"/>
        </w:rPr>
        <w:t>东的意见，并结合公司</w:t>
      </w:r>
      <w:r>
        <w:rPr>
          <w:rFonts w:ascii="Times New Roman" w:hAnsi="Times New Roman" w:cs="Times New Roman" w:eastAsia="Times New Roman" w:hint="default"/>
          <w:spacing w:val="-3"/>
        </w:rPr>
        <w:t>2011</w:t>
      </w:r>
      <w:r>
        <w:rPr>
          <w:spacing w:val="-3"/>
        </w:rPr>
        <w:t>年度盈利情况和</w:t>
      </w:r>
      <w:r>
        <w:rPr>
          <w:rFonts w:ascii="Times New Roman" w:hAnsi="Times New Roman" w:cs="Times New Roman" w:eastAsia="Times New Roman" w:hint="default"/>
          <w:spacing w:val="-3"/>
        </w:rPr>
        <w:t>2012</w:t>
      </w:r>
      <w:r>
        <w:rPr>
          <w:spacing w:val="-3"/>
        </w:rPr>
        <w:t>年度投资、支出计划等制定了公司</w:t>
      </w:r>
      <w:r>
        <w:rPr>
          <w:rFonts w:ascii="Times New Roman" w:hAnsi="Times New Roman" w:cs="Times New Roman" w:eastAsia="Times New Roman" w:hint="default"/>
          <w:spacing w:val="-3"/>
        </w:rPr>
        <w:t>2011</w:t>
      </w:r>
      <w:r>
        <w:rPr>
          <w:spacing w:val="-3"/>
        </w:rPr>
        <w:t>年度利润分配预案，</w:t>
      </w:r>
      <w:r>
        <w:rPr>
          <w:spacing w:val="-80"/>
        </w:rPr>
        <w:t> </w:t>
      </w:r>
      <w:r>
        <w:rPr/>
        <w:t>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日召开的第二届董事会第八次会议上审议通过，并提交公司在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2011</w:t>
      </w:r>
      <w:r>
        <w:rPr/>
        <w:t>年 度股东大会审议通过。</w:t>
      </w:r>
    </w:p>
    <w:p>
      <w:pPr>
        <w:pStyle w:val="BodyText"/>
        <w:spacing w:line="256" w:lineRule="auto" w:before="18"/>
        <w:ind w:left="113" w:right="207" w:firstLine="435"/>
        <w:jc w:val="left"/>
      </w:pPr>
      <w:r>
        <w:rPr>
          <w:spacing w:val="-2"/>
        </w:rPr>
        <w:t>根据公司</w:t>
      </w:r>
      <w:r>
        <w:rPr>
          <w:rFonts w:ascii="Times New Roman" w:hAnsi="Times New Roman" w:cs="Times New Roman" w:eastAsia="Times New Roman" w:hint="default"/>
          <w:spacing w:val="-2"/>
        </w:rPr>
        <w:t>2011</w:t>
      </w:r>
      <w:r>
        <w:rPr>
          <w:spacing w:val="-2"/>
        </w:rPr>
        <w:t>年度股东大会决议，以公司现有总股本</w:t>
      </w:r>
      <w:r>
        <w:rPr>
          <w:rFonts w:ascii="Times New Roman" w:hAnsi="Times New Roman" w:cs="Times New Roman" w:eastAsia="Times New Roman" w:hint="default"/>
          <w:spacing w:val="-2"/>
        </w:rPr>
        <w:t>16891</w:t>
      </w:r>
      <w:r>
        <w:rPr>
          <w:spacing w:val="-2"/>
        </w:rPr>
        <w:t>万股为基数，向全体股东每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1.00</w:t>
      </w:r>
      <w:r>
        <w:rPr>
          <w:spacing w:val="-2"/>
        </w:rPr>
        <w:t>元现</w:t>
      </w:r>
      <w:r>
        <w:rPr/>
        <w:t> 金（含税），共计</w:t>
      </w:r>
      <w:r>
        <w:rPr>
          <w:rFonts w:ascii="Times New Roman" w:hAnsi="Times New Roman" w:cs="Times New Roman" w:eastAsia="Times New Roman" w:hint="default"/>
        </w:rPr>
        <w:t>1689.1</w:t>
      </w:r>
      <w:r>
        <w:rPr/>
        <w:t>万元。此利润分配方案于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w:t>
      </w:r>
    </w:p>
    <w:p>
      <w:pPr>
        <w:pStyle w:val="BodyText"/>
        <w:spacing w:line="264" w:lineRule="auto" w:before="5"/>
        <w:ind w:left="113" w:right="105" w:firstLine="435"/>
        <w:jc w:val="both"/>
      </w:pPr>
      <w:r>
        <w:rPr/>
        <w:t>公司实施的</w:t>
      </w:r>
      <w:r>
        <w:rPr>
          <w:rFonts w:ascii="Times New Roman" w:hAnsi="Times New Roman" w:cs="Times New Roman" w:eastAsia="Times New Roman" w:hint="default"/>
        </w:rPr>
        <w:t>2011</w:t>
      </w:r>
      <w:r>
        <w:rPr/>
        <w:t>年度利润分配方案符合《公司章程》的规定及股东大会决议的要求，分红比例明确清 晰，相关决策程序完备，独立董事尽职履行责任并发挥了应有的作用，中小股东具有充分表达意见好诉求 </w:t>
      </w:r>
      <w:r>
        <w:rPr>
          <w:spacing w:val="-3"/>
        </w:rPr>
        <w:t>的机会，充分维护了中小股东的合法权益。截止本报告披露之日，公司未对现金分红政策进行调整或变更。</w:t>
      </w:r>
    </w:p>
    <w:p>
      <w:pPr>
        <w:spacing w:line="240" w:lineRule="auto" w:before="0"/>
        <w:rPr>
          <w:rFonts w:ascii="宋体" w:hAnsi="宋体" w:cs="宋体" w:eastAsia="宋体" w:hint="default"/>
          <w:sz w:val="20"/>
          <w:szCs w:val="20"/>
        </w:rPr>
      </w:pPr>
    </w:p>
    <w:p>
      <w:pPr>
        <w:spacing w:before="131"/>
        <w:ind w:left="114" w:right="102"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7"/>
        <w:ind w:left="114" w:right="10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0.5</w:t>
            </w:r>
            <w:r>
              <w:rPr>
                <w:rFonts w:ascii="Times New Roman"/>
                <w:w w:val="95"/>
                <w:sz w:val="18"/>
              </w:rPr>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168,910,000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8,445,500.00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231,942,451.95</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684"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firstLine="540"/>
              <w:jc w:val="left"/>
              <w:rPr>
                <w:rFonts w:ascii="宋体" w:hAnsi="宋体" w:cs="宋体" w:eastAsia="宋体" w:hint="default"/>
                <w:sz w:val="18"/>
                <w:szCs w:val="18"/>
              </w:rPr>
            </w:pPr>
            <w:r>
              <w:rPr>
                <w:rFonts w:ascii="宋体" w:hAnsi="宋体" w:cs="宋体" w:eastAsia="宋体" w:hint="default"/>
                <w:spacing w:val="-1"/>
                <w:sz w:val="18"/>
                <w:szCs w:val="18"/>
              </w:rPr>
              <w:t>为了回报股东，与所有股东分享公司发展的成果，同时考虑公司进一步扩大生产经营规模对流动资金的需求，经董</w:t>
            </w:r>
            <w:r>
              <w:rPr>
                <w:rFonts w:ascii="宋体" w:hAnsi="宋体" w:cs="宋体" w:eastAsia="宋体" w:hint="default"/>
                <w:sz w:val="18"/>
                <w:szCs w:val="18"/>
              </w:rPr>
              <w:t> 事会提议，以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宋体" w:hAnsi="宋体" w:cs="宋体" w:eastAsia="宋体" w:hint="default"/>
                <w:sz w:val="18"/>
                <w:szCs w:val="18"/>
              </w:rPr>
              <w:t>，</w:t>
            </w:r>
            <w:r>
              <w:rPr>
                <w:rFonts w:ascii="Times New Roman" w:hAnsi="Times New Roman" w:cs="Times New Roman" w:eastAsia="Times New Roman" w:hint="default"/>
                <w:sz w:val="18"/>
                <w:szCs w:val="18"/>
              </w:rPr>
              <w:t>910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元（含税），共</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920"/>
        </w:sectPr>
      </w:pPr>
    </w:p>
    <w:p>
      <w:pPr>
        <w:spacing w:line="240" w:lineRule="auto" w:before="12"/>
        <w:rPr>
          <w:rFonts w:ascii="宋体" w:hAnsi="宋体" w:cs="宋体" w:eastAsia="宋体" w:hint="default"/>
          <w:sz w:val="28"/>
          <w:szCs w:val="28"/>
        </w:rPr>
      </w:pPr>
    </w:p>
    <w:p>
      <w:pPr>
        <w:spacing w:line="674" w:lineRule="exact"/>
        <w:ind w:left="11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10101">
            <w10:anchorlock/>
            <v:textbox inset="0,0,0,0">
              <w:txbxContent>
                <w:p>
                  <w:pPr>
                    <w:spacing w:before="10"/>
                    <w:ind w:left="22" w:right="0" w:firstLine="0"/>
                    <w:jc w:val="left"/>
                    <w:rPr>
                      <w:rFonts w:ascii="宋体" w:hAnsi="宋体" w:cs="宋体" w:eastAsia="宋体" w:hint="default"/>
                      <w:sz w:val="18"/>
                      <w:szCs w:val="18"/>
                    </w:rPr>
                  </w:pPr>
                  <w:r>
                    <w:rPr>
                      <w:rFonts w:ascii="宋体" w:hAnsi="宋体" w:cs="宋体" w:eastAsia="宋体" w:hint="default"/>
                      <w:sz w:val="18"/>
                      <w:szCs w:val="18"/>
                    </w:rPr>
                    <w:t>计现金分红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8,445,500.00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元。剩余未分配利润</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223,496,951.95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元转入下一年度。本利润分配预案符合公司章程及国家有关</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法律法规的规定。本利润分配预案经公司第二届董事会第十五次会议审议通过，还需提交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xbxContent>
            </v:textbox>
          </v:shape>
        </w:pict>
      </w:r>
      <w:r>
        <w:rPr>
          <w:rFonts w:ascii="宋体" w:hAnsi="宋体" w:cs="宋体" w:eastAsia="宋体" w:hint="default"/>
          <w:position w:val="-12"/>
          <w:sz w:val="20"/>
          <w:szCs w:val="20"/>
        </w:rPr>
      </w:r>
    </w:p>
    <w:p>
      <w:pPr>
        <w:spacing w:before="55"/>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Heading3"/>
        <w:spacing w:line="312" w:lineRule="exact" w:before="84"/>
        <w:ind w:left="114" w:right="111" w:firstLine="360"/>
        <w:jc w:val="both"/>
      </w:pPr>
      <w:r>
        <w:rPr>
          <w:rFonts w:ascii="Times New Roman" w:hAnsi="Times New Roman" w:cs="Times New Roman" w:eastAsia="Times New Roman" w:hint="default"/>
        </w:rPr>
        <w:t>2010</w:t>
      </w:r>
      <w:r>
        <w:rPr/>
        <w:t>年度，公司未进行利润分配；</w:t>
      </w:r>
      <w:r>
        <w:rPr>
          <w:rFonts w:ascii="Times New Roman" w:hAnsi="Times New Roman" w:cs="Times New Roman" w:eastAsia="Times New Roman" w:hint="default"/>
        </w:rPr>
        <w:t>2011</w:t>
      </w:r>
      <w:r>
        <w:rPr/>
        <w:t>年度，公司以公司总股本</w:t>
      </w:r>
      <w:r>
        <w:rPr>
          <w:rFonts w:ascii="Times New Roman" w:hAnsi="Times New Roman" w:cs="Times New Roman" w:eastAsia="Times New Roman" w:hint="default"/>
        </w:rPr>
        <w:t>16891</w:t>
      </w:r>
      <w:r>
        <w:rPr/>
        <w:t>万股为基数，每</w:t>
      </w:r>
      <w:r>
        <w:rPr>
          <w:rFonts w:ascii="Times New Roman" w:hAnsi="Times New Roman" w:cs="Times New Roman" w:eastAsia="Times New Roman" w:hint="default"/>
        </w:rPr>
        <w:t>10 </w:t>
      </w:r>
      <w:r>
        <w:rPr/>
        <w:t>股派</w:t>
      </w:r>
      <w:r>
        <w:rPr>
          <w:rFonts w:ascii="Times New Roman" w:hAnsi="Times New Roman" w:cs="Times New Roman" w:eastAsia="Times New Roman" w:hint="default"/>
        </w:rPr>
        <w:t>1.00</w:t>
      </w:r>
      <w:r>
        <w:rPr/>
        <w:t>元现金（含税），分配方案于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w:t>
      </w:r>
      <w:r>
        <w:rPr>
          <w:rFonts w:ascii="Times New Roman" w:hAnsi="Times New Roman" w:cs="Times New Roman" w:eastAsia="Times New Roman" w:hint="default"/>
        </w:rPr>
        <w:t>2012</w:t>
      </w:r>
      <w:r>
        <w:rPr/>
        <w:t>年度，公司第二届董事 </w:t>
      </w:r>
      <w:r>
        <w:rPr>
          <w:spacing w:val="-1"/>
        </w:rPr>
        <w:t>会第十五次会议审议通过利润分配预案为以公司总股本</w:t>
      </w:r>
      <w:r>
        <w:rPr>
          <w:rFonts w:ascii="Times New Roman" w:hAnsi="Times New Roman" w:cs="Times New Roman" w:eastAsia="Times New Roman" w:hint="default"/>
          <w:spacing w:val="-1"/>
        </w:rPr>
        <w:t>16891</w:t>
      </w:r>
      <w:r>
        <w:rPr>
          <w:spacing w:val="-1"/>
        </w:rPr>
        <w:t>万股为基数，每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0.50</w:t>
      </w:r>
      <w:r>
        <w:rPr>
          <w:spacing w:val="-1"/>
        </w:rPr>
        <w:t>元现</w:t>
      </w:r>
      <w:r>
        <w:rPr>
          <w:spacing w:val="-96"/>
        </w:rPr>
        <w:t> </w:t>
      </w:r>
      <w:r>
        <w:rPr/>
        <w:t>金（含税），该议案需提请公司</w:t>
      </w:r>
      <w:r>
        <w:rPr>
          <w:rFonts w:ascii="Times New Roman" w:hAnsi="Times New Roman" w:cs="Times New Roman" w:eastAsia="Times New Roman" w:hint="default"/>
        </w:rPr>
        <w:t>2012</w:t>
      </w:r>
      <w:r>
        <w:rPr/>
        <w:t>年度股东大会审议通过后予以实施。</w:t>
      </w:r>
    </w:p>
    <w:p>
      <w:pPr>
        <w:spacing w:line="240" w:lineRule="auto" w:before="12"/>
        <w:rPr>
          <w:rFonts w:ascii="宋体" w:hAnsi="宋体" w:cs="宋体" w:eastAsia="宋体" w:hint="default"/>
          <w:sz w:val="27"/>
          <w:szCs w:val="27"/>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6" w:right="36" w:firstLine="7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8,445,500.00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31,616,376.29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26.71%</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16,891,000.00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84,792,102.62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19.92%</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79,291,344.69</w:t>
            </w:r>
          </w:p>
        </w:tc>
        <w:tc>
          <w:tcPr>
            <w:tcW w:w="2393"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612" w:lineRule="exact" w:before="106"/>
        <w:ind w:left="594" w:right="157" w:hanging="480"/>
        <w:jc w:val="left"/>
        <w:rPr>
          <w:rFonts w:ascii="宋体" w:hAnsi="宋体" w:cs="宋体" w:eastAsia="宋体" w:hint="default"/>
          <w:sz w:val="24"/>
          <w:szCs w:val="24"/>
        </w:rPr>
      </w:pPr>
      <w:r>
        <w:rPr>
          <w:rFonts w:ascii="宋体" w:hAnsi="宋体" w:cs="宋体" w:eastAsia="宋体" w:hint="default"/>
          <w:b/>
          <w:bCs/>
          <w:sz w:val="24"/>
          <w:szCs w:val="24"/>
        </w:rPr>
        <w:t>十四、社会责任情况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报告期内，公司秉承</w:t>
      </w:r>
      <w:r>
        <w:rPr>
          <w:rFonts w:ascii="Times New Roman" w:hAnsi="Times New Roman" w:cs="Times New Roman" w:eastAsia="Times New Roman" w:hint="default"/>
          <w:sz w:val="24"/>
          <w:szCs w:val="24"/>
        </w:rPr>
        <w:t>“</w:t>
      </w:r>
      <w:r>
        <w:rPr>
          <w:rFonts w:ascii="宋体" w:hAnsi="宋体" w:cs="宋体" w:eastAsia="宋体" w:hint="default"/>
          <w:sz w:val="24"/>
          <w:szCs w:val="24"/>
        </w:rPr>
        <w:t>责任、忠诚、感恩</w:t>
      </w:r>
      <w:r>
        <w:rPr>
          <w:rFonts w:ascii="Times New Roman" w:hAnsi="Times New Roman" w:cs="Times New Roman" w:eastAsia="Times New Roman" w:hint="default"/>
          <w:sz w:val="24"/>
          <w:szCs w:val="24"/>
        </w:rPr>
        <w:t>”</w:t>
      </w:r>
      <w:r>
        <w:rPr>
          <w:rFonts w:ascii="宋体" w:hAnsi="宋体" w:cs="宋体" w:eastAsia="宋体" w:hint="default"/>
          <w:sz w:val="24"/>
          <w:szCs w:val="24"/>
        </w:rPr>
        <w:t>的核心价值观，坚持贯彻落实科学发展观，致</w:t>
      </w:r>
    </w:p>
    <w:p>
      <w:pPr>
        <w:pStyle w:val="Heading3"/>
        <w:spacing w:line="222" w:lineRule="exact"/>
        <w:ind w:right="105"/>
        <w:jc w:val="left"/>
      </w:pPr>
      <w:r>
        <w:rPr/>
        <w:t>力于履行企业社会责任，认真履行对股东、员工等方面应尽的责任和义务，努力为社会公益</w:t>
      </w:r>
    </w:p>
    <w:p>
      <w:pPr>
        <w:spacing w:line="312" w:lineRule="exact" w:before="29"/>
        <w:ind w:left="593" w:right="131" w:hanging="480"/>
        <w:jc w:val="left"/>
        <w:rPr>
          <w:rFonts w:ascii="宋体" w:hAnsi="宋体" w:cs="宋体" w:eastAsia="宋体" w:hint="default"/>
          <w:sz w:val="24"/>
          <w:szCs w:val="24"/>
        </w:rPr>
      </w:pPr>
      <w:r>
        <w:rPr>
          <w:rFonts w:ascii="宋体" w:hAnsi="宋体" w:cs="宋体" w:eastAsia="宋体" w:hint="default"/>
          <w:sz w:val="24"/>
          <w:szCs w:val="24"/>
        </w:rPr>
        <w:t>事业做出力所能及的贡献，促进公司与社会、自然的协调、和谐发展。 公司始终把为社会创造繁荣作为应当承担社会责任的一项承诺，以自身发展影响和带动</w:t>
      </w:r>
    </w:p>
    <w:p>
      <w:pPr>
        <w:spacing w:line="312" w:lineRule="exact" w:before="1"/>
        <w:ind w:left="113" w:right="148" w:firstLine="0"/>
        <w:jc w:val="both"/>
        <w:rPr>
          <w:rFonts w:ascii="宋体" w:hAnsi="宋体" w:cs="宋体" w:eastAsia="宋体" w:hint="default"/>
          <w:sz w:val="24"/>
          <w:szCs w:val="24"/>
        </w:rPr>
      </w:pPr>
      <w:r>
        <w:rPr>
          <w:rFonts w:ascii="宋体" w:hAnsi="宋体" w:cs="宋体" w:eastAsia="宋体" w:hint="default"/>
          <w:sz w:val="24"/>
          <w:szCs w:val="24"/>
        </w:rPr>
        <w:t>地方经济的振兴。充分尊重供应商、员工和顾客等其他利益相关者的合法权益，在经济活动 中坚持诚实守信、公平公正的原则，树立良好的企业形象，积极回报投资者，促进公司能够 平稳持续地健康发展。同时，与客户建立良好关系，为客户提供合格产品，完善售后服务， 实现共赢。</w:t>
      </w:r>
    </w:p>
    <w:p>
      <w:pPr>
        <w:spacing w:line="312" w:lineRule="exact" w:before="0"/>
        <w:ind w:left="113" w:right="148" w:firstLine="480"/>
        <w:jc w:val="both"/>
        <w:rPr>
          <w:rFonts w:ascii="宋体" w:hAnsi="宋体" w:cs="宋体" w:eastAsia="宋体" w:hint="default"/>
          <w:sz w:val="24"/>
          <w:szCs w:val="24"/>
        </w:rPr>
      </w:pPr>
      <w:r>
        <w:rPr>
          <w:rFonts w:ascii="宋体" w:hAnsi="宋体" w:cs="宋体" w:eastAsia="宋体" w:hint="default"/>
          <w:sz w:val="24"/>
          <w:szCs w:val="24"/>
        </w:rPr>
        <w:t>公司在追求经济效益的同时注重环境保护和节能降耗，把建设资源节约型和环境友好型 企业作为可持续发展战略的重要内容，在节能降耗的同时不断改善周边社区生活环境，获浙 江省绿色企业称号。</w:t>
      </w:r>
    </w:p>
    <w:p>
      <w:pPr>
        <w:spacing w:line="312" w:lineRule="exact" w:before="0"/>
        <w:ind w:left="113" w:right="148" w:firstLine="480"/>
        <w:jc w:val="both"/>
        <w:rPr>
          <w:rFonts w:ascii="宋体" w:hAnsi="宋体" w:cs="宋体" w:eastAsia="宋体" w:hint="default"/>
          <w:sz w:val="24"/>
          <w:szCs w:val="24"/>
        </w:rPr>
      </w:pPr>
      <w:r>
        <w:rPr>
          <w:rFonts w:ascii="宋体" w:hAnsi="宋体" w:cs="宋体" w:eastAsia="宋体" w:hint="default"/>
          <w:sz w:val="24"/>
          <w:szCs w:val="24"/>
        </w:rPr>
        <w:t>公司始终坚持以人为本的核心价值观，积极提供就业岗位，规范用工制度。关心员工的 工作、生活、健康、安全，切实保护员工的各项权益，为员工提供良好的培训和晋升渠道， 组织多种文娱活动，丰富员工业余生活，提升企业的凝聚力，实现员工与企业的共同成长。</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spacing w:before="0"/>
        <w:ind w:left="113" w:right="105" w:firstLine="0"/>
        <w:jc w:val="left"/>
        <w:rPr>
          <w:rFonts w:ascii="宋体" w:hAnsi="宋体" w:cs="宋体" w:eastAsia="宋体" w:hint="default"/>
          <w:sz w:val="24"/>
          <w:szCs w:val="24"/>
        </w:rPr>
      </w:pPr>
      <w:r>
        <w:rPr>
          <w:rFonts w:ascii="宋体" w:hAnsi="宋体" w:cs="宋体" w:eastAsia="宋体" w:hint="default"/>
          <w:b/>
          <w:bCs/>
          <w:sz w:val="24"/>
          <w:szCs w:val="24"/>
        </w:rPr>
        <w:t>十五、报告期内接待调研、沟通、采访等活动登记表</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714" w:hRule="exact"/>
        </w:trPr>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57" w:right="48"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516" w:right="515"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line="348" w:lineRule="auto" w:before="0"/>
        <w:ind w:left="114" w:right="6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本年度公司无重大诉讼、仲裁事项。 媒体质疑情况</w:t>
      </w:r>
    </w:p>
    <w:p>
      <w:pPr>
        <w:spacing w:line="338" w:lineRule="auto" w:before="35"/>
        <w:ind w:left="114" w:right="73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本年度公司无媒体质疑事项。</w:t>
      </w:r>
    </w:p>
    <w:p>
      <w:pPr>
        <w:spacing w:line="240" w:lineRule="auto" w:before="7"/>
        <w:rPr>
          <w:rFonts w:ascii="宋体" w:hAnsi="宋体" w:cs="宋体" w:eastAsia="宋体" w:hint="default"/>
          <w:sz w:val="19"/>
          <w:szCs w:val="19"/>
        </w:rPr>
      </w:pPr>
    </w:p>
    <w:p>
      <w:pPr>
        <w:pStyle w:val="Heading2"/>
        <w:spacing w:line="240" w:lineRule="auto" w:before="0"/>
        <w:ind w:right="105"/>
        <w:jc w:val="left"/>
        <w:rPr>
          <w:b w:val="0"/>
          <w:bCs w:val="0"/>
        </w:rPr>
      </w:pPr>
      <w:r>
        <w:rPr/>
        <w:t>二、上市公司发生控股股东及其关联方非经营性占用资金情况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0" w:right="117" w:firstLine="0"/>
        <w:jc w:val="right"/>
        <w:rPr>
          <w:rFonts w:ascii="宋体" w:hAnsi="宋体" w:cs="宋体" w:eastAsia="宋体" w:hint="default"/>
          <w:sz w:val="18"/>
          <w:szCs w:val="18"/>
        </w:rPr>
      </w:pPr>
      <w:r>
        <w:rPr/>
        <w:pict>
          <v:shape style="position:absolute;margin-left:56.459999pt;margin-top:-352.865784pt;width:479.25pt;height:456.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6"/>
                  </w:tblGrid>
                  <w:tr>
                    <w:trPr>
                      <w:trHeight w:val="1026"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2"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56" w:hRule="exact"/>
                    </w:trPr>
                    <w:tc>
                      <w:tcPr>
                        <w:tcW w:w="95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浙江宏磊控</w:t>
                        </w:r>
                      </w:p>
                    </w:tc>
                    <w:tc>
                      <w:tcPr>
                        <w:tcW w:w="958"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r>
                  <w:tr>
                    <w:trPr>
                      <w:trHeight w:val="316" w:hRule="exact"/>
                    </w:trPr>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股集团有限</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2012.12</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47,442.19</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47,442.19</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47,442.19</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426"/>
                          <w:jc w:val="right"/>
                          <w:rPr>
                            <w:rFonts w:ascii="Times New Roman" w:hAnsi="Times New Roman" w:cs="Times New Roman" w:eastAsia="Times New Roman" w:hint="default"/>
                            <w:sz w:val="18"/>
                            <w:szCs w:val="18"/>
                          </w:rPr>
                        </w:pPr>
                        <w:r>
                          <w:rPr>
                            <w:rFonts w:ascii="Times New Roman"/>
                            <w:sz w:val="18"/>
                          </w:rPr>
                          <w:t>2013.5</w:t>
                        </w:r>
                      </w:p>
                    </w:tc>
                  </w:tr>
                  <w:tr>
                    <w:trPr>
                      <w:trHeight w:val="353" w:hRule="exact"/>
                    </w:trPr>
                    <w:tc>
                      <w:tcPr>
                        <w:tcW w:w="95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287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47,442.19</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47,442.19</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41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7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7" w:type="dxa"/>
                        <w:gridSpan w:val="7"/>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48.11%</w:t>
                        </w:r>
                      </w:p>
                    </w:tc>
                  </w:tr>
                  <w:tr>
                    <w:trPr>
                      <w:trHeight w:val="714" w:hRule="exact"/>
                    </w:trPr>
                    <w:tc>
                      <w:tcPr>
                        <w:tcW w:w="287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697" w:type="dxa"/>
                        <w:gridSpan w:val="7"/>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经公司二届十五次董事会、二届十一次监事会审议通过，尚需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 议。</w:t>
                        </w:r>
                      </w:p>
                    </w:tc>
                  </w:tr>
                  <w:tr>
                    <w:trPr>
                      <w:trHeight w:val="381" w:hRule="exact"/>
                    </w:trPr>
                    <w:tc>
                      <w:tcPr>
                        <w:tcW w:w="2873" w:type="dxa"/>
                        <w:gridSpan w:val="3"/>
                        <w:tcBorders>
                          <w:top w:val="single" w:sz="4" w:space="0" w:color="010101"/>
                          <w:left w:val="single" w:sz="4" w:space="0" w:color="010101"/>
                          <w:bottom w:val="nil" w:sz="6" w:space="0" w:color="auto"/>
                          <w:right w:val="single" w:sz="4" w:space="0" w:color="010101"/>
                        </w:tcBorders>
                        <w:shd w:val="clear" w:color="auto" w:fill="D3D3D3"/>
                      </w:tcPr>
                      <w:p>
                        <w:pPr/>
                      </w:p>
                    </w:tc>
                    <w:tc>
                      <w:tcPr>
                        <w:tcW w:w="6697" w:type="dxa"/>
                        <w:gridSpan w:val="7"/>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、非标准无保留审计意见涉及事项的基本情况</w:t>
                        </w:r>
                      </w:p>
                    </w:tc>
                  </w:tr>
                  <w:tr>
                    <w:trPr>
                      <w:trHeight w:val="327"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在外需疲软、内需不足及国家稳健货币政策的经济大环境下，区域民营企业间互保圈</w:t>
                        </w:r>
                      </w:p>
                    </w:tc>
                  </w:tr>
                  <w:tr>
                    <w:trPr>
                      <w:trHeight w:val="31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信贷危机爆发，使得公司关联方浙江宏磊控股集团有限公司及其子公司（以下简称宏</w:t>
                        </w:r>
                      </w:p>
                    </w:tc>
                  </w:tr>
                  <w:tr>
                    <w:trPr>
                      <w:trHeight w:val="316"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磊控股及子公司）资金面承受巨大压力。主要为：</w:t>
                        </w:r>
                        <w:r>
                          <w:rPr>
                            <w:rFonts w:ascii="Times New Roman" w:hAnsi="Times New Roman" w:cs="Times New Roman" w:eastAsia="Times New Roman" w:hint="default"/>
                            <w:sz w:val="18"/>
                            <w:szCs w:val="18"/>
                          </w:rPr>
                          <w:t>1.</w:t>
                        </w:r>
                        <w:r>
                          <w:rPr>
                            <w:rFonts w:ascii="宋体" w:hAnsi="宋体" w:cs="宋体" w:eastAsia="宋体" w:hint="default"/>
                            <w:sz w:val="18"/>
                            <w:szCs w:val="18"/>
                          </w:rPr>
                          <w:t>曾为公司银行融资提供担保的达</w:t>
                        </w:r>
                      </w:p>
                    </w:tc>
                  </w:tr>
                  <w:tr>
                    <w:trPr>
                      <w:trHeight w:val="308"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亨控股集团有限公司、浙江省凯翔集团有限公司等公司，同时由关联方宏磊控股及子</w:t>
                        </w:r>
                      </w:p>
                    </w:tc>
                  </w:tr>
                  <w:tr>
                    <w:trPr>
                      <w:trHeight w:val="316"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公司为其提供反担保，随着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年度达亨控股集团有限公司、浙江省凯翔集团有限</w:t>
                        </w:r>
                      </w:p>
                    </w:tc>
                  </w:tr>
                  <w:tr>
                    <w:trPr>
                      <w:trHeight w:val="249"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公司等公司资金链断裂，导致宏磊控股及子公司为该等公司代偿连带责任的银行债务</w:t>
                        </w:r>
                      </w:p>
                    </w:tc>
                  </w:tr>
                  <w:tr>
                    <w:trPr>
                      <w:trHeight w:val="316"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w:t>
                        </w: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w:t>
                        </w:r>
                        <w:r>
                          <w:rPr>
                            <w:rFonts w:ascii="宋体" w:hAnsi="宋体" w:cs="宋体" w:eastAsia="宋体" w:hint="default"/>
                            <w:sz w:val="18"/>
                            <w:szCs w:val="18"/>
                          </w:rPr>
                          <w:t>受该类事件影响，相关银行收紧了对外的信贷融资额度，宏磊控股及子</w:t>
                        </w:r>
                      </w:p>
                    </w:tc>
                  </w:tr>
                  <w:tr>
                    <w:trPr>
                      <w:trHeight w:val="31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营性资金占用情况的原因、责任人追</w:t>
                        </w: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公司受到直接影响；</w:t>
                        </w:r>
                        <w:r>
                          <w:rPr>
                            <w:rFonts w:ascii="Times New Roman" w:hAnsi="Times New Roman" w:cs="Times New Roman" w:eastAsia="Times New Roman" w:hint="default"/>
                            <w:sz w:val="18"/>
                            <w:szCs w:val="18"/>
                          </w:rPr>
                          <w:t>3.</w:t>
                        </w:r>
                        <w:r>
                          <w:rPr>
                            <w:rFonts w:ascii="宋体" w:hAnsi="宋体" w:cs="宋体" w:eastAsia="宋体" w:hint="default"/>
                            <w:sz w:val="18"/>
                            <w:szCs w:val="18"/>
                          </w:rPr>
                          <w:t>宏磊控股及子公司所经营的房地产开发业务亦受到宏观调控的</w:t>
                        </w:r>
                      </w:p>
                    </w:tc>
                  </w:tr>
                  <w:tr>
                    <w:trPr>
                      <w:trHeight w:val="308"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z w:val="18"/>
                            <w:szCs w:val="18"/>
                          </w:rPr>
                          <w:t>究及董事会拟定采取措施的情况说</w:t>
                        </w: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持续影响，资金面吃紧。为解关联企业资金上的燃眉之急，公司收到的大部分应收票</w:t>
                        </w:r>
                      </w:p>
                    </w:tc>
                  </w:tr>
                  <w:tr>
                    <w:trPr>
                      <w:trHeight w:val="375"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据被上述关联企业使用，截至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日，上述关联方领用应收票据</w:t>
                        </w:r>
                      </w:p>
                    </w:tc>
                  </w:tr>
                  <w:tr>
                    <w:trPr>
                      <w:trHeight w:val="33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463,215,650.54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元，计提相应资金使用利息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11,206,282.62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元，共计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474,421,933.16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353"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、该事项对上市公司的影响程度</w:t>
                        </w:r>
                      </w:p>
                    </w:tc>
                  </w:tr>
                  <w:tr>
                    <w:trPr>
                      <w:trHeight w:val="35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上述强调事项段中涉及事项对宏磊股份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年度财务状况及经营成果无重大影响。</w:t>
                        </w:r>
                      </w:p>
                    </w:tc>
                  </w:tr>
                  <w:tr>
                    <w:trPr>
                      <w:trHeight w:val="35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、公司关联方资金占用问题解决的方案</w:t>
                        </w:r>
                      </w:p>
                    </w:tc>
                  </w:tr>
                  <w:tr>
                    <w:trPr>
                      <w:trHeight w:val="332" w:hRule="exact"/>
                    </w:trPr>
                    <w:tc>
                      <w:tcPr>
                        <w:tcW w:w="2873" w:type="dxa"/>
                        <w:gridSpan w:val="3"/>
                        <w:tcBorders>
                          <w:top w:val="nil" w:sz="6" w:space="0" w:color="auto"/>
                          <w:left w:val="single" w:sz="4" w:space="0" w:color="010101"/>
                          <w:bottom w:val="nil" w:sz="6" w:space="0" w:color="auto"/>
                          <w:right w:val="single" w:sz="4" w:space="0" w:color="010101"/>
                        </w:tcBorders>
                        <w:shd w:val="clear" w:color="auto" w:fill="D3D3D3"/>
                      </w:tcPr>
                      <w:p>
                        <w:pPr/>
                      </w:p>
                    </w:tc>
                    <w:tc>
                      <w:tcPr>
                        <w:tcW w:w="6697" w:type="dxa"/>
                        <w:gridSpan w:val="7"/>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根据宏磊控股所出具的承诺函：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公司目前正努力筹措资金，积极通过向银行等金融</w:t>
                        </w:r>
                      </w:p>
                    </w:tc>
                  </w:tr>
                  <w:tr>
                    <w:trPr>
                      <w:trHeight w:val="314" w:hRule="exact"/>
                    </w:trPr>
                    <w:tc>
                      <w:tcPr>
                        <w:tcW w:w="2873" w:type="dxa"/>
                        <w:gridSpan w:val="3"/>
                        <w:tcBorders>
                          <w:top w:val="nil" w:sz="6" w:space="0" w:color="auto"/>
                          <w:left w:val="single" w:sz="4" w:space="0" w:color="010101"/>
                          <w:bottom w:val="single" w:sz="4" w:space="0" w:color="010101"/>
                          <w:right w:val="single" w:sz="4" w:space="0" w:color="010101"/>
                        </w:tcBorders>
                        <w:shd w:val="clear" w:color="auto" w:fill="D3D3D3"/>
                      </w:tcPr>
                      <w:p>
                        <w:pPr/>
                      </w:p>
                    </w:tc>
                    <w:tc>
                      <w:tcPr>
                        <w:tcW w:w="6697" w:type="dxa"/>
                        <w:gridSpan w:val="7"/>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机构筹资以及处置股权、实物资产和土地等资产盘活资金，在一个月内还清资金占用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73"/>
        <w:gridCol w:w="6697"/>
      </w:tblGrid>
      <w:tr>
        <w:trPr>
          <w:trHeight w:val="341" w:hRule="exact"/>
        </w:trPr>
        <w:tc>
          <w:tcPr>
            <w:tcW w:w="2873" w:type="dxa"/>
            <w:vMerge w:val="restart"/>
            <w:tcBorders>
              <w:top w:val="single" w:sz="4" w:space="0" w:color="010101"/>
              <w:left w:val="single" w:sz="4" w:space="0" w:color="010101"/>
              <w:right w:val="single" w:sz="4" w:space="0" w:color="010101"/>
            </w:tcBorders>
            <w:shd w:val="clear" w:color="auto" w:fill="D3D3D3"/>
          </w:tcPr>
          <w:p>
            <w:pPr/>
          </w:p>
        </w:tc>
        <w:tc>
          <w:tcPr>
            <w:tcW w:w="669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公司董事会特拟定关于公司关联方资金占用问题解决的方案。具体如下：</w:t>
            </w:r>
          </w:p>
        </w:tc>
      </w:tr>
      <w:tr>
        <w:trPr>
          <w:trHeight w:val="352"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日前，以现金方式收回资金占用余款及资金使用期间所有利息。</w:t>
            </w:r>
          </w:p>
        </w:tc>
      </w:tr>
      <w:tr>
        <w:trPr>
          <w:trHeight w:val="352"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、董事会对资金占用情况及解决方案的意见</w:t>
            </w:r>
          </w:p>
        </w:tc>
      </w:tr>
      <w:tr>
        <w:trPr>
          <w:trHeight w:val="332"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
                <w:sz w:val="18"/>
                <w:szCs w:val="18"/>
              </w:rPr>
              <w:t>）</w:t>
            </w:r>
            <w:r>
              <w:rPr>
                <w:rFonts w:ascii="宋体" w:hAnsi="宋体" w:cs="宋体" w:eastAsia="宋体" w:hint="default"/>
                <w:sz w:val="18"/>
                <w:szCs w:val="18"/>
              </w:rPr>
              <w:t>鉴于公司关联方已向公司出</w:t>
            </w:r>
            <w:r>
              <w:rPr>
                <w:rFonts w:ascii="宋体" w:hAnsi="宋体" w:cs="宋体" w:eastAsia="宋体" w:hint="default"/>
                <w:spacing w:val="-6"/>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董事会认为关联方宏磊控股提出在一</w:t>
            </w:r>
          </w:p>
        </w:tc>
      </w:tr>
      <w:tr>
        <w:trPr>
          <w:trHeight w:val="327"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个月内还清资金占用款的方案是可行的。</w:t>
            </w:r>
          </w:p>
        </w:tc>
      </w:tr>
      <w:tr>
        <w:trPr>
          <w:trHeight w:val="336"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）董事会认为公司关联方占用公司资金情况不构成《深圳证券交易所股票上市规</w:t>
            </w:r>
          </w:p>
        </w:tc>
      </w:tr>
      <w:tr>
        <w:trPr>
          <w:trHeight w:val="332" w:hRule="exact"/>
        </w:trPr>
        <w:tc>
          <w:tcPr>
            <w:tcW w:w="2873" w:type="dxa"/>
            <w:vMerge/>
            <w:tcBorders>
              <w:left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则》第十三章《风险警示》</w:t>
            </w:r>
            <w:r>
              <w:rPr>
                <w:rFonts w:ascii="Times New Roman" w:hAnsi="Times New Roman" w:cs="Times New Roman" w:eastAsia="Times New Roman" w:hint="default"/>
                <w:sz w:val="18"/>
                <w:szCs w:val="18"/>
              </w:rPr>
              <w:t>13.3.1/13.3.2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条款中有关情形。</w:t>
            </w:r>
          </w:p>
        </w:tc>
      </w:tr>
      <w:tr>
        <w:trPr>
          <w:trHeight w:val="726" w:hRule="exact"/>
        </w:trPr>
        <w:tc>
          <w:tcPr>
            <w:tcW w:w="2873" w:type="dxa"/>
            <w:vMerge/>
            <w:tcBorders>
              <w:left w:val="single" w:sz="4" w:space="0" w:color="010101"/>
              <w:bottom w:val="single" w:sz="4" w:space="0" w:color="010101"/>
              <w:right w:val="single" w:sz="4" w:space="0" w:color="010101"/>
            </w:tcBorders>
            <w:shd w:val="clear" w:color="auto" w:fill="D3D3D3"/>
          </w:tcPr>
          <w:p>
            <w:pPr/>
          </w:p>
        </w:tc>
        <w:tc>
          <w:tcPr>
            <w:tcW w:w="669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）董事会认为不用实行其他风险警示。</w:t>
            </w:r>
          </w:p>
        </w:tc>
      </w:tr>
      <w:tr>
        <w:trPr>
          <w:trHeight w:val="714" w:hRule="exact"/>
        </w:trPr>
        <w:tc>
          <w:tcPr>
            <w:tcW w:w="28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1" w:hRule="exact"/>
        </w:trPr>
        <w:tc>
          <w:tcPr>
            <w:tcW w:w="287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w:t>
            </w:r>
          </w:p>
        </w:tc>
        <w:tc>
          <w:tcPr>
            <w:tcW w:w="669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4"/>
                <w:sz w:val="18"/>
                <w:szCs w:val="18"/>
              </w:rPr>
              <w:t>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上的《关于控股股东及其他关联方占用资金情</w:t>
            </w:r>
          </w:p>
        </w:tc>
      </w:tr>
      <w:tr>
        <w:trPr>
          <w:trHeight w:val="353" w:hRule="exact"/>
        </w:trPr>
        <w:tc>
          <w:tcPr>
            <w:tcW w:w="287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意见的披露索引</w:t>
            </w:r>
          </w:p>
        </w:tc>
        <w:tc>
          <w:tcPr>
            <w:tcW w:w="669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况的专项审计说明》</w:t>
            </w:r>
          </w:p>
        </w:tc>
      </w:tr>
    </w:tbl>
    <w:p>
      <w:pPr>
        <w:spacing w:line="240" w:lineRule="auto" w:before="1"/>
        <w:rPr>
          <w:rFonts w:ascii="宋体" w:hAnsi="宋体" w:cs="宋体" w:eastAsia="宋体" w:hint="default"/>
          <w:sz w:val="18"/>
          <w:szCs w:val="18"/>
        </w:rPr>
      </w:pPr>
    </w:p>
    <w:p>
      <w:pPr>
        <w:pStyle w:val="Heading2"/>
        <w:spacing w:line="240" w:lineRule="auto"/>
        <w:ind w:right="105"/>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before="0"/>
        <w:ind w:right="105"/>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pict>
          <v:shape style="position:absolute;margin-left:234.360306pt;margin-top:31.823986pt;width:88.75pt;height:128.9500pt;mso-position-horizontal-relative:page;mso-position-vertical-relative:paragraph;z-index:-8349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50"/>
        <w:gridCol w:w="750"/>
        <w:gridCol w:w="749"/>
        <w:gridCol w:w="748"/>
        <w:gridCol w:w="1216"/>
        <w:gridCol w:w="1121"/>
        <w:gridCol w:w="748"/>
        <w:gridCol w:w="624"/>
        <w:gridCol w:w="874"/>
        <w:gridCol w:w="996"/>
        <w:gridCol w:w="996"/>
      </w:tblGrid>
      <w:tr>
        <w:trPr>
          <w:trHeight w:val="2586" w:hRule="exact"/>
        </w:trPr>
        <w:tc>
          <w:tcPr>
            <w:tcW w:w="7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9" w:right="98"/>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9"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278" w:right="9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2"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7"/>
              <w:ind w:left="61"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104" w:right="104"/>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7"/>
              <w:ind w:left="58" w:right="60"/>
              <w:jc w:val="center"/>
              <w:rPr>
                <w:rFonts w:ascii="宋体" w:hAnsi="宋体" w:cs="宋体" w:eastAsia="宋体" w:hint="default"/>
                <w:sz w:val="18"/>
                <w:szCs w:val="18"/>
              </w:rPr>
            </w:pPr>
            <w:r>
              <w:rPr>
                <w:rFonts w:ascii="宋体" w:hAnsi="宋体" w:cs="宋体" w:eastAsia="宋体" w:hint="default"/>
                <w:spacing w:val="-15"/>
                <w:sz w:val="18"/>
                <w:szCs w:val="18"/>
              </w:rPr>
              <w:t>（万元）（适</w:t>
            </w:r>
            <w:r>
              <w:rPr>
                <w:rFonts w:ascii="宋体" w:hAnsi="宋体" w:cs="宋体" w:eastAsia="宋体" w:hint="default"/>
                <w:sz w:val="18"/>
                <w:szCs w:val="18"/>
              </w:rPr>
              <w:t> 用于同一控 制下的企业 合并）</w:t>
            </w:r>
          </w:p>
        </w:tc>
        <w:tc>
          <w:tcPr>
            <w:tcW w:w="7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98"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37"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24" w:hRule="exact"/>
        </w:trPr>
        <w:tc>
          <w:tcPr>
            <w:tcW w:w="750" w:type="dxa"/>
            <w:tcBorders>
              <w:top w:val="single" w:sz="4" w:space="0" w:color="010101"/>
              <w:left w:val="single" w:sz="4" w:space="0" w:color="010101"/>
              <w:bottom w:val="nil" w:sz="6" w:space="0" w:color="auto"/>
              <w:right w:val="single" w:sz="4" w:space="0" w:color="010101"/>
            </w:tcBorders>
          </w:tcPr>
          <w:p>
            <w:pPr/>
          </w:p>
        </w:tc>
        <w:tc>
          <w:tcPr>
            <w:tcW w:w="750" w:type="dxa"/>
            <w:tcBorders>
              <w:top w:val="single" w:sz="4" w:space="0" w:color="010101"/>
              <w:left w:val="single" w:sz="4" w:space="0" w:color="010101"/>
              <w:bottom w:val="nil" w:sz="6" w:space="0" w:color="auto"/>
              <w:right w:val="single" w:sz="4" w:space="0" w:color="010101"/>
            </w:tcBorders>
          </w:tcPr>
          <w:p>
            <w:pPr/>
          </w:p>
        </w:tc>
        <w:tc>
          <w:tcPr>
            <w:tcW w:w="749" w:type="dxa"/>
            <w:tcBorders>
              <w:top w:val="single" w:sz="4" w:space="0" w:color="010101"/>
              <w:left w:val="single" w:sz="4" w:space="0" w:color="010101"/>
              <w:bottom w:val="nil" w:sz="6" w:space="0" w:color="auto"/>
              <w:right w:val="single" w:sz="4" w:space="0" w:color="010101"/>
            </w:tcBorders>
          </w:tcPr>
          <w:p>
            <w:pPr/>
          </w:p>
        </w:tc>
        <w:tc>
          <w:tcPr>
            <w:tcW w:w="74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right="150"/>
              <w:jc w:val="center"/>
              <w:rPr>
                <w:rFonts w:ascii="宋体" w:hAnsi="宋体" w:cs="宋体" w:eastAsia="宋体" w:hint="default"/>
                <w:sz w:val="18"/>
                <w:szCs w:val="18"/>
              </w:rPr>
            </w:pPr>
            <w:r>
              <w:rPr>
                <w:rFonts w:ascii="宋体" w:hAnsi="宋体" w:cs="宋体" w:eastAsia="宋体" w:hint="default"/>
                <w:sz w:val="18"/>
                <w:szCs w:val="18"/>
              </w:rPr>
              <w:t>该收购</w:t>
            </w:r>
          </w:p>
        </w:tc>
        <w:tc>
          <w:tcPr>
            <w:tcW w:w="1216" w:type="dxa"/>
            <w:tcBorders>
              <w:top w:val="single" w:sz="4" w:space="0" w:color="010101"/>
              <w:left w:val="single" w:sz="4" w:space="0" w:color="010101"/>
              <w:bottom w:val="nil" w:sz="6" w:space="0" w:color="auto"/>
              <w:right w:val="single" w:sz="4" w:space="0" w:color="010101"/>
            </w:tcBorders>
          </w:tcPr>
          <w:p>
            <w:pPr/>
          </w:p>
        </w:tc>
        <w:tc>
          <w:tcPr>
            <w:tcW w:w="1121" w:type="dxa"/>
            <w:tcBorders>
              <w:top w:val="single" w:sz="4" w:space="0" w:color="010101"/>
              <w:left w:val="single" w:sz="4" w:space="0" w:color="010101"/>
              <w:bottom w:val="nil" w:sz="6" w:space="0" w:color="auto"/>
              <w:right w:val="single" w:sz="4" w:space="0" w:color="010101"/>
            </w:tcBorders>
          </w:tcPr>
          <w:p>
            <w:pPr/>
          </w:p>
        </w:tc>
        <w:tc>
          <w:tcPr>
            <w:tcW w:w="748" w:type="dxa"/>
            <w:tcBorders>
              <w:top w:val="single" w:sz="4" w:space="0" w:color="010101"/>
              <w:left w:val="single" w:sz="4" w:space="0" w:color="010101"/>
              <w:bottom w:val="nil" w:sz="6" w:space="0" w:color="auto"/>
              <w:right w:val="single" w:sz="4" w:space="0" w:color="010101"/>
            </w:tcBorders>
          </w:tcPr>
          <w:p>
            <w:pPr/>
          </w:p>
        </w:tc>
        <w:tc>
          <w:tcPr>
            <w:tcW w:w="624" w:type="dxa"/>
            <w:tcBorders>
              <w:top w:val="single" w:sz="4" w:space="0" w:color="010101"/>
              <w:left w:val="single" w:sz="4" w:space="0" w:color="010101"/>
              <w:bottom w:val="nil" w:sz="6" w:space="0" w:color="auto"/>
              <w:right w:val="single" w:sz="4" w:space="0" w:color="010101"/>
            </w:tcBorders>
          </w:tcPr>
          <w:p>
            <w:pPr/>
          </w:p>
        </w:tc>
        <w:tc>
          <w:tcPr>
            <w:tcW w:w="874" w:type="dxa"/>
            <w:tcBorders>
              <w:top w:val="single" w:sz="4" w:space="0" w:color="010101"/>
              <w:left w:val="single" w:sz="4" w:space="0" w:color="010101"/>
              <w:bottom w:val="nil" w:sz="6" w:space="0" w:color="auto"/>
              <w:right w:val="single" w:sz="4" w:space="0" w:color="010101"/>
            </w:tcBorders>
          </w:tcPr>
          <w:p>
            <w:pPr/>
          </w:p>
        </w:tc>
        <w:tc>
          <w:tcPr>
            <w:tcW w:w="996" w:type="dxa"/>
            <w:tcBorders>
              <w:top w:val="single" w:sz="4" w:space="0" w:color="010101"/>
              <w:left w:val="single" w:sz="4" w:space="0" w:color="010101"/>
              <w:bottom w:val="nil" w:sz="6" w:space="0" w:color="auto"/>
              <w:right w:val="single" w:sz="4" w:space="0" w:color="010101"/>
            </w:tcBorders>
          </w:tcPr>
          <w:p>
            <w:pPr/>
          </w:p>
        </w:tc>
        <w:tc>
          <w:tcPr>
            <w:tcW w:w="9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详见公司于</w:t>
            </w:r>
          </w:p>
        </w:tc>
      </w:tr>
      <w:tr>
        <w:trPr>
          <w:trHeight w:val="936" w:hRule="exact"/>
        </w:trPr>
        <w:tc>
          <w:tcPr>
            <w:tcW w:w="75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w:t>
            </w:r>
          </w:p>
        </w:tc>
        <w:tc>
          <w:tcPr>
            <w:tcW w:w="75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749"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事项已</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经公司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6" w:type="dxa"/>
            <w:tcBorders>
              <w:top w:val="nil" w:sz="6" w:space="0" w:color="auto"/>
              <w:left w:val="single" w:sz="4" w:space="0" w:color="010101"/>
              <w:bottom w:val="nil" w:sz="6" w:space="0" w:color="auto"/>
              <w:right w:val="single" w:sz="4" w:space="0" w:color="010101"/>
            </w:tcBorders>
          </w:tcPr>
          <w:p>
            <w:pPr/>
          </w:p>
        </w:tc>
        <w:tc>
          <w:tcPr>
            <w:tcW w:w="1121"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
        </w:tc>
        <w:tc>
          <w:tcPr>
            <w:tcW w:w="624" w:type="dxa"/>
            <w:tcBorders>
              <w:top w:val="nil" w:sz="6" w:space="0" w:color="auto"/>
              <w:left w:val="single" w:sz="4" w:space="0" w:color="010101"/>
              <w:bottom w:val="nil" w:sz="6" w:space="0" w:color="auto"/>
              <w:right w:val="single" w:sz="4" w:space="0" w:color="010101"/>
            </w:tcBorders>
          </w:tcPr>
          <w:p>
            <w:pPr/>
          </w:p>
        </w:tc>
        <w:tc>
          <w:tcPr>
            <w:tcW w:w="874"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3"/>
              <w:ind w:left="21"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 资讯网</w:t>
            </w:r>
          </w:p>
        </w:tc>
      </w:tr>
      <w:tr>
        <w:trPr>
          <w:trHeight w:val="1248" w:hRule="exact"/>
        </w:trPr>
        <w:tc>
          <w:tcPr>
            <w:tcW w:w="750" w:type="dxa"/>
            <w:tcBorders>
              <w:top w:val="nil" w:sz="6" w:space="0" w:color="auto"/>
              <w:left w:val="single" w:sz="4" w:space="0" w:color="010101"/>
              <w:bottom w:val="nil" w:sz="6" w:space="0" w:color="auto"/>
              <w:right w:val="single" w:sz="4" w:space="0" w:color="010101"/>
            </w:tcBorders>
          </w:tcPr>
          <w:p>
            <w:pPr>
              <w:pStyle w:val="TableParagraph"/>
              <w:spacing w:line="310" w:lineRule="atLeast" w:before="3"/>
              <w:ind w:left="22" w:right="175"/>
              <w:jc w:val="both"/>
              <w:rPr>
                <w:rFonts w:ascii="宋体" w:hAnsi="宋体" w:cs="宋体" w:eastAsia="宋体" w:hint="default"/>
                <w:sz w:val="18"/>
                <w:szCs w:val="18"/>
              </w:rPr>
            </w:pPr>
            <w:r>
              <w:rPr>
                <w:rFonts w:ascii="宋体" w:hAnsi="宋体" w:cs="宋体" w:eastAsia="宋体" w:hint="default"/>
                <w:sz w:val="18"/>
                <w:szCs w:val="18"/>
              </w:rPr>
              <w:t>磊东南 房地产 开发有 限公司</w:t>
            </w:r>
          </w:p>
        </w:tc>
        <w:tc>
          <w:tcPr>
            <w:tcW w:w="750" w:type="dxa"/>
            <w:tcBorders>
              <w:top w:val="nil" w:sz="6" w:space="0" w:color="auto"/>
              <w:left w:val="single" w:sz="4" w:space="0" w:color="010101"/>
              <w:bottom w:val="nil" w:sz="6" w:space="0" w:color="auto"/>
              <w:right w:val="single" w:sz="4" w:space="0" w:color="010101"/>
            </w:tcBorders>
          </w:tcPr>
          <w:p>
            <w:pPr>
              <w:pStyle w:val="TableParagraph"/>
              <w:spacing w:line="310" w:lineRule="atLeast" w:before="3"/>
              <w:ind w:left="21" w:right="176"/>
              <w:jc w:val="both"/>
              <w:rPr>
                <w:rFonts w:ascii="宋体" w:hAnsi="宋体" w:cs="宋体" w:eastAsia="宋体" w:hint="default"/>
                <w:sz w:val="18"/>
                <w:szCs w:val="18"/>
              </w:rPr>
            </w:pPr>
            <w:r>
              <w:rPr>
                <w:rFonts w:ascii="宋体" w:hAnsi="宋体" w:cs="宋体" w:eastAsia="宋体" w:hint="default"/>
                <w:sz w:val="18"/>
                <w:szCs w:val="18"/>
              </w:rPr>
              <w:t>宏润小 额贷款 有限公 司</w:t>
            </w:r>
          </w:p>
        </w:tc>
        <w:tc>
          <w:tcPr>
            <w:tcW w:w="74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9,576</w:t>
            </w: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第二次</w:t>
            </w:r>
          </w:p>
          <w:p>
            <w:pPr>
              <w:pStyle w:val="TableParagraph"/>
              <w:spacing w:line="316" w:lineRule="auto" w:before="76"/>
              <w:ind w:left="22" w:right="173"/>
              <w:jc w:val="both"/>
              <w:rPr>
                <w:rFonts w:ascii="宋体" w:hAnsi="宋体" w:cs="宋体" w:eastAsia="宋体" w:hint="default"/>
                <w:sz w:val="18"/>
                <w:szCs w:val="18"/>
              </w:rPr>
            </w:pPr>
            <w:r>
              <w:rPr>
                <w:rFonts w:ascii="宋体" w:hAnsi="宋体" w:cs="宋体" w:eastAsia="宋体" w:hint="default"/>
                <w:sz w:val="18"/>
                <w:szCs w:val="18"/>
              </w:rPr>
              <w:t>临时股 东大会 审议通</w:t>
            </w:r>
          </w:p>
        </w:tc>
        <w:tc>
          <w:tcPr>
            <w:tcW w:w="1216"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0%</w:t>
            </w:r>
          </w:p>
        </w:tc>
        <w:tc>
          <w:tcPr>
            <w:tcW w:w="62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nil" w:sz="6" w:space="0" w:color="auto"/>
              <w:left w:val="single" w:sz="4" w:space="0" w:color="010101"/>
              <w:bottom w:val="nil" w:sz="6" w:space="0" w:color="auto"/>
              <w:right w:val="single" w:sz="4" w:space="0" w:color="010101"/>
            </w:tcBorders>
          </w:tcPr>
          <w:p>
            <w:pPr>
              <w:pStyle w:val="TableParagraph"/>
              <w:spacing w:line="316" w:lineRule="auto" w:before="78"/>
              <w:ind w:left="22" w:right="119"/>
              <w:jc w:val="both"/>
              <w:rPr>
                <w:rFonts w:ascii="宋体" w:hAnsi="宋体" w:cs="宋体" w:eastAsia="宋体" w:hint="default"/>
                <w:sz w:val="18"/>
                <w:szCs w:val="18"/>
              </w:rPr>
            </w:pPr>
            <w:r>
              <w:rPr>
                <w:rFonts w:ascii="宋体" w:hAnsi="宋体" w:cs="宋体" w:eastAsia="宋体" w:hint="default"/>
                <w:sz w:val="18"/>
                <w:szCs w:val="18"/>
              </w:rPr>
              <w:t>交易对方 为关联法 人</w:t>
            </w: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326" w:lineRule="auto" w:before="78"/>
              <w:ind w:left="21" w:right="62"/>
              <w:jc w:val="both"/>
              <w:rPr>
                <w:rFonts w:ascii="宋体" w:hAnsi="宋体" w:cs="宋体" w:eastAsia="宋体" w:hint="default"/>
                <w:sz w:val="18"/>
                <w:szCs w:val="18"/>
              </w:rPr>
            </w:pPr>
            <w:r>
              <w:rPr>
                <w:rFonts w:ascii="宋体" w:hAnsi="宋体" w:cs="宋体" w:eastAsia="宋体" w:hint="default"/>
                <w:sz w:val="18"/>
                <w:szCs w:val="18"/>
              </w:rPr>
              <w:t>（</w:t>
            </w:r>
            <w:hyperlink r:id="rId20">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sz w:val="18"/>
                <w:szCs w:val="18"/>
              </w:rPr>
              <w:t> w.cninfo.co m.cn</w:t>
            </w:r>
            <w:r>
              <w:rPr>
                <w:rFonts w:ascii="宋体" w:hAnsi="宋体" w:cs="宋体" w:eastAsia="宋体" w:hint="default"/>
                <w:sz w:val="18"/>
                <w:szCs w:val="18"/>
              </w:rPr>
              <w:t>）披露</w:t>
            </w:r>
          </w:p>
          <w:p>
            <w:pPr>
              <w:pStyle w:val="TableParagraph"/>
              <w:spacing w:line="227" w:lineRule="exact"/>
              <w:ind w:left="21" w:right="0"/>
              <w:jc w:val="both"/>
              <w:rPr>
                <w:rFonts w:ascii="宋体" w:hAnsi="宋体" w:cs="宋体" w:eastAsia="宋体" w:hint="default"/>
                <w:sz w:val="18"/>
                <w:szCs w:val="18"/>
              </w:rPr>
            </w:pPr>
            <w:r>
              <w:rPr>
                <w:rFonts w:ascii="宋体" w:hAnsi="宋体" w:cs="宋体" w:eastAsia="宋体" w:hint="default"/>
                <w:sz w:val="18"/>
                <w:szCs w:val="18"/>
              </w:rPr>
              <w:t>的《关于收</w:t>
            </w:r>
          </w:p>
        </w:tc>
      </w:tr>
      <w:tr>
        <w:trPr>
          <w:trHeight w:val="312" w:hRule="exact"/>
        </w:trPr>
        <w:tc>
          <w:tcPr>
            <w:tcW w:w="750" w:type="dxa"/>
            <w:tcBorders>
              <w:top w:val="nil" w:sz="6" w:space="0" w:color="auto"/>
              <w:left w:val="single" w:sz="4" w:space="0" w:color="010101"/>
              <w:bottom w:val="nil" w:sz="6" w:space="0" w:color="auto"/>
              <w:right w:val="single" w:sz="4" w:space="0" w:color="010101"/>
            </w:tcBorders>
          </w:tcPr>
          <w:p>
            <w:pPr/>
          </w:p>
        </w:tc>
        <w:tc>
          <w:tcPr>
            <w:tcW w:w="750" w:type="dxa"/>
            <w:tcBorders>
              <w:top w:val="nil" w:sz="6" w:space="0" w:color="auto"/>
              <w:left w:val="single" w:sz="4" w:space="0" w:color="010101"/>
              <w:bottom w:val="nil" w:sz="6" w:space="0" w:color="auto"/>
              <w:right w:val="single" w:sz="4" w:space="0" w:color="010101"/>
            </w:tcBorders>
          </w:tcPr>
          <w:p>
            <w:pPr/>
          </w:p>
        </w:tc>
        <w:tc>
          <w:tcPr>
            <w:tcW w:w="749"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spacing w:val="-8"/>
                <w:sz w:val="18"/>
                <w:szCs w:val="18"/>
              </w:rPr>
              <w:t>过，并报</w:t>
            </w:r>
          </w:p>
        </w:tc>
        <w:tc>
          <w:tcPr>
            <w:tcW w:w="1216" w:type="dxa"/>
            <w:tcBorders>
              <w:top w:val="nil" w:sz="6" w:space="0" w:color="auto"/>
              <w:left w:val="single" w:sz="4" w:space="0" w:color="010101"/>
              <w:bottom w:val="nil" w:sz="6" w:space="0" w:color="auto"/>
              <w:right w:val="single" w:sz="4" w:space="0" w:color="010101"/>
            </w:tcBorders>
          </w:tcPr>
          <w:p>
            <w:pPr/>
          </w:p>
        </w:tc>
        <w:tc>
          <w:tcPr>
            <w:tcW w:w="1121"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
        </w:tc>
        <w:tc>
          <w:tcPr>
            <w:tcW w:w="624" w:type="dxa"/>
            <w:tcBorders>
              <w:top w:val="nil" w:sz="6" w:space="0" w:color="auto"/>
              <w:left w:val="single" w:sz="4" w:space="0" w:color="010101"/>
              <w:bottom w:val="nil" w:sz="6" w:space="0" w:color="auto"/>
              <w:right w:val="single" w:sz="4" w:space="0" w:color="010101"/>
            </w:tcBorders>
          </w:tcPr>
          <w:p>
            <w:pPr/>
          </w:p>
        </w:tc>
        <w:tc>
          <w:tcPr>
            <w:tcW w:w="874"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right="62"/>
              <w:jc w:val="right"/>
              <w:rPr>
                <w:rFonts w:ascii="宋体" w:hAnsi="宋体" w:cs="宋体" w:eastAsia="宋体" w:hint="default"/>
                <w:sz w:val="18"/>
                <w:szCs w:val="18"/>
              </w:rPr>
            </w:pPr>
            <w:r>
              <w:rPr>
                <w:rFonts w:ascii="宋体" w:hAnsi="宋体" w:cs="宋体" w:eastAsia="宋体" w:hint="default"/>
                <w:sz w:val="18"/>
                <w:szCs w:val="18"/>
              </w:rPr>
              <w:t>购资产的公</w:t>
            </w:r>
          </w:p>
        </w:tc>
      </w:tr>
      <w:tr>
        <w:trPr>
          <w:trHeight w:val="312" w:hRule="exact"/>
        </w:trPr>
        <w:tc>
          <w:tcPr>
            <w:tcW w:w="750" w:type="dxa"/>
            <w:tcBorders>
              <w:top w:val="nil" w:sz="6" w:space="0" w:color="auto"/>
              <w:left w:val="single" w:sz="4" w:space="0" w:color="010101"/>
              <w:bottom w:val="nil" w:sz="6" w:space="0" w:color="auto"/>
              <w:right w:val="single" w:sz="4" w:space="0" w:color="010101"/>
            </w:tcBorders>
          </w:tcPr>
          <w:p>
            <w:pPr/>
          </w:p>
        </w:tc>
        <w:tc>
          <w:tcPr>
            <w:tcW w:w="750" w:type="dxa"/>
            <w:tcBorders>
              <w:top w:val="nil" w:sz="6" w:space="0" w:color="auto"/>
              <w:left w:val="single" w:sz="4" w:space="0" w:color="010101"/>
              <w:bottom w:val="nil" w:sz="6" w:space="0" w:color="auto"/>
              <w:right w:val="single" w:sz="4" w:space="0" w:color="010101"/>
            </w:tcBorders>
          </w:tcPr>
          <w:p>
            <w:pPr/>
          </w:p>
        </w:tc>
        <w:tc>
          <w:tcPr>
            <w:tcW w:w="749"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178" w:lineRule="exact"/>
              <w:ind w:right="15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1216" w:type="dxa"/>
            <w:tcBorders>
              <w:top w:val="nil" w:sz="6" w:space="0" w:color="auto"/>
              <w:left w:val="single" w:sz="4" w:space="0" w:color="010101"/>
              <w:bottom w:val="nil" w:sz="6" w:space="0" w:color="auto"/>
              <w:right w:val="single" w:sz="4" w:space="0" w:color="010101"/>
            </w:tcBorders>
          </w:tcPr>
          <w:p>
            <w:pPr/>
          </w:p>
        </w:tc>
        <w:tc>
          <w:tcPr>
            <w:tcW w:w="1121"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
        </w:tc>
        <w:tc>
          <w:tcPr>
            <w:tcW w:w="624" w:type="dxa"/>
            <w:tcBorders>
              <w:top w:val="nil" w:sz="6" w:space="0" w:color="auto"/>
              <w:left w:val="single" w:sz="4" w:space="0" w:color="010101"/>
              <w:bottom w:val="nil" w:sz="6" w:space="0" w:color="auto"/>
              <w:right w:val="single" w:sz="4" w:space="0" w:color="010101"/>
            </w:tcBorders>
          </w:tcPr>
          <w:p>
            <w:pPr/>
          </w:p>
        </w:tc>
        <w:tc>
          <w:tcPr>
            <w:tcW w:w="874"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right="151"/>
              <w:jc w:val="right"/>
              <w:rPr>
                <w:rFonts w:ascii="宋体" w:hAnsi="宋体" w:cs="宋体" w:eastAsia="宋体" w:hint="default"/>
                <w:sz w:val="18"/>
                <w:szCs w:val="18"/>
              </w:rPr>
            </w:pPr>
            <w:r>
              <w:rPr>
                <w:rFonts w:ascii="宋体" w:hAnsi="宋体" w:cs="宋体" w:eastAsia="宋体" w:hint="default"/>
                <w:spacing w:val="1"/>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（编号</w:t>
            </w:r>
          </w:p>
        </w:tc>
      </w:tr>
      <w:tr>
        <w:trPr>
          <w:trHeight w:val="572" w:hRule="exact"/>
        </w:trPr>
        <w:tc>
          <w:tcPr>
            <w:tcW w:w="750" w:type="dxa"/>
            <w:tcBorders>
              <w:top w:val="nil" w:sz="6" w:space="0" w:color="auto"/>
              <w:left w:val="single" w:sz="4" w:space="0" w:color="010101"/>
              <w:bottom w:val="single" w:sz="4" w:space="0" w:color="010101"/>
              <w:right w:val="single" w:sz="4" w:space="0" w:color="010101"/>
            </w:tcBorders>
          </w:tcPr>
          <w:p>
            <w:pPr/>
          </w:p>
        </w:tc>
        <w:tc>
          <w:tcPr>
            <w:tcW w:w="750" w:type="dxa"/>
            <w:tcBorders>
              <w:top w:val="nil" w:sz="6" w:space="0" w:color="auto"/>
              <w:left w:val="single" w:sz="4" w:space="0" w:color="010101"/>
              <w:bottom w:val="single" w:sz="4" w:space="0" w:color="010101"/>
              <w:right w:val="single" w:sz="4" w:space="0" w:color="010101"/>
            </w:tcBorders>
          </w:tcPr>
          <w:p>
            <w:pPr/>
          </w:p>
        </w:tc>
        <w:tc>
          <w:tcPr>
            <w:tcW w:w="749" w:type="dxa"/>
            <w:tcBorders>
              <w:top w:val="nil" w:sz="6" w:space="0" w:color="auto"/>
              <w:left w:val="single" w:sz="4" w:space="0" w:color="010101"/>
              <w:bottom w:val="single" w:sz="4" w:space="0" w:color="010101"/>
              <w:right w:val="single" w:sz="4" w:space="0" w:color="010101"/>
            </w:tcBorders>
          </w:tcPr>
          <w:p>
            <w:pPr/>
          </w:p>
        </w:tc>
        <w:tc>
          <w:tcPr>
            <w:tcW w:w="748" w:type="dxa"/>
            <w:tcBorders>
              <w:top w:val="nil" w:sz="6" w:space="0" w:color="auto"/>
              <w:left w:val="single" w:sz="4" w:space="0" w:color="010101"/>
              <w:bottom w:val="single" w:sz="4" w:space="0" w:color="010101"/>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人民政</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府金融</w:t>
            </w:r>
          </w:p>
        </w:tc>
        <w:tc>
          <w:tcPr>
            <w:tcW w:w="1216" w:type="dxa"/>
            <w:tcBorders>
              <w:top w:val="nil" w:sz="6" w:space="0" w:color="auto"/>
              <w:left w:val="single" w:sz="4" w:space="0" w:color="010101"/>
              <w:bottom w:val="single" w:sz="4" w:space="0" w:color="010101"/>
              <w:right w:val="single" w:sz="4" w:space="0" w:color="010101"/>
            </w:tcBorders>
          </w:tcPr>
          <w:p>
            <w:pPr/>
          </w:p>
        </w:tc>
        <w:tc>
          <w:tcPr>
            <w:tcW w:w="1121" w:type="dxa"/>
            <w:tcBorders>
              <w:top w:val="nil" w:sz="6" w:space="0" w:color="auto"/>
              <w:left w:val="single" w:sz="4" w:space="0" w:color="010101"/>
              <w:bottom w:val="single" w:sz="4" w:space="0" w:color="010101"/>
              <w:right w:val="single" w:sz="4" w:space="0" w:color="010101"/>
            </w:tcBorders>
          </w:tcPr>
          <w:p>
            <w:pPr/>
          </w:p>
        </w:tc>
        <w:tc>
          <w:tcPr>
            <w:tcW w:w="748" w:type="dxa"/>
            <w:tcBorders>
              <w:top w:val="nil" w:sz="6" w:space="0" w:color="auto"/>
              <w:left w:val="single" w:sz="4" w:space="0" w:color="010101"/>
              <w:bottom w:val="single" w:sz="4" w:space="0" w:color="010101"/>
              <w:right w:val="single" w:sz="4" w:space="0" w:color="010101"/>
            </w:tcBorders>
          </w:tcPr>
          <w:p>
            <w:pPr/>
          </w:p>
        </w:tc>
        <w:tc>
          <w:tcPr>
            <w:tcW w:w="624" w:type="dxa"/>
            <w:tcBorders>
              <w:top w:val="nil" w:sz="6" w:space="0" w:color="auto"/>
              <w:left w:val="single" w:sz="4" w:space="0" w:color="010101"/>
              <w:bottom w:val="single" w:sz="4" w:space="0" w:color="010101"/>
              <w:right w:val="single" w:sz="4" w:space="0" w:color="010101"/>
            </w:tcBorders>
          </w:tcPr>
          <w:p>
            <w:pPr/>
          </w:p>
        </w:tc>
        <w:tc>
          <w:tcPr>
            <w:tcW w:w="874" w:type="dxa"/>
            <w:tcBorders>
              <w:top w:val="nil" w:sz="6" w:space="0" w:color="auto"/>
              <w:left w:val="single" w:sz="4" w:space="0" w:color="010101"/>
              <w:bottom w:val="single" w:sz="4" w:space="0" w:color="010101"/>
              <w:right w:val="single" w:sz="4" w:space="0" w:color="010101"/>
            </w:tcBorders>
          </w:tcPr>
          <w:p>
            <w:pPr/>
          </w:p>
        </w:tc>
        <w:tc>
          <w:tcPr>
            <w:tcW w:w="996" w:type="dxa"/>
            <w:tcBorders>
              <w:top w:val="nil" w:sz="6" w:space="0" w:color="auto"/>
              <w:left w:val="single" w:sz="4" w:space="0" w:color="010101"/>
              <w:bottom w:val="single" w:sz="4" w:space="0" w:color="010101"/>
              <w:right w:val="single" w:sz="4" w:space="0" w:color="010101"/>
            </w:tcBorders>
          </w:tcPr>
          <w:p>
            <w:pPr/>
          </w:p>
        </w:tc>
        <w:tc>
          <w:tcPr>
            <w:tcW w:w="9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8"/>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2012-037</w:t>
            </w: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50"/>
        <w:gridCol w:w="750"/>
        <w:gridCol w:w="749"/>
        <w:gridCol w:w="748"/>
        <w:gridCol w:w="1216"/>
        <w:gridCol w:w="1121"/>
        <w:gridCol w:w="748"/>
        <w:gridCol w:w="624"/>
        <w:gridCol w:w="874"/>
        <w:gridCol w:w="996"/>
        <w:gridCol w:w="996"/>
      </w:tblGrid>
      <w:tr>
        <w:trPr>
          <w:trHeight w:val="317" w:hRule="exact"/>
        </w:trPr>
        <w:tc>
          <w:tcPr>
            <w:tcW w:w="750" w:type="dxa"/>
            <w:vMerge w:val="restart"/>
            <w:tcBorders>
              <w:top w:val="single" w:sz="4" w:space="0" w:color="010101"/>
              <w:left w:val="single" w:sz="4" w:space="0" w:color="010101"/>
              <w:right w:val="single" w:sz="4" w:space="0" w:color="010101"/>
            </w:tcBorders>
          </w:tcPr>
          <w:p>
            <w:pPr/>
          </w:p>
        </w:tc>
        <w:tc>
          <w:tcPr>
            <w:tcW w:w="750" w:type="dxa"/>
            <w:vMerge w:val="restart"/>
            <w:tcBorders>
              <w:top w:val="single" w:sz="4" w:space="0" w:color="010101"/>
              <w:left w:val="single" w:sz="4" w:space="0" w:color="010101"/>
              <w:right w:val="single" w:sz="4" w:space="0" w:color="010101"/>
            </w:tcBorders>
          </w:tcPr>
          <w:p>
            <w:pPr/>
          </w:p>
        </w:tc>
        <w:tc>
          <w:tcPr>
            <w:tcW w:w="749" w:type="dxa"/>
            <w:vMerge w:val="restart"/>
            <w:tcBorders>
              <w:top w:val="single" w:sz="4" w:space="0" w:color="010101"/>
              <w:left w:val="single" w:sz="4" w:space="0" w:color="010101"/>
              <w:right w:val="single" w:sz="4" w:space="0" w:color="010101"/>
            </w:tcBorders>
          </w:tcPr>
          <w:p>
            <w:pPr/>
          </w:p>
        </w:tc>
        <w:tc>
          <w:tcPr>
            <w:tcW w:w="74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办公室</w:t>
            </w:r>
          </w:p>
        </w:tc>
        <w:tc>
          <w:tcPr>
            <w:tcW w:w="1216" w:type="dxa"/>
            <w:vMerge w:val="restart"/>
            <w:tcBorders>
              <w:top w:val="single" w:sz="4" w:space="0" w:color="010101"/>
              <w:left w:val="single" w:sz="4" w:space="0" w:color="010101"/>
              <w:right w:val="single" w:sz="4" w:space="0" w:color="010101"/>
            </w:tcBorders>
          </w:tcPr>
          <w:p>
            <w:pPr/>
          </w:p>
        </w:tc>
        <w:tc>
          <w:tcPr>
            <w:tcW w:w="1121" w:type="dxa"/>
            <w:vMerge w:val="restart"/>
            <w:tcBorders>
              <w:top w:val="single" w:sz="4" w:space="0" w:color="010101"/>
              <w:left w:val="single" w:sz="4" w:space="0" w:color="010101"/>
              <w:right w:val="single" w:sz="4" w:space="0" w:color="010101"/>
            </w:tcBorders>
          </w:tcPr>
          <w:p>
            <w:pPr/>
          </w:p>
        </w:tc>
        <w:tc>
          <w:tcPr>
            <w:tcW w:w="748" w:type="dxa"/>
            <w:vMerge w:val="restart"/>
            <w:tcBorders>
              <w:top w:val="single" w:sz="4" w:space="0" w:color="010101"/>
              <w:left w:val="single" w:sz="4" w:space="0" w:color="010101"/>
              <w:right w:val="single" w:sz="4" w:space="0" w:color="010101"/>
            </w:tcBorders>
          </w:tcPr>
          <w:p>
            <w:pPr/>
          </w:p>
        </w:tc>
        <w:tc>
          <w:tcPr>
            <w:tcW w:w="624" w:type="dxa"/>
            <w:vMerge w:val="restart"/>
            <w:tcBorders>
              <w:top w:val="single" w:sz="4" w:space="0" w:color="010101"/>
              <w:left w:val="single" w:sz="4" w:space="0" w:color="010101"/>
              <w:right w:val="single" w:sz="4" w:space="0" w:color="010101"/>
            </w:tcBorders>
          </w:tcPr>
          <w:p>
            <w:pPr/>
          </w:p>
        </w:tc>
        <w:tc>
          <w:tcPr>
            <w:tcW w:w="874" w:type="dxa"/>
            <w:vMerge w:val="restart"/>
            <w:tcBorders>
              <w:top w:val="single" w:sz="4" w:space="0" w:color="010101"/>
              <w:left w:val="single" w:sz="4" w:space="0" w:color="010101"/>
              <w:right w:val="single" w:sz="4" w:space="0" w:color="010101"/>
            </w:tcBorders>
          </w:tcPr>
          <w:p>
            <w:pPr/>
          </w:p>
        </w:tc>
        <w:tc>
          <w:tcPr>
            <w:tcW w:w="996" w:type="dxa"/>
            <w:vMerge w:val="restart"/>
            <w:tcBorders>
              <w:top w:val="single" w:sz="4" w:space="0" w:color="010101"/>
              <w:left w:val="single" w:sz="4" w:space="0" w:color="010101"/>
              <w:right w:val="single" w:sz="4" w:space="0" w:color="010101"/>
            </w:tcBorders>
          </w:tcPr>
          <w:p>
            <w:pPr/>
          </w:p>
        </w:tc>
        <w:tc>
          <w:tcPr>
            <w:tcW w:w="996" w:type="dxa"/>
            <w:vMerge w:val="restart"/>
            <w:tcBorders>
              <w:top w:val="single" w:sz="4" w:space="0" w:color="010101"/>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审核同</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8"/>
                <w:sz w:val="18"/>
                <w:szCs w:val="18"/>
              </w:rPr>
              <w:t>意，交易</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双方签</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订了股</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权转让</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8"/>
                <w:sz w:val="18"/>
                <w:szCs w:val="18"/>
              </w:rPr>
              <w:t>协议。尚</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需浙江</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省人民</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政府金</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融办公</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室批复</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8"/>
                <w:sz w:val="18"/>
                <w:szCs w:val="18"/>
              </w:rPr>
              <w:t>后，办理</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工商变</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12" w:hRule="exact"/>
        </w:trPr>
        <w:tc>
          <w:tcPr>
            <w:tcW w:w="750" w:type="dxa"/>
            <w:vMerge/>
            <w:tcBorders>
              <w:left w:val="single" w:sz="4" w:space="0" w:color="010101"/>
              <w:right w:val="single" w:sz="4" w:space="0" w:color="010101"/>
            </w:tcBorders>
          </w:tcPr>
          <w:p>
            <w:pPr/>
          </w:p>
        </w:tc>
        <w:tc>
          <w:tcPr>
            <w:tcW w:w="750" w:type="dxa"/>
            <w:vMerge/>
            <w:tcBorders>
              <w:left w:val="single" w:sz="4" w:space="0" w:color="010101"/>
              <w:right w:val="single" w:sz="4" w:space="0" w:color="010101"/>
            </w:tcBorders>
          </w:tcPr>
          <w:p>
            <w:pPr/>
          </w:p>
        </w:tc>
        <w:tc>
          <w:tcPr>
            <w:tcW w:w="749"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更登记</w:t>
            </w:r>
          </w:p>
        </w:tc>
        <w:tc>
          <w:tcPr>
            <w:tcW w:w="1216" w:type="dxa"/>
            <w:vMerge/>
            <w:tcBorders>
              <w:left w:val="single" w:sz="4" w:space="0" w:color="010101"/>
              <w:right w:val="single" w:sz="4" w:space="0" w:color="010101"/>
            </w:tcBorders>
          </w:tcPr>
          <w:p>
            <w:pPr/>
          </w:p>
        </w:tc>
        <w:tc>
          <w:tcPr>
            <w:tcW w:w="1121" w:type="dxa"/>
            <w:vMerge/>
            <w:tcBorders>
              <w:left w:val="single" w:sz="4" w:space="0" w:color="010101"/>
              <w:right w:val="single" w:sz="4" w:space="0" w:color="010101"/>
            </w:tcBorders>
          </w:tcPr>
          <w:p>
            <w:pPr/>
          </w:p>
        </w:tc>
        <w:tc>
          <w:tcPr>
            <w:tcW w:w="748" w:type="dxa"/>
            <w:vMerge/>
            <w:tcBorders>
              <w:left w:val="single" w:sz="4" w:space="0" w:color="010101"/>
              <w:right w:val="single" w:sz="4" w:space="0" w:color="010101"/>
            </w:tcBorders>
          </w:tcPr>
          <w:p>
            <w:pPr/>
          </w:p>
        </w:tc>
        <w:tc>
          <w:tcPr>
            <w:tcW w:w="624" w:type="dxa"/>
            <w:vMerge/>
            <w:tcBorders>
              <w:left w:val="single" w:sz="4" w:space="0" w:color="010101"/>
              <w:right w:val="single" w:sz="4" w:space="0" w:color="010101"/>
            </w:tcBorders>
          </w:tcPr>
          <w:p>
            <w:pPr/>
          </w:p>
        </w:tc>
        <w:tc>
          <w:tcPr>
            <w:tcW w:w="874"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c>
          <w:tcPr>
            <w:tcW w:w="996" w:type="dxa"/>
            <w:vMerge/>
            <w:tcBorders>
              <w:left w:val="single" w:sz="4" w:space="0" w:color="010101"/>
              <w:right w:val="single" w:sz="4" w:space="0" w:color="010101"/>
            </w:tcBorders>
          </w:tcPr>
          <w:p>
            <w:pPr/>
          </w:p>
        </w:tc>
      </w:tr>
      <w:tr>
        <w:trPr>
          <w:trHeight w:val="358" w:hRule="exact"/>
        </w:trPr>
        <w:tc>
          <w:tcPr>
            <w:tcW w:w="750" w:type="dxa"/>
            <w:vMerge/>
            <w:tcBorders>
              <w:left w:val="single" w:sz="4" w:space="0" w:color="010101"/>
              <w:bottom w:val="single" w:sz="4" w:space="0" w:color="010101"/>
              <w:right w:val="single" w:sz="4" w:space="0" w:color="010101"/>
            </w:tcBorders>
          </w:tcPr>
          <w:p>
            <w:pPr/>
          </w:p>
        </w:tc>
        <w:tc>
          <w:tcPr>
            <w:tcW w:w="750" w:type="dxa"/>
            <w:vMerge/>
            <w:tcBorders>
              <w:left w:val="single" w:sz="4" w:space="0" w:color="010101"/>
              <w:bottom w:val="single" w:sz="4" w:space="0" w:color="010101"/>
              <w:right w:val="single" w:sz="4" w:space="0" w:color="010101"/>
            </w:tcBorders>
          </w:tcPr>
          <w:p>
            <w:pPr/>
          </w:p>
        </w:tc>
        <w:tc>
          <w:tcPr>
            <w:tcW w:w="749" w:type="dxa"/>
            <w:vMerge/>
            <w:tcBorders>
              <w:left w:val="single" w:sz="4" w:space="0" w:color="010101"/>
              <w:bottom w:val="single" w:sz="4" w:space="0" w:color="010101"/>
              <w:right w:val="single" w:sz="4" w:space="0" w:color="010101"/>
            </w:tcBorders>
          </w:tcPr>
          <w:p>
            <w:pPr/>
          </w:p>
        </w:tc>
        <w:tc>
          <w:tcPr>
            <w:tcW w:w="74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right="150"/>
              <w:jc w:val="center"/>
              <w:rPr>
                <w:rFonts w:ascii="宋体" w:hAnsi="宋体" w:cs="宋体" w:eastAsia="宋体" w:hint="default"/>
                <w:sz w:val="18"/>
                <w:szCs w:val="18"/>
              </w:rPr>
            </w:pPr>
            <w:r>
              <w:rPr>
                <w:rFonts w:ascii="宋体" w:hAnsi="宋体" w:cs="宋体" w:eastAsia="宋体" w:hint="default"/>
                <w:sz w:val="18"/>
                <w:szCs w:val="18"/>
              </w:rPr>
              <w:t>手续。</w:t>
            </w:r>
          </w:p>
        </w:tc>
        <w:tc>
          <w:tcPr>
            <w:tcW w:w="1216" w:type="dxa"/>
            <w:vMerge/>
            <w:tcBorders>
              <w:left w:val="single" w:sz="4" w:space="0" w:color="010101"/>
              <w:bottom w:val="single" w:sz="4" w:space="0" w:color="010101"/>
              <w:right w:val="single" w:sz="4" w:space="0" w:color="010101"/>
            </w:tcBorders>
          </w:tcPr>
          <w:p>
            <w:pPr/>
          </w:p>
        </w:tc>
        <w:tc>
          <w:tcPr>
            <w:tcW w:w="1121" w:type="dxa"/>
            <w:vMerge/>
            <w:tcBorders>
              <w:left w:val="single" w:sz="4" w:space="0" w:color="010101"/>
              <w:bottom w:val="single" w:sz="4" w:space="0" w:color="010101"/>
              <w:right w:val="single" w:sz="4" w:space="0" w:color="010101"/>
            </w:tcBorders>
          </w:tcPr>
          <w:p>
            <w:pPr/>
          </w:p>
        </w:tc>
        <w:tc>
          <w:tcPr>
            <w:tcW w:w="748" w:type="dxa"/>
            <w:vMerge/>
            <w:tcBorders>
              <w:left w:val="single" w:sz="4" w:space="0" w:color="010101"/>
              <w:bottom w:val="single" w:sz="4" w:space="0" w:color="010101"/>
              <w:right w:val="single" w:sz="4" w:space="0" w:color="010101"/>
            </w:tcBorders>
          </w:tcPr>
          <w:p>
            <w:pPr/>
          </w:p>
        </w:tc>
        <w:tc>
          <w:tcPr>
            <w:tcW w:w="624" w:type="dxa"/>
            <w:vMerge/>
            <w:tcBorders>
              <w:left w:val="single" w:sz="4" w:space="0" w:color="010101"/>
              <w:bottom w:val="single" w:sz="4" w:space="0" w:color="010101"/>
              <w:right w:val="single" w:sz="4" w:space="0" w:color="010101"/>
            </w:tcBorders>
          </w:tcPr>
          <w:p>
            <w:pPr/>
          </w:p>
        </w:tc>
        <w:tc>
          <w:tcPr>
            <w:tcW w:w="874" w:type="dxa"/>
            <w:vMerge/>
            <w:tcBorders>
              <w:left w:val="single" w:sz="4" w:space="0" w:color="010101"/>
              <w:bottom w:val="single" w:sz="4" w:space="0" w:color="010101"/>
              <w:right w:val="single" w:sz="4" w:space="0" w:color="010101"/>
            </w:tcBorders>
          </w:tcPr>
          <w:p>
            <w:pPr/>
          </w:p>
        </w:tc>
        <w:tc>
          <w:tcPr>
            <w:tcW w:w="996" w:type="dxa"/>
            <w:vMerge/>
            <w:tcBorders>
              <w:left w:val="single" w:sz="4" w:space="0" w:color="010101"/>
              <w:bottom w:val="single" w:sz="4" w:space="0" w:color="010101"/>
              <w:right w:val="single" w:sz="4" w:space="0" w:color="010101"/>
            </w:tcBorders>
          </w:tcPr>
          <w:p>
            <w:pPr/>
          </w:p>
        </w:tc>
        <w:tc>
          <w:tcPr>
            <w:tcW w:w="996" w:type="dxa"/>
            <w:vMerge/>
            <w:tcBorders>
              <w:left w:val="single" w:sz="4" w:space="0" w:color="010101"/>
              <w:bottom w:val="single" w:sz="4" w:space="0" w:color="010101"/>
              <w:right w:val="single" w:sz="4" w:space="0" w:color="010101"/>
            </w:tcBorders>
          </w:tcPr>
          <w:p>
            <w:pPr/>
          </w:p>
        </w:tc>
      </w:tr>
    </w:tbl>
    <w:p>
      <w:pPr>
        <w:spacing w:before="50"/>
        <w:ind w:left="114" w:right="97"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spacing w:line="312" w:lineRule="exact" w:before="98"/>
        <w:ind w:left="113" w:right="97" w:firstLine="480"/>
        <w:jc w:val="left"/>
        <w:rPr>
          <w:rFonts w:ascii="宋体" w:hAnsi="宋体" w:cs="宋体" w:eastAsia="宋体" w:hint="default"/>
          <w:sz w:val="24"/>
          <w:szCs w:val="24"/>
        </w:rPr>
      </w:pPr>
      <w:r>
        <w:rPr>
          <w:rFonts w:ascii="宋体" w:hAnsi="宋体" w:cs="宋体" w:eastAsia="宋体" w:hint="default"/>
          <w:spacing w:val="-2"/>
          <w:sz w:val="24"/>
          <w:szCs w:val="24"/>
        </w:rPr>
        <w:t>公司根据天健会计师事务所（特殊普通合伙）出具的天健审〔</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w:t>
      </w:r>
      <w:r>
        <w:rPr>
          <w:rFonts w:ascii="Times New Roman" w:hAnsi="Times New Roman" w:cs="Times New Roman" w:eastAsia="Times New Roman" w:hint="default"/>
          <w:spacing w:val="-2"/>
          <w:sz w:val="24"/>
          <w:szCs w:val="24"/>
        </w:rPr>
        <w:t>5266</w:t>
      </w:r>
      <w:r>
        <w:rPr>
          <w:rFonts w:ascii="宋体" w:hAnsi="宋体" w:cs="宋体" w:eastAsia="宋体" w:hint="default"/>
          <w:spacing w:val="-2"/>
          <w:sz w:val="24"/>
          <w:szCs w:val="24"/>
        </w:rPr>
        <w:t>号《审计报告》</w:t>
      </w:r>
      <w:r>
        <w:rPr>
          <w:rFonts w:ascii="宋体" w:hAnsi="宋体" w:cs="宋体" w:eastAsia="宋体" w:hint="default"/>
          <w:sz w:val="24"/>
          <w:szCs w:val="24"/>
        </w:rPr>
        <w:t> 及坤元资产评估有限公司出具的坤元评报〔</w:t>
      </w:r>
      <w:r>
        <w:rPr>
          <w:rFonts w:ascii="Times New Roman" w:hAnsi="Times New Roman" w:cs="Times New Roman" w:eastAsia="Times New Roman" w:hint="default"/>
          <w:sz w:val="24"/>
          <w:szCs w:val="24"/>
        </w:rPr>
        <w:t>2012</w:t>
      </w:r>
      <w:r>
        <w:rPr>
          <w:rFonts w:ascii="宋体" w:hAnsi="宋体" w:cs="宋体" w:eastAsia="宋体" w:hint="default"/>
          <w:sz w:val="24"/>
          <w:szCs w:val="24"/>
        </w:rPr>
        <w:t>〕</w:t>
      </w:r>
      <w:r>
        <w:rPr>
          <w:rFonts w:ascii="Times New Roman" w:hAnsi="Times New Roman" w:cs="Times New Roman" w:eastAsia="Times New Roman" w:hint="default"/>
          <w:sz w:val="24"/>
          <w:szCs w:val="24"/>
        </w:rPr>
        <w:t>231</w:t>
      </w:r>
      <w:r>
        <w:rPr>
          <w:rFonts w:ascii="宋体" w:hAnsi="宋体" w:cs="宋体" w:eastAsia="宋体" w:hint="default"/>
          <w:sz w:val="24"/>
          <w:szCs w:val="24"/>
        </w:rPr>
        <w:t>号《浙江宏磊铜业股份有限公司拟收购 股权涉及的诸暨市宏润小额贷款有限公司股东全部权益价值评估项目资产评估报告》，以自 </w:t>
      </w:r>
      <w:r>
        <w:rPr>
          <w:rFonts w:ascii="宋体" w:hAnsi="宋体" w:cs="宋体" w:eastAsia="宋体" w:hint="default"/>
          <w:spacing w:val="5"/>
          <w:sz w:val="24"/>
          <w:szCs w:val="24"/>
        </w:rPr>
        <w:t>有资金</w:t>
      </w:r>
      <w:r>
        <w:rPr>
          <w:rFonts w:ascii="Times New Roman" w:hAnsi="Times New Roman" w:cs="Times New Roman" w:eastAsia="Times New Roman" w:hint="default"/>
          <w:spacing w:val="5"/>
          <w:sz w:val="24"/>
          <w:szCs w:val="24"/>
        </w:rPr>
        <w:t>9576.00</w:t>
      </w:r>
      <w:r>
        <w:rPr>
          <w:rFonts w:ascii="宋体" w:hAnsi="宋体" w:cs="宋体" w:eastAsia="宋体" w:hint="default"/>
          <w:spacing w:val="5"/>
          <w:sz w:val="24"/>
          <w:szCs w:val="24"/>
        </w:rPr>
        <w:t>万元收购浙江宏磊东南房地产开发有限公司持有的诸暨市宏润小额贷款有限</w:t>
      </w:r>
      <w:r>
        <w:rPr>
          <w:rFonts w:ascii="宋体" w:hAnsi="宋体" w:cs="宋体" w:eastAsia="宋体" w:hint="default"/>
          <w:spacing w:val="-114"/>
          <w:sz w:val="24"/>
          <w:szCs w:val="24"/>
        </w:rPr>
        <w:t> </w:t>
      </w:r>
      <w:r>
        <w:rPr>
          <w:rFonts w:ascii="宋体" w:hAnsi="宋体" w:cs="宋体" w:eastAsia="宋体" w:hint="default"/>
          <w:sz w:val="24"/>
          <w:szCs w:val="24"/>
        </w:rPr>
        <w:t>公司</w:t>
      </w:r>
      <w:r>
        <w:rPr>
          <w:rFonts w:ascii="Times New Roman" w:hAnsi="Times New Roman" w:cs="Times New Roman" w:eastAsia="Times New Roman" w:hint="default"/>
          <w:sz w:val="24"/>
          <w:szCs w:val="24"/>
        </w:rPr>
        <w:t>14%</w:t>
      </w:r>
      <w:r>
        <w:rPr>
          <w:rFonts w:ascii="宋体" w:hAnsi="宋体" w:cs="宋体" w:eastAsia="宋体" w:hint="default"/>
          <w:sz w:val="24"/>
          <w:szCs w:val="24"/>
        </w:rPr>
        <w:t>的股权。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5"/>
        <w:spacing w:line="240" w:lineRule="auto"/>
        <w:ind w:right="97"/>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4"/>
        <w:gridCol w:w="684"/>
        <w:gridCol w:w="685"/>
        <w:gridCol w:w="685"/>
        <w:gridCol w:w="684"/>
        <w:gridCol w:w="684"/>
        <w:gridCol w:w="684"/>
        <w:gridCol w:w="683"/>
        <w:gridCol w:w="683"/>
        <w:gridCol w:w="684"/>
        <w:gridCol w:w="680"/>
        <w:gridCol w:w="682"/>
        <w:gridCol w:w="678"/>
      </w:tblGrid>
      <w:tr>
        <w:trPr>
          <w:trHeight w:val="357" w:hRule="exact"/>
        </w:trPr>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本期初</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资产出</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0" w:type="dxa"/>
            <w:tcBorders>
              <w:top w:val="single" w:sz="4" w:space="0" w:color="010101"/>
              <w:left w:val="single" w:sz="4" w:space="0" w:color="010101"/>
              <w:bottom w:val="nil" w:sz="6" w:space="0" w:color="auto"/>
              <w:right w:val="single" w:sz="4" w:space="0" w:color="010101"/>
            </w:tcBorders>
            <w:shd w:val="clear" w:color="auto" w:fill="D3D3D3"/>
          </w:tcPr>
          <w:p>
            <w:pPr/>
          </w:p>
        </w:tc>
        <w:tc>
          <w:tcPr>
            <w:tcW w:w="682" w:type="dxa"/>
            <w:tcBorders>
              <w:top w:val="single" w:sz="4" w:space="0" w:color="010101"/>
              <w:left w:val="single" w:sz="4" w:space="0" w:color="010101"/>
              <w:bottom w:val="nil" w:sz="6" w:space="0" w:color="auto"/>
              <w:right w:val="single" w:sz="4" w:space="0" w:color="010101"/>
            </w:tcBorders>
            <w:shd w:val="clear" w:color="auto" w:fill="D3D3D3"/>
          </w:tcPr>
          <w:p>
            <w:pPr/>
          </w:p>
        </w:tc>
        <w:tc>
          <w:tcPr>
            <w:tcW w:w="67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起至出</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售为上</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与交易</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0" w:type="dxa"/>
            <w:tcBorders>
              <w:top w:val="nil" w:sz="6" w:space="0" w:color="auto"/>
              <w:left w:val="single" w:sz="4" w:space="0" w:color="010101"/>
              <w:bottom w:val="nil" w:sz="6" w:space="0" w:color="auto"/>
              <w:right w:val="single" w:sz="4" w:space="0" w:color="010101"/>
            </w:tcBorders>
            <w:shd w:val="clear" w:color="auto" w:fill="D3D3D3"/>
          </w:tcPr>
          <w:p>
            <w:pPr/>
          </w:p>
        </w:tc>
        <w:tc>
          <w:tcPr>
            <w:tcW w:w="682" w:type="dxa"/>
            <w:tcBorders>
              <w:top w:val="nil" w:sz="6" w:space="0" w:color="auto"/>
              <w:left w:val="single" w:sz="4" w:space="0" w:color="010101"/>
              <w:bottom w:val="nil" w:sz="6" w:space="0" w:color="auto"/>
              <w:right w:val="single" w:sz="4" w:space="0" w:color="010101"/>
            </w:tcBorders>
            <w:shd w:val="clear" w:color="auto" w:fill="D3D3D3"/>
          </w:tcPr>
          <w:p>
            <w:pPr/>
          </w:p>
        </w:tc>
        <w:tc>
          <w:tcPr>
            <w:tcW w:w="67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1560"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7" w:right="66"/>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市公司 贡献的 净利润 占利润 总额的</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对方的 关联关 系（适 用关联 交易情</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6"/>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3"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12"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形）</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0" w:type="dxa"/>
            <w:tcBorders>
              <w:top w:val="nil" w:sz="6" w:space="0" w:color="auto"/>
              <w:left w:val="single" w:sz="4" w:space="0" w:color="010101"/>
              <w:bottom w:val="nil" w:sz="6" w:space="0" w:color="auto"/>
              <w:right w:val="single" w:sz="4" w:space="0" w:color="010101"/>
            </w:tcBorders>
            <w:shd w:val="clear" w:color="auto" w:fill="D3D3D3"/>
          </w:tcPr>
          <w:p>
            <w:pPr/>
          </w:p>
        </w:tc>
        <w:tc>
          <w:tcPr>
            <w:tcW w:w="682" w:type="dxa"/>
            <w:tcBorders>
              <w:top w:val="nil" w:sz="6" w:space="0" w:color="auto"/>
              <w:left w:val="single" w:sz="4" w:space="0" w:color="010101"/>
              <w:bottom w:val="nil" w:sz="6" w:space="0" w:color="auto"/>
              <w:right w:val="single" w:sz="4" w:space="0" w:color="010101"/>
            </w:tcBorders>
            <w:shd w:val="clear" w:color="auto" w:fill="D3D3D3"/>
          </w:tcPr>
          <w:p>
            <w:pPr/>
          </w:p>
        </w:tc>
        <w:tc>
          <w:tcPr>
            <w:tcW w:w="67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58" w:hRule="exact"/>
        </w:trPr>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5"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0" w:type="dxa"/>
            <w:tcBorders>
              <w:top w:val="nil" w:sz="6" w:space="0" w:color="auto"/>
              <w:left w:val="single" w:sz="4" w:space="0" w:color="010101"/>
              <w:bottom w:val="single" w:sz="4" w:space="0" w:color="010101"/>
              <w:right w:val="single" w:sz="4" w:space="0" w:color="010101"/>
            </w:tcBorders>
            <w:shd w:val="clear" w:color="auto" w:fill="D3D3D3"/>
          </w:tcPr>
          <w:p>
            <w:pPr/>
          </w:p>
        </w:tc>
        <w:tc>
          <w:tcPr>
            <w:tcW w:w="682" w:type="dxa"/>
            <w:tcBorders>
              <w:top w:val="nil" w:sz="6" w:space="0" w:color="auto"/>
              <w:left w:val="single" w:sz="4" w:space="0" w:color="010101"/>
              <w:bottom w:val="single" w:sz="4" w:space="0" w:color="010101"/>
              <w:right w:val="single" w:sz="4" w:space="0" w:color="010101"/>
            </w:tcBorders>
            <w:shd w:val="clear" w:color="auto" w:fill="D3D3D3"/>
          </w:tcPr>
          <w:p>
            <w:pPr/>
          </w:p>
        </w:tc>
        <w:tc>
          <w:tcPr>
            <w:tcW w:w="678" w:type="dxa"/>
            <w:tcBorders>
              <w:top w:val="nil" w:sz="6" w:space="0" w:color="auto"/>
              <w:left w:val="single" w:sz="4" w:space="0" w:color="010101"/>
              <w:bottom w:val="single" w:sz="4" w:space="0" w:color="010101"/>
              <w:right w:val="single" w:sz="4" w:space="0" w:color="010101"/>
            </w:tcBorders>
            <w:shd w:val="clear" w:color="auto" w:fill="D3D3D3"/>
          </w:tcPr>
          <w:p>
            <w:pPr/>
          </w:p>
        </w:tc>
      </w:tr>
    </w:tbl>
    <w:p>
      <w:pPr>
        <w:spacing w:line="357" w:lineRule="auto" w:before="50"/>
        <w:ind w:left="114" w:right="8270" w:firstLine="0"/>
        <w:jc w:val="left"/>
        <w:rPr>
          <w:rFonts w:ascii="宋体" w:hAnsi="宋体" w:cs="宋体" w:eastAsia="宋体" w:hint="default"/>
          <w:sz w:val="18"/>
          <w:szCs w:val="18"/>
        </w:rPr>
      </w:pPr>
      <w:r>
        <w:rPr>
          <w:rFonts w:ascii="宋体" w:hAnsi="宋体" w:cs="宋体" w:eastAsia="宋体" w:hint="default"/>
          <w:sz w:val="18"/>
          <w:szCs w:val="18"/>
        </w:rPr>
        <w:t>出售资产情况概述 无</w:t>
      </w:r>
    </w:p>
    <w:p>
      <w:pPr>
        <w:spacing w:line="240" w:lineRule="auto" w:before="2"/>
        <w:rPr>
          <w:rFonts w:ascii="宋体" w:hAnsi="宋体" w:cs="宋体" w:eastAsia="宋体" w:hint="default"/>
          <w:sz w:val="20"/>
          <w:szCs w:val="20"/>
        </w:rPr>
      </w:pPr>
    </w:p>
    <w:p>
      <w:pPr>
        <w:pStyle w:val="Heading5"/>
        <w:spacing w:line="240" w:lineRule="auto"/>
        <w:ind w:right="97"/>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spacing w:before="0"/>
        <w:ind w:left="114" w:right="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0" w:top="1060" w:bottom="1160" w:left="1020" w:right="900"/>
        </w:sectPr>
      </w:pPr>
    </w:p>
    <w:p>
      <w:pPr>
        <w:spacing w:line="240" w:lineRule="auto" w:before="9"/>
        <w:rPr>
          <w:rFonts w:ascii="宋体" w:hAnsi="宋体" w:cs="宋体" w:eastAsia="宋体" w:hint="default"/>
          <w:sz w:val="23"/>
          <w:szCs w:val="23"/>
        </w:rPr>
      </w:pPr>
    </w:p>
    <w:p>
      <w:pPr>
        <w:pStyle w:val="Heading2"/>
        <w:spacing w:line="240" w:lineRule="auto"/>
        <w:ind w:right="105"/>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before="0"/>
        <w:ind w:right="105"/>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9"/>
        <w:gridCol w:w="797"/>
        <w:gridCol w:w="798"/>
        <w:gridCol w:w="798"/>
        <w:gridCol w:w="798"/>
        <w:gridCol w:w="798"/>
        <w:gridCol w:w="796"/>
        <w:gridCol w:w="797"/>
      </w:tblGrid>
      <w:tr>
        <w:trPr>
          <w:trHeight w:val="1026" w:hRule="exact"/>
        </w:trPr>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3"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319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9"/>
          <w:szCs w:val="19"/>
        </w:rPr>
      </w:pPr>
    </w:p>
    <w:p>
      <w:pPr>
        <w:spacing w:before="35"/>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7"/>
        <w:gridCol w:w="744"/>
        <w:gridCol w:w="736"/>
        <w:gridCol w:w="743"/>
        <w:gridCol w:w="736"/>
        <w:gridCol w:w="732"/>
        <w:gridCol w:w="734"/>
        <w:gridCol w:w="736"/>
        <w:gridCol w:w="734"/>
        <w:gridCol w:w="736"/>
        <w:gridCol w:w="739"/>
        <w:gridCol w:w="732"/>
        <w:gridCol w:w="728"/>
      </w:tblGrid>
      <w:tr>
        <w:trPr>
          <w:trHeight w:val="1338" w:hRule="exact"/>
        </w:trPr>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75" w:right="96"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5" w:right="9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9" w:right="90"/>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3" w:right="95"/>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70" w:right="9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706"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浙江宏 磊东南 房地产 开发有 限公司</w:t>
            </w:r>
          </w:p>
        </w:tc>
        <w:tc>
          <w:tcPr>
            <w:tcW w:w="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316" w:lineRule="auto"/>
              <w:ind w:left="22" w:right="169"/>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36" w:type="dxa"/>
            <w:tcBorders>
              <w:top w:val="single" w:sz="4" w:space="0" w:color="010101"/>
              <w:left w:val="single" w:sz="4" w:space="0" w:color="010101"/>
              <w:bottom w:val="single" w:sz="4" w:space="0" w:color="010101"/>
              <w:right w:val="single" w:sz="4" w:space="0" w:color="010101"/>
            </w:tcBorders>
          </w:tcPr>
          <w:p>
            <w:pPr/>
          </w:p>
        </w:tc>
        <w:tc>
          <w:tcPr>
            <w:tcW w:w="743" w:type="dxa"/>
            <w:tcBorders>
              <w:top w:val="single" w:sz="4" w:space="0" w:color="010101"/>
              <w:left w:val="single" w:sz="4" w:space="0" w:color="010101"/>
              <w:bottom w:val="single" w:sz="4" w:space="0" w:color="010101"/>
              <w:right w:val="single" w:sz="4" w:space="0" w:color="010101"/>
            </w:tcBorders>
          </w:tcPr>
          <w:p>
            <w:pPr>
              <w:pStyle w:val="TableParagraph"/>
              <w:spacing w:line="312" w:lineRule="exact" w:before="9"/>
              <w:ind w:left="22"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 自有资 金 </w:t>
            </w:r>
            <w:r>
              <w:rPr>
                <w:rFonts w:ascii="Times New Roman" w:hAnsi="Times New Roman" w:cs="Times New Roman" w:eastAsia="Times New Roman" w:hint="default"/>
                <w:sz w:val="18"/>
                <w:szCs w:val="18"/>
              </w:rPr>
              <w:t>9576.00</w:t>
            </w:r>
          </w:p>
          <w:p>
            <w:pPr>
              <w:pStyle w:val="TableParagraph"/>
              <w:spacing w:line="316" w:lineRule="auto" w:before="39"/>
              <w:ind w:left="22" w:right="168"/>
              <w:jc w:val="left"/>
              <w:rPr>
                <w:rFonts w:ascii="宋体" w:hAnsi="宋体" w:cs="宋体" w:eastAsia="宋体" w:hint="default"/>
                <w:sz w:val="18"/>
                <w:szCs w:val="18"/>
              </w:rPr>
            </w:pPr>
            <w:r>
              <w:rPr>
                <w:rFonts w:ascii="宋体" w:hAnsi="宋体" w:cs="宋体" w:eastAsia="宋体" w:hint="default"/>
                <w:sz w:val="18"/>
                <w:szCs w:val="18"/>
              </w:rPr>
              <w:t>万元收 购浙江 宏磊东 南房地 产开发 有限公 司持有 的诸暨 市宏润 小额贷 款有限 公司 </w:t>
            </w:r>
            <w:r>
              <w:rPr>
                <w:rFonts w:ascii="Times New Roman" w:hAnsi="Times New Roman" w:cs="Times New Roman" w:eastAsia="Times New Roman" w:hint="default"/>
                <w:sz w:val="18"/>
                <w:szCs w:val="18"/>
              </w:rPr>
              <w:t>14%</w:t>
            </w:r>
            <w:r>
              <w:rPr>
                <w:rFonts w:ascii="宋体" w:hAnsi="宋体" w:cs="宋体" w:eastAsia="宋体" w:hint="default"/>
                <w:sz w:val="18"/>
                <w:szCs w:val="18"/>
              </w:rPr>
              <w:t>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36" w:type="dxa"/>
            <w:tcBorders>
              <w:top w:val="single" w:sz="4" w:space="0" w:color="010101"/>
              <w:left w:val="single" w:sz="4" w:space="0" w:color="010101"/>
              <w:bottom w:val="single" w:sz="4" w:space="0" w:color="010101"/>
              <w:right w:val="single" w:sz="4" w:space="0" w:color="010101"/>
            </w:tcBorders>
          </w:tcPr>
          <w:p>
            <w:pPr/>
          </w:p>
        </w:tc>
        <w:tc>
          <w:tcPr>
            <w:tcW w:w="732"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9" w:type="dxa"/>
            <w:tcBorders>
              <w:top w:val="single" w:sz="4" w:space="0" w:color="010101"/>
              <w:left w:val="single" w:sz="4" w:space="0" w:color="010101"/>
              <w:bottom w:val="single" w:sz="4" w:space="0" w:color="010101"/>
              <w:right w:val="single" w:sz="4" w:space="0" w:color="010101"/>
            </w:tcBorders>
          </w:tcPr>
          <w:p>
            <w:pPr/>
          </w:p>
        </w:tc>
        <w:tc>
          <w:tcPr>
            <w:tcW w:w="7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09"/>
              <w:jc w:val="left"/>
              <w:rPr>
                <w:rFonts w:ascii="宋体" w:hAnsi="宋体" w:cs="宋体" w:eastAsia="宋体" w:hint="default"/>
                <w:sz w:val="18"/>
                <w:szCs w:val="18"/>
              </w:rPr>
            </w:pPr>
            <w:r>
              <w:rPr>
                <w:rFonts w:ascii="宋体" w:hAnsi="宋体" w:cs="宋体" w:eastAsia="宋体" w:hint="default"/>
                <w:sz w:val="18"/>
                <w:szCs w:val="18"/>
              </w:rPr>
              <w:t>详见公 司于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6" w:lineRule="auto" w:before="63"/>
              <w:ind w:left="22" w:right="154"/>
              <w:jc w:val="both"/>
              <w:rPr>
                <w:rFonts w:ascii="宋体" w:hAnsi="宋体" w:cs="宋体" w:eastAsia="宋体" w:hint="default"/>
                <w:sz w:val="18"/>
                <w:szCs w:val="18"/>
              </w:rPr>
            </w:pPr>
            <w:r>
              <w:rPr>
                <w:rFonts w:ascii="宋体" w:hAnsi="宋体" w:cs="宋体" w:eastAsia="宋体" w:hint="default"/>
                <w:sz w:val="18"/>
                <w:szCs w:val="18"/>
              </w:rPr>
              <w:t>日在巨 潮资讯 网</w:t>
            </w:r>
          </w:p>
          <w:p>
            <w:pPr>
              <w:pStyle w:val="TableParagraph"/>
              <w:spacing w:line="350" w:lineRule="auto" w:before="20"/>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p>
          <w:p>
            <w:pPr>
              <w:pStyle w:val="TableParagraph"/>
              <w:spacing w:line="22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pacing w:val="-12"/>
                <w:sz w:val="18"/>
                <w:szCs w:val="18"/>
              </w:rPr>
              <w:t>的《关于</w:t>
            </w:r>
            <w:r>
              <w:rPr>
                <w:rFonts w:ascii="宋体" w:hAnsi="宋体" w:cs="宋体" w:eastAsia="宋体" w:hint="default"/>
                <w:sz w:val="18"/>
                <w:szCs w:val="18"/>
              </w:rPr>
              <w:t> 收购资 产的公 </w:t>
            </w:r>
            <w:r>
              <w:rPr>
                <w:rFonts w:ascii="宋体" w:hAnsi="宋体" w:cs="宋体" w:eastAsia="宋体" w:hint="default"/>
                <w:spacing w:val="-23"/>
                <w:sz w:val="18"/>
                <w:szCs w:val="18"/>
              </w:rPr>
              <w:t>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2012-03</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9"/>
          <w:szCs w:val="19"/>
        </w:rPr>
      </w:pPr>
    </w:p>
    <w:p>
      <w:pPr>
        <w:spacing w:before="35"/>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2"/>
        <w:gridCol w:w="1066"/>
        <w:gridCol w:w="1066"/>
        <w:gridCol w:w="1066"/>
        <w:gridCol w:w="1064"/>
        <w:gridCol w:w="1063"/>
        <w:gridCol w:w="1063"/>
        <w:gridCol w:w="1056"/>
      </w:tblGrid>
      <w:tr>
        <w:trPr>
          <w:trHeight w:val="1026"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77"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hanging="2"/>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hanging="2"/>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after="0" w:line="316"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b/>
          <w:bCs/>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14" w:right="105" w:firstLine="0"/>
        <w:jc w:val="left"/>
        <w:rPr>
          <w:rFonts w:ascii="宋体" w:hAnsi="宋体" w:cs="宋体" w:eastAsia="宋体" w:hint="default"/>
          <w:sz w:val="18"/>
          <w:szCs w:val="18"/>
        </w:rPr>
      </w:pPr>
      <w:r>
        <w:rPr>
          <w:rFonts w:ascii="宋体" w:hAnsi="宋体" w:cs="宋体" w:eastAsia="宋体" w:hint="default"/>
          <w:sz w:val="18"/>
          <w:szCs w:val="18"/>
        </w:rPr>
        <w:t>□ 是 √ 否 </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5"/>
        <w:gridCol w:w="1120"/>
        <w:gridCol w:w="1118"/>
        <w:gridCol w:w="1120"/>
        <w:gridCol w:w="1118"/>
        <w:gridCol w:w="1120"/>
        <w:gridCol w:w="1118"/>
        <w:gridCol w:w="1120"/>
      </w:tblGrid>
      <w:tr>
        <w:trPr>
          <w:trHeight w:val="1026" w:hRule="exact"/>
        </w:trPr>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63" w:right="103"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3" w:right="10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line="357" w:lineRule="auto" w:before="0"/>
        <w:ind w:left="114" w:right="6490" w:firstLine="0"/>
        <w:jc w:val="left"/>
        <w:rPr>
          <w:rFonts w:ascii="宋体" w:hAnsi="宋体" w:cs="宋体" w:eastAsia="宋体" w:hint="default"/>
          <w:sz w:val="18"/>
          <w:szCs w:val="18"/>
        </w:rPr>
      </w:pPr>
      <w:r>
        <w:rPr>
          <w:rFonts w:ascii="宋体" w:hAnsi="宋体" w:cs="宋体" w:eastAsia="宋体" w:hint="default"/>
          <w:sz w:val="18"/>
          <w:szCs w:val="18"/>
        </w:rPr>
        <w:t>无 重大关联交易临时报告披露网站相关查询</w:t>
      </w:r>
    </w:p>
    <w:tbl>
      <w:tblPr>
        <w:tblW w:w="0" w:type="auto"/>
        <w:jc w:val="left"/>
        <w:tblInd w:w="109" w:type="dxa"/>
        <w:tblLayout w:type="fixed"/>
        <w:tblCellMar>
          <w:top w:w="0" w:type="dxa"/>
          <w:left w:w="0" w:type="dxa"/>
          <w:bottom w:w="0" w:type="dxa"/>
          <w:right w:w="0" w:type="dxa"/>
        </w:tblCellMar>
        <w:tblLook w:val="01E0"/>
      </w:tblPr>
      <w:tblGrid>
        <w:gridCol w:w="3460"/>
        <w:gridCol w:w="2650"/>
        <w:gridCol w:w="3460"/>
      </w:tblGrid>
      <w:tr>
        <w:trPr>
          <w:trHeight w:val="402" w:hRule="exact"/>
        </w:trPr>
        <w:tc>
          <w:tcPr>
            <w:tcW w:w="3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6"/>
        <w:rPr>
          <w:rFonts w:ascii="宋体" w:hAnsi="宋体" w:cs="宋体" w:eastAsia="宋体" w:hint="default"/>
          <w:sz w:val="19"/>
          <w:szCs w:val="19"/>
        </w:rPr>
      </w:pPr>
    </w:p>
    <w:p>
      <w:pPr>
        <w:pStyle w:val="Heading2"/>
        <w:spacing w:line="240" w:lineRule="auto"/>
        <w:ind w:right="105"/>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60" w:lineRule="auto" w:before="0"/>
        <w:ind w:left="114" w:right="8650"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6"/>
        <w:ind w:left="114" w:right="10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14" w:right="8650"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6"/>
        <w:ind w:left="114" w:right="10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8650"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14" w:right="10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footerReference w:type="default" r:id="rId21"/>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07"/>
        <w:gridCol w:w="940"/>
        <w:gridCol w:w="935"/>
        <w:gridCol w:w="1212"/>
        <w:gridCol w:w="1178"/>
        <w:gridCol w:w="1094"/>
        <w:gridCol w:w="1015"/>
        <w:gridCol w:w="803"/>
        <w:gridCol w:w="788"/>
      </w:tblGrid>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10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357" w:lineRule="auto" w:before="50"/>
        <w:ind w:left="114" w:right="703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4"/>
        <w:rPr>
          <w:rFonts w:ascii="宋体" w:hAnsi="宋体" w:cs="宋体" w:eastAsia="宋体" w:hint="default"/>
          <w:sz w:val="20"/>
          <w:szCs w:val="20"/>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8"/>
        <w:gridCol w:w="1984"/>
        <w:gridCol w:w="1982"/>
        <w:gridCol w:w="1981"/>
        <w:gridCol w:w="1982"/>
      </w:tblGrid>
      <w:tr>
        <w:trPr>
          <w:trHeight w:val="402"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30"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6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30"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9"/>
        <w:gridCol w:w="869"/>
        <w:gridCol w:w="869"/>
        <w:gridCol w:w="869"/>
        <w:gridCol w:w="869"/>
        <w:gridCol w:w="870"/>
      </w:tblGrid>
      <w:tr>
        <w:trPr>
          <w:trHeight w:val="1338" w:hRule="exact"/>
        </w:trPr>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8"/>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0" w:firstLine="48"/>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line="240" w:lineRule="auto" w:before="12"/>
        <w:rPr>
          <w:rFonts w:ascii="宋体" w:hAnsi="宋体" w:cs="宋体" w:eastAsia="宋体" w:hint="default"/>
          <w:b/>
          <w:bCs/>
          <w:sz w:val="17"/>
          <w:szCs w:val="17"/>
        </w:rPr>
      </w:pPr>
    </w:p>
    <w:p>
      <w:pPr>
        <w:pStyle w:val="Heading2"/>
        <w:spacing w:line="240" w:lineRule="auto"/>
        <w:ind w:right="105"/>
        <w:jc w:val="left"/>
        <w:rPr>
          <w:b w:val="0"/>
          <w:bCs w:val="0"/>
        </w:rPr>
      </w:pPr>
      <w:r>
        <w:rPr/>
        <w:pict>
          <v:shape style="position:absolute;margin-left:154.320007pt;margin-top:-78.704079pt;width:76.2pt;height:66.55pt;mso-position-horizontal-relative:page;mso-position-vertical-relative:paragraph;z-index:-8349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820297pt;margin-top:-78.704079pt;width:76.2pt;height:66.55pt;mso-position-horizontal-relative:page;mso-position-vertical-relative:paragraph;z-index:-8348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275.579987pt;margin-top:-78.704079pt;width:85.35pt;height:66.55pt;mso-position-horizontal-relative:page;mso-position-vertical-relative:paragraph;z-index:-834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日（如有）</w:t>
                  </w:r>
                </w:p>
              </w:txbxContent>
            </v:textbox>
            <w10:wrap type="none"/>
          </v:shape>
        </w:pict>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、公司或持股</w:t>
      </w:r>
      <w:r>
        <w:rPr>
          <w:spacing w:val="-7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22"/>
          <w:pgSz w:w="11910" w:h="16840"/>
          <w:pgMar w:footer="980" w:header="747" w:top="1060" w:bottom="1160" w:left="1020" w:right="1020"/>
          <w:pgNumType w:start="31"/>
        </w:sectPr>
      </w:pPr>
    </w:p>
    <w:p>
      <w:pPr>
        <w:spacing w:line="240" w:lineRule="auto" w:before="8"/>
        <w:rPr>
          <w:rFonts w:ascii="宋体" w:hAnsi="宋体" w:cs="宋体" w:eastAsia="宋体" w:hint="default"/>
          <w:b/>
          <w:bCs/>
          <w:sz w:val="28"/>
          <w:szCs w:val="28"/>
        </w:rPr>
      </w:pPr>
      <w:r>
        <w:rPr/>
        <w:pict>
          <v:group style="position:absolute;margin-left:344.160004pt;margin-top:110.699997pt;width:63.5pt;height:394.05pt;mso-position-horizontal-relative:page;mso-position-vertical-relative:page;z-index:-834832" coordorigin="6883,2214" coordsize="1270,7881">
            <v:shape style="position:absolute;left:6883;top:2214;width:1270;height:7881" coordorigin="6883,2214" coordsize="1270,7881" path="m6883,10095l8153,10095,8153,2214,6883,2214,6883,10095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6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7890"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戚建萍、戚建 </w:t>
            </w:r>
            <w:r>
              <w:rPr>
                <w:rFonts w:ascii="宋体" w:hAnsi="宋体" w:cs="宋体" w:eastAsia="宋体" w:hint="default"/>
                <w:spacing w:val="-6"/>
                <w:sz w:val="18"/>
                <w:szCs w:val="18"/>
              </w:rPr>
              <w:t>生、戚建华、金</w:t>
            </w:r>
            <w:r>
              <w:rPr>
                <w:rFonts w:ascii="宋体" w:hAnsi="宋体" w:cs="宋体" w:eastAsia="宋体" w:hint="default"/>
                <w:sz w:val="18"/>
                <w:szCs w:val="18"/>
              </w:rPr>
              <w:t> 磊、金敏燕</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承诺自公司股 票上市之日起 三十六个月内， 不转让或委托 他人管理其在 本次发行前持 有的公司股份， 也不由公司收 购该部分股份。 并且在任职期 间每年所转让 的股份不超过 本人所持有股 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离职后半年内， 不转让本人所 </w:t>
            </w:r>
            <w:r>
              <w:rPr>
                <w:rFonts w:ascii="宋体" w:hAnsi="宋体" w:cs="宋体" w:eastAsia="宋体" w:hint="default"/>
                <w:spacing w:val="-6"/>
                <w:sz w:val="18"/>
                <w:szCs w:val="18"/>
              </w:rPr>
              <w:t>持有的股份，离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职六个月后的 十二个月内通 过证券交易所 挂牌交易出售 股票数量占本 人所持有股份 总数的比例不 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截止本报告期末，上述承诺事项均在严格履行中。</w:t>
            </w:r>
          </w:p>
        </w:tc>
      </w:tr>
    </w:tbl>
    <w:p>
      <w:pPr>
        <w:spacing w:line="240" w:lineRule="auto" w:before="2"/>
        <w:rPr>
          <w:rFonts w:ascii="宋体" w:hAnsi="宋体" w:cs="宋体" w:eastAsia="宋体" w:hint="default"/>
          <w:b/>
          <w:bCs/>
          <w:sz w:val="19"/>
          <w:szCs w:val="19"/>
        </w:rPr>
      </w:pPr>
    </w:p>
    <w:p>
      <w:pPr>
        <w:spacing w:line="256" w:lineRule="auto" w:before="35"/>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54"/>
          <w:sz w:val="21"/>
          <w:szCs w:val="21"/>
        </w:rPr>
        <w:t> </w:t>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5"/>
        <w:gridCol w:w="1196"/>
        <w:gridCol w:w="1196"/>
        <w:gridCol w:w="1198"/>
        <w:gridCol w:w="1196"/>
      </w:tblGrid>
      <w:tr>
        <w:trPr>
          <w:trHeight w:val="714" w:hRule="exact"/>
        </w:trPr>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50"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02"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02" w:right="5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00"/>
        </w:sectPr>
      </w:pPr>
    </w:p>
    <w:p>
      <w:pPr>
        <w:spacing w:line="240" w:lineRule="auto" w:before="9"/>
        <w:rPr>
          <w:rFonts w:ascii="宋体" w:hAnsi="宋体" w:cs="宋体" w:eastAsia="宋体" w:hint="default"/>
          <w:b/>
          <w:bCs/>
          <w:sz w:val="23"/>
          <w:szCs w:val="23"/>
        </w:rPr>
      </w:pPr>
    </w:p>
    <w:p>
      <w:pPr>
        <w:spacing w:before="26"/>
        <w:ind w:left="114" w:right="97"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97"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7"/>
        <w:gridCol w:w="5682"/>
      </w:tblGrid>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陈曙、黄元喜</w:t>
            </w:r>
          </w:p>
        </w:tc>
      </w:tr>
    </w:tbl>
    <w:p>
      <w:pPr>
        <w:spacing w:before="49"/>
        <w:ind w:left="114"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14" w:right="5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before="0"/>
        <w:ind w:right="0"/>
        <w:jc w:val="both"/>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0"/>
        <w:rPr>
          <w:rFonts w:ascii="宋体" w:hAnsi="宋体" w:cs="宋体" w:eastAsia="宋体" w:hint="default"/>
          <w:b/>
          <w:bCs/>
          <w:sz w:val="23"/>
          <w:szCs w:val="23"/>
        </w:rPr>
      </w:pPr>
    </w:p>
    <w:p>
      <w:pPr>
        <w:pStyle w:val="Heading3"/>
        <w:spacing w:line="312" w:lineRule="exact"/>
        <w:ind w:left="593" w:right="97"/>
        <w:jc w:val="left"/>
      </w:pPr>
      <w:r>
        <w:rPr/>
        <w:t>一、监事会对审计意见中的强调事项的意见 根据《深圳证券交易所股票上市规则》和《关于做好上市公司</w:t>
      </w:r>
      <w:r>
        <w:rPr>
          <w:rFonts w:ascii="Times New Roman" w:hAnsi="Times New Roman" w:cs="Times New Roman" w:eastAsia="Times New Roman" w:hint="default"/>
        </w:rPr>
        <w:t>2012</w:t>
      </w:r>
      <w:r>
        <w:rPr/>
        <w:t>年年度报告披露工作</w:t>
      </w:r>
    </w:p>
    <w:p>
      <w:pPr>
        <w:spacing w:line="312" w:lineRule="exact" w:before="0"/>
        <w:ind w:left="114" w:right="225" w:firstLine="0"/>
        <w:jc w:val="both"/>
        <w:rPr>
          <w:rFonts w:ascii="宋体" w:hAnsi="宋体" w:cs="宋体" w:eastAsia="宋体" w:hint="default"/>
          <w:sz w:val="24"/>
          <w:szCs w:val="24"/>
        </w:rPr>
      </w:pPr>
      <w:r>
        <w:rPr>
          <w:rFonts w:ascii="宋体" w:hAnsi="宋体" w:cs="宋体" w:eastAsia="宋体" w:hint="default"/>
          <w:sz w:val="24"/>
          <w:szCs w:val="24"/>
        </w:rPr>
        <w:t>的通知》等有关规定，公司监事会对</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年度的财务报告、天健会计师事务所（特殊普通合</w:t>
      </w:r>
      <w:r>
        <w:rPr>
          <w:rFonts w:ascii="宋体" w:hAnsi="宋体" w:cs="宋体" w:eastAsia="宋体" w:hint="default"/>
          <w:spacing w:val="-86"/>
          <w:sz w:val="24"/>
          <w:szCs w:val="24"/>
        </w:rPr>
        <w:t> </w:t>
      </w:r>
      <w:r>
        <w:rPr>
          <w:rFonts w:ascii="宋体" w:hAnsi="宋体" w:cs="宋体" w:eastAsia="宋体" w:hint="default"/>
          <w:sz w:val="24"/>
          <w:szCs w:val="24"/>
        </w:rPr>
        <w:t>伙）出具的带强调事项段的无保留意见审计报告、董事会编制的《关于对会计师事务所出具</w:t>
      </w:r>
      <w:r>
        <w:rPr>
          <w:rFonts w:ascii="宋体" w:hAnsi="宋体" w:cs="宋体" w:eastAsia="宋体" w:hint="default"/>
          <w:sz w:val="24"/>
          <w:szCs w:val="24"/>
        </w:rPr>
        <w:t> 的带强调事项段的无保留审计意见涉及事项的专项说明》等进行了认真的审核，并提出如下 书面审核意见：</w:t>
      </w:r>
    </w:p>
    <w:p>
      <w:pPr>
        <w:spacing w:line="312" w:lineRule="exact" w:before="0"/>
        <w:ind w:left="113" w:right="97" w:firstLine="480"/>
        <w:jc w:val="left"/>
        <w:rPr>
          <w:rFonts w:ascii="宋体" w:hAnsi="宋体" w:cs="宋体" w:eastAsia="宋体" w:hint="default"/>
          <w:sz w:val="24"/>
          <w:szCs w:val="24"/>
        </w:rPr>
      </w:pPr>
      <w:r>
        <w:rPr>
          <w:rFonts w:ascii="宋体" w:hAnsi="宋体" w:cs="宋体" w:eastAsia="宋体" w:hint="default"/>
          <w:spacing w:val="-3"/>
          <w:sz w:val="24"/>
          <w:szCs w:val="24"/>
        </w:rPr>
        <w:t>我们认可审计报告的强调事项内容，同时也同意公司董事会就上述事项所做的专项说明，</w:t>
      </w:r>
      <w:r>
        <w:rPr>
          <w:rFonts w:ascii="宋体" w:hAnsi="宋体" w:cs="宋体" w:eastAsia="宋体" w:hint="default"/>
          <w:sz w:val="24"/>
          <w:szCs w:val="24"/>
        </w:rPr>
        <w:t> 希望董事会和管理层尽快采取有效措施消除强调事项段提及的内容，切实维护广大中小投资 者的利益。</w:t>
      </w:r>
    </w:p>
    <w:p>
      <w:pPr>
        <w:spacing w:line="312" w:lineRule="exact" w:before="0"/>
        <w:ind w:left="593" w:right="97" w:firstLine="0"/>
        <w:jc w:val="left"/>
        <w:rPr>
          <w:rFonts w:ascii="宋体" w:hAnsi="宋体" w:cs="宋体" w:eastAsia="宋体" w:hint="default"/>
          <w:sz w:val="24"/>
          <w:szCs w:val="24"/>
        </w:rPr>
      </w:pPr>
      <w:r>
        <w:rPr>
          <w:rFonts w:ascii="宋体" w:hAnsi="宋体" w:cs="宋体" w:eastAsia="宋体" w:hint="default"/>
          <w:sz w:val="24"/>
          <w:szCs w:val="24"/>
        </w:rPr>
        <w:t>二、独立董事关于对审计意见中的强调事项的意见 我们对公司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年度的财务报告及天健会计师事务所（特殊普通合伙）出具的带强调事</w:t>
      </w:r>
    </w:p>
    <w:p>
      <w:pPr>
        <w:spacing w:line="312" w:lineRule="exact" w:before="0"/>
        <w:ind w:left="113" w:right="93" w:firstLine="0"/>
        <w:jc w:val="left"/>
        <w:rPr>
          <w:rFonts w:ascii="宋体" w:hAnsi="宋体" w:cs="宋体" w:eastAsia="宋体" w:hint="default"/>
          <w:sz w:val="24"/>
          <w:szCs w:val="24"/>
        </w:rPr>
      </w:pPr>
      <w:r>
        <w:rPr>
          <w:rFonts w:ascii="宋体" w:hAnsi="宋体" w:cs="宋体" w:eastAsia="宋体" w:hint="default"/>
          <w:sz w:val="24"/>
          <w:szCs w:val="24"/>
        </w:rPr>
        <w:t>项段的无保留意见审计报告进行了认真审阅，并对财务报告和审计报告的有关内容与注册会 计师、公司管理层等进行了专门交谈沟通和实际调研，我们认可审计报告的强调事项内容， </w:t>
      </w:r>
      <w:r>
        <w:rPr>
          <w:rFonts w:ascii="宋体" w:hAnsi="宋体" w:cs="宋体" w:eastAsia="宋体" w:hint="default"/>
          <w:spacing w:val="-2"/>
          <w:sz w:val="24"/>
          <w:szCs w:val="24"/>
        </w:rPr>
        <w:t>也同意公司董事会对该事项的相关说明及处理意见。希望董事会和管理层积极采取切实措施，</w:t>
      </w:r>
      <w:r>
        <w:rPr>
          <w:rFonts w:ascii="宋体" w:hAnsi="宋体" w:cs="宋体" w:eastAsia="宋体" w:hint="default"/>
          <w:sz w:val="24"/>
          <w:szCs w:val="24"/>
        </w:rPr>
        <w:t> </w:t>
      </w:r>
      <w:r>
        <w:rPr>
          <w:rFonts w:ascii="宋体" w:hAnsi="宋体" w:cs="宋体" w:eastAsia="宋体" w:hint="default"/>
          <w:spacing w:val="-3"/>
          <w:sz w:val="24"/>
          <w:szCs w:val="24"/>
        </w:rPr>
        <w:t>妥善处理好关联方资金占用问题，使公司持续、稳定、健康发展，维护公司和中小股东利益。</w:t>
      </w:r>
    </w:p>
    <w:p>
      <w:pPr>
        <w:spacing w:line="312" w:lineRule="exact" w:before="0"/>
        <w:ind w:left="593" w:right="97" w:firstLine="0"/>
        <w:jc w:val="left"/>
        <w:rPr>
          <w:rFonts w:ascii="宋体" w:hAnsi="宋体" w:cs="宋体" w:eastAsia="宋体" w:hint="default"/>
          <w:sz w:val="24"/>
          <w:szCs w:val="24"/>
        </w:rPr>
      </w:pPr>
      <w:r>
        <w:rPr>
          <w:rFonts w:ascii="宋体" w:hAnsi="宋体" w:cs="宋体" w:eastAsia="宋体" w:hint="default"/>
          <w:sz w:val="24"/>
          <w:szCs w:val="24"/>
        </w:rPr>
        <w:t>独立董事对资金占用情况及解决方案的独立意见 我们作为浙江宏磊铜业股份有限公司（以下简称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公司</w:t>
      </w:r>
      <w:r>
        <w:rPr>
          <w:rFonts w:ascii="Times New Roman" w:hAnsi="Times New Roman" w:cs="Times New Roman" w:eastAsia="Times New Roman" w:hint="default"/>
          <w:sz w:val="24"/>
          <w:szCs w:val="24"/>
        </w:rPr>
        <w:t>”</w:t>
      </w:r>
      <w:r>
        <w:rPr>
          <w:rFonts w:ascii="宋体" w:hAnsi="宋体" w:cs="宋体" w:eastAsia="宋体" w:hint="default"/>
          <w:sz w:val="24"/>
          <w:szCs w:val="24"/>
        </w:rPr>
        <w:t>）的独立董事，认真审核了《浙</w:t>
      </w:r>
    </w:p>
    <w:p>
      <w:pPr>
        <w:spacing w:line="312" w:lineRule="exact" w:before="0"/>
        <w:ind w:left="113" w:right="222" w:firstLine="0"/>
        <w:jc w:val="both"/>
        <w:rPr>
          <w:rFonts w:ascii="宋体" w:hAnsi="宋体" w:cs="宋体" w:eastAsia="宋体" w:hint="default"/>
          <w:sz w:val="24"/>
          <w:szCs w:val="24"/>
        </w:rPr>
      </w:pPr>
      <w:r>
        <w:rPr>
          <w:rFonts w:ascii="宋体" w:hAnsi="宋体" w:cs="宋体" w:eastAsia="宋体" w:hint="default"/>
          <w:sz w:val="24"/>
          <w:szCs w:val="24"/>
        </w:rPr>
        <w:t>江宏磊铜业股份有限公司董事会关于对会计师事务所出具的带强调事项的无保留审计意见涉 及事项的专项说明》、《浙江宏磊铜业股份有限公司董事会关于公司关联方资金使用问题解 决方案的报告》所提出的解决方案以及浙江宏磊控股集团有限公司出具的《承诺函》，根据 中国证监会（</w:t>
      </w:r>
      <w:r>
        <w:rPr>
          <w:rFonts w:ascii="Times New Roman" w:hAnsi="Times New Roman" w:cs="Times New Roman" w:eastAsia="Times New Roman" w:hint="default"/>
          <w:sz w:val="24"/>
          <w:szCs w:val="24"/>
        </w:rPr>
        <w:t>2003</w:t>
      </w:r>
      <w:r>
        <w:rPr>
          <w:rFonts w:ascii="宋体" w:hAnsi="宋体" w:cs="宋体" w:eastAsia="宋体" w:hint="default"/>
          <w:sz w:val="24"/>
          <w:szCs w:val="24"/>
        </w:rPr>
        <w:t>）</w:t>
      </w:r>
      <w:r>
        <w:rPr>
          <w:rFonts w:ascii="Times New Roman" w:hAnsi="Times New Roman" w:cs="Times New Roman" w:eastAsia="Times New Roman" w:hint="default"/>
          <w:sz w:val="24"/>
          <w:szCs w:val="24"/>
        </w:rPr>
        <w:t>56</w:t>
      </w:r>
      <w:r>
        <w:rPr>
          <w:rFonts w:ascii="宋体" w:hAnsi="宋体" w:cs="宋体" w:eastAsia="宋体" w:hint="default"/>
          <w:sz w:val="24"/>
          <w:szCs w:val="24"/>
        </w:rPr>
        <w:t>号《关于规范上市公司与关联方资金往来及上市公司对外担保若干问</w:t>
      </w:r>
      <w:r>
        <w:rPr>
          <w:rFonts w:ascii="宋体" w:hAnsi="宋体" w:cs="宋体" w:eastAsia="宋体" w:hint="default"/>
          <w:spacing w:val="-83"/>
          <w:sz w:val="24"/>
          <w:szCs w:val="24"/>
        </w:rPr>
        <w:t> </w:t>
      </w:r>
      <w:r>
        <w:rPr>
          <w:rFonts w:ascii="宋体" w:hAnsi="宋体" w:cs="宋体" w:eastAsia="宋体" w:hint="default"/>
          <w:sz w:val="24"/>
          <w:szCs w:val="24"/>
        </w:rPr>
        <w:t>题的通知》、《深圳证券交易所股票上市规则》的有关法规的规定，发表如下独立意见：</w:t>
      </w:r>
    </w:p>
    <w:p>
      <w:pPr>
        <w:spacing w:line="312" w:lineRule="exact" w:before="0"/>
        <w:ind w:left="113" w:right="97"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、宏磊控股积极通过向银行等金融机构筹资以及处置股权、实物资产和土地等资产盘活</w:t>
      </w:r>
      <w:r>
        <w:rPr>
          <w:rFonts w:ascii="宋体" w:hAnsi="宋体" w:cs="宋体" w:eastAsia="宋体" w:hint="default"/>
          <w:sz w:val="24"/>
          <w:szCs w:val="24"/>
        </w:rPr>
        <w:t> 资金，在一个月内还清资金占用款的方案是的可行方案。</w:t>
      </w:r>
    </w:p>
    <w:p>
      <w:pPr>
        <w:spacing w:line="312" w:lineRule="exact" w:before="0"/>
        <w:ind w:left="113" w:right="97"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、我们认为公司关联方占用公司资金情况及解决方案不构成《深圳证券交易所股票上市</w:t>
      </w:r>
      <w:r>
        <w:rPr>
          <w:rFonts w:ascii="宋体" w:hAnsi="宋体" w:cs="宋体" w:eastAsia="宋体" w:hint="default"/>
          <w:sz w:val="24"/>
          <w:szCs w:val="24"/>
        </w:rPr>
        <w:t> 规则》第十三章《风险警示》</w:t>
      </w:r>
      <w:r>
        <w:rPr>
          <w:rFonts w:ascii="Times New Roman" w:hAnsi="Times New Roman" w:cs="Times New Roman" w:eastAsia="Times New Roman" w:hint="default"/>
          <w:sz w:val="24"/>
          <w:szCs w:val="24"/>
        </w:rPr>
        <w:t>13.3.1/13.3.2</w:t>
      </w:r>
      <w:r>
        <w:rPr>
          <w:rFonts w:ascii="宋体" w:hAnsi="宋体" w:cs="宋体" w:eastAsia="宋体" w:hint="default"/>
          <w:sz w:val="24"/>
          <w:szCs w:val="24"/>
        </w:rPr>
        <w:t>条款中有关情形。</w:t>
      </w:r>
    </w:p>
    <w:p>
      <w:pPr>
        <w:spacing w:line="302" w:lineRule="exact" w:before="0"/>
        <w:ind w:left="593" w:right="9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、我们认为不用实行其他风险警示。</w:t>
      </w:r>
    </w:p>
    <w:p>
      <w:pPr>
        <w:spacing w:after="0" w:line="302" w:lineRule="exact"/>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十一、其他重大事项的说明</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4"/>
          <w:szCs w:val="24"/>
        </w:rPr>
      </w:pPr>
    </w:p>
    <w:p>
      <w:pPr>
        <w:pStyle w:val="BodyText"/>
        <w:spacing w:line="240" w:lineRule="auto"/>
        <w:ind w:left="534" w:right="0"/>
        <w:jc w:val="left"/>
      </w:pPr>
      <w:r>
        <w:rPr/>
        <w:t>本报告期内，公司在中国证监会指定信息披露媒体《证券时报》、《证券日报》、《中国证券报》、</w:t>
      </w:r>
    </w:p>
    <w:p>
      <w:pPr>
        <w:pStyle w:val="BodyText"/>
        <w:spacing w:line="240" w:lineRule="auto" w:before="36"/>
        <w:ind w:right="0"/>
        <w:jc w:val="left"/>
      </w:pPr>
      <w:r>
        <w:rPr/>
        <w:t>《上海证券报》及巨潮资讯网</w:t>
      </w:r>
      <w:hyperlink r:id="rId23">
        <w:r>
          <w:rPr>
            <w:rFonts w:ascii="Times New Roman" w:hAnsi="Times New Roman" w:cs="Times New Roman" w:eastAsia="Times New Roman" w:hint="default"/>
          </w:rPr>
          <w:t>www.cninfo.com.cn</w:t>
        </w:r>
        <w:r>
          <w:rPr/>
          <w:t>上刊登了以下公告：</w:t>
        </w:r>
      </w:hyperlink>
    </w:p>
    <w:p>
      <w:pPr>
        <w:spacing w:line="240" w:lineRule="auto" w:before="9"/>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080"/>
        <w:gridCol w:w="5940"/>
        <w:gridCol w:w="1800"/>
      </w:tblGrid>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公司第二届董事会第六次会议决议公告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2012-002</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公司第二届监事会第四次会议决议公告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2012-003</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关于设立募集资金专项账户和签订募集资金三方监管协议的公告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2012-004</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关于使用超募资金永久性补充公司流动资金的公告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2012-005</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关于用募集资金置换先期投入的公告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2012-006</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2012-007</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年度业绩预告的公告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2012-008</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公司第二届董事会第七次会议决议的公告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2012-009</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公司第二届监事会第五次会议决议的公告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2012-010</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关于使用部分募集资金临时性补充流动资金的公告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年第一次临时股东大会通知的公告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2012-012</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年度业绩快报</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2012-013</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年第一次临时股东大会决议公告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03</w:t>
            </w:r>
            <w:r>
              <w:rPr>
                <w:rFonts w:ascii="宋体" w:hAnsi="宋体" w:cs="宋体" w:eastAsia="宋体" w:hint="default"/>
                <w:sz w:val="21"/>
                <w:szCs w:val="21"/>
              </w:rPr>
              <w:t>月</w:t>
            </w:r>
            <w:r>
              <w:rPr>
                <w:rFonts w:ascii="Times New Roman" w:hAnsi="Times New Roman" w:cs="Times New Roman" w:eastAsia="Times New Roman" w:hint="default"/>
                <w:sz w:val="21"/>
                <w:szCs w:val="21"/>
              </w:rPr>
              <w:t>01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2012-014</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关于副总经理离职的公告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03</w:t>
            </w:r>
            <w:r>
              <w:rPr>
                <w:rFonts w:ascii="宋体" w:hAnsi="宋体" w:cs="宋体" w:eastAsia="宋体" w:hint="default"/>
                <w:sz w:val="21"/>
                <w:szCs w:val="21"/>
              </w:rPr>
              <w:t>月</w:t>
            </w:r>
            <w:r>
              <w:rPr>
                <w:rFonts w:ascii="Times New Roman" w:hAnsi="Times New Roman" w:cs="Times New Roman" w:eastAsia="Times New Roman" w:hint="default"/>
                <w:sz w:val="21"/>
                <w:szCs w:val="21"/>
              </w:rPr>
              <w:t>02</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2012-015</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03</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r>
      <w:tr>
        <w:trPr>
          <w:trHeight w:val="659"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2012-016</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56" w:lineRule="auto"/>
              <w:ind w:left="2" w:right="6"/>
              <w:jc w:val="left"/>
              <w:rPr>
                <w:rFonts w:ascii="宋体" w:hAnsi="宋体" w:cs="宋体" w:eastAsia="宋体" w:hint="default"/>
                <w:sz w:val="21"/>
                <w:szCs w:val="21"/>
              </w:rPr>
            </w:pPr>
            <w:r>
              <w:rPr>
                <w:rFonts w:ascii="宋体" w:hAnsi="宋体" w:cs="宋体" w:eastAsia="宋体" w:hint="default"/>
                <w:sz w:val="21"/>
                <w:szCs w:val="21"/>
              </w:rPr>
              <w:t>关于《年产</w:t>
            </w:r>
            <w:r>
              <w:rPr>
                <w:rFonts w:ascii="Times New Roman" w:hAnsi="Times New Roman" w:cs="Times New Roman" w:eastAsia="Times New Roman" w:hint="default"/>
                <w:sz w:val="21"/>
                <w:szCs w:val="21"/>
              </w:rPr>
              <w:t>15</w:t>
            </w:r>
            <w:r>
              <w:rPr>
                <w:rFonts w:ascii="宋体" w:hAnsi="宋体" w:cs="宋体" w:eastAsia="宋体" w:hint="default"/>
                <w:sz w:val="21"/>
                <w:szCs w:val="21"/>
              </w:rPr>
              <w:t>万吨高性能铜及铜合金杆材》募集资金项目实施进</w:t>
            </w:r>
            <w:r>
              <w:rPr>
                <w:rFonts w:ascii="宋体" w:hAnsi="宋体" w:cs="宋体" w:eastAsia="宋体" w:hint="default"/>
                <w:spacing w:val="-78"/>
                <w:sz w:val="21"/>
                <w:szCs w:val="21"/>
              </w:rPr>
              <w:t> </w:t>
            </w:r>
            <w:r>
              <w:rPr>
                <w:rFonts w:ascii="宋体" w:hAnsi="宋体" w:cs="宋体" w:eastAsia="宋体" w:hint="default"/>
                <w:sz w:val="21"/>
                <w:szCs w:val="21"/>
              </w:rPr>
              <w:t>度的公告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03</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2012-017</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公司第二届董事会第八次会议决议公告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2012-018</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公司第二届监事会第六次会议决议公告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2012-019</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年年度报告摘要</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2012-020</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关于募集资金年度存放与使用情况的专项报告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关于为子公司提供担保的公告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2012-022</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关于拟发行公司债券的公告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2012-023</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年度继续开展期货套期保值业务的公告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2012-024</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关于使用银行承兑汇票支付募集资金投资项目资金的公告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2012-025</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年第一季度季度报告正文</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2012-026</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年度股东大会通知的公告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2012-027</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年度业绩网上说明会的公告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2012-028</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关于募集资金三方监管协议之补充协议的公告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2012-029</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关于股权质押的公告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2012-030</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年度股东大会决议公告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bl>
    <w:p>
      <w:pPr>
        <w:spacing w:after="0" w:line="285" w:lineRule="exact"/>
        <w:jc w:val="left"/>
        <w:rPr>
          <w:rFonts w:ascii="宋体" w:hAnsi="宋体" w:cs="宋体" w:eastAsia="宋体" w:hint="default"/>
          <w:sz w:val="21"/>
          <w:szCs w:val="21"/>
        </w:rPr>
        <w:sectPr>
          <w:pgSz w:w="11910" w:h="16840"/>
          <w:pgMar w:header="747" w:footer="980" w:top="1060" w:bottom="1160" w:left="1020" w:right="1000"/>
        </w:sectPr>
      </w:pPr>
    </w:p>
    <w:p>
      <w:pPr>
        <w:spacing w:line="240" w:lineRule="auto" w:before="8"/>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080"/>
        <w:gridCol w:w="5940"/>
        <w:gridCol w:w="1800"/>
      </w:tblGrid>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2012-031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公司第二届董事会第九次会议决议公告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05</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2012-032</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关于签订募集资金四方监管协议的公告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2012-033</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关于完成控股子公司增资的公告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2012-034</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年年度权益分派实施公告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06</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2012-035</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公司第二届董事会第十次会议决议公告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2012-036</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年第二次临时股东大会通知的公告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2012-037</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关于收购资产的公告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2012-038</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年半年度业绩预告修正公告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2012-039</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年第二次临时股东大会决议公告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2012-040</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关于股权质押的公告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04</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公司第二届董事会第十一次会议决议公告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2012-042</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公司第二届监事会第七次会议决议公告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2012-043</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年第三次临时股东大会通知的公告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2012-044</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关于继续以部分闲置募集资金临时性补充公司流动资金的公告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2012-045</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年半年度报告摘要</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2012-046</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关于归还闲置募集资金临时性补充流动资金的公告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2012-047</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年第三次临时股东大会决议公告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2012-048</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关于全资子公司江西宏磊铜业有限公司延长经营期限的公告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09</w:t>
            </w:r>
            <w:r>
              <w:rPr>
                <w:rFonts w:ascii="宋体" w:hAnsi="宋体" w:cs="宋体" w:eastAsia="宋体" w:hint="default"/>
                <w:sz w:val="21"/>
                <w:szCs w:val="21"/>
              </w:rPr>
              <w:t>月</w:t>
            </w:r>
            <w:r>
              <w:rPr>
                <w:rFonts w:ascii="Times New Roman" w:hAnsi="Times New Roman" w:cs="Times New Roman" w:eastAsia="Times New Roman" w:hint="default"/>
                <w:sz w:val="21"/>
                <w:szCs w:val="21"/>
              </w:rPr>
              <w:t>08</w:t>
            </w:r>
            <w:r>
              <w:rPr>
                <w:rFonts w:ascii="宋体" w:hAnsi="宋体" w:cs="宋体" w:eastAsia="宋体" w:hint="default"/>
                <w:sz w:val="21"/>
                <w:szCs w:val="21"/>
              </w:rPr>
              <w:t>日</w:t>
            </w:r>
          </w:p>
        </w:tc>
      </w:tr>
      <w:tr>
        <w:trPr>
          <w:trHeight w:val="348"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2012-049</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年第三季度报告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2012-050</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关于股权质押的公告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347" w:hRule="exact"/>
        </w:trPr>
        <w:tc>
          <w:tcPr>
            <w:tcW w:w="108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2012-051</w:t>
            </w:r>
          </w:p>
        </w:tc>
        <w:tc>
          <w:tcPr>
            <w:tcW w:w="5940"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关于首次公开发行前已发行股份上市流通的提示性公告</w:t>
            </w:r>
          </w:p>
        </w:tc>
        <w:tc>
          <w:tcPr>
            <w:tcW w:w="18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right="105"/>
        <w:jc w:val="left"/>
        <w:rPr>
          <w:b w:val="0"/>
          <w:bCs w:val="0"/>
        </w:rPr>
      </w:pPr>
      <w:r>
        <w:rPr/>
        <w:t>十二、公司子公司重要事项</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13" w:right="108" w:firstLine="420"/>
        <w:jc w:val="both"/>
      </w:pPr>
      <w:r>
        <w:rPr>
          <w:rFonts w:ascii="Times New Roman" w:hAnsi="Times New Roman" w:cs="Times New Roman" w:eastAsia="Times New Roman" w:hint="default"/>
        </w:rPr>
        <w:t>1</w:t>
      </w:r>
      <w:r>
        <w:rPr/>
        <w:t>、公司以首次公开发行募集资金中的</w:t>
      </w:r>
      <w:r>
        <w:rPr>
          <w:rFonts w:ascii="Times New Roman" w:hAnsi="Times New Roman" w:cs="Times New Roman" w:eastAsia="Times New Roman" w:hint="default"/>
        </w:rPr>
        <w:t>4980</w:t>
      </w:r>
      <w:r>
        <w:rPr/>
        <w:t>万元对控股子公司浙江宏天铜业有限公司进行增资，专项</w:t>
      </w:r>
      <w:r>
        <w:rPr>
          <w:spacing w:val="1"/>
        </w:rPr>
        <w:t> </w:t>
      </w:r>
      <w:r>
        <w:rPr>
          <w:spacing w:val="-1"/>
        </w:rPr>
        <w:t>用于募投项目《年产</w:t>
      </w:r>
      <w:r>
        <w:rPr>
          <w:rFonts w:ascii="Times New Roman" w:hAnsi="Times New Roman" w:cs="Times New Roman" w:eastAsia="Times New Roman" w:hint="default"/>
          <w:spacing w:val="-1"/>
        </w:rPr>
        <w:t>5000</w:t>
      </w:r>
      <w:r>
        <w:rPr>
          <w:spacing w:val="-1"/>
        </w:rPr>
        <w:t>吨热交换器用高效节能高翅片铜管项目》建设。经诸暨市商务局批复，绍兴市工</w:t>
      </w:r>
      <w:r>
        <w:rPr>
          <w:spacing w:val="-81"/>
        </w:rPr>
        <w:t> </w:t>
      </w:r>
      <w:r>
        <w:rPr>
          <w:spacing w:val="-81"/>
        </w:rPr>
      </w:r>
      <w:r>
        <w:rPr>
          <w:spacing w:val="-2"/>
        </w:rPr>
        <w:t>商行政管理局核准，公司增资后宏天铜业的注册资本由</w:t>
      </w:r>
      <w:r>
        <w:rPr>
          <w:rFonts w:ascii="Times New Roman" w:hAnsi="Times New Roman" w:cs="Times New Roman" w:eastAsia="Times New Roman" w:hint="default"/>
          <w:spacing w:val="-2"/>
        </w:rPr>
        <w:t>3380</w:t>
      </w:r>
      <w:r>
        <w:rPr>
          <w:spacing w:val="-2"/>
        </w:rPr>
        <w:t>万美元变更为</w:t>
      </w:r>
      <w:r>
        <w:rPr>
          <w:rFonts w:ascii="Times New Roman" w:hAnsi="Times New Roman" w:cs="Times New Roman" w:eastAsia="Times New Roman" w:hint="default"/>
          <w:spacing w:val="-2"/>
        </w:rPr>
        <w:t>4093.04</w:t>
      </w:r>
      <w:r>
        <w:rPr>
          <w:spacing w:val="-2"/>
        </w:rPr>
        <w:t>万美元。（具体内容详见</w:t>
      </w:r>
      <w:r>
        <w:rPr>
          <w:spacing w:val="-82"/>
        </w:rPr>
        <w:t> </w:t>
      </w:r>
      <w:r>
        <w:rPr>
          <w:spacing w:val="-82"/>
        </w:rPr>
      </w:r>
      <w:r>
        <w:rPr/>
        <w:t>巨潮资讯网上披露的公司</w:t>
      </w:r>
      <w:r>
        <w:rPr>
          <w:rFonts w:ascii="Times New Roman" w:hAnsi="Times New Roman" w:cs="Times New Roman" w:eastAsia="Times New Roman" w:hint="default"/>
        </w:rPr>
        <w:t>2012-033</w:t>
      </w:r>
      <w:r>
        <w:rPr/>
        <w:t>号《关于完成控股子公司增资的公告》）</w:t>
      </w:r>
    </w:p>
    <w:p>
      <w:pPr>
        <w:pStyle w:val="BodyText"/>
        <w:spacing w:line="259" w:lineRule="auto" w:before="5"/>
        <w:ind w:left="113" w:right="103" w:firstLine="420"/>
        <w:jc w:val="both"/>
      </w:pPr>
      <w:r>
        <w:rPr>
          <w:rFonts w:ascii="Times New Roman" w:hAnsi="Times New Roman" w:cs="Times New Roman" w:eastAsia="Times New Roman" w:hint="default"/>
        </w:rPr>
        <w:t>2</w:t>
      </w:r>
      <w:r>
        <w:rPr/>
        <w:t>、为提升城市形象，完善城市功能，诸暨市人民政府决定对公司控股子公司宏天铜业位于诸暨市大</w:t>
      </w:r>
      <w:r>
        <w:rPr>
          <w:spacing w:val="1"/>
        </w:rPr>
        <w:t> </w:t>
      </w:r>
      <w:r>
        <w:rPr>
          <w:spacing w:val="-1"/>
        </w:rPr>
        <w:t>唐镇路西新村（原大唐镇庙山头村）的土地及厂房建筑物进行征收。征收范围涉及宏天铜业证号为诸暨国</w:t>
      </w:r>
      <w:r>
        <w:rPr>
          <w:spacing w:val="-84"/>
        </w:rPr>
        <w:t> </w:t>
      </w:r>
      <w:r>
        <w:rPr>
          <w:spacing w:val="-84"/>
        </w:rPr>
      </w:r>
      <w:r>
        <w:rPr/>
        <w:t>用（</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4-5481</w:t>
      </w:r>
      <w:r>
        <w:rPr/>
        <w:t>号、第</w:t>
      </w:r>
      <w:r>
        <w:rPr>
          <w:rFonts w:ascii="Times New Roman" w:hAnsi="Times New Roman" w:cs="Times New Roman" w:eastAsia="Times New Roman" w:hint="default"/>
        </w:rPr>
        <w:t>4-5482</w:t>
      </w:r>
      <w:r>
        <w:rPr/>
        <w:t>号、第</w:t>
      </w:r>
      <w:r>
        <w:rPr>
          <w:rFonts w:ascii="Times New Roman" w:hAnsi="Times New Roman" w:cs="Times New Roman" w:eastAsia="Times New Roman" w:hint="default"/>
        </w:rPr>
        <w:t>4-5483</w:t>
      </w:r>
      <w:r>
        <w:rPr/>
        <w:t>号等</w:t>
      </w:r>
      <w:r>
        <w:rPr>
          <w:rFonts w:ascii="Times New Roman" w:hAnsi="Times New Roman" w:cs="Times New Roman" w:eastAsia="Times New Roman" w:hint="default"/>
        </w:rPr>
        <w:t>3</w:t>
      </w:r>
      <w:r>
        <w:rPr/>
        <w:t>宗土地，面积为</w:t>
      </w:r>
      <w:r>
        <w:rPr>
          <w:rFonts w:ascii="Times New Roman" w:hAnsi="Times New Roman" w:cs="Times New Roman" w:eastAsia="Times New Roman" w:hint="default"/>
        </w:rPr>
        <w:t>227210</w:t>
      </w:r>
      <w:r>
        <w:rPr/>
        <w:t>平方米（约</w:t>
      </w:r>
      <w:r>
        <w:rPr>
          <w:rFonts w:ascii="Times New Roman" w:hAnsi="Times New Roman" w:cs="Times New Roman" w:eastAsia="Times New Roman" w:hint="default"/>
        </w:rPr>
        <w:t>341</w:t>
      </w:r>
      <w:r>
        <w:rPr/>
        <w:t>亩）；证号为</w:t>
      </w:r>
      <w:r>
        <w:rPr>
          <w:spacing w:val="-46"/>
        </w:rPr>
        <w:t> </w:t>
      </w:r>
      <w:r>
        <w:rPr>
          <w:spacing w:val="-2"/>
        </w:rPr>
        <w:t>房权证诸字第</w:t>
      </w:r>
      <w:r>
        <w:rPr>
          <w:rFonts w:ascii="Times New Roman" w:hAnsi="Times New Roman" w:cs="Times New Roman" w:eastAsia="Times New Roman" w:hint="default"/>
          <w:spacing w:val="-2"/>
        </w:rPr>
        <w:t>F0000025303</w:t>
      </w:r>
      <w:r>
        <w:rPr>
          <w:spacing w:val="-2"/>
        </w:rPr>
        <w:t>号、第</w:t>
      </w:r>
      <w:r>
        <w:rPr>
          <w:rFonts w:ascii="Times New Roman" w:hAnsi="Times New Roman" w:cs="Times New Roman" w:eastAsia="Times New Roman" w:hint="default"/>
          <w:spacing w:val="-2"/>
        </w:rPr>
        <w:t>F0000025304</w:t>
      </w:r>
      <w:r>
        <w:rPr>
          <w:spacing w:val="-2"/>
        </w:rPr>
        <w:t>号、第</w:t>
      </w:r>
      <w:r>
        <w:rPr>
          <w:rFonts w:ascii="Times New Roman" w:hAnsi="Times New Roman" w:cs="Times New Roman" w:eastAsia="Times New Roman" w:hint="default"/>
          <w:spacing w:val="-2"/>
        </w:rPr>
        <w:t>F0000025305</w:t>
      </w:r>
      <w:r>
        <w:rPr>
          <w:spacing w:val="-2"/>
        </w:rPr>
        <w:t>号厂房、仓库建筑面积</w:t>
      </w:r>
      <w:r>
        <w:rPr>
          <w:rFonts w:ascii="Times New Roman" w:hAnsi="Times New Roman" w:cs="Times New Roman" w:eastAsia="Times New Roman" w:hint="default"/>
          <w:spacing w:val="-2"/>
        </w:rPr>
        <w:t>36438</w:t>
      </w:r>
      <w:r>
        <w:rPr>
          <w:spacing w:val="-2"/>
        </w:rPr>
        <w:t>平方米，以</w:t>
      </w:r>
      <w:r>
        <w:rPr>
          <w:spacing w:val="-49"/>
        </w:rPr>
        <w:t> </w:t>
      </w:r>
      <w:r>
        <w:rPr>
          <w:spacing w:val="-49"/>
        </w:rPr>
      </w:r>
      <w:r>
        <w:rPr>
          <w:spacing w:val="5"/>
        </w:rPr>
        <w:t>及已建成待办证办公楼、宿舍楼建筑面积约为</w:t>
      </w:r>
      <w:r>
        <w:rPr>
          <w:rFonts w:ascii="Times New Roman" w:hAnsi="Times New Roman" w:cs="Times New Roman" w:eastAsia="Times New Roman" w:hint="default"/>
          <w:spacing w:val="5"/>
        </w:rPr>
        <w:t>18000</w:t>
      </w:r>
      <w:r>
        <w:rPr>
          <w:spacing w:val="5"/>
        </w:rPr>
        <w:t>平方米。截止</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日上述资产帐面净值为</w:t>
      </w:r>
      <w:r>
        <w:rPr>
          <w:spacing w:val="-76"/>
        </w:rPr>
        <w:t> </w:t>
      </w:r>
      <w:r>
        <w:rPr>
          <w:rFonts w:ascii="Times New Roman" w:hAnsi="Times New Roman" w:cs="Times New Roman" w:eastAsia="Times New Roman" w:hint="default"/>
        </w:rPr>
        <w:t>10503.39</w:t>
      </w:r>
      <w:r>
        <w:rPr/>
        <w:t>万元。宏天铜业将尽快落实新的生产基地，科学、及时、稳妥的拟定搬迁计划，最大限度降低因 搬迁对生产经营造成的影响。（具体内容详见巨潮资讯网上披露的公司</w:t>
      </w:r>
      <w:r>
        <w:rPr>
          <w:rFonts w:ascii="Times New Roman" w:hAnsi="Times New Roman" w:cs="Times New Roman" w:eastAsia="Times New Roman" w:hint="default"/>
        </w:rPr>
        <w:t>2013-009</w:t>
      </w:r>
      <w:r>
        <w:rPr/>
        <w:t>号《关于政府征收控股子</w:t>
      </w:r>
      <w:r>
        <w:rPr>
          <w:spacing w:val="-99"/>
        </w:rPr>
        <w:t> </w:t>
      </w:r>
      <w:r>
        <w:rPr/>
        <w:t>公司土地及厂房建筑物的公告》）</w:t>
      </w:r>
    </w:p>
    <w:p>
      <w:pPr>
        <w:spacing w:after="0" w:line="259" w:lineRule="auto"/>
        <w:jc w:val="both"/>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6" w:right="105"/>
        <w:jc w:val="left"/>
        <w:rPr>
          <w:b w:val="0"/>
          <w:bCs w:val="0"/>
        </w:rPr>
      </w:pPr>
      <w:r>
        <w:rPr/>
        <w:t>第六节</w:t>
      </w:r>
      <w:r>
        <w:rPr>
          <w:spacing w:val="-2"/>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105"/>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33"/>
        <w:gridCol w:w="844"/>
        <w:gridCol w:w="844"/>
        <w:gridCol w:w="845"/>
        <w:gridCol w:w="842"/>
        <w:gridCol w:w="844"/>
        <w:gridCol w:w="842"/>
        <w:gridCol w:w="844"/>
        <w:gridCol w:w="814"/>
        <w:gridCol w:w="814"/>
      </w:tblGrid>
      <w:tr>
        <w:trPr>
          <w:trHeight w:val="402" w:hRule="exact"/>
        </w:trPr>
        <w:tc>
          <w:tcPr>
            <w:tcW w:w="2033" w:type="dxa"/>
            <w:vMerge w:val="restart"/>
            <w:tcBorders>
              <w:top w:val="single" w:sz="4" w:space="0" w:color="010101"/>
              <w:left w:val="single" w:sz="4" w:space="0" w:color="010101"/>
              <w:right w:val="single" w:sz="4" w:space="0" w:color="010101"/>
            </w:tcBorders>
            <w:shd w:val="clear" w:color="auto" w:fill="D3D3D3"/>
          </w:tcPr>
          <w:p>
            <w:pPr/>
          </w:p>
        </w:tc>
        <w:tc>
          <w:tcPr>
            <w:tcW w:w="16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10101"/>
              <w:bottom w:val="single" w:sz="4" w:space="0" w:color="010101"/>
              <w:right w:val="single" w:sz="4" w:space="0" w:color="010101"/>
            </w:tcBorders>
            <w:shd w:val="clear" w:color="auto" w:fill="D3D3D3"/>
          </w:tcPr>
          <w:p>
            <w:pP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126,680,0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109,719,2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64.96%</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62,157,20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45,316,40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26.83%</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8,894,000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-8,894,000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53,263,20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31.53%</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-7,946,800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-7,946,800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45,316,40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26.83%</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64,522,80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64,402,80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38.13%</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59,190,80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35.04%</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59,190,80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35.04%</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00" w:lineRule="auto" w:before="116"/>
        <w:ind w:left="113" w:right="111" w:firstLine="54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日，公司原副总理赵忠良先生由于个人原因，申请辞去副总经理职务，该辞职报告自递交之日生效（详见</w:t>
      </w:r>
      <w:r>
        <w:rPr>
          <w:rFonts w:ascii="宋体" w:hAnsi="宋体" w:cs="宋体" w:eastAsia="宋体" w:hint="default"/>
          <w:sz w:val="18"/>
          <w:szCs w:val="18"/>
        </w:rPr>
        <w:t> </w:t>
      </w:r>
      <w:r>
        <w:rPr>
          <w:rFonts w:ascii="宋体" w:hAnsi="宋体" w:cs="宋体" w:eastAsia="宋体" w:hint="default"/>
          <w:spacing w:val="-1"/>
          <w:sz w:val="18"/>
          <w:szCs w:val="18"/>
        </w:rPr>
        <w:t>公司发布的</w:t>
      </w:r>
      <w:r>
        <w:rPr>
          <w:rFonts w:ascii="Times New Roman" w:hAnsi="Times New Roman" w:cs="Times New Roman" w:eastAsia="Times New Roman" w:hint="default"/>
          <w:spacing w:val="-1"/>
          <w:sz w:val="18"/>
          <w:szCs w:val="18"/>
        </w:rPr>
        <w:t>2012-014</w:t>
      </w:r>
      <w:r>
        <w:rPr>
          <w:rFonts w:ascii="宋体" w:hAnsi="宋体" w:cs="宋体" w:eastAsia="宋体" w:hint="default"/>
          <w:spacing w:val="-1"/>
          <w:sz w:val="18"/>
          <w:szCs w:val="18"/>
        </w:rPr>
        <w:t>号公告）。由于赵忠良先生持有公司股份</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万股，该事项造成高管股份的持有数量减少</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万股，其他内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资持股数量增加</w:t>
      </w:r>
      <w:r>
        <w:rPr>
          <w:rFonts w:ascii="Times New Roman" w:hAnsi="Times New Roman" w:cs="Times New Roman" w:eastAsia="Times New Roman" w:hint="default"/>
          <w:sz w:val="18"/>
          <w:szCs w:val="18"/>
        </w:rPr>
        <w:t>12</w:t>
      </w:r>
      <w:r>
        <w:rPr>
          <w:rFonts w:ascii="宋体" w:hAnsi="宋体" w:cs="宋体" w:eastAsia="宋体" w:hint="default"/>
          <w:sz w:val="18"/>
          <w:szCs w:val="18"/>
        </w:rPr>
        <w:t>万股。</w:t>
      </w:r>
    </w:p>
    <w:p>
      <w:pPr>
        <w:spacing w:before="53"/>
        <w:ind w:left="114" w:right="105"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66" w:lineRule="auto" w:before="35"/>
        <w:ind w:left="113" w:right="10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日，经公司向深圳证券交易所和中国证券登记结算有限责任公司深圳分公司申请同意， </w:t>
      </w:r>
      <w:r>
        <w:rPr>
          <w:spacing w:val="-1"/>
        </w:rPr>
        <w:t>并发布了《关于首次公开发行前已发行股份上市流通的提示性公告》，股东浙江海越股份有限公司、浙江</w:t>
      </w:r>
      <w:r>
        <w:rPr>
          <w:spacing w:val="-81"/>
        </w:rPr>
        <w:t> </w:t>
      </w:r>
      <w:r>
        <w:rPr>
          <w:spacing w:val="-81"/>
        </w:rPr>
      </w:r>
      <w:r>
        <w:rPr>
          <w:spacing w:val="-1"/>
        </w:rPr>
        <w:t>富润股份有限公司、鞠成立先生、李叶华女士、王越亮先生、顾根良先生、娄学忠先生、郑树英先生、黄</w:t>
      </w:r>
      <w:r>
        <w:rPr>
          <w:spacing w:val="-81"/>
        </w:rPr>
        <w:t> </w:t>
      </w:r>
      <w:r>
        <w:rPr>
          <w:spacing w:val="-81"/>
        </w:rPr>
      </w:r>
      <w:r>
        <w:rPr/>
        <w:t>河女士持有的股票解除限售，此次解除限售股份的数量总计为</w:t>
      </w:r>
      <w:r>
        <w:rPr>
          <w:rFonts w:ascii="Times New Roman" w:hAnsi="Times New Roman" w:cs="Times New Roman" w:eastAsia="Times New Roman" w:hint="default"/>
        </w:rPr>
        <w:t>1696.08</w:t>
      </w:r>
      <w:r>
        <w:rPr/>
        <w:t>万股，占公司总股本的</w:t>
      </w:r>
      <w:r>
        <w:rPr>
          <w:rFonts w:ascii="Times New Roman" w:hAnsi="Times New Roman" w:cs="Times New Roman" w:eastAsia="Times New Roman" w:hint="default"/>
        </w:rPr>
        <w:t>10.05%</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spacing w:line="357" w:lineRule="auto" w:before="0"/>
        <w:ind w:left="114" w:right="8130" w:firstLine="0"/>
        <w:jc w:val="left"/>
        <w:rPr>
          <w:rFonts w:ascii="宋体" w:hAnsi="宋体" w:cs="宋体" w:eastAsia="宋体" w:hint="default"/>
          <w:sz w:val="18"/>
          <w:szCs w:val="18"/>
        </w:rPr>
      </w:pPr>
      <w:r>
        <w:rPr>
          <w:rFonts w:ascii="宋体" w:hAnsi="宋体" w:cs="宋体" w:eastAsia="宋体" w:hint="default"/>
          <w:sz w:val="18"/>
          <w:szCs w:val="18"/>
        </w:rPr>
        <w:t>股份变动的过户情况 无</w:t>
      </w:r>
    </w:p>
    <w:p>
      <w:pPr>
        <w:spacing w:before="28"/>
        <w:ind w:left="11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57" w:lineRule="auto" w:before="117"/>
        <w:ind w:left="114" w:right="5790"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 无</w:t>
      </w:r>
    </w:p>
    <w:p>
      <w:pPr>
        <w:spacing w:line="240" w:lineRule="auto" w:before="5"/>
        <w:rPr>
          <w:rFonts w:ascii="宋体" w:hAnsi="宋体" w:cs="宋体" w:eastAsia="宋体" w:hint="default"/>
          <w:sz w:val="18"/>
          <w:szCs w:val="18"/>
        </w:rPr>
      </w:pPr>
    </w:p>
    <w:p>
      <w:pPr>
        <w:pStyle w:val="Heading2"/>
        <w:spacing w:line="240" w:lineRule="auto" w:before="0"/>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8"/>
        <w:gridCol w:w="1367"/>
        <w:gridCol w:w="1368"/>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96" w:right="48"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8"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1"/>
              <w:jc w:val="left"/>
              <w:rPr>
                <w:rFonts w:ascii="宋体" w:hAnsi="宋体" w:cs="宋体" w:eastAsia="宋体" w:hint="default"/>
                <w:sz w:val="18"/>
                <w:szCs w:val="18"/>
              </w:rPr>
            </w:pPr>
            <w:r>
              <w:rPr>
                <w:rFonts w:ascii="宋体" w:hAnsi="宋体" w:cs="宋体" w:eastAsia="宋体" w:hint="default"/>
                <w:spacing w:val="-10"/>
                <w:sz w:val="18"/>
                <w:szCs w:val="18"/>
              </w:rPr>
              <w:t>人民币普通股（</w:t>
            </w:r>
            <w:r>
              <w:rPr>
                <w:rFonts w:ascii="Times New Roman" w:hAnsi="Times New Roman" w:cs="Times New Roman" w:eastAsia="Times New Roman" w:hint="default"/>
                <w:spacing w:val="-10"/>
                <w:sz w:val="18"/>
                <w:szCs w:val="18"/>
              </w:rPr>
              <w:t>A</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42,230,000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42,230,000</w:t>
            </w: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73" w:lineRule="auto" w:before="90"/>
        <w:ind w:right="105" w:firstLine="420"/>
        <w:jc w:val="left"/>
      </w:pPr>
      <w:r>
        <w:rPr>
          <w:spacing w:val="-5"/>
        </w:rPr>
        <w:t>公司经中国证券监督管理委员会《关于核准浙江宏磊铜业股份有限公司首次公开发行股票的批复》（证</w:t>
      </w:r>
      <w:r>
        <w:rPr/>
        <w:t> </w:t>
      </w:r>
      <w:r>
        <w:rPr>
          <w:spacing w:val="-2"/>
        </w:rPr>
        <w:t>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1923</w:t>
      </w:r>
      <w:r>
        <w:rPr>
          <w:spacing w:val="-2"/>
        </w:rPr>
        <w:t>号文件）批准，首次公开发行</w:t>
      </w:r>
      <w:r>
        <w:rPr>
          <w:rFonts w:ascii="Times New Roman" w:hAnsi="Times New Roman" w:cs="Times New Roman" w:eastAsia="Times New Roman" w:hint="default"/>
          <w:spacing w:val="-2"/>
        </w:rPr>
        <w:t>4223</w:t>
      </w:r>
      <w:r>
        <w:rPr>
          <w:spacing w:val="-2"/>
        </w:rPr>
        <w:t>万股，发行价格为每股</w:t>
      </w:r>
      <w:r>
        <w:rPr>
          <w:rFonts w:ascii="Times New Roman" w:hAnsi="Times New Roman" w:cs="Times New Roman" w:eastAsia="Times New Roman" w:hint="default"/>
          <w:spacing w:val="-2"/>
        </w:rPr>
        <w:t>12.80</w:t>
      </w:r>
      <w:r>
        <w:rPr>
          <w:spacing w:val="-2"/>
        </w:rPr>
        <w:t>元。经深圳证券交易所</w:t>
      </w:r>
    </w:p>
    <w:p>
      <w:pPr>
        <w:pStyle w:val="BodyText"/>
        <w:spacing w:line="256" w:lineRule="auto"/>
        <w:ind w:left="113" w:right="0"/>
        <w:jc w:val="left"/>
      </w:pPr>
      <w:r>
        <w:rPr/>
        <w:t>（深证上【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389</w:t>
      </w:r>
      <w:r>
        <w:rPr/>
        <w:t>号文件）同意，首次公开发行的人民币普通股股票于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日在深圳证券交</w:t>
      </w:r>
      <w:r>
        <w:rPr>
          <w:spacing w:val="-43"/>
        </w:rPr>
        <w:t> </w:t>
      </w:r>
      <w:r>
        <w:rPr>
          <w:spacing w:val="-43"/>
        </w:rPr>
      </w:r>
      <w:r>
        <w:rPr/>
        <w:t>易所中小企业板上市。</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未发生变动</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30"/>
        <w:gridCol w:w="3848"/>
        <w:gridCol w:w="3191"/>
      </w:tblGrid>
      <w:tr>
        <w:trPr>
          <w:trHeight w:val="402" w:hRule="exact"/>
        </w:trPr>
        <w:tc>
          <w:tcPr>
            <w:tcW w:w="25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8"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00"/>
        </w:sectPr>
      </w:pPr>
    </w:p>
    <w:p>
      <w:pPr>
        <w:spacing w:line="240" w:lineRule="auto" w:before="9"/>
        <w:rPr>
          <w:rFonts w:ascii="宋体" w:hAnsi="宋体" w:cs="宋体" w:eastAsia="宋体" w:hint="default"/>
          <w:b/>
          <w:bCs/>
          <w:sz w:val="23"/>
          <w:szCs w:val="23"/>
        </w:rPr>
      </w:pPr>
      <w:r>
        <w:rPr/>
        <w:pict>
          <v:shape style="position:absolute;margin-left:160.200302pt;margin-top:615.479980pt;width:374.7pt;height:35.3pt;mso-position-horizontal-relative:page;mso-position-vertical-relative:page;z-index:-83480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93.320007pt;margin-top:615.479980pt;width:341.6pt;height:35.3pt;mso-position-horizontal-relative:page;mso-position-vertical-relative:page;z-index:-834784" coordorigin="3866,12310" coordsize="6832,706">
            <v:shape style="position:absolute;left:3866;top:12310;width:6832;height:706" coordorigin="3866,12310" coordsize="6832,706" path="m3866,13015l10698,13015,10698,12310,3866,12310,3866,13015xe" filled="true" fillcolor="#ffffff" stroked="false">
              <v:path arrowok="t"/>
              <v:fill type="solid"/>
            </v:shape>
            <w10:wrap type="none"/>
          </v:group>
        </w:pict>
      </w:r>
    </w:p>
    <w:p>
      <w:pPr>
        <w:pStyle w:val="Heading2"/>
        <w:spacing w:line="240" w:lineRule="auto"/>
        <w:ind w:right="105"/>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1"/>
        <w:gridCol w:w="1368"/>
        <w:gridCol w:w="1368"/>
        <w:gridCol w:w="684"/>
        <w:gridCol w:w="684"/>
        <w:gridCol w:w="684"/>
        <w:gridCol w:w="684"/>
        <w:gridCol w:w="1368"/>
        <w:gridCol w:w="1368"/>
      </w:tblGrid>
      <w:tr>
        <w:trPr>
          <w:trHeight w:val="402" w:hRule="exact"/>
        </w:trPr>
        <w:tc>
          <w:tcPr>
            <w:tcW w:w="272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22,806</w:t>
            </w:r>
          </w:p>
        </w:tc>
        <w:tc>
          <w:tcPr>
            <w:tcW w:w="4104"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22,586</w:t>
            </w:r>
            <w:r>
              <w:rPr>
                <w:rFonts w:ascii="Times New Roman"/>
                <w:sz w:val="18"/>
              </w:rPr>
            </w:r>
          </w:p>
        </w:tc>
      </w:tr>
      <w:tr>
        <w:trPr>
          <w:trHeight w:val="402" w:hRule="exact"/>
        </w:trPr>
        <w:tc>
          <w:tcPr>
            <w:tcW w:w="9569"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36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50"/>
              <w:ind w:left="66" w:right="66"/>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50"/>
              <w:ind w:left="66" w:right="66"/>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50"/>
              <w:ind w:left="66" w:right="6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1"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37.87%</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63,962,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63,962,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42,510,000</w:t>
            </w: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15,680,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15,680,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8,890,000</w:t>
            </w: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陈婧</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4,048,8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李叶华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浙江富润股份有 限公司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华怡齐</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72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840" w:type="dxa"/>
            <w:gridSpan w:val="7"/>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72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、戚建萍、戚建生、戚建华、金磊、金敏燕为公司共同实际控制人，五人已经签署一 致行动协议；</w:t>
            </w:r>
            <w:r>
              <w:rPr>
                <w:rFonts w:ascii="Times New Roman" w:hAnsi="Times New Roman" w:cs="Times New Roman" w:eastAsia="Times New Roman" w:hint="default"/>
                <w:sz w:val="18"/>
                <w:szCs w:val="18"/>
              </w:rPr>
              <w:t>2</w:t>
            </w:r>
            <w:r>
              <w:rPr>
                <w:rFonts w:ascii="宋体" w:hAnsi="宋体" w:cs="宋体" w:eastAsia="宋体" w:hint="default"/>
                <w:sz w:val="18"/>
                <w:szCs w:val="18"/>
              </w:rPr>
              <w:t>、戚建萍与戚建生为姐弟关系，戚建萍与戚建华为姐妹关系，戚建萍与 金磊为母子关系，戚建萍与金敏燕为母女关系。</w:t>
            </w:r>
          </w:p>
        </w:tc>
      </w:tr>
      <w:tr>
        <w:trPr>
          <w:trHeight w:val="402" w:hRule="exact"/>
        </w:trPr>
        <w:tc>
          <w:tcPr>
            <w:tcW w:w="9569"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9" w:type="dxa"/>
            <w:gridSpan w:val="2"/>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gridSpan w:val="2"/>
            <w:vMerge/>
            <w:tcBorders>
              <w:left w:val="single" w:sz="4" w:space="0" w:color="010101"/>
              <w:bottom w:val="single" w:sz="4" w:space="0" w:color="010101"/>
              <w:right w:val="single" w:sz="4" w:space="0" w:color="010101"/>
            </w:tcBorders>
            <w:shd w:val="clear" w:color="auto" w:fill="D3D3D3"/>
          </w:tcPr>
          <w:p>
            <w:pPr/>
          </w:p>
        </w:tc>
        <w:tc>
          <w:tcPr>
            <w:tcW w:w="4104" w:type="dxa"/>
            <w:gridSpan w:val="5"/>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729"/>
        <w:gridCol w:w="4104"/>
        <w:gridCol w:w="1368"/>
        <w:gridCol w:w="1368"/>
      </w:tblGrid>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陈婧</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4,048,810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4,048,810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3,800,000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李叶华</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2,560,000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浙江富润股份有限公司</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2,560,000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华怡齐</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1,700,000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王越亮</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1,266,800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1,266,800</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首创证券有限责任公司</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1,011,903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1,011,903</w:t>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赵晓宁</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188,233</w:t>
            </w:r>
            <w:r>
              <w:rPr>
                <w:rFonts w:ascii="Times New Roman"/>
                <w:sz w:val="18"/>
              </w:rPr>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188,233</w:t>
            </w:r>
            <w:r>
              <w:rPr>
                <w:rFonts w:ascii="Times New Roman"/>
                <w:sz w:val="18"/>
              </w:rPr>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冯金仙</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182,500</w:t>
            </w:r>
            <w:r>
              <w:rPr>
                <w:rFonts w:ascii="Times New Roman"/>
                <w:sz w:val="18"/>
              </w:rPr>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182,500</w:t>
            </w:r>
            <w:r>
              <w:rPr>
                <w:rFonts w:ascii="Times New Roman"/>
                <w:sz w:val="18"/>
              </w:rPr>
            </w:r>
          </w:p>
        </w:tc>
      </w:tr>
      <w:tr>
        <w:trPr>
          <w:trHeight w:val="402" w:hRule="exact"/>
        </w:trPr>
        <w:tc>
          <w:tcPr>
            <w:tcW w:w="27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曹关渔</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155,000</w:t>
            </w:r>
            <w:r>
              <w:rPr>
                <w:rFonts w:ascii="Times New Roman"/>
                <w:sz w:val="18"/>
              </w:rPr>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155,000</w:t>
            </w:r>
            <w:r>
              <w:rPr>
                <w:rFonts w:ascii="Times New Roman"/>
                <w:sz w:val="18"/>
              </w:rPr>
            </w:r>
          </w:p>
        </w:tc>
      </w:tr>
      <w:tr>
        <w:trPr>
          <w:trHeight w:val="1338" w:hRule="exact"/>
        </w:trPr>
        <w:tc>
          <w:tcPr>
            <w:tcW w:w="27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上述股东与公司控股股东及实际控制人之间不存在关联关系。</w:t>
            </w:r>
          </w:p>
        </w:tc>
      </w:tr>
      <w:tr>
        <w:trPr>
          <w:trHeight w:val="714" w:hRule="exact"/>
        </w:trPr>
        <w:tc>
          <w:tcPr>
            <w:tcW w:w="27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6"/>
        <w:gridCol w:w="2057"/>
        <w:gridCol w:w="4176"/>
      </w:tblGrid>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戚建萍女士：</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月至今任公司董事长职务</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年没有控股境内外上市公司的情况</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6"/>
        <w:ind w:left="114" w:right="7390" w:firstLine="0"/>
        <w:jc w:val="left"/>
        <w:rPr>
          <w:rFonts w:ascii="宋体" w:hAnsi="宋体" w:cs="宋体" w:eastAsia="宋体" w:hint="default"/>
          <w:sz w:val="18"/>
          <w:szCs w:val="18"/>
        </w:rPr>
      </w:pPr>
      <w:r>
        <w:rPr/>
        <w:pict>
          <v:shape style="position:absolute;margin-left:56.459999pt;margin-top:84.171425pt;width:479.2pt;height:141.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2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、戚建萍女士：</w:t>
                        </w:r>
                        <w:r>
                          <w:rPr>
                            <w:rFonts w:ascii="Times New Roman" w:hAnsi="Times New Roman" w:cs="Times New Roman" w:eastAsia="Times New Roman" w:hint="default"/>
                            <w:spacing w:val="-3"/>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月至今任公司董事长职务；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、戚建生先生、戚建华</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、公司实际控制人情况</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18"/>
          <w:szCs w:val="18"/>
        </w:rPr>
        <w:t>自然人</w:t>
      </w:r>
    </w:p>
    <w:p>
      <w:pPr>
        <w:spacing w:after="0" w:line="547"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0" w:right="137" w:firstLine="0"/>
        <w:jc w:val="right"/>
        <w:rPr>
          <w:rFonts w:ascii="宋体" w:hAnsi="宋体" w:cs="宋体" w:eastAsia="宋体" w:hint="default"/>
          <w:sz w:val="18"/>
          <w:szCs w:val="18"/>
        </w:rPr>
      </w:pPr>
      <w:r>
        <w:rPr/>
        <w:pict>
          <v:shape style="position:absolute;margin-left:56.459999pt;margin-top:-17.567688pt;width:479.2pt;height:54.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6233"/>
                  </w:tblGrid>
                  <w:tr>
                    <w:trPr>
                      <w:trHeight w:val="674"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233"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29"/>
                          <w:ind w:left="21" w:right="78"/>
                          <w:jc w:val="left"/>
                          <w:rPr>
                            <w:rFonts w:ascii="宋体" w:hAnsi="宋体" w:cs="宋体" w:eastAsia="宋体" w:hint="default"/>
                            <w:sz w:val="18"/>
                            <w:szCs w:val="18"/>
                          </w:rPr>
                        </w:pPr>
                        <w:r>
                          <w:rPr>
                            <w:rFonts w:ascii="宋体" w:hAnsi="宋体" w:cs="宋体" w:eastAsia="宋体" w:hint="default"/>
                            <w:sz w:val="18"/>
                            <w:szCs w:val="18"/>
                          </w:rPr>
                          <w:t>女士：</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月至今任公司董事职务；</w:t>
                        </w:r>
                        <w:r>
                          <w:rPr>
                            <w:rFonts w:ascii="Times New Roman" w:hAnsi="Times New Roman" w:cs="Times New Roman" w:eastAsia="Times New Roman" w:hint="default"/>
                            <w:sz w:val="18"/>
                            <w:szCs w:val="18"/>
                          </w:rPr>
                          <w:t>3</w:t>
                        </w:r>
                        <w:r>
                          <w:rPr>
                            <w:rFonts w:ascii="宋体" w:hAnsi="宋体" w:cs="宋体" w:eastAsia="宋体" w:hint="default"/>
                            <w:sz w:val="18"/>
                            <w:szCs w:val="18"/>
                          </w:rPr>
                          <w:t>、金磊先生：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月至今任 公司董事职务；</w:t>
                        </w:r>
                        <w:r>
                          <w:rPr>
                            <w:rFonts w:ascii="Times New Roman" w:hAnsi="Times New Roman" w:cs="Times New Roman" w:eastAsia="Times New Roman" w:hint="default"/>
                            <w:sz w:val="18"/>
                            <w:szCs w:val="18"/>
                          </w:rPr>
                          <w:t>4</w:t>
                        </w:r>
                        <w:r>
                          <w:rPr>
                            <w:rFonts w:ascii="宋体" w:hAnsi="宋体" w:cs="宋体" w:eastAsia="宋体" w:hint="default"/>
                            <w:sz w:val="18"/>
                            <w:szCs w:val="18"/>
                          </w:rPr>
                          <w:t>、金敏燕女士：</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月任公司董事职务</w:t>
                        </w:r>
                      </w:p>
                    </w:tc>
                  </w:tr>
                  <w:tr>
                    <w:trPr>
                      <w:trHeight w:val="402" w:hRule="exact"/>
                    </w:trPr>
                    <w:tc>
                      <w:tcPr>
                        <w:tcW w:w="33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38" w:lineRule="auto" w:before="116"/>
        <w:ind w:left="114" w:right="5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9"/>
        <w:rPr>
          <w:rFonts w:ascii="宋体" w:hAnsi="宋体" w:cs="宋体" w:eastAsia="宋体" w:hint="default"/>
          <w:sz w:val="15"/>
          <w:szCs w:val="15"/>
        </w:rPr>
      </w:pPr>
    </w:p>
    <w:p>
      <w:pPr>
        <w:spacing w:line="2781" w:lineRule="exact"/>
        <w:ind w:left="2766"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2751325" cy="176593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5" cstate="print"/>
                    <a:stretch>
                      <a:fillRect/>
                    </a:stretch>
                  </pic:blipFill>
                  <pic:spPr>
                    <a:xfrm>
                      <a:off x="0" y="0"/>
                      <a:ext cx="2751325" cy="1765934"/>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6"/>
        <w:rPr>
          <w:rFonts w:ascii="宋体" w:hAnsi="宋体" w:cs="宋体" w:eastAsia="宋体" w:hint="default"/>
          <w:sz w:val="13"/>
          <w:szCs w:val="13"/>
        </w:rPr>
      </w:pPr>
    </w:p>
    <w:p>
      <w:pPr>
        <w:spacing w:before="0"/>
        <w:ind w:left="114" w:right="105"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83"/>
        <w:gridCol w:w="1092"/>
        <w:gridCol w:w="888"/>
        <w:gridCol w:w="1801"/>
        <w:gridCol w:w="1800"/>
        <w:gridCol w:w="1804"/>
      </w:tblGrid>
      <w:tr>
        <w:trPr>
          <w:trHeight w:val="714" w:hRule="exact"/>
        </w:trPr>
        <w:tc>
          <w:tcPr>
            <w:tcW w:w="2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89"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16" w:right="85"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1"/>
        <w:rPr>
          <w:rFonts w:ascii="宋体" w:hAnsi="宋体" w:cs="宋体" w:eastAsia="宋体" w:hint="default"/>
          <w:b/>
          <w:bCs/>
          <w:sz w:val="18"/>
          <w:szCs w:val="18"/>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四、公司股东及其一致行动人在报告期提出或实施股份增持计划的情况</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361" w:hRule="exact"/>
        </w:trPr>
        <w:tc>
          <w:tcPr>
            <w:tcW w:w="1369"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3" w:hRule="exact"/>
        </w:trPr>
        <w:tc>
          <w:tcPr>
            <w:tcW w:w="1369"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left="47"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after="0"/>
        <w:jc w:val="left"/>
        <w:rPr>
          <w:rFonts w:ascii="宋体" w:hAnsi="宋体" w:cs="宋体" w:eastAsia="宋体" w:hint="default"/>
          <w:sz w:val="18"/>
          <w:szCs w:val="18"/>
        </w:rPr>
        <w:sectPr>
          <w:footerReference w:type="default" r:id="rId24"/>
          <w:pgSz w:w="11910" w:h="16840"/>
          <w:pgMar w:footer="980" w:header="747" w:top="1060" w:bottom="1160" w:left="1020" w:right="1020"/>
        </w:sectPr>
      </w:pPr>
    </w:p>
    <w:p>
      <w:pPr>
        <w:spacing w:line="240" w:lineRule="auto" w:before="0"/>
        <w:rPr>
          <w:rFonts w:ascii="宋体" w:hAnsi="宋体" w:cs="宋体" w:eastAsia="宋体" w:hint="default"/>
          <w:sz w:val="20"/>
          <w:szCs w:val="20"/>
        </w:rPr>
      </w:pPr>
      <w:r>
        <w:rPr/>
        <w:pict>
          <v:group style="position:absolute;margin-left:143.940002pt;margin-top:651.900024pt;width:43.1pt;height:50.9pt;mso-position-horizontal-relative:page;mso-position-vertical-relative:page;z-index:-834712" coordorigin="2879,13038" coordsize="862,1018">
            <v:shape style="position:absolute;left:2879;top:13038;width:862;height:1018" coordorigin="2879,13038" coordsize="862,1018" path="m2879,14056l3740,14056,3740,13038,2879,13038,2879,1405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2" w:right="105"/>
        <w:jc w:val="left"/>
        <w:rPr>
          <w:b w:val="0"/>
          <w:bCs w:val="0"/>
        </w:rPr>
      </w:pPr>
      <w:r>
        <w:rPr/>
        <w:t>第七节</w:t>
      </w:r>
      <w:r>
        <w:rPr>
          <w:spacing w:val="-1"/>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105"/>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9"/>
        <w:gridCol w:w="869"/>
        <w:gridCol w:w="869"/>
        <w:gridCol w:w="869"/>
        <w:gridCol w:w="869"/>
        <w:gridCol w:w="870"/>
      </w:tblGrid>
      <w:tr>
        <w:trPr>
          <w:trHeight w:val="1026" w:hRule="exact"/>
        </w:trPr>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63,962,800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63,962,800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15,680,000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15,680,000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11,680,000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8,893,200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8,893,200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俞晓光</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赵忠良</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80" w:header="747" w:top="1060" w:bottom="1160" w:left="1020" w:right="1020"/>
          <w:pgNumType w:start="41"/>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9"/>
        <w:gridCol w:w="869"/>
        <w:gridCol w:w="869"/>
        <w:gridCol w:w="869"/>
        <w:gridCol w:w="869"/>
        <w:gridCol w:w="870"/>
      </w:tblGrid>
      <w:tr>
        <w:trPr>
          <w:trHeight w:val="362" w:hRule="exact"/>
        </w:trPr>
        <w:tc>
          <w:tcPr>
            <w:tcW w:w="870" w:type="dxa"/>
            <w:tcBorders>
              <w:top w:val="single" w:sz="4" w:space="0" w:color="010101"/>
              <w:left w:val="single" w:sz="4" w:space="0" w:color="010101"/>
              <w:bottom w:val="single" w:sz="4" w:space="0" w:color="010101"/>
              <w:right w:val="single" w:sz="4" w:space="0" w:color="010101"/>
            </w:tcBorders>
          </w:tcPr>
          <w:p>
            <w:pPr/>
          </w:p>
        </w:tc>
        <w:tc>
          <w:tcPr>
            <w:tcW w:w="870" w:type="dxa"/>
            <w:tcBorders>
              <w:top w:val="single" w:sz="4" w:space="0" w:color="010101"/>
              <w:left w:val="single" w:sz="4" w:space="0" w:color="010101"/>
              <w:bottom w:val="single" w:sz="4" w:space="0" w:color="010101"/>
              <w:right w:val="single" w:sz="4" w:space="0" w:color="010101"/>
            </w:tcBorders>
          </w:tcPr>
          <w:p>
            <w:pPr/>
          </w:p>
        </w:tc>
        <w:tc>
          <w:tcPr>
            <w:tcW w:w="870" w:type="dxa"/>
            <w:tcBorders>
              <w:top w:val="single" w:sz="4" w:space="0" w:color="010101"/>
              <w:left w:val="single" w:sz="4" w:space="0" w:color="010101"/>
              <w:bottom w:val="single" w:sz="4" w:space="0" w:color="010101"/>
              <w:right w:val="single" w:sz="4" w:space="0" w:color="010101"/>
            </w:tcBorders>
          </w:tcPr>
          <w:p>
            <w:pPr/>
          </w:p>
        </w:tc>
        <w:tc>
          <w:tcPr>
            <w:tcW w:w="870" w:type="dxa"/>
            <w:tcBorders>
              <w:top w:val="single" w:sz="4" w:space="0" w:color="010101"/>
              <w:left w:val="single" w:sz="4" w:space="0" w:color="010101"/>
              <w:bottom w:val="single" w:sz="4" w:space="0" w:color="010101"/>
              <w:right w:val="single" w:sz="4" w:space="0" w:color="010101"/>
            </w:tcBorders>
          </w:tcPr>
          <w:p>
            <w:pPr/>
          </w:p>
        </w:tc>
        <w:tc>
          <w:tcPr>
            <w:tcW w:w="870" w:type="dxa"/>
            <w:tcBorders>
              <w:top w:val="single" w:sz="4" w:space="0" w:color="010101"/>
              <w:left w:val="single" w:sz="4" w:space="0" w:color="010101"/>
              <w:bottom w:val="single" w:sz="4" w:space="0" w:color="010101"/>
              <w:right w:val="single" w:sz="4" w:space="0" w:color="010101"/>
            </w:tcBorders>
          </w:tcPr>
          <w:p>
            <w:pP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
        </w:tc>
        <w:tc>
          <w:tcPr>
            <w:tcW w:w="869" w:type="dxa"/>
            <w:tcBorders>
              <w:top w:val="single" w:sz="4" w:space="0" w:color="010101"/>
              <w:left w:val="single" w:sz="4" w:space="0" w:color="010101"/>
              <w:bottom w:val="single" w:sz="4" w:space="0" w:color="010101"/>
              <w:right w:val="single" w:sz="4" w:space="0" w:color="010101"/>
            </w:tcBorders>
          </w:tcPr>
          <w:p>
            <w:pPr/>
          </w:p>
        </w:tc>
        <w:tc>
          <w:tcPr>
            <w:tcW w:w="869" w:type="dxa"/>
            <w:tcBorders>
              <w:top w:val="single" w:sz="4" w:space="0" w:color="010101"/>
              <w:left w:val="single" w:sz="4" w:space="0" w:color="010101"/>
              <w:bottom w:val="single" w:sz="4" w:space="0" w:color="010101"/>
              <w:right w:val="single" w:sz="4" w:space="0" w:color="010101"/>
            </w:tcBorders>
          </w:tcPr>
          <w:p>
            <w:pPr/>
          </w:p>
        </w:tc>
        <w:tc>
          <w:tcPr>
            <w:tcW w:w="8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100,826,00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100,826,00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14" w:right="102"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年的主要工作经历</w:t>
      </w:r>
    </w:p>
    <w:p>
      <w:pPr>
        <w:pStyle w:val="BodyText"/>
        <w:spacing w:line="240" w:lineRule="auto" w:before="78"/>
        <w:ind w:left="534" w:right="102"/>
        <w:jc w:val="left"/>
      </w:pPr>
      <w:r>
        <w:rPr>
          <w:rFonts w:ascii="Times New Roman" w:hAnsi="Times New Roman" w:cs="Times New Roman" w:eastAsia="Times New Roman" w:hint="default"/>
        </w:rPr>
        <w:t>1</w:t>
      </w:r>
      <w:r>
        <w:rPr/>
        <w:t>、董事会成员</w:t>
      </w:r>
    </w:p>
    <w:p>
      <w:pPr>
        <w:pStyle w:val="BodyText"/>
        <w:spacing w:line="266" w:lineRule="auto" w:before="21"/>
        <w:ind w:left="113" w:right="211" w:firstLine="420"/>
        <w:jc w:val="both"/>
      </w:pPr>
      <w:r>
        <w:rPr>
          <w:spacing w:val="-3"/>
        </w:rPr>
        <w:t>戚建萍女士：</w:t>
      </w:r>
      <w:r>
        <w:rPr>
          <w:rFonts w:ascii="Times New Roman" w:hAnsi="Times New Roman" w:cs="Times New Roman" w:eastAsia="Times New Roman" w:hint="default"/>
          <w:spacing w:val="-3"/>
        </w:rPr>
        <w:t>1964</w:t>
      </w:r>
      <w:r>
        <w:rPr>
          <w:rFonts w:ascii="Times New Roman" w:hAnsi="Times New Roman" w:cs="Times New Roman" w:eastAsia="Times New Roman" w:hint="default"/>
          <w:spacing w:val="32"/>
        </w:rPr>
        <w:t> </w:t>
      </w:r>
      <w:r>
        <w:rPr>
          <w:spacing w:val="-3"/>
        </w:rPr>
        <w:t>年出生，复旦大学</w:t>
      </w:r>
      <w:r>
        <w:rPr>
          <w:rFonts w:ascii="Times New Roman" w:hAnsi="Times New Roman" w:cs="Times New Roman" w:eastAsia="Times New Roman" w:hint="default"/>
          <w:spacing w:val="-3"/>
        </w:rPr>
        <w:t>EMBA</w:t>
      </w:r>
      <w:r>
        <w:rPr>
          <w:spacing w:val="-3"/>
        </w:rPr>
        <w:t>、高级经济师。中国机械工业联合会理事、中国有色金属</w:t>
      </w:r>
      <w:r>
        <w:rPr/>
        <w:t> </w:t>
      </w:r>
      <w:r>
        <w:rPr>
          <w:spacing w:val="-1"/>
        </w:rPr>
        <w:t>工业协会铜分会常务理事、中国有色金属加工工业协会副理事长、江西省人大代表、绍兴市政协委员、浙</w:t>
      </w:r>
      <w:r>
        <w:rPr>
          <w:spacing w:val="-81"/>
        </w:rPr>
        <w:t> </w:t>
      </w:r>
      <w:r>
        <w:rPr>
          <w:spacing w:val="-81"/>
        </w:rPr>
      </w:r>
      <w:r>
        <w:rPr>
          <w:spacing w:val="-1"/>
        </w:rPr>
        <w:t>江女企业家协会副会长、江西女企业家协会副会长、曾获全国有色金属行业劳动模范、中国十大经济女性</w:t>
      </w:r>
      <w:r>
        <w:rPr>
          <w:spacing w:val="-82"/>
        </w:rPr>
        <w:t> </w:t>
      </w:r>
      <w:r>
        <w:rPr>
          <w:spacing w:val="-82"/>
        </w:rPr>
      </w:r>
      <w:r>
        <w:rPr/>
        <w:t>年度人物等荣誉。</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月至今任公司董事长职务。</w:t>
      </w:r>
    </w:p>
    <w:p>
      <w:pPr>
        <w:pStyle w:val="BodyText"/>
        <w:spacing w:line="256" w:lineRule="auto"/>
        <w:ind w:right="211" w:firstLine="419"/>
        <w:jc w:val="both"/>
      </w:pPr>
      <w:r>
        <w:rPr/>
        <w:t>戚建华女士：</w:t>
      </w:r>
      <w:r>
        <w:rPr>
          <w:rFonts w:ascii="Times New Roman" w:hAnsi="Times New Roman" w:cs="Times New Roman" w:eastAsia="Times New Roman" w:hint="default"/>
        </w:rPr>
        <w:t>1971</w:t>
      </w:r>
      <w:r>
        <w:rPr>
          <w:rFonts w:ascii="Times New Roman" w:hAnsi="Times New Roman" w:cs="Times New Roman" w:eastAsia="Times New Roman" w:hint="default"/>
          <w:spacing w:val="28"/>
        </w:rPr>
        <w:t> </w:t>
      </w:r>
      <w:r>
        <w:rPr/>
        <w:t>年出生，大专学历。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月至今任浙江宏森园林建设有限公司执行董事、总经 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月至今任公司董事职务。</w:t>
      </w:r>
    </w:p>
    <w:p>
      <w:pPr>
        <w:pStyle w:val="BodyText"/>
        <w:spacing w:line="256" w:lineRule="auto" w:before="5"/>
        <w:ind w:right="102" w:firstLine="420"/>
        <w:jc w:val="left"/>
      </w:pPr>
      <w:r>
        <w:rPr>
          <w:spacing w:val="-5"/>
        </w:rPr>
        <w:t>戚建生先生：</w:t>
      </w:r>
      <w:r>
        <w:rPr>
          <w:rFonts w:ascii="Times New Roman" w:hAnsi="Times New Roman" w:cs="Times New Roman" w:eastAsia="Times New Roman" w:hint="default"/>
          <w:spacing w:val="-5"/>
        </w:rPr>
        <w:t>1967</w:t>
      </w:r>
      <w:r>
        <w:rPr>
          <w:rFonts w:ascii="Times New Roman" w:hAnsi="Times New Roman" w:cs="Times New Roman" w:eastAsia="Times New Roman" w:hint="default"/>
          <w:spacing w:val="36"/>
        </w:rPr>
        <w:t> </w:t>
      </w:r>
      <w:r>
        <w:rPr>
          <w:spacing w:val="-3"/>
        </w:rPr>
        <w:t>年出生，大专学历。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月至今任浙江诸暨东都房地产开发有限公司执行董事、</w:t>
      </w:r>
      <w:r>
        <w:rPr/>
        <w:t> 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月至今任公司董事职务。</w:t>
      </w:r>
    </w:p>
    <w:p>
      <w:pPr>
        <w:pStyle w:val="BodyText"/>
        <w:spacing w:line="256" w:lineRule="auto" w:before="5"/>
        <w:ind w:right="197" w:firstLine="419"/>
        <w:jc w:val="left"/>
      </w:pPr>
      <w:r>
        <w:rPr/>
        <w:t>金磊先生：</w:t>
      </w:r>
      <w:r>
        <w:rPr>
          <w:rFonts w:ascii="Times New Roman" w:hAnsi="Times New Roman" w:cs="Times New Roman" w:eastAsia="Times New Roman" w:hint="default"/>
        </w:rPr>
        <w:t>1988</w:t>
      </w:r>
      <w:r>
        <w:rPr>
          <w:rFonts w:ascii="Times New Roman" w:hAnsi="Times New Roman" w:cs="Times New Roman" w:eastAsia="Times New Roman" w:hint="default"/>
          <w:spacing w:val="26"/>
        </w:rPr>
        <w:t> </w:t>
      </w:r>
      <w:r>
        <w:rPr/>
        <w:t>年出生，本科学历。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月任浙江宏磊东南房地产开发有限公司总 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月至今任浙江宏磊东南房地产开发有限公司副董事长、总经理，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月至今任公司董 事职务。</w:t>
      </w:r>
    </w:p>
    <w:p>
      <w:pPr>
        <w:pStyle w:val="BodyText"/>
        <w:spacing w:line="256" w:lineRule="auto" w:before="22"/>
        <w:ind w:right="209" w:firstLine="419"/>
        <w:jc w:val="both"/>
      </w:pPr>
      <w:r>
        <w:rPr/>
        <w:t>魏浙强先生：曾用名魏浙祥，</w:t>
      </w:r>
      <w:r>
        <w:rPr>
          <w:rFonts w:ascii="Times New Roman" w:hAnsi="Times New Roman" w:cs="Times New Roman" w:eastAsia="Times New Roman" w:hint="default"/>
        </w:rPr>
        <w:t>1959</w:t>
      </w:r>
      <w:r>
        <w:rPr>
          <w:rFonts w:ascii="Times New Roman" w:hAnsi="Times New Roman" w:cs="Times New Roman" w:eastAsia="Times New Roman" w:hint="default"/>
          <w:spacing w:val="26"/>
        </w:rPr>
        <w:t> </w:t>
      </w:r>
      <w:r>
        <w:rPr/>
        <w:t>年出生，硕士研究生学历，高级工程师。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 任宏磊集团有限公司常务副总经理，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月至今任本公司董事职务。</w:t>
      </w:r>
    </w:p>
    <w:p>
      <w:pPr>
        <w:pStyle w:val="BodyText"/>
        <w:spacing w:line="256" w:lineRule="auto" w:before="5"/>
        <w:ind w:right="292" w:firstLine="420"/>
        <w:jc w:val="both"/>
      </w:pPr>
      <w:r>
        <w:rPr/>
        <w:t>杨学桐先生：</w:t>
      </w:r>
      <w:r>
        <w:rPr>
          <w:rFonts w:ascii="Times New Roman" w:hAnsi="Times New Roman" w:cs="Times New Roman" w:eastAsia="Times New Roman" w:hint="default"/>
        </w:rPr>
        <w:t>1948</w:t>
      </w:r>
      <w:r>
        <w:rPr>
          <w:rFonts w:ascii="Times New Roman" w:hAnsi="Times New Roman" w:cs="Times New Roman" w:eastAsia="Times New Roman" w:hint="default"/>
          <w:spacing w:val="51"/>
        </w:rPr>
        <w:t> </w:t>
      </w:r>
      <w:r>
        <w:rPr/>
        <w:t>年出生，本科学历，教授级高级工程师。现任中国机械工业联合会执行副会长、 青海华鼎实业股份有限公司独立董事。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月至今任本公司独立董事职务。</w:t>
      </w:r>
    </w:p>
    <w:p>
      <w:pPr>
        <w:pStyle w:val="BodyText"/>
        <w:spacing w:line="256" w:lineRule="auto" w:before="5"/>
        <w:ind w:right="292" w:firstLine="420"/>
        <w:jc w:val="both"/>
      </w:pPr>
      <w:r>
        <w:rPr/>
        <w:t>尚福山先生：</w:t>
      </w:r>
      <w:r>
        <w:rPr>
          <w:rFonts w:ascii="Times New Roman" w:hAnsi="Times New Roman" w:cs="Times New Roman" w:eastAsia="Times New Roman" w:hint="default"/>
        </w:rPr>
        <w:t>1955</w:t>
      </w:r>
      <w:r>
        <w:rPr>
          <w:rFonts w:ascii="Times New Roman" w:hAnsi="Times New Roman" w:cs="Times New Roman" w:eastAsia="Times New Roman" w:hint="default"/>
          <w:spacing w:val="51"/>
        </w:rPr>
        <w:t> </w:t>
      </w:r>
      <w:r>
        <w:rPr/>
        <w:t>年出生，本科学历。现任中国有色金属工业协会副会长、宁波博威合金材料股份 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月至今任本公司独立董事职务。</w:t>
      </w:r>
    </w:p>
    <w:p>
      <w:pPr>
        <w:pStyle w:val="BodyText"/>
        <w:spacing w:line="256" w:lineRule="auto" w:before="5"/>
        <w:ind w:right="209" w:firstLine="420"/>
        <w:jc w:val="both"/>
      </w:pPr>
      <w:r>
        <w:rPr/>
        <w:t>何力民女士：</w:t>
      </w:r>
      <w:r>
        <w:rPr>
          <w:rFonts w:ascii="Times New Roman" w:hAnsi="Times New Roman" w:cs="Times New Roman" w:eastAsia="Times New Roman" w:hint="default"/>
        </w:rPr>
        <w:t>1944</w:t>
      </w:r>
      <w:r>
        <w:rPr>
          <w:rFonts w:ascii="Times New Roman" w:hAnsi="Times New Roman" w:cs="Times New Roman" w:eastAsia="Times New Roman" w:hint="default"/>
          <w:spacing w:val="27"/>
        </w:rPr>
        <w:t> </w:t>
      </w:r>
      <w:r>
        <w:rPr/>
        <w:t>年出生，大专学历，高级会计师。现任浙江正大会计师事务所部主任。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 至今任本公司独立董事职务。</w:t>
      </w:r>
    </w:p>
    <w:p>
      <w:pPr>
        <w:pStyle w:val="BodyText"/>
        <w:spacing w:line="256" w:lineRule="auto" w:before="22"/>
        <w:ind w:right="211" w:firstLine="420"/>
        <w:jc w:val="both"/>
      </w:pPr>
      <w:r>
        <w:rPr/>
        <w:t>吴旭仕先生：</w:t>
      </w:r>
      <w:r>
        <w:rPr>
          <w:rFonts w:ascii="Times New Roman" w:hAnsi="Times New Roman" w:cs="Times New Roman" w:eastAsia="Times New Roman" w:hint="default"/>
        </w:rPr>
        <w:t>1964</w:t>
      </w:r>
      <w:r>
        <w:rPr>
          <w:rFonts w:ascii="Times New Roman" w:hAnsi="Times New Roman" w:cs="Times New Roman" w:eastAsia="Times New Roman" w:hint="default"/>
          <w:spacing w:val="28"/>
        </w:rPr>
        <w:t> </w:t>
      </w:r>
      <w:r>
        <w:rPr/>
        <w:t>年出生，本科学历。现任浙江国大律师事务所副主任。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月至今任本公司独 立董事职务。</w:t>
      </w:r>
    </w:p>
    <w:p>
      <w:pPr>
        <w:pStyle w:val="BodyText"/>
        <w:spacing w:line="240" w:lineRule="auto" w:before="22"/>
        <w:ind w:left="534" w:right="102"/>
        <w:jc w:val="left"/>
      </w:pPr>
      <w:r>
        <w:rPr>
          <w:rFonts w:ascii="Times New Roman" w:hAnsi="Times New Roman" w:cs="Times New Roman" w:eastAsia="Times New Roman" w:hint="default"/>
        </w:rPr>
        <w:t>2</w:t>
      </w:r>
      <w:r>
        <w:rPr/>
        <w:t>、监事会成员</w:t>
      </w:r>
    </w:p>
    <w:p>
      <w:pPr>
        <w:pStyle w:val="BodyText"/>
        <w:spacing w:line="256" w:lineRule="auto" w:before="21"/>
        <w:ind w:right="209" w:firstLine="419"/>
        <w:jc w:val="both"/>
      </w:pPr>
      <w:r>
        <w:rPr/>
        <w:t>傅龙兴先生：</w:t>
      </w:r>
      <w:r>
        <w:rPr>
          <w:rFonts w:ascii="Times New Roman" w:hAnsi="Times New Roman" w:cs="Times New Roman" w:eastAsia="Times New Roman" w:hint="default"/>
        </w:rPr>
        <w:t>1952</w:t>
      </w:r>
      <w:r>
        <w:rPr>
          <w:rFonts w:ascii="Times New Roman" w:hAnsi="Times New Roman" w:cs="Times New Roman" w:eastAsia="Times New Roman" w:hint="default"/>
          <w:spacing w:val="26"/>
        </w:rPr>
        <w:t> </w:t>
      </w:r>
      <w:r>
        <w:rPr/>
        <w:t>年出生，大专学历，经济师。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月任宏磊集团有限公司风险控 制总监，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月至今任本公司监事会主席职务。</w:t>
      </w:r>
    </w:p>
    <w:p>
      <w:pPr>
        <w:pStyle w:val="BodyText"/>
        <w:spacing w:line="256" w:lineRule="auto" w:before="5"/>
        <w:ind w:right="188" w:firstLine="420"/>
        <w:jc w:val="both"/>
      </w:pPr>
      <w:r>
        <w:rPr/>
        <w:t>彭齐放女士：</w:t>
      </w:r>
      <w:r>
        <w:rPr>
          <w:rFonts w:ascii="Times New Roman" w:hAnsi="Times New Roman" w:cs="Times New Roman" w:eastAsia="Times New Roman" w:hint="default"/>
        </w:rPr>
        <w:t>1957</w:t>
      </w:r>
      <w:r>
        <w:rPr>
          <w:rFonts w:ascii="Times New Roman" w:hAnsi="Times New Roman" w:cs="Times New Roman" w:eastAsia="Times New Roman" w:hint="default"/>
          <w:spacing w:val="48"/>
        </w:rPr>
        <w:t> </w:t>
      </w:r>
      <w:r>
        <w:rPr/>
        <w:t>年出生，大专学历，高级会计师。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月至今任浙江海越股份有限公司董事、 财务总监。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月至今任本公司监事职务。</w:t>
      </w:r>
    </w:p>
    <w:p>
      <w:pPr>
        <w:pStyle w:val="BodyText"/>
        <w:spacing w:line="256" w:lineRule="auto" w:before="5"/>
        <w:ind w:right="208" w:firstLine="419"/>
        <w:jc w:val="both"/>
      </w:pPr>
      <w:r>
        <w:rPr/>
        <w:t>许柏良先生：</w:t>
      </w:r>
      <w:r>
        <w:rPr>
          <w:rFonts w:ascii="Times New Roman" w:hAnsi="Times New Roman" w:cs="Times New Roman" w:eastAsia="Times New Roman" w:hint="default"/>
        </w:rPr>
        <w:t>1970</w:t>
      </w:r>
      <w:r>
        <w:rPr>
          <w:rFonts w:ascii="Times New Roman" w:hAnsi="Times New Roman" w:cs="Times New Roman" w:eastAsia="Times New Roman" w:hint="default"/>
          <w:spacing w:val="27"/>
        </w:rPr>
        <w:t> </w:t>
      </w:r>
      <w:r>
        <w:rPr/>
        <w:t>年出生，中专学历，工程师。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月任宏磊集团有限公司设备动 </w:t>
      </w:r>
      <w:r>
        <w:rPr>
          <w:spacing w:val="-5"/>
        </w:rPr>
        <w:t>力部副经理，</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12</w:t>
      </w:r>
      <w:r>
        <w:rPr>
          <w:spacing w:val="-5"/>
        </w:rPr>
        <w:t>月至</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w:t>
      </w:r>
      <w:r>
        <w:rPr>
          <w:spacing w:val="-5"/>
        </w:rPr>
        <w:t>月任本公司设备动力部经理，</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2</w:t>
      </w:r>
      <w:r>
        <w:rPr>
          <w:spacing w:val="-5"/>
        </w:rPr>
        <w:t>月至今任本公司副总工程师，</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12</w:t>
      </w:r>
      <w:r>
        <w:rPr/>
        <w:t>月至今任本公司职工代表监事职务。</w:t>
      </w:r>
    </w:p>
    <w:p>
      <w:pPr>
        <w:pStyle w:val="BodyText"/>
        <w:spacing w:line="240" w:lineRule="auto" w:before="5"/>
        <w:ind w:left="534" w:right="102"/>
        <w:jc w:val="left"/>
      </w:pPr>
      <w:r>
        <w:rPr>
          <w:rFonts w:ascii="Times New Roman" w:hAnsi="Times New Roman" w:cs="Times New Roman" w:eastAsia="Times New Roman" w:hint="default"/>
        </w:rPr>
        <w:t>3</w:t>
      </w:r>
      <w:r>
        <w:rPr/>
        <w:t>、高级管理人员</w:t>
      </w:r>
    </w:p>
    <w:p>
      <w:pPr>
        <w:pStyle w:val="BodyText"/>
        <w:spacing w:line="266" w:lineRule="auto" w:before="21"/>
        <w:ind w:right="209" w:firstLine="420"/>
        <w:jc w:val="both"/>
      </w:pPr>
      <w:r>
        <w:rPr>
          <w:spacing w:val="-3"/>
        </w:rPr>
        <w:t>戚建萍女士：</w:t>
      </w:r>
      <w:r>
        <w:rPr>
          <w:rFonts w:ascii="Times New Roman" w:hAnsi="Times New Roman" w:cs="Times New Roman" w:eastAsia="Times New Roman" w:hint="default"/>
          <w:spacing w:val="-3"/>
        </w:rPr>
        <w:t>1964</w:t>
      </w:r>
      <w:r>
        <w:rPr>
          <w:rFonts w:ascii="Times New Roman" w:hAnsi="Times New Roman" w:cs="Times New Roman" w:eastAsia="Times New Roman" w:hint="default"/>
          <w:spacing w:val="32"/>
        </w:rPr>
        <w:t> </w:t>
      </w:r>
      <w:r>
        <w:rPr>
          <w:spacing w:val="-3"/>
        </w:rPr>
        <w:t>年出生，复旦大学</w:t>
      </w:r>
      <w:r>
        <w:rPr>
          <w:rFonts w:ascii="Times New Roman" w:hAnsi="Times New Roman" w:cs="Times New Roman" w:eastAsia="Times New Roman" w:hint="default"/>
          <w:spacing w:val="-3"/>
        </w:rPr>
        <w:t>EMBA</w:t>
      </w:r>
      <w:r>
        <w:rPr>
          <w:spacing w:val="-3"/>
        </w:rPr>
        <w:t>、高级经济师。中国机械工业联合会理事、中国有色金属</w:t>
      </w:r>
      <w:r>
        <w:rPr/>
        <w:t> </w:t>
      </w:r>
      <w:r>
        <w:rPr>
          <w:spacing w:val="-1"/>
        </w:rPr>
        <w:t>工业协会铜分会常务理事、中国有色金属加工工业协会副理事长、江西省人大代表、绍兴市政协委员、浙</w:t>
      </w:r>
      <w:r>
        <w:rPr>
          <w:spacing w:val="-81"/>
        </w:rPr>
        <w:t> </w:t>
      </w:r>
      <w:r>
        <w:rPr>
          <w:spacing w:val="-81"/>
        </w:rPr>
      </w:r>
      <w:r>
        <w:rPr>
          <w:spacing w:val="-1"/>
        </w:rPr>
        <w:t>江女企业家协会副会长、江西女企业家协会副会长曾获全国有色金属行业劳动模范、中国十大经济女性年</w:t>
      </w:r>
      <w:r>
        <w:rPr>
          <w:spacing w:val="-81"/>
        </w:rPr>
        <w:t> </w:t>
      </w:r>
      <w:r>
        <w:rPr>
          <w:spacing w:val="-81"/>
        </w:rPr>
      </w:r>
      <w:r>
        <w:rPr/>
        <w:t>度人物等荣誉。</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月至今任公司总经理职务。</w:t>
      </w:r>
    </w:p>
    <w:p>
      <w:pPr>
        <w:pStyle w:val="BodyText"/>
        <w:spacing w:line="256" w:lineRule="auto"/>
        <w:ind w:right="209" w:firstLine="419"/>
        <w:jc w:val="both"/>
      </w:pPr>
      <w:r>
        <w:rPr/>
        <w:t>魏浙强先生：曾用名魏浙祥，</w:t>
      </w:r>
      <w:r>
        <w:rPr>
          <w:rFonts w:ascii="Times New Roman" w:hAnsi="Times New Roman" w:cs="Times New Roman" w:eastAsia="Times New Roman" w:hint="default"/>
        </w:rPr>
        <w:t>1959</w:t>
      </w:r>
      <w:r>
        <w:rPr>
          <w:rFonts w:ascii="Times New Roman" w:hAnsi="Times New Roman" w:cs="Times New Roman" w:eastAsia="Times New Roman" w:hint="default"/>
          <w:spacing w:val="26"/>
        </w:rPr>
        <w:t> </w:t>
      </w:r>
      <w:r>
        <w:rPr/>
        <w:t>年出生，硕士研究生学历，高级工程师。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 任宏磊集团有限公司常务副总经理，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月至今任本公司副总经理职务。</w:t>
      </w:r>
    </w:p>
    <w:p>
      <w:pPr>
        <w:spacing w:after="0" w:line="256" w:lineRule="auto"/>
        <w:jc w:val="both"/>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56" w:lineRule="auto" w:before="35"/>
        <w:ind w:right="111" w:firstLine="419"/>
        <w:jc w:val="both"/>
      </w:pPr>
      <w:r>
        <w:rPr/>
        <w:t>方中厚先生：</w:t>
      </w:r>
      <w:r>
        <w:rPr>
          <w:rFonts w:ascii="Times New Roman" w:hAnsi="Times New Roman" w:cs="Times New Roman" w:eastAsia="Times New Roman" w:hint="default"/>
        </w:rPr>
        <w:t>1975</w:t>
      </w:r>
      <w:r>
        <w:rPr>
          <w:rFonts w:ascii="Times New Roman" w:hAnsi="Times New Roman" w:cs="Times New Roman" w:eastAsia="Times New Roman" w:hint="default"/>
          <w:spacing w:val="26"/>
        </w:rPr>
        <w:t> </w:t>
      </w:r>
      <w:r>
        <w:rPr/>
        <w:t>年出生，硕士研究生学历，高级经营师。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月任宏磊集团有限 </w:t>
      </w:r>
      <w:r>
        <w:rPr>
          <w:spacing w:val="-1"/>
        </w:rPr>
        <w:t>公司董事长助理，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月任本公司董事会秘书，</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月至今任本公司副总经理、董</w:t>
      </w:r>
      <w:r>
        <w:rPr>
          <w:spacing w:val="-81"/>
        </w:rPr>
        <w:t> </w:t>
      </w:r>
      <w:r>
        <w:rPr>
          <w:spacing w:val="-81"/>
        </w:rPr>
      </w:r>
      <w:r>
        <w:rPr/>
        <w:t>事会秘书职务。</w:t>
      </w:r>
    </w:p>
    <w:p>
      <w:pPr>
        <w:pStyle w:val="BodyText"/>
        <w:spacing w:line="256" w:lineRule="auto" w:before="22"/>
        <w:ind w:right="195" w:firstLine="420"/>
        <w:jc w:val="both"/>
      </w:pPr>
      <w:r>
        <w:rPr/>
        <w:t>俞晓光先生：</w:t>
      </w:r>
      <w:r>
        <w:rPr>
          <w:rFonts w:ascii="Times New Roman" w:hAnsi="Times New Roman" w:cs="Times New Roman" w:eastAsia="Times New Roman" w:hint="default"/>
        </w:rPr>
        <w:t>1965</w:t>
      </w:r>
      <w:r>
        <w:rPr>
          <w:rFonts w:ascii="Times New Roman" w:hAnsi="Times New Roman" w:cs="Times New Roman" w:eastAsia="Times New Roman" w:hint="default"/>
          <w:spacing w:val="46"/>
        </w:rPr>
        <w:t> </w:t>
      </w:r>
      <w:r>
        <w:rPr/>
        <w:t>年出生，大专学历，会计师。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月任浙江华海机械集团财务总 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月任浙江华海合力科技股份有限公司董事、财务总监，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月至今任本公司 财务总监职务。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30"/>
        <w:gridCol w:w="1589"/>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9"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浙江海越股份有限公司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2"/>
                <w:sz w:val="18"/>
                <w:szCs w:val="18"/>
              </w:rPr>
              <w:t>董事、财务总</w:t>
            </w:r>
            <w:r>
              <w:rPr>
                <w:rFonts w:ascii="宋体" w:hAnsi="宋体" w:cs="宋体" w:eastAsia="宋体" w:hint="default"/>
                <w:sz w:val="18"/>
                <w:szCs w:val="18"/>
              </w:rPr>
              <w:t> 监</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北京天星河置业有限公司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诸暨市宏润小额贷款有限公司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遵义宏磊房地产开发有限公司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浙江诸暨东都房地产开发有限公司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浙江省诸暨市鑫天机电有限公司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北京天星河置业有限公司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362" w:hRule="exact"/>
        </w:trPr>
        <w:tc>
          <w:tcPr>
            <w:tcW w:w="1201"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诸暨市万里铺新型地砖厂</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诸暨市宏盛建筑工程有限公司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浙江宝鼎典当有限责任公司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诸暨市宏盛建筑工程有限公司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浙江宏森园林建设有限公司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浙江鼎尚实业有限公司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诸暨市绿苑物业管理有限公司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副董事长、总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诸暨市绿苑物业管理有限公司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鹰潭市绿洲置业有限公司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遵义宏磊房地产开发有限公司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诸暨市耀圣工贸有限公司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浙江卓越投资有限公司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诸暨市金宝庄贸易有限公司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诸暨市宏盛建筑工程有限公司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中国机械工业联合会</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执行副会长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青海华鼎实业股份有限公司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中国有色金属工业协会</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宁波博威合金材料股份有限公司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浙江正大会计师事务所</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部主任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浙江国大律师事务所</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海口海越经济开发有限公司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诸暨市越都石油有限公司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浙江华睿海越现代服务业创业投资有限 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浙江海越创业投资有限公司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浙江天洁磁性材料有限公司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杭州海越置业有限公司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舟山瑞泰投资有限公司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浙江华睿睿银创业投资有限公司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浙江华睿海越投资有限公司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浙江华睿盛银创业投资有限公司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浙江华睿海越光电产业创业投资有限公 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诸暨市杭金公路管理有限公司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ind w:right="105"/>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pStyle w:val="BodyText"/>
        <w:spacing w:line="266" w:lineRule="auto" w:before="92"/>
        <w:ind w:right="105"/>
        <w:jc w:val="left"/>
      </w:pPr>
      <w:r>
        <w:rPr>
          <w:rFonts w:ascii="Times New Roman" w:hAnsi="Times New Roman" w:cs="Times New Roman" w:eastAsia="Times New Roman" w:hint="default"/>
        </w:rPr>
        <w:t>1</w:t>
      </w:r>
      <w:r>
        <w:rPr/>
        <w:t>、董事、监事、高级管理人员报酬的决策程序：董事、监事的薪酬与津贴由公司董事会薪酬与考核委员 </w:t>
      </w:r>
      <w:r>
        <w:rPr>
          <w:spacing w:val="-1"/>
        </w:rPr>
        <w:t>会制订方案，董事会审议通过并报股东大会批准后执行。高级管理人员报酬由公司董事会薪酬与考核委员</w:t>
      </w:r>
      <w:r>
        <w:rPr>
          <w:spacing w:val="-81"/>
        </w:rPr>
        <w:t> </w:t>
      </w:r>
      <w:r>
        <w:rPr>
          <w:spacing w:val="-81"/>
        </w:rPr>
      </w:r>
      <w:r>
        <w:rPr/>
        <w:t>会制订方案，董事会审议通过后执行。 </w:t>
      </w:r>
      <w:r>
        <w:rPr>
          <w:rFonts w:ascii="Times New Roman" w:hAnsi="Times New Roman" w:cs="Times New Roman" w:eastAsia="Times New Roman" w:hint="default"/>
        </w:rPr>
        <w:t>2</w:t>
      </w:r>
      <w:r>
        <w:rPr/>
        <w:t>、董事、监事、高级管理人员报酬确定依据：公司制定的《薪酬与考核委员会工作细则》等内部规定。</w:t>
      </w:r>
    </w:p>
    <w:p>
      <w:pPr>
        <w:pStyle w:val="BodyText"/>
        <w:spacing w:line="266" w:lineRule="auto"/>
        <w:ind w:left="113" w:right="101"/>
        <w:jc w:val="left"/>
      </w:pPr>
      <w:r>
        <w:rPr>
          <w:rFonts w:ascii="Times New Roman" w:hAnsi="Times New Roman" w:cs="Times New Roman" w:eastAsia="Times New Roman" w:hint="default"/>
          <w:spacing w:val="-1"/>
        </w:rPr>
        <w:t>3</w:t>
      </w:r>
      <w:r>
        <w:rPr>
          <w:spacing w:val="-1"/>
        </w:rPr>
        <w:t>、董事、监事和高级管理人员报酬的实际支付情况：</w:t>
      </w:r>
      <w:r>
        <w:rPr>
          <w:rFonts w:ascii="MS Gothic" w:hAnsi="MS Gothic" w:cs="MS Gothic" w:eastAsia="MS Gothic" w:hint="default"/>
          <w:spacing w:val="-1"/>
          <w:sz w:val="18"/>
          <w:szCs w:val="18"/>
        </w:rPr>
        <w:t>｢</w:t>
      </w:r>
      <w:r>
        <w:rPr>
          <w:spacing w:val="-1"/>
        </w:rPr>
        <w:t>、高级管理人员按董事会核定的标准按月发放基本</w:t>
      </w:r>
      <w:r>
        <w:rPr>
          <w:spacing w:val="-68"/>
        </w:rPr>
        <w:t> </w:t>
      </w:r>
      <w:r>
        <w:rPr>
          <w:spacing w:val="-68"/>
        </w:rPr>
      </w:r>
      <w:r>
        <w:rPr/>
        <w:t>薪酬；</w:t>
      </w:r>
      <w:r>
        <w:rPr>
          <w:rFonts w:ascii="MS Gothic" w:hAnsi="MS Gothic" w:cs="MS Gothic" w:eastAsia="MS Gothic" w:hint="default"/>
          <w:sz w:val="18"/>
          <w:szCs w:val="18"/>
        </w:rPr>
        <w:t>｢</w:t>
      </w:r>
      <w:r>
        <w:rPr/>
        <w:t>、独立董事津贴每年度结束后统一发放，本报告期津贴尚未支付；</w:t>
      </w:r>
      <w:r>
        <w:rPr>
          <w:rFonts w:ascii="MS Gothic" w:hAnsi="MS Gothic" w:cs="MS Gothic" w:eastAsia="MS Gothic" w:hint="default"/>
          <w:sz w:val="18"/>
          <w:szCs w:val="18"/>
        </w:rPr>
        <w:t>｢</w:t>
      </w:r>
      <w:r>
        <w:rPr/>
        <w:t>、公司监事报酬根据公司内部 考核制度发放；</w:t>
      </w:r>
      <w:r>
        <w:rPr>
          <w:rFonts w:ascii="MS Gothic" w:hAnsi="MS Gothic" w:cs="MS Gothic" w:eastAsia="MS Gothic" w:hint="default"/>
          <w:sz w:val="18"/>
          <w:szCs w:val="18"/>
        </w:rPr>
        <w:t>｢</w:t>
      </w:r>
      <w:r>
        <w:rPr/>
        <w:t>、在公司担任董事、监事，同时又在股东单位或其他单位任职高级管理人员的，公司不 支付报酬。</w:t>
      </w:r>
    </w:p>
    <w:p>
      <w:pPr>
        <w:spacing w:line="240" w:lineRule="auto" w:before="6"/>
        <w:rPr>
          <w:rFonts w:ascii="宋体" w:hAnsi="宋体" w:cs="宋体" w:eastAsia="宋体" w:hint="default"/>
          <w:sz w:val="26"/>
          <w:szCs w:val="26"/>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714"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4"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彭齐放</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副总经理、董 秘</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俞晓光</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赵忠良</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3.3</w:t>
            </w:r>
            <w:r>
              <w:rPr>
                <w:rFonts w:ascii="Times New Roman"/>
                <w:w w:val="95"/>
                <w:sz w:val="18"/>
              </w:rPr>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128.3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128.3</w:t>
            </w:r>
            <w:r>
              <w:rPr>
                <w:rFonts w:ascii="Times New Roman"/>
                <w:w w:val="95"/>
                <w:sz w:val="18"/>
              </w:rPr>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105"/>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1"/>
        <w:gridCol w:w="1330"/>
        <w:gridCol w:w="4248"/>
      </w:tblGrid>
      <w:tr>
        <w:trPr>
          <w:trHeight w:val="402" w:hRule="exact"/>
        </w:trPr>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赵忠良</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105"/>
        <w:jc w:val="left"/>
        <w:rPr>
          <w:b w:val="0"/>
          <w:bCs w:val="0"/>
        </w:rPr>
      </w:pPr>
      <w:r>
        <w:rPr/>
        <w:t>六、公司员工情况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13" w:right="105" w:firstLine="525"/>
        <w:jc w:val="left"/>
      </w:pPr>
      <w:r>
        <w:rPr>
          <w:rFonts w:ascii="Times New Roman" w:hAnsi="Times New Roman" w:cs="Times New Roman" w:eastAsia="Times New Roman" w:hint="default"/>
          <w:spacing w:val="-1"/>
        </w:rPr>
        <w:t>1</w:t>
      </w:r>
      <w:r>
        <w:rPr>
          <w:spacing w:val="-1"/>
        </w:rPr>
        <w:t>、截止报告期末，公司共有在职职工</w:t>
      </w:r>
      <w:r>
        <w:rPr>
          <w:rFonts w:ascii="Times New Roman" w:hAnsi="Times New Roman" w:cs="Times New Roman" w:eastAsia="Times New Roman" w:hint="default"/>
          <w:spacing w:val="-1"/>
        </w:rPr>
        <w:t>1006</w:t>
      </w:r>
      <w:r>
        <w:rPr>
          <w:spacing w:val="-1"/>
        </w:rPr>
        <w:t>人。公司依据《中华人民共和国劳动法》、《中华人民共</w:t>
      </w:r>
      <w:r>
        <w:rPr/>
        <w:t> 和国劳动合同法》和其他有关法律、法规要求，与员工签订劳动合同，按时缴纳</w:t>
      </w:r>
      <w:r>
        <w:rPr>
          <w:rFonts w:ascii="Times New Roman" w:hAnsi="Times New Roman" w:cs="Times New Roman" w:eastAsia="Times New Roman" w:hint="default"/>
        </w:rPr>
        <w:t>“</w:t>
      </w:r>
      <w:r>
        <w:rPr/>
        <w:t>养老、医疗、工伤、生 育、失业</w:t>
      </w:r>
      <w:r>
        <w:rPr>
          <w:rFonts w:ascii="Times New Roman" w:hAnsi="Times New Roman" w:cs="Times New Roman" w:eastAsia="Times New Roman" w:hint="default"/>
        </w:rPr>
        <w:t>”</w:t>
      </w:r>
      <w:r>
        <w:rPr/>
        <w:t>五项社会保险及住房公积金，积极维护员工的合法权益。</w:t>
      </w:r>
    </w:p>
    <w:p>
      <w:pPr>
        <w:pStyle w:val="BodyText"/>
        <w:spacing w:line="240" w:lineRule="auto" w:before="5"/>
        <w:ind w:left="533" w:right="105"/>
        <w:jc w:val="left"/>
      </w:pPr>
      <w:r>
        <w:rPr>
          <w:rFonts w:ascii="Times New Roman" w:hAnsi="Times New Roman" w:cs="Times New Roman" w:eastAsia="Times New Roman" w:hint="default"/>
        </w:rPr>
        <w:t>2</w:t>
      </w:r>
      <w:r>
        <w:rPr/>
        <w:t>、报告期内，需公司承担费用的离退休职工人数为</w:t>
      </w:r>
      <w:r>
        <w:rPr>
          <w:rFonts w:ascii="Times New Roman" w:hAnsi="Times New Roman" w:cs="Times New Roman" w:eastAsia="Times New Roman" w:hint="default"/>
        </w:rPr>
        <w:t>0</w:t>
      </w:r>
      <w:r>
        <w:rPr/>
        <w:t>人。</w:t>
      </w:r>
    </w:p>
    <w:p>
      <w:pPr>
        <w:pStyle w:val="BodyText"/>
        <w:spacing w:line="240" w:lineRule="auto" w:before="21"/>
        <w:ind w:left="533" w:right="105"/>
        <w:jc w:val="left"/>
      </w:pPr>
      <w:r>
        <w:rPr>
          <w:rFonts w:ascii="Times New Roman" w:hAnsi="Times New Roman" w:cs="Times New Roman" w:eastAsia="Times New Roman" w:hint="default"/>
        </w:rPr>
        <w:t>3</w:t>
      </w:r>
      <w:r>
        <w:rPr/>
        <w:t>、公司员工专业构成和教育程度的统计图表列示：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4080" w:lineRule="exact"/>
        <w:ind w:left="114"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419600" cy="25908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4419600"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9"/>
        <w:rPr>
          <w:rFonts w:ascii="宋体" w:hAnsi="宋体" w:cs="宋体" w:eastAsia="宋体" w:hint="default"/>
          <w:sz w:val="12"/>
          <w:szCs w:val="12"/>
        </w:rPr>
      </w:pPr>
    </w:p>
    <w:p>
      <w:pPr>
        <w:spacing w:line="3390" w:lineRule="exact"/>
        <w:ind w:left="114"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867656" cy="215265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8" cstate="print"/>
                    <a:stretch>
                      <a:fillRect/>
                    </a:stretch>
                  </pic:blipFill>
                  <pic:spPr>
                    <a:xfrm>
                      <a:off x="0" y="0"/>
                      <a:ext cx="4867656" cy="2152650"/>
                    </a:xfrm>
                    <a:prstGeom prst="rect">
                      <a:avLst/>
                    </a:prstGeom>
                  </pic:spPr>
                </pic:pic>
              </a:graphicData>
            </a:graphic>
          </wp:inline>
        </w:drawing>
      </w:r>
      <w:r>
        <w:rPr>
          <w:rFonts w:ascii="宋体" w:hAnsi="宋体" w:cs="宋体" w:eastAsia="宋体" w:hint="default"/>
          <w:position w:val="-67"/>
          <w:sz w:val="20"/>
          <w:szCs w:val="20"/>
        </w:rPr>
      </w:r>
    </w:p>
    <w:p>
      <w:pPr>
        <w:spacing w:after="0" w:line="3390"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410" w:right="506"/>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88" w:firstLine="420"/>
        <w:jc w:val="both"/>
      </w:pPr>
      <w:r>
        <w:rPr/>
        <w:t>公司严格按照《公司法》、《证券法》、《上市公司治理准则》、《深圳证券交易所股票上市规则》 </w:t>
      </w:r>
      <w:r>
        <w:rPr>
          <w:spacing w:val="-1"/>
        </w:rPr>
        <w:t>等有关法律法规的要求进行公司治理。报告期内，公司修订了《浙江宏磊铜业股份有限公司对外担保管理</w:t>
      </w:r>
      <w:r>
        <w:rPr>
          <w:spacing w:val="-81"/>
        </w:rPr>
        <w:t> </w:t>
      </w:r>
      <w:r>
        <w:rPr>
          <w:spacing w:val="-81"/>
        </w:rPr>
      </w:r>
      <w:r>
        <w:rPr>
          <w:spacing w:val="-1"/>
        </w:rPr>
        <w:t>制度》、《浙江宏磊铜业股份有限公司对外投资管理制度》、《浙江宏磊铜业股份有限公司关联交易管理</w:t>
      </w:r>
      <w:r>
        <w:rPr>
          <w:spacing w:val="-81"/>
        </w:rPr>
        <w:t> </w:t>
      </w:r>
      <w:r>
        <w:rPr>
          <w:spacing w:val="-81"/>
        </w:rPr>
      </w:r>
      <w:r>
        <w:rPr>
          <w:spacing w:val="-1"/>
        </w:rPr>
        <w:t>制度》、《浙江宏磊铜业股份有限公司重大交易事项决策管理制度》、《浙江宏磊铜业股份有限公司募集</w:t>
      </w:r>
      <w:r>
        <w:rPr>
          <w:spacing w:val="-83"/>
        </w:rPr>
        <w:t> </w:t>
      </w:r>
      <w:r>
        <w:rPr>
          <w:spacing w:val="-83"/>
        </w:rPr>
      </w:r>
      <w:r>
        <w:rPr>
          <w:spacing w:val="-1"/>
        </w:rPr>
        <w:t>资金管理制度》、《浙江宏磊铜业股份有限公司内部审计制度》、《浙江宏磊铜业股份有限公司独立董事</w:t>
      </w:r>
      <w:r>
        <w:rPr>
          <w:spacing w:val="-83"/>
        </w:rPr>
        <w:t> </w:t>
      </w:r>
      <w:r>
        <w:rPr>
          <w:spacing w:val="-83"/>
        </w:rPr>
      </w:r>
      <w:r>
        <w:rPr>
          <w:spacing w:val="-1"/>
        </w:rPr>
        <w:t>工作制度》、《浙江宏磊铜业股份有限公司内幕信息知情人登记管理制度》；制订了《浙江宏磊铜业股份</w:t>
      </w:r>
      <w:r>
        <w:rPr>
          <w:spacing w:val="-84"/>
        </w:rPr>
        <w:t> </w:t>
      </w:r>
      <w:r>
        <w:rPr>
          <w:spacing w:val="-84"/>
        </w:rPr>
      </w:r>
      <w:r>
        <w:rPr>
          <w:spacing w:val="-1"/>
        </w:rPr>
        <w:t>有限公司累积投票制度实施细则》、《浙江宏磊铜业股份有限公司董事、监事、高级管理人员持有和买卖</w:t>
      </w:r>
      <w:r>
        <w:rPr>
          <w:spacing w:val="-82"/>
        </w:rPr>
        <w:t> </w:t>
      </w:r>
      <w:r>
        <w:rPr>
          <w:spacing w:val="-82"/>
        </w:rPr>
      </w:r>
      <w:r>
        <w:rPr>
          <w:spacing w:val="-1"/>
        </w:rPr>
        <w:t>本公司股票管理制度》、《浙江宏磊铜业股份有限公司年报信息披露重大差错责任追究制度》、《浙江宏</w:t>
      </w:r>
      <w:r>
        <w:rPr>
          <w:spacing w:val="-82"/>
        </w:rPr>
        <w:t> </w:t>
      </w:r>
      <w:r>
        <w:rPr>
          <w:spacing w:val="-82"/>
        </w:rPr>
      </w:r>
      <w:r>
        <w:rPr>
          <w:spacing w:val="-1"/>
        </w:rPr>
        <w:t>磊铜业股份有限公司重大信息内部报告制度》，不断完善公司法人治理结构，健全内部控制体系，进一步</w:t>
      </w:r>
      <w:r>
        <w:rPr>
          <w:spacing w:val="-80"/>
        </w:rPr>
        <w:t> </w:t>
      </w:r>
      <w:r>
        <w:rPr>
          <w:spacing w:val="-80"/>
        </w:rPr>
      </w:r>
      <w:r>
        <w:rPr/>
        <w:t>规范公司运作，提高公司治理水平。</w:t>
      </w:r>
    </w:p>
    <w:p>
      <w:pPr>
        <w:pStyle w:val="BodyText"/>
        <w:spacing w:line="266" w:lineRule="auto" w:before="7"/>
        <w:ind w:right="101" w:firstLine="419"/>
        <w:jc w:val="left"/>
      </w:pPr>
      <w:r>
        <w:rPr/>
        <w:t>报告期内，公司共组织召开了</w:t>
      </w:r>
      <w:r>
        <w:rPr>
          <w:rFonts w:ascii="Times New Roman" w:hAnsi="Times New Roman" w:cs="Times New Roman" w:eastAsia="Times New Roman" w:hint="default"/>
        </w:rPr>
        <w:t>8</w:t>
      </w:r>
      <w:r>
        <w:rPr/>
        <w:t>次董事会、</w:t>
      </w:r>
      <w:r>
        <w:rPr>
          <w:rFonts w:ascii="Times New Roman" w:hAnsi="Times New Roman" w:cs="Times New Roman" w:eastAsia="Times New Roman" w:hint="default"/>
        </w:rPr>
        <w:t>6</w:t>
      </w:r>
      <w:r>
        <w:rPr/>
        <w:t>次监事会、</w:t>
      </w:r>
      <w:r>
        <w:rPr>
          <w:rFonts w:ascii="Times New Roman" w:hAnsi="Times New Roman" w:cs="Times New Roman" w:eastAsia="Times New Roman" w:hint="default"/>
        </w:rPr>
        <w:t>4</w:t>
      </w:r>
      <w:r>
        <w:rPr/>
        <w:t>次股东大会，会议的召集与召开程序、出席</w:t>
      </w:r>
      <w:r>
        <w:rPr>
          <w:spacing w:val="1"/>
        </w:rPr>
        <w:t> </w:t>
      </w:r>
      <w:r>
        <w:rPr/>
        <w:t>会议人员的资格、会议表决程序和决议均符合法律、法规和公司章程的规定。公司将坚持按照相关法律法</w:t>
      </w:r>
      <w:r>
        <w:rPr/>
        <w:t> </w:t>
      </w:r>
      <w:r>
        <w:rPr>
          <w:spacing w:val="-3"/>
        </w:rPr>
        <w:t>规的要求，不断完善公司治理制度，切实保护投资者利益，自觉履行信息披露义务，做好投资者关系管理，</w:t>
      </w:r>
      <w:r>
        <w:rPr>
          <w:spacing w:val="-93"/>
        </w:rPr>
        <w:t> </w:t>
      </w:r>
      <w:r>
        <w:rPr>
          <w:spacing w:val="-93"/>
        </w:rPr>
      </w:r>
      <w:r>
        <w:rPr/>
        <w:t>提升企业规范运作水平。</w:t>
      </w:r>
    </w:p>
    <w:p>
      <w:pPr>
        <w:pStyle w:val="BodyText"/>
        <w:spacing w:line="240" w:lineRule="auto" w:before="14"/>
        <w:ind w:left="534" w:right="102"/>
        <w:jc w:val="left"/>
      </w:pPr>
      <w:r>
        <w:rPr/>
        <w:t>报告期内，公司未收到被监管部门采取行政监管措施的有关文件。</w:t>
      </w:r>
    </w:p>
    <w:p>
      <w:pPr>
        <w:pStyle w:val="BodyText"/>
        <w:spacing w:line="273" w:lineRule="auto" w:before="37"/>
        <w:ind w:left="534" w:right="275" w:hanging="105"/>
        <w:jc w:val="left"/>
      </w:pPr>
      <w:r>
        <w:rPr/>
        <w:t>（一）关于股东和股东大会 报告期内，公司严格遵守法律法规，规范地召集、召开了</w:t>
      </w:r>
      <w:r>
        <w:rPr>
          <w:rFonts w:ascii="Times New Roman" w:hAnsi="Times New Roman" w:cs="Times New Roman" w:eastAsia="Times New Roman" w:hint="default"/>
        </w:rPr>
        <w:t>4</w:t>
      </w:r>
      <w:r>
        <w:rPr/>
        <w:t>次股东大会。历次股东大会的召集、召开</w:t>
      </w:r>
    </w:p>
    <w:p>
      <w:pPr>
        <w:pStyle w:val="BodyText"/>
        <w:spacing w:line="273" w:lineRule="auto"/>
        <w:ind w:right="209"/>
        <w:jc w:val="both"/>
      </w:pPr>
      <w:r>
        <w:rPr>
          <w:spacing w:val="-1"/>
        </w:rPr>
        <w:t>程序、出席股东大会的人员资格及股东大会的表决程序均符合《公司法》、《证券法》、《深圳证券交易</w:t>
      </w:r>
      <w:r>
        <w:rPr>
          <w:spacing w:val="-85"/>
        </w:rPr>
        <w:t> </w:t>
      </w:r>
      <w:r>
        <w:rPr>
          <w:spacing w:val="-85"/>
        </w:rPr>
      </w:r>
      <w:r>
        <w:rPr>
          <w:spacing w:val="-1"/>
        </w:rPr>
        <w:t>所股票上市规则》、《深圳证券交易所中小企业板上市公司规范运作指引》、《公司章程》、《股东大会</w:t>
      </w:r>
      <w:r>
        <w:rPr>
          <w:spacing w:val="-84"/>
        </w:rPr>
        <w:t> </w:t>
      </w:r>
      <w:r>
        <w:rPr>
          <w:spacing w:val="-84"/>
        </w:rPr>
      </w:r>
      <w:r>
        <w:rPr>
          <w:spacing w:val="-1"/>
        </w:rPr>
        <w:t>议事规则》及其他法律法规的规定，能够确保全体股东尤其是中小股东享有平等地位，充分行使自己的权</w:t>
      </w:r>
      <w:r>
        <w:rPr>
          <w:spacing w:val="-82"/>
        </w:rPr>
        <w:t> </w:t>
      </w:r>
      <w:r>
        <w:rPr>
          <w:spacing w:val="-82"/>
        </w:rPr>
      </w:r>
      <w:r>
        <w:rPr/>
        <w:t>利。报告期内召开的股东大会均由董事会召集召开，并邀请见证律师进行现场见证。</w:t>
      </w:r>
    </w:p>
    <w:p>
      <w:pPr>
        <w:pStyle w:val="BodyText"/>
        <w:spacing w:line="273" w:lineRule="auto" w:before="7"/>
        <w:ind w:left="534" w:right="95" w:hanging="105"/>
        <w:jc w:val="left"/>
      </w:pPr>
      <w:r>
        <w:rPr/>
        <w:t>（二）关于上市公司与实际控制人的关系 </w:t>
      </w:r>
      <w:r>
        <w:rPr>
          <w:spacing w:val="-3"/>
        </w:rPr>
        <w:t>报告期内，公司实际控制人为自然人，公司实际控制人能够严格按照《中小企业板上市公司控股股东、</w:t>
      </w:r>
    </w:p>
    <w:p>
      <w:pPr>
        <w:pStyle w:val="BodyText"/>
        <w:spacing w:line="273" w:lineRule="auto" w:before="7"/>
        <w:ind w:right="209"/>
        <w:jc w:val="both"/>
      </w:pPr>
      <w:r>
        <w:rPr>
          <w:spacing w:val="-1"/>
        </w:rPr>
        <w:t>实际控制人行为指引》的规定和要求，规范行为，履行义务。没有超越公司股东大会直接或间接干预公司</w:t>
      </w:r>
      <w:r>
        <w:rPr>
          <w:spacing w:val="-81"/>
        </w:rPr>
        <w:t> </w:t>
      </w:r>
      <w:r>
        <w:rPr>
          <w:spacing w:val="-81"/>
        </w:rPr>
      </w:r>
      <w:r>
        <w:rPr>
          <w:spacing w:val="-1"/>
        </w:rPr>
        <w:t>的决策和经营活动的行为，不存在损害公司及其他股东利益的情况，不存在公司为控股股东及其子公司提</w:t>
      </w:r>
      <w:r>
        <w:rPr>
          <w:spacing w:val="-81"/>
        </w:rPr>
        <w:t> </w:t>
      </w:r>
      <w:r>
        <w:rPr>
          <w:spacing w:val="-81"/>
        </w:rPr>
      </w:r>
      <w:r>
        <w:rPr/>
        <w:t>供担保的行为。</w:t>
      </w:r>
    </w:p>
    <w:p>
      <w:pPr>
        <w:pStyle w:val="BodyText"/>
        <w:spacing w:line="273" w:lineRule="auto" w:before="7"/>
        <w:ind w:left="534" w:right="95" w:hanging="105"/>
        <w:jc w:val="left"/>
      </w:pPr>
      <w:r>
        <w:rPr/>
        <w:t>（三）关于董事与董事会 </w:t>
      </w:r>
      <w:r>
        <w:rPr>
          <w:spacing w:val="-3"/>
        </w:rPr>
        <w:t>报告期内，公司现任董事共九名，其中独立董事四名，董事会人数和人员构成符合法律、法规的要求。</w:t>
      </w:r>
    </w:p>
    <w:p>
      <w:pPr>
        <w:pStyle w:val="BodyText"/>
        <w:spacing w:line="268" w:lineRule="auto" w:before="7"/>
        <w:ind w:right="170"/>
        <w:jc w:val="left"/>
      </w:pPr>
      <w:r>
        <w:rPr>
          <w:spacing w:val="-1"/>
        </w:rPr>
        <w:t>公司所有董事能按照公司和股东利益最大化的要求诚信、勤勉地履行职责。公司独立董事严格遵守《关于</w:t>
      </w:r>
      <w:r>
        <w:rPr>
          <w:spacing w:val="-82"/>
        </w:rPr>
        <w:t> </w:t>
      </w:r>
      <w:r>
        <w:rPr>
          <w:spacing w:val="-82"/>
        </w:rPr>
      </w:r>
      <w:r>
        <w:rPr>
          <w:spacing w:val="-1"/>
        </w:rPr>
        <w:t>在上市公司建立独立董事制度的指导意见》及公司《独立董事工作制度》等规定，积极参与公司决策，对</w:t>
      </w:r>
      <w:r>
        <w:rPr>
          <w:spacing w:val="-81"/>
        </w:rPr>
        <w:t> </w:t>
      </w:r>
      <w:r>
        <w:rPr>
          <w:spacing w:val="-81"/>
        </w:rPr>
      </w:r>
      <w:r>
        <w:rPr/>
        <w:t>诸多重大事项发表了独立意见，充分发挥了独立董事特有的职能。董事会下设战略委员会、审计委员会、 </w:t>
      </w:r>
      <w:r>
        <w:rPr>
          <w:spacing w:val="-1"/>
        </w:rPr>
        <w:t>提名委员会、薪酬与考核委员会，各专门委员会严格遵守相关制度规定，各行其责，有力加强了公司董事</w:t>
      </w:r>
      <w:r>
        <w:rPr>
          <w:spacing w:val="-81"/>
        </w:rPr>
        <w:t> </w:t>
      </w:r>
      <w:r>
        <w:rPr>
          <w:spacing w:val="-81"/>
        </w:rPr>
      </w:r>
      <w:r>
        <w:rPr/>
        <w:t>会工作的规范运作。报告期内，董事会召开了</w:t>
      </w:r>
      <w:r>
        <w:rPr>
          <w:rFonts w:ascii="Times New Roman" w:hAnsi="Times New Roman" w:cs="Times New Roman" w:eastAsia="Times New Roman" w:hint="default"/>
        </w:rPr>
        <w:t>8</w:t>
      </w:r>
      <w:r>
        <w:rPr/>
        <w:t>次会议，保证了股东大会决议得到有效落实和各方面工作 的顺利进行。</w:t>
      </w:r>
    </w:p>
    <w:p>
      <w:pPr>
        <w:pStyle w:val="BodyText"/>
        <w:spacing w:line="273" w:lineRule="auto" w:before="12"/>
        <w:ind w:left="534" w:right="102" w:hanging="105"/>
        <w:jc w:val="left"/>
      </w:pPr>
      <w:r>
        <w:rPr/>
        <w:t>（四）关于监事和监事会 </w:t>
      </w:r>
      <w:r>
        <w:rPr>
          <w:spacing w:val="-1"/>
        </w:rPr>
        <w:t>报告期内，公司现任监事共三名，包括二名股东代表和一名职工代表，监事会人数和人员构成符合法</w:t>
      </w:r>
    </w:p>
    <w:p>
      <w:pPr>
        <w:pStyle w:val="BodyText"/>
        <w:spacing w:line="273" w:lineRule="auto" w:before="7"/>
        <w:ind w:right="101"/>
        <w:jc w:val="left"/>
      </w:pPr>
      <w:r>
        <w:rPr>
          <w:spacing w:val="-3"/>
        </w:rPr>
        <w:t>律、法规的要求。公司监事根据法律、法规及公司章程授予的职权认真履行职责，本着对股东负责的态度，</w:t>
      </w:r>
      <w:r>
        <w:rPr>
          <w:spacing w:val="-94"/>
        </w:rPr>
        <w:t> </w:t>
      </w:r>
      <w:r>
        <w:rPr>
          <w:spacing w:val="-94"/>
        </w:rPr>
      </w:r>
      <w:r>
        <w:rPr/>
        <w:t>对公司财务以及公司董事、总经理和其他高级管理人员履行职责的合法、合规性进行有效监督；对公司重</w:t>
      </w:r>
    </w:p>
    <w:p>
      <w:pPr>
        <w:spacing w:after="0" w:line="273" w:lineRule="auto"/>
        <w:jc w:val="left"/>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73" w:lineRule="auto" w:before="35"/>
        <w:ind w:right="102"/>
        <w:jc w:val="left"/>
      </w:pPr>
      <w:r>
        <w:rPr>
          <w:spacing w:val="-1"/>
        </w:rPr>
        <w:t>大事项、财务状况、董事和经理的履职情况等进行有效监督并发表意见，维护公司和全体股东的利益。报</w:t>
      </w:r>
      <w:r>
        <w:rPr>
          <w:spacing w:val="-81"/>
        </w:rPr>
        <w:t> </w:t>
      </w:r>
      <w:r>
        <w:rPr>
          <w:spacing w:val="-81"/>
        </w:rPr>
      </w:r>
      <w:r>
        <w:rPr/>
        <w:t>告期内，监事会召开了</w:t>
      </w:r>
      <w:r>
        <w:rPr>
          <w:rFonts w:ascii="Times New Roman" w:hAnsi="Times New Roman" w:cs="Times New Roman" w:eastAsia="Times New Roman" w:hint="default"/>
        </w:rPr>
        <w:t>6</w:t>
      </w:r>
      <w:r>
        <w:rPr/>
        <w:t>次会议，检查了公司的财务状况并对董事会编制的定期报告进行审核。</w:t>
      </w:r>
    </w:p>
    <w:p>
      <w:pPr>
        <w:pStyle w:val="BodyText"/>
        <w:spacing w:line="273" w:lineRule="auto"/>
        <w:ind w:left="533" w:right="102" w:hanging="105"/>
        <w:jc w:val="left"/>
      </w:pPr>
      <w:r>
        <w:rPr/>
        <w:t>（五）关于绩效评价与激励约束机制 </w:t>
      </w:r>
      <w:r>
        <w:rPr>
          <w:spacing w:val="-1"/>
        </w:rPr>
        <w:t>公司建立了公正、透明、有效的董事、监事和高管人员的绩效评价标准和激励约束机制，公司高级管</w:t>
      </w:r>
    </w:p>
    <w:p>
      <w:pPr>
        <w:pStyle w:val="BodyText"/>
        <w:spacing w:line="273" w:lineRule="auto" w:before="7"/>
        <w:ind w:left="113" w:right="188"/>
        <w:jc w:val="both"/>
      </w:pPr>
      <w:r>
        <w:rPr/>
        <w:t>理人员的聘任公开、透明，严格按照有关法律法规的规定进行。公司未来还将探索更多形式的激励方式， </w:t>
      </w:r>
      <w:r>
        <w:rPr>
          <w:spacing w:val="-1"/>
        </w:rPr>
        <w:t>形成多层次的综合激励机制，完善绩效评价标准，更好地调动管理人员的工作积极性，吸引和稳定优秀管</w:t>
      </w:r>
      <w:r>
        <w:rPr>
          <w:spacing w:val="-82"/>
        </w:rPr>
        <w:t> </w:t>
      </w:r>
      <w:r>
        <w:rPr>
          <w:spacing w:val="-82"/>
        </w:rPr>
      </w:r>
      <w:r>
        <w:rPr/>
        <w:t>理人才和技术、业务骨干。</w:t>
      </w:r>
    </w:p>
    <w:p>
      <w:pPr>
        <w:pStyle w:val="BodyText"/>
        <w:spacing w:line="273" w:lineRule="auto" w:before="7"/>
        <w:ind w:left="533" w:right="102" w:hanging="105"/>
        <w:jc w:val="left"/>
      </w:pPr>
      <w:r>
        <w:rPr/>
        <w:t>（六）关于投资者关系管理工作 </w:t>
      </w:r>
      <w:r>
        <w:rPr>
          <w:spacing w:val="-1"/>
        </w:rPr>
        <w:t>报告期内，公司严格按照有关法律法规及《深圳证券交易所股票上市规则》中关于公司信息披露的规</w:t>
      </w:r>
    </w:p>
    <w:p>
      <w:pPr>
        <w:pStyle w:val="BodyText"/>
        <w:spacing w:line="273" w:lineRule="auto" w:before="7"/>
        <w:ind w:left="113" w:right="211"/>
        <w:jc w:val="both"/>
      </w:pPr>
      <w:r>
        <w:rPr>
          <w:spacing w:val="-1"/>
        </w:rPr>
        <w:t>定，真实、准确、完整、及时地履行信息披露义务，并确保所有股东以平等的机会获得信息。公司明确董</w:t>
      </w:r>
      <w:r>
        <w:rPr>
          <w:spacing w:val="-84"/>
        </w:rPr>
        <w:t> </w:t>
      </w:r>
      <w:r>
        <w:rPr>
          <w:spacing w:val="-84"/>
        </w:rPr>
      </w:r>
      <w:r>
        <w:rPr>
          <w:spacing w:val="-1"/>
        </w:rPr>
        <w:t>事会秘书为投资者关系管理负责人，组织实施投资者关系的日常管理工作，指定证券部为专门的投资者关</w:t>
      </w:r>
      <w:r>
        <w:rPr>
          <w:spacing w:val="-81"/>
        </w:rPr>
        <w:t> </w:t>
      </w:r>
      <w:r>
        <w:rPr>
          <w:spacing w:val="-81"/>
        </w:rPr>
      </w:r>
      <w:r>
        <w:rPr/>
        <w:t>系管理机构，加强与投资者的沟通，充分保证广大投资者的知情权。</w:t>
      </w:r>
    </w:p>
    <w:p>
      <w:pPr>
        <w:pStyle w:val="BodyText"/>
        <w:spacing w:line="273" w:lineRule="auto" w:before="7"/>
        <w:ind w:left="533" w:right="102" w:hanging="105"/>
        <w:jc w:val="left"/>
      </w:pPr>
      <w:r>
        <w:rPr/>
        <w:t>（七）关于信息披露 </w:t>
      </w:r>
      <w:r>
        <w:rPr>
          <w:spacing w:val="-1"/>
        </w:rPr>
        <w:t>公司按照《深圳证券交易所股票上市规则》、《公司章程》、《信息披露事务管理制度》、《投资者</w:t>
      </w:r>
    </w:p>
    <w:p>
      <w:pPr>
        <w:pStyle w:val="BodyText"/>
        <w:spacing w:line="273" w:lineRule="auto" w:before="7"/>
        <w:ind w:left="113" w:right="102"/>
        <w:jc w:val="left"/>
      </w:pPr>
      <w:r>
        <w:rPr/>
        <w:t>关系管理制度》等的规定，依法真实、准确、及时、公平、完整地披露有关信息，报告期内，除了按照监 管要求披露信息外，公司通过电话、传真、电子邮件等形式加强与投资者的沟通，力求提高信息披露的透 </w:t>
      </w:r>
      <w:r>
        <w:rPr>
          <w:spacing w:val="-3"/>
        </w:rPr>
        <w:t>明度。同时，公司进一步加强了与监管机构的经常性联系和主动沟通，积极向监管机构报告公司相关事项，</w:t>
      </w:r>
      <w:r>
        <w:rPr>
          <w:spacing w:val="-93"/>
        </w:rPr>
        <w:t> </w:t>
      </w:r>
      <w:r>
        <w:rPr>
          <w:spacing w:val="-93"/>
        </w:rPr>
      </w:r>
      <w:r>
        <w:rPr/>
        <w:t>确保公司信息披露更加规范。</w:t>
      </w:r>
    </w:p>
    <w:p>
      <w:pPr>
        <w:pStyle w:val="BodyText"/>
        <w:spacing w:line="273" w:lineRule="auto" w:before="7"/>
        <w:ind w:left="533" w:right="171" w:hanging="105"/>
        <w:jc w:val="left"/>
      </w:pPr>
      <w:r>
        <w:rPr/>
        <w:t>（八）关于利益相关者 公司在保持稳健发展、实现股东利益最大化的同时，积极关注所在地区环境保护、公益事业等问题，</w:t>
      </w:r>
    </w:p>
    <w:p>
      <w:pPr>
        <w:pStyle w:val="BodyText"/>
        <w:spacing w:line="273" w:lineRule="auto" w:before="7"/>
        <w:ind w:left="113" w:right="102"/>
        <w:jc w:val="left"/>
      </w:pPr>
      <w:r>
        <w:rPr>
          <w:spacing w:val="-3"/>
        </w:rPr>
        <w:t>重视社会责任，充分尊重和维护相关利益者的合法权利，加强与各方的沟通和合作，努力实现股东、社会、</w:t>
      </w:r>
      <w:r>
        <w:rPr>
          <w:spacing w:val="-94"/>
        </w:rPr>
        <w:t> </w:t>
      </w:r>
      <w:r>
        <w:rPr>
          <w:spacing w:val="-94"/>
        </w:rPr>
      </w:r>
      <w:r>
        <w:rPr/>
        <w:t>员工等各方利益的均衡，共同推动公司持续、健康地发展。公司治理的实际情况与中国证监会有关上市公</w:t>
      </w:r>
      <w:r>
        <w:rPr/>
        <w:t> 司治理的规范性文件要求基本符合，并能严格按照相关规定履行义务。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6"/>
        <w:ind w:left="114" w:right="4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3"/>
        <w:ind w:left="114" w:right="102"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312" w:lineRule="auto" w:before="116"/>
        <w:ind w:left="113" w:right="209" w:firstLine="720"/>
        <w:jc w:val="both"/>
        <w:rPr>
          <w:rFonts w:ascii="宋体" w:hAnsi="宋体" w:cs="宋体" w:eastAsia="宋体" w:hint="default"/>
          <w:sz w:val="18"/>
          <w:szCs w:val="18"/>
        </w:rPr>
      </w:pPr>
      <w:r>
        <w:rPr>
          <w:rFonts w:ascii="宋体" w:hAnsi="宋体" w:cs="宋体" w:eastAsia="宋体" w:hint="default"/>
          <w:spacing w:val="-7"/>
          <w:sz w:val="18"/>
          <w:szCs w:val="18"/>
        </w:rPr>
        <w:t>报告期内，在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日召开的公司第二届董事会第八次会议上审议通过了《关于修订浙江宏磊铜业股份有 </w:t>
      </w:r>
      <w:r>
        <w:rPr>
          <w:rFonts w:ascii="宋体" w:hAnsi="宋体" w:cs="宋体" w:eastAsia="宋体" w:hint="default"/>
          <w:spacing w:val="-2"/>
          <w:sz w:val="18"/>
          <w:szCs w:val="18"/>
        </w:rPr>
        <w:t>限公司内幕信息知情人登记管理制度的议案》，进一步完善了公司内幕知情人登记管理制度。报告期内，公司能够按照证监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会《关于上市公司建立内幕信息知情人登记管理制度的规定》、深交所《中小企业板信息披露业务备忘录第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号：内幕信息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知情人报备相关事项》以及公司《内幕信息知情人登记管理制度》的要求，认真做好内幕信息管理和内幕信息知情人登记工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作，能够如实、完整记录内幕信息在公开披露前的报告、传递、编制、审核、披露等各环节所有内幕信息知情人名单。</w:t>
      </w:r>
      <w:r>
        <w:rPr>
          <w:rFonts w:ascii="宋体" w:hAnsi="宋体" w:cs="宋体" w:eastAsia="宋体" w:hint="default"/>
          <w:spacing w:val="10"/>
          <w:sz w:val="18"/>
          <w:szCs w:val="18"/>
        </w:rPr>
        <w:t> </w:t>
      </w:r>
      <w:r>
        <w:rPr>
          <w:rFonts w:ascii="宋体" w:hAnsi="宋体" w:cs="宋体" w:eastAsia="宋体" w:hint="default"/>
          <w:sz w:val="18"/>
          <w:szCs w:val="18"/>
        </w:rPr>
        <w:t>在</w:t>
      </w:r>
      <w:r>
        <w:rPr>
          <w:rFonts w:ascii="宋体" w:hAnsi="宋体" w:cs="宋体" w:eastAsia="宋体" w:hint="default"/>
          <w:sz w:val="18"/>
          <w:szCs w:val="18"/>
        </w:rPr>
        <w:t> 定期报告披露期间，公司对董事、监事、高级管理人员以及其他内幕信息知情人在定期报告公告前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天内、业绩预告和业</w:t>
      </w:r>
    </w:p>
    <w:p>
      <w:pPr>
        <w:spacing w:line="300" w:lineRule="auto" w:before="3"/>
        <w:ind w:left="114" w:right="201" w:firstLine="0"/>
        <w:jc w:val="left"/>
        <w:rPr>
          <w:rFonts w:ascii="宋体" w:hAnsi="宋体" w:cs="宋体" w:eastAsia="宋体" w:hint="default"/>
          <w:sz w:val="18"/>
          <w:szCs w:val="18"/>
        </w:rPr>
      </w:pPr>
      <w:r>
        <w:rPr>
          <w:rFonts w:ascii="宋体" w:hAnsi="宋体" w:cs="宋体" w:eastAsia="宋体" w:hint="default"/>
          <w:sz w:val="18"/>
          <w:szCs w:val="18"/>
        </w:rPr>
        <w:t>绩快报公告前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日内以及其他重大事项披露期间等敏感期内买卖公司股票的情况进行自查，没有发现相关人员利用内幕信 息从事内幕交易。</w:t>
      </w:r>
    </w:p>
    <w:p>
      <w:pPr>
        <w:spacing w:after="0" w:line="300" w:lineRule="auto"/>
        <w:jc w:val="left"/>
        <w:rPr>
          <w:rFonts w:ascii="宋体" w:hAnsi="宋体" w:cs="宋体" w:eastAsia="宋体" w:hint="default"/>
          <w:sz w:val="18"/>
          <w:szCs w:val="18"/>
        </w:rPr>
        <w:sectPr>
          <w:pgSz w:w="11910" w:h="16840"/>
          <w:pgMar w:header="747" w:footer="980" w:top="1060" w:bottom="1160" w:left="1020" w:right="920"/>
        </w:sectPr>
      </w:pPr>
    </w:p>
    <w:p>
      <w:pPr>
        <w:spacing w:line="240" w:lineRule="auto" w:before="9"/>
        <w:rPr>
          <w:rFonts w:ascii="宋体" w:hAnsi="宋体" w:cs="宋体" w:eastAsia="宋体" w:hint="default"/>
          <w:sz w:val="23"/>
          <w:szCs w:val="23"/>
        </w:rPr>
      </w:pPr>
    </w:p>
    <w:p>
      <w:pPr>
        <w:pStyle w:val="Heading2"/>
        <w:spacing w:line="240" w:lineRule="auto"/>
        <w:ind w:right="105"/>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1596"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、审议《</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1594"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董事会工作报告</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报告及摘要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3"/>
                <w:sz w:val="18"/>
                <w:szCs w:val="18"/>
              </w:rPr>
              <w:t>、</w:t>
            </w:r>
            <w:r>
              <w:rPr>
                <w:rFonts w:ascii="宋体" w:hAnsi="宋体" w:cs="宋体" w:eastAsia="宋体" w:hint="default"/>
                <w:sz w:val="18"/>
                <w:szCs w:val="18"/>
              </w:rPr>
              <w:t>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决算报告</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42"/>
                <w:sz w:val="18"/>
                <w:szCs w:val="18"/>
              </w:rPr>
              <w:t>、</w:t>
            </w:r>
            <w:r>
              <w:rPr>
                <w:rFonts w:ascii="宋体" w:hAnsi="宋体" w:cs="宋体" w:eastAsia="宋体" w:hint="default"/>
                <w:sz w:val="18"/>
                <w:szCs w:val="18"/>
              </w:rPr>
              <w:t>审议</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配预案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、审议</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年度募集资</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金存放及使用情况</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具体内容详见刊登</w:t>
            </w:r>
          </w:p>
        </w:tc>
      </w:tr>
      <w:tr>
        <w:trPr>
          <w:trHeight w:val="316"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的专项报告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83"/>
                <w:sz w:val="18"/>
                <w:szCs w:val="18"/>
              </w:rPr>
              <w:t>、</w:t>
            </w:r>
            <w:r>
              <w:rPr>
                <w:rFonts w:ascii="宋体" w:hAnsi="宋体" w:cs="宋体" w:eastAsia="宋体" w:hint="default"/>
                <w:sz w:val="18"/>
                <w:szCs w:val="18"/>
              </w:rPr>
              <w:t>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在巨潮资讯网</w:t>
            </w:r>
          </w:p>
        </w:tc>
      </w:tr>
      <w:tr>
        <w:trPr>
          <w:trHeight w:val="936" w:hRule="exact"/>
        </w:trPr>
        <w:tc>
          <w:tcPr>
            <w:tcW w:w="1596"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09"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年度内部 控制自我评价报 </w:t>
            </w:r>
            <w:r>
              <w:rPr>
                <w:rFonts w:ascii="宋体" w:hAnsi="宋体" w:cs="宋体" w:eastAsia="宋体" w:hint="default"/>
                <w:spacing w:val="-18"/>
                <w:sz w:val="18"/>
                <w:szCs w:val="18"/>
              </w:rPr>
              <w:t>告》；</w:t>
            </w:r>
            <w:r>
              <w:rPr>
                <w:rFonts w:ascii="Times New Roman" w:hAnsi="Times New Roman" w:cs="Times New Roman" w:eastAsia="Times New Roman" w:hint="default"/>
                <w:spacing w:val="-18"/>
                <w:sz w:val="18"/>
                <w:szCs w:val="18"/>
              </w:rPr>
              <w:t>8</w:t>
            </w:r>
            <w:r>
              <w:rPr>
                <w:rFonts w:ascii="宋体" w:hAnsi="宋体" w:cs="宋体" w:eastAsia="宋体" w:hint="default"/>
                <w:spacing w:val="-18"/>
                <w:sz w:val="18"/>
                <w:szCs w:val="18"/>
              </w:rPr>
              <w:t>、审议《关于</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00" w:lineRule="auto"/>
              <w:ind w:left="22" w:right="60"/>
              <w:jc w:val="left"/>
              <w:rPr>
                <w:rFonts w:ascii="宋体" w:hAnsi="宋体" w:cs="宋体" w:eastAsia="宋体" w:hint="default"/>
                <w:sz w:val="18"/>
                <w:szCs w:val="18"/>
              </w:rPr>
            </w:pPr>
            <w:r>
              <w:rPr>
                <w:rFonts w:ascii="宋体" w:hAnsi="宋体" w:cs="宋体" w:eastAsia="宋体" w:hint="default"/>
                <w:sz w:val="18"/>
                <w:szCs w:val="18"/>
              </w:rPr>
              <w:t>决议通过第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议案</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07" w:lineRule="auto" w:before="47"/>
              <w:ind w:left="22" w:right="83"/>
              <w:jc w:val="both"/>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 东大会决议公告》</w:t>
            </w: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向有关商业银行申</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6"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年综合授信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2012-030</w:t>
            </w:r>
            <w:r>
              <w:rPr>
                <w:rFonts w:ascii="宋体" w:hAnsi="宋体" w:cs="宋体" w:eastAsia="宋体" w:hint="default"/>
                <w:sz w:val="18"/>
                <w:szCs w:val="18"/>
              </w:rPr>
              <w:t>）</w:t>
            </w: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额度的议案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83"/>
                <w:sz w:val="18"/>
                <w:szCs w:val="18"/>
              </w:rPr>
              <w:t>、</w:t>
            </w:r>
            <w:r>
              <w:rPr>
                <w:rFonts w:ascii="宋体" w:hAnsi="宋体" w:cs="宋体" w:eastAsia="宋体" w:hint="default"/>
                <w:sz w:val="18"/>
                <w:szCs w:val="18"/>
              </w:rPr>
              <w:t>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83"/>
                <w:sz w:val="18"/>
                <w:szCs w:val="18"/>
              </w:rPr>
              <w:t>议</w:t>
            </w:r>
            <w:r>
              <w:rPr>
                <w:rFonts w:ascii="宋体" w:hAnsi="宋体" w:cs="宋体" w:eastAsia="宋体" w:hint="default"/>
                <w:sz w:val="18"/>
                <w:szCs w:val="18"/>
              </w:rPr>
              <w:t>《关于为子公司提</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供担保的议案</w:t>
            </w:r>
            <w:r>
              <w:rPr>
                <w:rFonts w:ascii="宋体" w:hAnsi="宋体" w:cs="宋体" w:eastAsia="宋体" w:hint="default"/>
                <w:spacing w:val="-90"/>
                <w:sz w:val="18"/>
                <w:szCs w:val="18"/>
              </w:rPr>
              <w:t>》</w:t>
            </w:r>
            <w:r>
              <w:rPr>
                <w:rFonts w:ascii="宋体" w:hAnsi="宋体" w:cs="宋体" w:eastAsia="宋体" w:hint="default"/>
                <w:spacing w:val="-83"/>
                <w:sz w:val="18"/>
                <w:szCs w:val="18"/>
              </w:rPr>
              <w:t>；</w:t>
            </w:r>
            <w:r>
              <w:rPr>
                <w:rFonts w:ascii="Times New Roman" w:hAnsi="Times New Roman" w:cs="Times New Roman" w:eastAsia="Times New Roman" w:hint="default"/>
                <w:sz w:val="18"/>
                <w:szCs w:val="18"/>
              </w:rPr>
              <w:t>10</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审议《关于续聘</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、审议</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《关于公司符合发</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行公司债券条件的</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59"/>
                <w:sz w:val="18"/>
                <w:szCs w:val="18"/>
              </w:rPr>
              <w:t>；</w:t>
            </w:r>
            <w:r>
              <w:rPr>
                <w:rFonts w:ascii="Times New Roman" w:hAnsi="Times New Roman" w:cs="Times New Roman" w:eastAsia="Times New Roman" w:hint="default"/>
                <w:sz w:val="18"/>
                <w:szCs w:val="18"/>
              </w:rPr>
              <w:t>12</w:t>
            </w:r>
            <w:r>
              <w:rPr>
                <w:rFonts w:ascii="宋体" w:hAnsi="宋体" w:cs="宋体" w:eastAsia="宋体" w:hint="default"/>
                <w:spacing w:val="-57"/>
                <w:sz w:val="18"/>
                <w:szCs w:val="18"/>
              </w:rPr>
              <w:t>、</w:t>
            </w:r>
            <w:r>
              <w:rPr>
                <w:rFonts w:ascii="宋体" w:hAnsi="宋体" w:cs="宋体" w:eastAsia="宋体" w:hint="default"/>
                <w:sz w:val="18"/>
                <w:szCs w:val="18"/>
              </w:rPr>
              <w:t>审</w:t>
            </w:r>
            <w:r>
              <w:rPr>
                <w:rFonts w:ascii="宋体" w:hAnsi="宋体" w:cs="宋体" w:eastAsia="宋体" w:hint="default"/>
                <w:spacing w:val="-58"/>
                <w:sz w:val="18"/>
                <w:szCs w:val="18"/>
              </w:rPr>
              <w:t>议</w:t>
            </w:r>
            <w:r>
              <w:rPr>
                <w:rFonts w:ascii="宋体" w:hAnsi="宋体" w:cs="宋体" w:eastAsia="宋体" w:hint="default"/>
                <w:sz w:val="18"/>
                <w:szCs w:val="18"/>
              </w:rPr>
              <w:t>《关</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于发行公司债券的</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596"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（逐项表决</w:t>
            </w:r>
            <w:r>
              <w:rPr>
                <w:rFonts w:ascii="宋体" w:hAnsi="宋体" w:cs="宋体" w:eastAsia="宋体" w:hint="default"/>
                <w:spacing w:val="-90"/>
                <w:sz w:val="18"/>
                <w:szCs w:val="18"/>
              </w:rPr>
              <w:t>）</w:t>
            </w:r>
            <w:r>
              <w:rPr>
                <w:rFonts w:ascii="宋体" w:hAnsi="宋体" w:cs="宋体" w:eastAsia="宋体" w:hint="default"/>
                <w:sz w:val="18"/>
                <w:szCs w:val="18"/>
              </w:rPr>
            </w: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right="105"/>
        <w:jc w:val="left"/>
        <w:rPr>
          <w:b w:val="0"/>
          <w:bCs w:val="0"/>
        </w:rPr>
      </w:pPr>
      <w:r>
        <w:rPr/>
        <w:pict>
          <v:shape style="position:absolute;margin-left:289.980011pt;margin-top:-469.466034pt;width:85.45pt;height:456.5pt;mso-position-horizontal-relative:page;mso-position-vertical-relative:paragraph;z-index:-8346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6.100006pt;margin-top:-469.466034pt;width:79.350pt;height:456.5pt;mso-position-horizontal-relative:page;mso-position-vertical-relative:paragraph;z-index:-834664" coordorigin="5922,-9389" coordsize="1587,9130">
            <v:shape style="position:absolute;left:5922;top:-9389;width:1587;height:9130" coordorigin="5922,-9389" coordsize="1587,9130" path="m5922,-260l7508,-260,7508,-9389,5922,-9389,5922,-260xe" filled="true" fillcolor="#ffffff" stroked="false">
              <v:path arrowok="t"/>
              <v:fill type="solid"/>
            </v:shape>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1596"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、审议《关于增加</w:t>
            </w:r>
          </w:p>
        </w:tc>
        <w:tc>
          <w:tcPr>
            <w:tcW w:w="1594"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right="96"/>
              <w:jc w:val="center"/>
              <w:rPr>
                <w:rFonts w:ascii="宋体" w:hAnsi="宋体" w:cs="宋体" w:eastAsia="宋体" w:hint="default"/>
                <w:sz w:val="18"/>
                <w:szCs w:val="18"/>
              </w:rPr>
            </w:pPr>
            <w:r>
              <w:rPr>
                <w:rFonts w:ascii="宋体" w:hAnsi="宋体" w:cs="宋体" w:eastAsia="宋体" w:hint="default"/>
                <w:sz w:val="18"/>
                <w:szCs w:val="18"/>
              </w:rPr>
              <w:t>具体内容详见刊登</w:t>
            </w:r>
          </w:p>
        </w:tc>
      </w:tr>
      <w:tr>
        <w:trPr>
          <w:trHeight w:val="687" w:hRule="exact"/>
        </w:trPr>
        <w:tc>
          <w:tcPr>
            <w:tcW w:w="1596" w:type="dxa"/>
            <w:tcBorders>
              <w:top w:val="nil" w:sz="6" w:space="0" w:color="auto"/>
              <w:left w:val="single" w:sz="4" w:space="0" w:color="010101"/>
              <w:bottom w:val="nil" w:sz="6" w:space="0" w:color="auto"/>
              <w:right w:val="single" w:sz="4" w:space="0" w:color="010101"/>
            </w:tcBorders>
          </w:tcPr>
          <w:p>
            <w:pPr>
              <w:pStyle w:val="TableParagraph"/>
              <w:spacing w:line="300" w:lineRule="auto" w:before="14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 股东大会</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公司经营范围的议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、审议《关于</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00" w:lineRule="auto" w:before="141"/>
              <w:ind w:left="22" w:right="150"/>
              <w:jc w:val="left"/>
              <w:rPr>
                <w:rFonts w:ascii="宋体" w:hAnsi="宋体" w:cs="宋体" w:eastAsia="宋体" w:hint="default"/>
                <w:sz w:val="18"/>
                <w:szCs w:val="18"/>
              </w:rPr>
            </w:pPr>
            <w:r>
              <w:rPr>
                <w:rFonts w:ascii="宋体" w:hAnsi="宋体" w:cs="宋体" w:eastAsia="宋体" w:hint="default"/>
                <w:sz w:val="18"/>
                <w:szCs w:val="18"/>
              </w:rPr>
              <w:t>决议通过第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议案</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在巨潮资讯网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249"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192" w:lineRule="exact"/>
              <w:ind w:right="53"/>
              <w:jc w:val="center"/>
              <w:rPr>
                <w:rFonts w:ascii="宋体" w:hAnsi="宋体" w:cs="宋体" w:eastAsia="宋体" w:hint="default"/>
                <w:sz w:val="18"/>
                <w:szCs w:val="18"/>
              </w:rPr>
            </w:pPr>
            <w:r>
              <w:rPr>
                <w:rFonts w:ascii="宋体" w:hAnsi="宋体" w:cs="宋体" w:eastAsia="宋体" w:hint="default"/>
                <w:sz w:val="18"/>
                <w:szCs w:val="18"/>
              </w:rPr>
              <w:t>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r>
      <w:tr>
        <w:trPr>
          <w:trHeight w:val="314" w:hRule="exact"/>
        </w:trPr>
        <w:tc>
          <w:tcPr>
            <w:tcW w:w="1596"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份有限公司章程修</w:t>
            </w:r>
          </w:p>
        </w:tc>
        <w:tc>
          <w:tcPr>
            <w:tcW w:w="1594"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right="96"/>
              <w:jc w:val="center"/>
              <w:rPr>
                <w:rFonts w:ascii="宋体" w:hAnsi="宋体" w:cs="宋体" w:eastAsia="宋体" w:hint="default"/>
                <w:sz w:val="18"/>
                <w:szCs w:val="18"/>
              </w:rPr>
            </w:pPr>
            <w:r>
              <w:rPr>
                <w:rFonts w:ascii="宋体" w:hAnsi="宋体" w:cs="宋体" w:eastAsia="宋体" w:hint="default"/>
                <w:sz w:val="18"/>
                <w:szCs w:val="18"/>
              </w:rPr>
              <w:t>次临时股东大会决</w:t>
            </w:r>
          </w:p>
        </w:tc>
      </w:tr>
    </w:tbl>
    <w:p>
      <w:pPr>
        <w:spacing w:after="0" w:line="240" w:lineRule="auto"/>
        <w:jc w:val="center"/>
        <w:rPr>
          <w:rFonts w:ascii="宋体" w:hAnsi="宋体" w:cs="宋体" w:eastAsia="宋体" w:hint="default"/>
          <w:sz w:val="18"/>
          <w:szCs w:val="18"/>
        </w:rPr>
        <w:sectPr>
          <w:footerReference w:type="default" r:id="rId29"/>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289.980011pt;margin-top:72.480003pt;width:85.45pt;height:470.1pt;mso-position-horizontal-relative:page;mso-position-vertical-relative:page;z-index:-83461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17" w:hRule="exact"/>
        </w:trPr>
        <w:tc>
          <w:tcPr>
            <w:tcW w:w="1596" w:type="dxa"/>
            <w:vMerge w:val="restart"/>
            <w:tcBorders>
              <w:top w:val="single" w:sz="4" w:space="0" w:color="010101"/>
              <w:left w:val="single" w:sz="4" w:space="0" w:color="010101"/>
              <w:right w:val="single" w:sz="4" w:space="0" w:color="010101"/>
            </w:tcBorders>
          </w:tcPr>
          <w:p>
            <w:pPr/>
          </w:p>
        </w:tc>
        <w:tc>
          <w:tcPr>
            <w:tcW w:w="1595" w:type="dxa"/>
            <w:vMerge w:val="restart"/>
            <w:tcBorders>
              <w:top w:val="single" w:sz="4" w:space="0" w:color="010101"/>
              <w:left w:val="single" w:sz="4" w:space="0" w:color="010101"/>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7"/>
                <w:sz w:val="18"/>
                <w:szCs w:val="18"/>
              </w:rPr>
              <w:t>案</w:t>
            </w: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的议案》</w:t>
            </w:r>
          </w:p>
        </w:tc>
        <w:tc>
          <w:tcPr>
            <w:tcW w:w="1594" w:type="dxa"/>
            <w:vMerge w:val="restart"/>
            <w:tcBorders>
              <w:top w:val="single" w:sz="4" w:space="0" w:color="010101"/>
              <w:left w:val="single" w:sz="4" w:space="0" w:color="010101"/>
              <w:right w:val="single" w:sz="4" w:space="0" w:color="010101"/>
            </w:tcBorders>
          </w:tcPr>
          <w:p>
            <w:pPr>
              <w:pStyle w:val="TableParagraph"/>
              <w:spacing w:line="9402"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79.350pt;height:470.1pt;mso-position-horizontal-relative:char;mso-position-vertical-relative:line" coordorigin="0,0" coordsize="1587,9402">
                  <v:group style="position:absolute;left:0;top:0;width:1587;height:9402" coordorigin="0,0" coordsize="1587,9402">
                    <v:shape style="position:absolute;left:0;top:0;width:1587;height:9402" coordorigin="0,0" coordsize="1587,9402" path="m0,9402l1586,9402,1586,0,0,0,0,9402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1595" w:type="dxa"/>
            <w:vMerge w:val="restart"/>
            <w:tcBorders>
              <w:top w:val="single" w:sz="4" w:space="0" w:color="010101"/>
              <w:left w:val="single" w:sz="4" w:space="0" w:color="010101"/>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、审议《关于使用</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2012-013</w:t>
            </w:r>
            <w:r>
              <w:rPr>
                <w:rFonts w:ascii="宋体" w:hAnsi="宋体" w:cs="宋体" w:eastAsia="宋体" w:hint="default"/>
                <w:sz w:val="18"/>
                <w:szCs w:val="18"/>
              </w:rPr>
              <w:t>）</w:t>
            </w: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部分募集资金临时</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性补充流动资金的</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7"/>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于修</w:t>
            </w:r>
            <w:r>
              <w:rPr>
                <w:rFonts w:ascii="宋体" w:hAnsi="宋体" w:cs="宋体" w:eastAsia="宋体" w:hint="default"/>
                <w:spacing w:val="-83"/>
                <w:sz w:val="18"/>
                <w:szCs w:val="18"/>
              </w:rPr>
              <w:t>订</w:t>
            </w:r>
            <w:r>
              <w:rPr>
                <w:rFonts w:ascii="宋体" w:hAnsi="宋体" w:cs="宋体" w:eastAsia="宋体" w:hint="default"/>
                <w:sz w:val="18"/>
                <w:szCs w:val="18"/>
              </w:rPr>
              <w:t>〈浙江宏磊铜</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业股份有限公司对</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外担保管理制度</w:t>
            </w:r>
            <w:r>
              <w:rPr>
                <w:rFonts w:ascii="宋体" w:hAnsi="宋体" w:cs="宋体" w:eastAsia="宋体" w:hint="default"/>
                <w:spacing w:val="-83"/>
                <w:sz w:val="18"/>
                <w:szCs w:val="18"/>
              </w:rPr>
              <w:t>〉</w:t>
            </w:r>
            <w:r>
              <w:rPr>
                <w:rFonts w:ascii="宋体" w:hAnsi="宋体" w:cs="宋体" w:eastAsia="宋体" w:hint="default"/>
                <w:sz w:val="18"/>
                <w:szCs w:val="18"/>
              </w:rPr>
              <w:t>的</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7"/>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于修</w:t>
            </w:r>
            <w:r>
              <w:rPr>
                <w:rFonts w:ascii="宋体" w:hAnsi="宋体" w:cs="宋体" w:eastAsia="宋体" w:hint="default"/>
                <w:spacing w:val="-83"/>
                <w:sz w:val="18"/>
                <w:szCs w:val="18"/>
              </w:rPr>
              <w:t>订</w:t>
            </w:r>
            <w:r>
              <w:rPr>
                <w:rFonts w:ascii="宋体" w:hAnsi="宋体" w:cs="宋体" w:eastAsia="宋体" w:hint="default"/>
                <w:sz w:val="18"/>
                <w:szCs w:val="18"/>
              </w:rPr>
              <w:t>〈浙江宏磊铜</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业股份有限公司对</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外投资管理制度</w:t>
            </w:r>
            <w:r>
              <w:rPr>
                <w:rFonts w:ascii="宋体" w:hAnsi="宋体" w:cs="宋体" w:eastAsia="宋体" w:hint="default"/>
                <w:spacing w:val="-83"/>
                <w:sz w:val="18"/>
                <w:szCs w:val="18"/>
              </w:rPr>
              <w:t>〉</w:t>
            </w:r>
            <w:r>
              <w:rPr>
                <w:rFonts w:ascii="宋体" w:hAnsi="宋体" w:cs="宋体" w:eastAsia="宋体" w:hint="default"/>
                <w:sz w:val="18"/>
                <w:szCs w:val="18"/>
              </w:rPr>
              <w:t>的</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27"/>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于修</w:t>
            </w:r>
            <w:r>
              <w:rPr>
                <w:rFonts w:ascii="宋体" w:hAnsi="宋体" w:cs="宋体" w:eastAsia="宋体" w:hint="default"/>
                <w:spacing w:val="-83"/>
                <w:sz w:val="18"/>
                <w:szCs w:val="18"/>
              </w:rPr>
              <w:t>订</w:t>
            </w:r>
            <w:r>
              <w:rPr>
                <w:rFonts w:ascii="宋体" w:hAnsi="宋体" w:cs="宋体" w:eastAsia="宋体" w:hint="default"/>
                <w:sz w:val="18"/>
                <w:szCs w:val="18"/>
              </w:rPr>
              <w:t>〈浙江宏磊铜</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业股份有限公司关</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联交易管理制度</w:t>
            </w:r>
            <w:r>
              <w:rPr>
                <w:rFonts w:ascii="宋体" w:hAnsi="宋体" w:cs="宋体" w:eastAsia="宋体" w:hint="default"/>
                <w:spacing w:val="-83"/>
                <w:sz w:val="18"/>
                <w:szCs w:val="18"/>
              </w:rPr>
              <w:t>〉</w:t>
            </w:r>
            <w:r>
              <w:rPr>
                <w:rFonts w:ascii="宋体" w:hAnsi="宋体" w:cs="宋体" w:eastAsia="宋体" w:hint="default"/>
                <w:sz w:val="18"/>
                <w:szCs w:val="18"/>
              </w:rPr>
              <w:t>的</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27"/>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于修</w:t>
            </w:r>
            <w:r>
              <w:rPr>
                <w:rFonts w:ascii="宋体" w:hAnsi="宋体" w:cs="宋体" w:eastAsia="宋体" w:hint="default"/>
                <w:spacing w:val="-83"/>
                <w:sz w:val="18"/>
                <w:szCs w:val="18"/>
              </w:rPr>
              <w:t>订</w:t>
            </w:r>
            <w:r>
              <w:rPr>
                <w:rFonts w:ascii="宋体" w:hAnsi="宋体" w:cs="宋体" w:eastAsia="宋体" w:hint="default"/>
                <w:sz w:val="18"/>
                <w:szCs w:val="18"/>
              </w:rPr>
              <w:t>〈浙江宏磊铜</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业股份有限公司重</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大交易事项决策管</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理制度</w:t>
            </w:r>
            <w:r>
              <w:rPr>
                <w:rFonts w:ascii="宋体" w:hAnsi="宋体" w:cs="宋体" w:eastAsia="宋体" w:hint="default"/>
                <w:spacing w:val="-46"/>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Times New Roman" w:hAnsi="Times New Roman" w:cs="Times New Roman" w:eastAsia="Times New Roman" w:hint="default"/>
                <w:sz w:val="18"/>
                <w:szCs w:val="18"/>
              </w:rPr>
              <w:t>8</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0"/>
                <w:sz w:val="18"/>
                <w:szCs w:val="18"/>
              </w:rPr>
              <w:t>审议《关于修订〈浙</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江宏磊铜业股份有</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限公司募集资金管</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理办法</w:t>
            </w:r>
            <w:r>
              <w:rPr>
                <w:rFonts w:ascii="宋体" w:hAnsi="宋体" w:cs="宋体" w:eastAsia="宋体" w:hint="default"/>
                <w:spacing w:val="-46"/>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Times New Roman" w:hAnsi="Times New Roman" w:cs="Times New Roman" w:eastAsia="Times New Roman" w:hint="default"/>
                <w:sz w:val="18"/>
                <w:szCs w:val="18"/>
              </w:rPr>
              <w:t>9</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0"/>
                <w:sz w:val="18"/>
                <w:szCs w:val="18"/>
              </w:rPr>
              <w:t>审议《关于制订〈浙</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江宏磊铜业股份有</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限公司累积投票制</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596"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度实施细则〉的议</w:t>
            </w:r>
          </w:p>
        </w:tc>
        <w:tc>
          <w:tcPr>
            <w:tcW w:w="1594" w:type="dxa"/>
            <w:vMerge/>
            <w:tcBorders>
              <w:left w:val="single" w:sz="4" w:space="0" w:color="010101"/>
              <w:right w:val="single" w:sz="4" w:space="0" w:color="010101"/>
            </w:tcBorders>
          </w:tcPr>
          <w:p>
            <w:pPr/>
          </w:p>
        </w:tc>
        <w:tc>
          <w:tcPr>
            <w:tcW w:w="1595" w:type="dxa"/>
            <w:vMerge/>
            <w:tcBorders>
              <w:left w:val="single" w:sz="4" w:space="0" w:color="010101"/>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596" w:type="dxa"/>
            <w:vMerge/>
            <w:tcBorders>
              <w:left w:val="single" w:sz="4" w:space="0" w:color="010101"/>
              <w:bottom w:val="single" w:sz="4" w:space="0" w:color="010101"/>
              <w:right w:val="single" w:sz="4" w:space="0" w:color="010101"/>
            </w:tcBorders>
          </w:tcPr>
          <w:p>
            <w:pPr/>
          </w:p>
        </w:tc>
        <w:tc>
          <w:tcPr>
            <w:tcW w:w="1595" w:type="dxa"/>
            <w:vMerge/>
            <w:tcBorders>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10101"/>
              <w:bottom w:val="single" w:sz="4" w:space="0" w:color="010101"/>
              <w:right w:val="single" w:sz="4" w:space="0" w:color="010101"/>
            </w:tcBorders>
          </w:tcPr>
          <w:p>
            <w:pPr/>
          </w:p>
        </w:tc>
        <w:tc>
          <w:tcPr>
            <w:tcW w:w="1595" w:type="dxa"/>
            <w:vMerge/>
            <w:tcBorders>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1596"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具体内容详见刊登</w:t>
            </w: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在巨潮资讯网</w:t>
            </w:r>
          </w:p>
        </w:tc>
      </w:tr>
      <w:tr>
        <w:trPr>
          <w:trHeight w:val="936" w:hRule="exact"/>
        </w:trPr>
        <w:tc>
          <w:tcPr>
            <w:tcW w:w="159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 股东大会</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09" w:lineRule="auto" w:before="10"/>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、审议《关于受让 小额贷款公司股权 </w:t>
            </w:r>
            <w:r>
              <w:rPr>
                <w:rFonts w:ascii="宋体" w:hAnsi="宋体" w:cs="宋体" w:eastAsia="宋体" w:hint="default"/>
                <w:spacing w:val="-18"/>
                <w:sz w:val="18"/>
                <w:szCs w:val="18"/>
              </w:rPr>
              <w:t>的议案》。</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决议通过该项议案</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07" w:lineRule="auto" w:before="51"/>
              <w:ind w:left="22" w:right="74"/>
              <w:jc w:val="both"/>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次临时股东大会决</w:t>
            </w: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357" w:hRule="exact"/>
        </w:trPr>
        <w:tc>
          <w:tcPr>
            <w:tcW w:w="1596"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2012-039</w:t>
            </w:r>
            <w:r>
              <w:rPr>
                <w:rFonts w:ascii="宋体" w:hAnsi="宋体" w:cs="宋体" w:eastAsia="宋体" w:hint="default"/>
                <w:sz w:val="18"/>
                <w:szCs w:val="18"/>
              </w:rPr>
              <w:t>）</w:t>
            </w:r>
          </w:p>
        </w:tc>
      </w:tr>
      <w:tr>
        <w:trPr>
          <w:trHeight w:val="346" w:hRule="exact"/>
        </w:trPr>
        <w:tc>
          <w:tcPr>
            <w:tcW w:w="1596"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
        </w:tc>
        <w:tc>
          <w:tcPr>
            <w:tcW w:w="1595" w:type="dxa"/>
            <w:tcBorders>
              <w:top w:val="single" w:sz="4" w:space="0" w:color="010101"/>
              <w:left w:val="single" w:sz="4" w:space="0" w:color="010101"/>
              <w:bottom w:val="nil" w:sz="6" w:space="0" w:color="auto"/>
              <w:right w:val="single" w:sz="4" w:space="0" w:color="010101"/>
            </w:tcBorders>
          </w:tcPr>
          <w:p>
            <w:pPr/>
          </w:p>
        </w:tc>
        <w:tc>
          <w:tcPr>
            <w:tcW w:w="15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具体内容详见刊登</w:t>
            </w:r>
          </w:p>
        </w:tc>
      </w:tr>
      <w:tr>
        <w:trPr>
          <w:trHeight w:val="312"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、审议《关于继续</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在巨潮资讯网</w:t>
            </w:r>
          </w:p>
        </w:tc>
      </w:tr>
      <w:tr>
        <w:trPr>
          <w:trHeight w:val="628" w:hRule="exact"/>
        </w:trPr>
        <w:tc>
          <w:tcPr>
            <w:tcW w:w="1596" w:type="dxa"/>
            <w:tcBorders>
              <w:top w:val="nil" w:sz="6" w:space="0" w:color="auto"/>
              <w:left w:val="single" w:sz="4" w:space="0" w:color="010101"/>
              <w:bottom w:val="nil" w:sz="6" w:space="0" w:color="auto"/>
              <w:right w:val="single" w:sz="4" w:space="0" w:color="010101"/>
            </w:tcBorders>
          </w:tcPr>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 股东大会</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以部分闲置募集资 金临时性补充公司</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决议通过该项议案</w:t>
            </w:r>
          </w:p>
        </w:tc>
        <w:tc>
          <w:tcPr>
            <w:tcW w:w="1595"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p>
        </w:tc>
      </w:tr>
      <w:tr>
        <w:trPr>
          <w:trHeight w:val="318" w:hRule="exact"/>
        </w:trPr>
        <w:tc>
          <w:tcPr>
            <w:tcW w:w="1596"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流动资金的议案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10101"/>
              <w:bottom w:val="nil" w:sz="6" w:space="0" w:color="auto"/>
              <w:right w:val="single" w:sz="4" w:space="0" w:color="010101"/>
            </w:tcBorders>
          </w:tcPr>
          <w:p>
            <w:pPr/>
          </w:p>
        </w:tc>
        <w:tc>
          <w:tcPr>
            <w:tcW w:w="1595" w:type="dxa"/>
            <w:tcBorders>
              <w:top w:val="nil" w:sz="6" w:space="0" w:color="auto"/>
              <w:left w:val="single" w:sz="4" w:space="0" w:color="010101"/>
              <w:bottom w:val="nil" w:sz="6" w:space="0" w:color="auto"/>
              <w:right w:val="single" w:sz="4" w:space="0" w:color="010101"/>
            </w:tcBorders>
          </w:tcPr>
          <w:p>
            <w:pPr/>
          </w:p>
        </w:tc>
        <w:tc>
          <w:tcPr>
            <w:tcW w:w="1594"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tc>
      </w:tr>
      <w:tr>
        <w:trPr>
          <w:trHeight w:val="328" w:hRule="exact"/>
        </w:trPr>
        <w:tc>
          <w:tcPr>
            <w:tcW w:w="1596"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
        </w:tc>
        <w:tc>
          <w:tcPr>
            <w:tcW w:w="1595" w:type="dxa"/>
            <w:tcBorders>
              <w:top w:val="nil" w:sz="6" w:space="0" w:color="auto"/>
              <w:left w:val="single" w:sz="4" w:space="0" w:color="010101"/>
              <w:bottom w:val="single" w:sz="4" w:space="0" w:color="010101"/>
              <w:right w:val="single" w:sz="4" w:space="0" w:color="010101"/>
            </w:tcBorders>
          </w:tcPr>
          <w:p>
            <w:pPr/>
          </w:p>
        </w:tc>
        <w:tc>
          <w:tcPr>
            <w:tcW w:w="15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bl>
    <w:p>
      <w:pPr>
        <w:spacing w:after="0" w:line="240" w:lineRule="auto"/>
        <w:jc w:val="left"/>
        <w:rPr>
          <w:rFonts w:ascii="宋体" w:hAnsi="宋体" w:cs="宋体" w:eastAsia="宋体" w:hint="default"/>
          <w:sz w:val="18"/>
          <w:szCs w:val="18"/>
        </w:rPr>
        <w:sectPr>
          <w:footerReference w:type="default" r:id="rId30"/>
          <w:pgSz w:w="11910" w:h="16840"/>
          <w:pgMar w:footer="980" w:header="747" w:top="1060" w:bottom="1160" w:left="1020" w:right="10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6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2012-047</w:t>
            </w:r>
            <w:r>
              <w:rPr>
                <w:rFonts w:ascii="宋体" w:hAnsi="宋体" w:cs="宋体" w:eastAsia="宋体" w:hint="default"/>
                <w:sz w:val="18"/>
                <w:szCs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2"/>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5"/>
        <w:gridCol w:w="1324"/>
        <w:gridCol w:w="1324"/>
        <w:gridCol w:w="1325"/>
        <w:gridCol w:w="1324"/>
        <w:gridCol w:w="1324"/>
        <w:gridCol w:w="1325"/>
      </w:tblGrid>
      <w:tr>
        <w:trPr>
          <w:trHeight w:val="402"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77"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7"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0"/>
        <w:ind w:left="114" w:right="10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2"/>
        <w:rPr>
          <w:rFonts w:ascii="宋体" w:hAnsi="宋体" w:cs="宋体" w:eastAsia="宋体" w:hint="default"/>
          <w:sz w:val="26"/>
          <w:szCs w:val="26"/>
        </w:rPr>
      </w:pPr>
    </w:p>
    <w:p>
      <w:pPr>
        <w:pStyle w:val="Heading5"/>
        <w:spacing w:line="240" w:lineRule="auto"/>
        <w:ind w:right="10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14" w:right="6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21"/>
          <w:szCs w:val="21"/>
        </w:rPr>
      </w:pPr>
    </w:p>
    <w:p>
      <w:pPr>
        <w:pStyle w:val="Heading5"/>
        <w:spacing w:line="240" w:lineRule="auto"/>
        <w:ind w:right="10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1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5"/>
        <w:ind w:left="113" w:right="102" w:firstLine="420"/>
        <w:jc w:val="left"/>
      </w:pPr>
      <w:r>
        <w:rPr/>
        <w:t>报告期内，公司独立董事积极出席公司召开的董事会和股东大会，定期听取公司经营情况汇报，对公 司进行了多次实地现场考察，了解公司的生产经营情况和财务状况；并通过电话和邮件，独立董事积极与 公司其他董事、高管人员及相关工作人员保持密切联系，时刻关注国内外经济形势和行业发展态势对公司 经营状况的影响，关注传媒、网络有关公司的相关报道，及时获悉公司各重大事项的进展情况，定期审阅 公司提供的信息报告，及时了解掌握公司经营与发展情况，深入探讨公司经营发展中的机遇与挑战，及时 </w:t>
      </w:r>
      <w:r>
        <w:rPr>
          <w:spacing w:val="-3"/>
        </w:rPr>
        <w:t>提示风险。本年度重点关注公司的募投项目建设进展情况、主营业务经营状况和发展趋势等重大经营活动，</w:t>
      </w:r>
      <w:r>
        <w:rPr>
          <w:spacing w:val="-92"/>
        </w:rPr>
        <w:t> </w:t>
      </w:r>
      <w:r>
        <w:rPr>
          <w:spacing w:val="-92"/>
        </w:rPr>
      </w:r>
      <w:r>
        <w:rPr/>
        <w:t>掌握公司的运行动态，在充分掌握实际情况的基础上提出相关意见与建议，为独立董事对董事会各项议案</w:t>
      </w:r>
      <w:r>
        <w:rPr/>
        <w:t> 的审议表决、对重大事项发表独立意见提供了有力的支持。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before="0"/>
        <w:ind w:right="102"/>
        <w:jc w:val="left"/>
        <w:rPr>
          <w:b w:val="0"/>
          <w:bCs w:val="0"/>
        </w:rPr>
      </w:pPr>
      <w:r>
        <w:rPr/>
        <w:t>四、董事会下设专门委员会在报告期内履行职责情况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left="113" w:right="208" w:firstLine="420"/>
        <w:jc w:val="both"/>
      </w:pPr>
      <w:r>
        <w:rPr>
          <w:spacing w:val="-1"/>
        </w:rPr>
        <w:t>公司董事会下设四个专门委员会，分别为战略委员会、审计委员会、提名委员会、薪酬委员会。</w:t>
      </w: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spacing w:val="-1"/>
        </w:rPr>
        <w:t>年各专门委员会本着勤勉尽责的原则，根据《公司法》、《上市公司治理准则》等有关法律法规及《公司</w:t>
      </w:r>
      <w:r>
        <w:rPr>
          <w:spacing w:val="-83"/>
        </w:rPr>
        <w:t> </w:t>
      </w:r>
      <w:r>
        <w:rPr>
          <w:spacing w:val="-83"/>
        </w:rPr>
      </w:r>
      <w:r>
        <w:rPr>
          <w:spacing w:val="-1"/>
        </w:rPr>
        <w:t>章程》、《公司董事会各专门委员会工作细则》的有关规定开展相关工作，报告期内，各专门委员会履职</w:t>
      </w:r>
    </w:p>
    <w:p>
      <w:pPr>
        <w:spacing w:after="0" w:line="264" w:lineRule="auto"/>
        <w:jc w:val="both"/>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40" w:lineRule="auto" w:before="35"/>
        <w:ind w:right="0"/>
        <w:jc w:val="both"/>
      </w:pPr>
      <w:r>
        <w:rPr/>
        <w:t>情况如下：</w:t>
      </w:r>
    </w:p>
    <w:p>
      <w:pPr>
        <w:pStyle w:val="BodyText"/>
        <w:spacing w:line="256" w:lineRule="auto" w:before="37"/>
        <w:ind w:left="534" w:right="179"/>
        <w:jc w:val="left"/>
      </w:pPr>
      <w:r>
        <w:rPr>
          <w:rFonts w:ascii="Times New Roman" w:hAnsi="Times New Roman" w:cs="Times New Roman" w:eastAsia="Times New Roman" w:hint="default"/>
        </w:rPr>
        <w:t>1</w:t>
      </w:r>
      <w:r>
        <w:rPr/>
        <w:t>、战略委员会 </w:t>
      </w:r>
      <w:r>
        <w:rPr>
          <w:spacing w:val="-1"/>
        </w:rPr>
        <w:t>报告期内，战略委员会根据有关规定积极开展工作，认真履行职责，召开了相关会议，对公司所处行</w:t>
      </w:r>
    </w:p>
    <w:p>
      <w:pPr>
        <w:pStyle w:val="BodyText"/>
        <w:spacing w:line="264" w:lineRule="auto" w:before="22"/>
        <w:ind w:left="534" w:right="255" w:hanging="420"/>
        <w:jc w:val="left"/>
      </w:pPr>
      <w:r>
        <w:rPr/>
        <w:t>业发展态势和募投项目建设进行了深入分析探讨，对公司发展战略的实施提出了合理建议。 </w:t>
      </w:r>
      <w:r>
        <w:rPr>
          <w:rFonts w:ascii="Times New Roman" w:hAnsi="Times New Roman" w:cs="Times New Roman" w:eastAsia="Times New Roman" w:hint="default"/>
        </w:rPr>
        <w:t>2</w:t>
      </w:r>
      <w:r>
        <w:rPr/>
        <w:t>、审计委员会 报告期内，审计委员会根据有关规定，积极履行职责，召开了</w:t>
      </w:r>
      <w:r>
        <w:rPr>
          <w:rFonts w:ascii="Times New Roman" w:hAnsi="Times New Roman" w:cs="Times New Roman" w:eastAsia="Times New Roman" w:hint="default"/>
        </w:rPr>
        <w:t>4</w:t>
      </w:r>
      <w:r>
        <w:rPr/>
        <w:t>次会议，审议了公司审计部提交的各</w:t>
      </w:r>
    </w:p>
    <w:p>
      <w:pPr>
        <w:pStyle w:val="BodyText"/>
        <w:spacing w:line="273" w:lineRule="auto"/>
        <w:ind w:left="113" w:right="168"/>
        <w:jc w:val="both"/>
      </w:pPr>
      <w:r>
        <w:rPr/>
        <w:t>项内部审计报告，听取了审计部年度工作总结和工作计划安排，对审计部的工作开展给予了一定的指导。 </w:t>
      </w:r>
      <w:r>
        <w:rPr>
          <w:spacing w:val="-1"/>
        </w:rPr>
        <w:t>对公司年度审计、外部审计机构的聘任等事项给予合理的建议，对财务报告、募集资金使用、内部控制建</w:t>
      </w:r>
      <w:r>
        <w:rPr>
          <w:spacing w:val="-81"/>
        </w:rPr>
        <w:t> </w:t>
      </w:r>
      <w:r>
        <w:rPr>
          <w:spacing w:val="-81"/>
        </w:rPr>
      </w:r>
      <w:r>
        <w:rPr/>
        <w:t>设等情况进行审核。</w:t>
      </w:r>
    </w:p>
    <w:p>
      <w:pPr>
        <w:pStyle w:val="BodyText"/>
        <w:spacing w:line="256" w:lineRule="auto" w:before="7"/>
        <w:ind w:left="593" w:right="179" w:firstLine="45"/>
        <w:jc w:val="left"/>
      </w:pPr>
      <w:r>
        <w:rPr>
          <w:rFonts w:ascii="Times New Roman" w:hAnsi="Times New Roman" w:cs="Times New Roman" w:eastAsia="Times New Roman" w:hint="default"/>
        </w:rPr>
        <w:t>3</w:t>
      </w:r>
      <w:r>
        <w:rPr/>
        <w:t>、提名委员会 </w:t>
      </w:r>
      <w:r>
        <w:rPr>
          <w:spacing w:val="-2"/>
        </w:rPr>
        <w:t>报告期内，提名委员会按照《董事会提名委员会工作细则》履行职责，对公司内审机构负责人人选进</w:t>
      </w:r>
    </w:p>
    <w:p>
      <w:pPr>
        <w:pStyle w:val="BodyText"/>
        <w:spacing w:line="240" w:lineRule="auto" w:before="22"/>
        <w:ind w:left="113" w:right="0"/>
        <w:jc w:val="both"/>
      </w:pPr>
      <w:r>
        <w:rPr/>
        <w:t>行提名，对其任职资格进行了审查，并发表审查意见和建议。</w:t>
      </w:r>
    </w:p>
    <w:p>
      <w:pPr>
        <w:pStyle w:val="BodyText"/>
        <w:spacing w:line="256" w:lineRule="auto" w:before="37"/>
        <w:ind w:left="533" w:right="179" w:firstLine="60"/>
        <w:jc w:val="left"/>
      </w:pPr>
      <w:r>
        <w:rPr>
          <w:rFonts w:ascii="Times New Roman" w:hAnsi="Times New Roman" w:cs="Times New Roman" w:eastAsia="Times New Roman" w:hint="default"/>
        </w:rPr>
        <w:t>4</w:t>
      </w:r>
      <w:r>
        <w:rPr/>
        <w:t>、薪酬与考核委员会 </w:t>
      </w:r>
      <w:r>
        <w:rPr>
          <w:spacing w:val="-1"/>
        </w:rPr>
        <w:t>报告期内，薪酬与考核委员会根据有关规定，积极履行职责。薪酬与考核委员会对公司董事、监事和</w:t>
      </w:r>
    </w:p>
    <w:p>
      <w:pPr>
        <w:pStyle w:val="BodyText"/>
        <w:spacing w:line="273" w:lineRule="auto" w:before="22"/>
        <w:ind w:left="113" w:right="190"/>
        <w:jc w:val="both"/>
      </w:pPr>
      <w:r>
        <w:rPr>
          <w:spacing w:val="-1"/>
        </w:rPr>
        <w:t>高级管理人员的薪酬审核后认为，公司逐步建立公正、公平、公开、有效的高级管理人员绩效评价标准和</w:t>
      </w:r>
      <w:r>
        <w:rPr>
          <w:spacing w:val="-81"/>
        </w:rPr>
        <w:t> </w:t>
      </w:r>
      <w:r>
        <w:rPr>
          <w:spacing w:val="-81"/>
        </w:rPr>
      </w:r>
      <w:r>
        <w:rPr>
          <w:spacing w:val="-1"/>
        </w:rPr>
        <w:t>激励约束机制，公司高级管理人员实行基本年薪与年终绩效考核相结合的薪酬制度。公司董事、监事和高</w:t>
      </w:r>
      <w:r>
        <w:rPr>
          <w:spacing w:val="-82"/>
        </w:rPr>
        <w:t> </w:t>
      </w:r>
      <w:r>
        <w:rPr>
          <w:spacing w:val="-82"/>
        </w:rPr>
      </w:r>
      <w:r>
        <w:rPr/>
        <w:t>级管理人员报告期内薪酬真实，符合公司绩效考核指标。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before="0"/>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14" w:right="6750"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before="0"/>
        <w:ind w:right="0"/>
        <w:jc w:val="both"/>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tabs>
          <w:tab w:pos="2523" w:val="left" w:leader="none"/>
          <w:tab w:pos="5113" w:val="left" w:leader="none"/>
          <w:tab w:pos="5383" w:val="left" w:leader="none"/>
          <w:tab w:pos="7139" w:val="left" w:leader="none"/>
          <w:tab w:pos="7673" w:val="left" w:leader="none"/>
          <w:tab w:pos="7971" w:val="left" w:leader="none"/>
          <w:tab w:pos="9572" w:val="left" w:leader="none"/>
        </w:tabs>
        <w:spacing w:line="314" w:lineRule="auto" w:before="0"/>
        <w:ind w:left="113" w:right="101" w:firstLine="540"/>
        <w:jc w:val="left"/>
        <w:rPr>
          <w:rFonts w:ascii="宋体" w:hAnsi="宋体" w:cs="宋体" w:eastAsia="宋体" w:hint="default"/>
          <w:sz w:val="18"/>
          <w:szCs w:val="18"/>
        </w:rPr>
      </w:pPr>
      <w:r>
        <w:rPr>
          <w:rFonts w:ascii="宋体" w:hAnsi="宋体" w:cs="宋体" w:eastAsia="宋体" w:hint="default"/>
          <w:spacing w:val="-6"/>
          <w:sz w:val="18"/>
          <w:szCs w:val="18"/>
        </w:rPr>
        <w:t>公司自设立以来，严格按照《公司法》、《证券法》等法律法规和《公司章程》的要求规范运作，建立、健全了公司法</w:t>
      </w:r>
      <w:r>
        <w:rPr>
          <w:rFonts w:ascii="宋体" w:hAnsi="宋体" w:cs="宋体" w:eastAsia="宋体" w:hint="default"/>
          <w:sz w:val="18"/>
          <w:szCs w:val="18"/>
        </w:rPr>
        <w:t> </w:t>
      </w:r>
      <w:r>
        <w:rPr>
          <w:rFonts w:ascii="宋体" w:hAnsi="宋体" w:cs="宋体" w:eastAsia="宋体" w:hint="default"/>
          <w:spacing w:val="-2"/>
          <w:sz w:val="18"/>
          <w:szCs w:val="18"/>
        </w:rPr>
        <w:t>人治理结构。公司与控股股东、实际控制人在业务、人员、资产、机构、财务等方面完全分开，具有独立完整的业务及自主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经营能力。公司所有的生产经营或重大事项均根据《公司章程》及相关制度的规定由经理层、董事会、股东大会讨论确定， </w:t>
      </w:r>
      <w:r>
        <w:rPr>
          <w:rFonts w:ascii="宋体" w:hAnsi="宋体" w:cs="宋体" w:eastAsia="宋体" w:hint="default"/>
          <w:spacing w:val="-2"/>
          <w:sz w:val="18"/>
          <w:szCs w:val="18"/>
        </w:rPr>
        <w:t>不存在受控于控股股东、实际控制人的情形。</w:t>
        <w:tab/>
        <w:tab/>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、业务独立情况</w:t>
        <w:tab/>
        <w:tab/>
        <w:tab/>
      </w:r>
      <w:r>
        <w:rPr>
          <w:rFonts w:ascii="宋体" w:hAnsi="宋体" w:cs="宋体" w:eastAsia="宋体" w:hint="default"/>
          <w:spacing w:val="-2"/>
          <w:sz w:val="18"/>
          <w:szCs w:val="18"/>
        </w:rPr>
        <w:t>公司与控股股东、实际</w:t>
      </w:r>
      <w:r>
        <w:rPr>
          <w:rFonts w:ascii="宋体" w:hAnsi="宋体" w:cs="宋体" w:eastAsia="宋体" w:hint="default"/>
          <w:sz w:val="18"/>
          <w:szCs w:val="18"/>
        </w:rPr>
        <w:t> </w:t>
      </w:r>
      <w:r>
        <w:rPr>
          <w:rFonts w:ascii="宋体" w:hAnsi="宋体" w:cs="宋体" w:eastAsia="宋体" w:hint="default"/>
          <w:spacing w:val="-4"/>
          <w:sz w:val="18"/>
          <w:szCs w:val="18"/>
        </w:rPr>
        <w:t>控制人及其控制的其他企业不存在同业竞争。公司目前主要从事漆包线、铜管的生产销售业务，拥有独立完整的研发、生产、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采购及销售系统，拥有具体系统的生产经营计划、财务核算、劳动人事、产品供销等业务体系，具备独立的面向市场自主经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营能力，均由公司自主决策、自负盈亏，不存在对股东及其他机构依赖的情况。</w:t>
        <w:tab/>
        <w:tab/>
      </w:r>
      <w:r>
        <w:rPr>
          <w:rFonts w:ascii="Times New Roman" w:hAnsi="Times New Roman" w:cs="Times New Roman" w:eastAsia="Times New Roman" w:hint="default"/>
          <w:sz w:val="18"/>
          <w:szCs w:val="18"/>
        </w:rPr>
        <w:t>2</w:t>
      </w:r>
      <w:r>
        <w:rPr>
          <w:rFonts w:ascii="宋体" w:hAnsi="宋体" w:cs="宋体" w:eastAsia="宋体" w:hint="default"/>
          <w:sz w:val="18"/>
          <w:szCs w:val="18"/>
        </w:rPr>
        <w:t>、人员独立情况 </w:t>
      </w:r>
      <w:r>
        <w:rPr>
          <w:rFonts w:ascii="宋体" w:hAnsi="宋体" w:cs="宋体" w:eastAsia="宋体" w:hint="default"/>
          <w:spacing w:val="-2"/>
          <w:sz w:val="18"/>
          <w:szCs w:val="18"/>
        </w:rPr>
        <w:t>公司的董事、监事、高级管理人员的任职，均按照《公司法》及其他法律、法规、规范性文件、《公司章程》规定的程序进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行。公司总经理、副总经理、财务总监和董事会秘书等高级管理人员均在公司工作并领取薪酬，没有在控股股东、实际控制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人及其控制的其他企业中担任除董事、监事以外的任何职务及领取薪酬。公司的财务人员也不存在在控股股东、实际控制人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或其控制的其他企业中兼职的情况。公司建立独立的人事管理系统，与员工签订了劳动合同，建立独立的工资管理、福利与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社会保障体系。</w:t>
        <w:tab/>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、资产独立情况</w:t>
        <w:tab/>
      </w:r>
      <w:r>
        <w:rPr>
          <w:rFonts w:ascii="宋体" w:hAnsi="宋体" w:cs="宋体" w:eastAsia="宋体" w:hint="default"/>
          <w:sz w:val="18"/>
          <w:szCs w:val="18"/>
        </w:rPr>
        <w:t>公司合法拥有与主营业务相关的土地、厂房、机器设备以及</w:t>
      </w:r>
      <w:r>
        <w:rPr>
          <w:rFonts w:ascii="宋体" w:hAnsi="宋体" w:cs="宋体" w:eastAsia="宋体" w:hint="default"/>
          <w:sz w:val="18"/>
          <w:szCs w:val="18"/>
        </w:rPr>
        <w:t> </w:t>
      </w:r>
      <w:r>
        <w:rPr>
          <w:rFonts w:ascii="宋体" w:hAnsi="宋体" w:cs="宋体" w:eastAsia="宋体" w:hint="default"/>
          <w:spacing w:val="-2"/>
          <w:sz w:val="18"/>
          <w:szCs w:val="18"/>
        </w:rPr>
        <w:t>商标、专利、非专利技术的所有权或者使用权。公司与股东之间的资产产权界定清晰，生产经营场所独立，不存在依靠股东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的生产经营场所进行生产经营的情况。公司不存在以资产、权益或信誉为股东的债务提供担保的情况，公司对所有资产拥有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完全的控制支配权，不存在资产、资金被股东占用而损害公司利益的情况。</w:t>
        <w:tab/>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、机构独立情况</w:t>
        <w:tab/>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2"/>
          <w:sz w:val="18"/>
          <w:szCs w:val="18"/>
        </w:rPr>
        <w:t>司设立健全的组织体系，股东大会、董事会、监事会及各职能部门均独立运作，依法独立行使各自职权。公司生产经营和办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公机构完全独立，不存在与股东混合经营的情形。公司的机构设置均独立于控股股东，未发生控股股东及其关联企业干预公</w:t>
      </w:r>
    </w:p>
    <w:p>
      <w:pPr>
        <w:spacing w:after="0" w:line="314"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tabs>
          <w:tab w:pos="4253" w:val="left" w:leader="none"/>
        </w:tabs>
        <w:spacing w:line="312" w:lineRule="auto" w:before="44"/>
        <w:ind w:left="113" w:right="110" w:firstLine="0"/>
        <w:jc w:val="both"/>
        <w:rPr>
          <w:rFonts w:ascii="宋体" w:hAnsi="宋体" w:cs="宋体" w:eastAsia="宋体" w:hint="default"/>
          <w:sz w:val="18"/>
          <w:szCs w:val="18"/>
        </w:rPr>
      </w:pPr>
      <w:r>
        <w:rPr>
          <w:rFonts w:ascii="宋体" w:hAnsi="宋体" w:cs="宋体" w:eastAsia="宋体" w:hint="default"/>
          <w:sz w:val="18"/>
          <w:szCs w:val="18"/>
        </w:rPr>
        <w:t>司机构设置和生产经营活动的情况。</w:t>
        <w:tab/>
      </w:r>
      <w:r>
        <w:rPr>
          <w:rFonts w:ascii="Times New Roman" w:hAnsi="Times New Roman" w:cs="Times New Roman" w:eastAsia="Times New Roman" w:hint="default"/>
          <w:sz w:val="18"/>
          <w:szCs w:val="18"/>
        </w:rPr>
        <w:t>5</w:t>
      </w:r>
      <w:r>
        <w:rPr>
          <w:rFonts w:ascii="宋体" w:hAnsi="宋体" w:cs="宋体" w:eastAsia="宋体" w:hint="default"/>
          <w:sz w:val="18"/>
          <w:szCs w:val="18"/>
        </w:rPr>
        <w:t>、财务独立情况        公司设有独立的财务会计部门和内部审计部 </w:t>
      </w:r>
      <w:r>
        <w:rPr>
          <w:rFonts w:ascii="宋体" w:hAnsi="宋体" w:cs="宋体" w:eastAsia="宋体" w:hint="default"/>
          <w:spacing w:val="-2"/>
          <w:sz w:val="18"/>
          <w:szCs w:val="18"/>
        </w:rPr>
        <w:t>门，并配备专职财务管理人员及内部审计人员。公司制定了独立于控股股东的财务管理制度和内部审计管理制度，并建立了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独立的会计核算体系。公司具有独立的银行账户并依法独立纳税。公司不存在货币资金或其他资产被股东单位或其他关联方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占用的情况，也不存在为股东及其下属单位、其他关联企业提供担保的情况。</w:t>
      </w:r>
    </w:p>
    <w:p>
      <w:pPr>
        <w:spacing w:line="240" w:lineRule="auto" w:before="0"/>
        <w:rPr>
          <w:rFonts w:ascii="宋体" w:hAnsi="宋体" w:cs="宋体" w:eastAsia="宋体" w:hint="default"/>
          <w:sz w:val="21"/>
          <w:szCs w:val="21"/>
        </w:rPr>
      </w:pPr>
    </w:p>
    <w:p>
      <w:pPr>
        <w:pStyle w:val="Heading2"/>
        <w:spacing w:line="240" w:lineRule="auto" w:before="0"/>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报告期内，没有发生同业竞争的情况。</w:t>
      </w:r>
    </w:p>
    <w:p>
      <w:pPr>
        <w:spacing w:line="240" w:lineRule="auto" w:before="1"/>
        <w:rPr>
          <w:rFonts w:ascii="宋体" w:hAnsi="宋体" w:cs="宋体" w:eastAsia="宋体" w:hint="default"/>
          <w:sz w:val="25"/>
          <w:szCs w:val="25"/>
        </w:rPr>
      </w:pPr>
    </w:p>
    <w:p>
      <w:pPr>
        <w:pStyle w:val="Heading2"/>
        <w:spacing w:line="240" w:lineRule="auto" w:before="0"/>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09" w:lineRule="auto" w:before="0"/>
        <w:ind w:left="113" w:right="101" w:firstLine="630"/>
        <w:jc w:val="left"/>
        <w:rPr>
          <w:rFonts w:ascii="宋体" w:hAnsi="宋体" w:cs="宋体" w:eastAsia="宋体" w:hint="default"/>
          <w:sz w:val="18"/>
          <w:szCs w:val="18"/>
        </w:rPr>
      </w:pPr>
      <w:r>
        <w:rPr>
          <w:rFonts w:ascii="宋体" w:hAnsi="宋体" w:cs="宋体" w:eastAsia="宋体" w:hint="default"/>
          <w:sz w:val="18"/>
          <w:szCs w:val="18"/>
        </w:rPr>
        <w:t>高级管理人员实行年薪制，依据行业薪酬水平，经营效益、岗位职级等因素确定。年终对高级管理人员的履行职责 情况和年度实际业绩进行绩效考核，并根据考核情况核发年度绩效薪酬。</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年度高级管理人员的考核均为良好以上。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年度公司未实行股权激励的事项。</w:t>
      </w:r>
    </w:p>
    <w:p>
      <w:pPr>
        <w:spacing w:after="0" w:line="309"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10" w:right="3786"/>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79"/>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tabs>
          <w:tab w:pos="6441" w:val="left" w:leader="none"/>
        </w:tabs>
        <w:spacing w:line="314" w:lineRule="auto" w:before="0"/>
        <w:ind w:left="114" w:right="108" w:firstLine="63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、公司股东大会、董事会、监事会三会运作规范各司其职。公司管理层十分重视内部控制制度的制定和实施，先后</w:t>
      </w:r>
      <w:r>
        <w:rPr>
          <w:rFonts w:ascii="宋体" w:hAnsi="宋体" w:cs="宋体" w:eastAsia="宋体" w:hint="default"/>
          <w:sz w:val="18"/>
          <w:szCs w:val="18"/>
        </w:rPr>
        <w:t> </w:t>
      </w:r>
      <w:r>
        <w:rPr>
          <w:rFonts w:ascii="宋体" w:hAnsi="宋体" w:cs="宋体" w:eastAsia="宋体" w:hint="default"/>
          <w:spacing w:val="-2"/>
          <w:sz w:val="18"/>
          <w:szCs w:val="18"/>
        </w:rPr>
        <w:t>制定了一系列规范的内部控制制度，公司已在财务管理、投资管理、人力资源管理、信息化管理、安全生产与环保管理、采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购、销售、存货及供应管理等方面建立起了较为完善合理的内部控制制度。公司定期对各部门工作情况进行考核，保证各执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行者都能胜任本职工作，并具有工作责任心、事业心及诚实的工作态度。</w:t>
        <w:tab/>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、规范高效的组织机构是公司加强内部控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制的根本保证。股东大会是公司的最高权力机构；董事会是公司的决策执行机构，对股东大会负责；公司总经理由董事会聘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任或解聘，负责公司的日常经营活动，并对董事会负责；监事会负责检查公司财务运作情况并对董事会及高级管理人员进行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监督。审计部作为公司内部控制执行部门，在日常工作中对公司财务活动、经济活动、生产活动、监督活动进行内部控制。 </w:t>
      </w:r>
      <w:r>
        <w:rPr>
          <w:rFonts w:ascii="宋体" w:hAnsi="宋体" w:cs="宋体" w:eastAsia="宋体" w:hint="default"/>
          <w:spacing w:val="-2"/>
          <w:sz w:val="18"/>
          <w:szCs w:val="18"/>
        </w:rPr>
        <w:t>公司针对不同的情况，采用相应的管理政策与措施，保证了内部控制制度的切实执行，并认真对内部控制制度进行有效的评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价。</w:t>
      </w:r>
    </w:p>
    <w:p>
      <w:pPr>
        <w:spacing w:line="240" w:lineRule="auto" w:before="11"/>
        <w:rPr>
          <w:rFonts w:ascii="宋体" w:hAnsi="宋体" w:cs="宋体" w:eastAsia="宋体" w:hint="default"/>
          <w:sz w:val="20"/>
          <w:szCs w:val="20"/>
        </w:rPr>
      </w:pPr>
    </w:p>
    <w:p>
      <w:pPr>
        <w:pStyle w:val="Heading2"/>
        <w:spacing w:line="240" w:lineRule="auto" w:before="0"/>
        <w:ind w:right="179"/>
        <w:jc w:val="left"/>
        <w:rPr>
          <w:b w:val="0"/>
          <w:bCs w:val="0"/>
        </w:rPr>
      </w:pPr>
      <w:r>
        <w:rPr/>
        <w:t>二、董事会关于内部控制责任的声明</w:t>
      </w:r>
      <w:r>
        <w:rPr>
          <w:b w:val="0"/>
          <w:bCs w:val="0"/>
        </w:rPr>
      </w:r>
    </w:p>
    <w:p>
      <w:pPr>
        <w:spacing w:line="240" w:lineRule="auto" w:before="9"/>
        <w:rPr>
          <w:rFonts w:ascii="宋体" w:hAnsi="宋体" w:cs="宋体" w:eastAsia="宋体" w:hint="default"/>
          <w:b/>
          <w:bCs/>
          <w:sz w:val="26"/>
          <w:szCs w:val="26"/>
        </w:rPr>
      </w:pPr>
    </w:p>
    <w:p>
      <w:pPr>
        <w:spacing w:line="316" w:lineRule="auto" w:before="0"/>
        <w:ind w:left="114" w:right="180" w:firstLine="450"/>
        <w:jc w:val="left"/>
        <w:rPr>
          <w:rFonts w:ascii="宋体" w:hAnsi="宋体" w:cs="宋体" w:eastAsia="宋体" w:hint="default"/>
          <w:sz w:val="18"/>
          <w:szCs w:val="18"/>
        </w:rPr>
      </w:pPr>
      <w:r>
        <w:rPr>
          <w:rFonts w:ascii="宋体" w:hAnsi="宋体" w:cs="宋体" w:eastAsia="宋体" w:hint="default"/>
          <w:sz w:val="18"/>
          <w:szCs w:val="18"/>
        </w:rPr>
        <w:t>本公司董事会及全体董事保证内部控制自我评价报告内容不存在任何虚假记载、误导性陈述或重大遗漏，并对其内容 的真实性、准确性和完整性承担个别及连带责任。</w:t>
      </w:r>
    </w:p>
    <w:p>
      <w:pPr>
        <w:spacing w:line="240" w:lineRule="auto" w:before="9"/>
        <w:rPr>
          <w:rFonts w:ascii="宋体" w:hAnsi="宋体" w:cs="宋体" w:eastAsia="宋体" w:hint="default"/>
          <w:sz w:val="20"/>
          <w:szCs w:val="20"/>
        </w:rPr>
      </w:pPr>
    </w:p>
    <w:p>
      <w:pPr>
        <w:pStyle w:val="Heading2"/>
        <w:spacing w:line="240" w:lineRule="auto" w:before="0"/>
        <w:ind w:right="179"/>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6" w:lineRule="auto" w:before="0"/>
        <w:ind w:left="113" w:right="108" w:firstLine="630"/>
        <w:jc w:val="left"/>
        <w:rPr>
          <w:rFonts w:ascii="宋体" w:hAnsi="宋体" w:cs="宋体" w:eastAsia="宋体" w:hint="default"/>
          <w:sz w:val="18"/>
          <w:szCs w:val="18"/>
        </w:rPr>
      </w:pPr>
      <w:r>
        <w:rPr>
          <w:rFonts w:ascii="宋体" w:hAnsi="宋体" w:cs="宋体" w:eastAsia="宋体" w:hint="default"/>
          <w:spacing w:val="-7"/>
          <w:sz w:val="18"/>
          <w:szCs w:val="18"/>
        </w:rPr>
        <w:t>公司依据《公司法》、《会计法》、《企业会计准则》和《企业内部控制基本规范》以及监管部门的相关规范性文件为</w:t>
      </w:r>
      <w:r>
        <w:rPr>
          <w:rFonts w:ascii="宋体" w:hAnsi="宋体" w:cs="宋体" w:eastAsia="宋体" w:hint="default"/>
          <w:sz w:val="18"/>
          <w:szCs w:val="18"/>
        </w:rPr>
        <w:t> </w:t>
      </w:r>
      <w:r>
        <w:rPr>
          <w:rFonts w:ascii="宋体" w:hAnsi="宋体" w:cs="宋体" w:eastAsia="宋体" w:hint="default"/>
          <w:spacing w:val="-4"/>
          <w:sz w:val="18"/>
          <w:szCs w:val="18"/>
        </w:rPr>
        <w:t>依据，建立了财务报告内部控制。公司的内部控制设计与运行在报告期内基本有效，但公司资金管理的方面尚需完善和整改。</w:t>
      </w:r>
    </w:p>
    <w:p>
      <w:pPr>
        <w:spacing w:line="240" w:lineRule="auto" w:before="10"/>
        <w:rPr>
          <w:rFonts w:ascii="宋体" w:hAnsi="宋体" w:cs="宋体" w:eastAsia="宋体" w:hint="default"/>
          <w:sz w:val="20"/>
          <w:szCs w:val="20"/>
        </w:rPr>
      </w:pPr>
    </w:p>
    <w:p>
      <w:pPr>
        <w:pStyle w:val="Heading2"/>
        <w:spacing w:line="240" w:lineRule="auto" w:before="0"/>
        <w:ind w:right="179"/>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3"/>
        <w:gridCol w:w="6906"/>
      </w:tblGrid>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989"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1650"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6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年度，公司通过铜材交易平台从事铜材贸易业务，以票据形式进行了筹融资，宏磊股份应收票据大部分由关</w:t>
            </w:r>
          </w:p>
          <w:p>
            <w:pPr>
              <w:pStyle w:val="TableParagraph"/>
              <w:spacing w:line="307" w:lineRule="auto" w:before="63"/>
              <w:ind w:left="22" w:right="84"/>
              <w:jc w:val="both"/>
              <w:rPr>
                <w:rFonts w:ascii="宋体" w:hAnsi="宋体" w:cs="宋体" w:eastAsia="宋体" w:hint="default"/>
                <w:sz w:val="18"/>
                <w:szCs w:val="18"/>
              </w:rPr>
            </w:pPr>
            <w:r>
              <w:rPr>
                <w:rFonts w:ascii="宋体" w:hAnsi="宋体" w:cs="宋体" w:eastAsia="宋体" w:hint="default"/>
                <w:sz w:val="18"/>
                <w:szCs w:val="18"/>
              </w:rPr>
              <w:t>联方浙江宏磊控股集团有限公司及其关联方领取使用。上述交易导致宏磊股份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日资产负债表中其他应收 款、应收账款、预付款项、存货和应付票据等相关项目期末余额较期初大幅增长。 公司认为根据《企业内部控制 基本规范》及相关规定，截至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日，除前述事项外，公司的内部控制设计与运行在报告期内基本有效，但 公司资金管理的方面尚需完善和整改。</w:t>
            </w:r>
          </w:p>
        </w:tc>
      </w:tr>
      <w:tr>
        <w:trPr>
          <w:trHeight w:val="714"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《浙江宏磊铜业股份有限公司内部控制自我评价报告》刊登在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日巨潮资 讯网。</w:t>
            </w:r>
          </w:p>
        </w:tc>
      </w:tr>
    </w:tbl>
    <w:p>
      <w:pPr>
        <w:spacing w:line="240" w:lineRule="auto" w:before="1"/>
        <w:rPr>
          <w:rFonts w:ascii="宋体" w:hAnsi="宋体" w:cs="宋体" w:eastAsia="宋体" w:hint="default"/>
          <w:b/>
          <w:bCs/>
          <w:sz w:val="18"/>
          <w:szCs w:val="18"/>
        </w:rPr>
      </w:pPr>
    </w:p>
    <w:p>
      <w:pPr>
        <w:spacing w:before="26"/>
        <w:ind w:left="114" w:right="179"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line="340" w:lineRule="auto" w:before="0"/>
        <w:ind w:left="114" w:right="5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会计师事务所是否出具非标准意见的内部控制审计报告</w:t>
      </w:r>
    </w:p>
    <w:p>
      <w:pPr>
        <w:spacing w:after="0" w:line="340"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spacing w:line="340" w:lineRule="auto" w:before="44"/>
        <w:ind w:left="113" w:right="3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before="0"/>
        <w:ind w:right="105"/>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13" w:right="118" w:firstLine="630"/>
        <w:jc w:val="both"/>
        <w:rPr>
          <w:rFonts w:ascii="宋体" w:hAnsi="宋体" w:cs="宋体" w:eastAsia="宋体" w:hint="default"/>
          <w:sz w:val="18"/>
          <w:szCs w:val="18"/>
        </w:rPr>
      </w:pPr>
      <w:r>
        <w:rPr>
          <w:rFonts w:ascii="宋体" w:hAnsi="宋体" w:cs="宋体" w:eastAsia="宋体" w:hint="default"/>
          <w:sz w:val="18"/>
          <w:szCs w:val="18"/>
        </w:rPr>
        <w:t>公司严格按照中国证监会、深圳证券交易所等监管部门的要求，建立了《浙江宏磊铜业股份有限公司年报信息披露 </w:t>
      </w:r>
      <w:r>
        <w:rPr>
          <w:rFonts w:ascii="宋体" w:hAnsi="宋体" w:cs="宋体" w:eastAsia="宋体" w:hint="default"/>
          <w:spacing w:val="-2"/>
          <w:sz w:val="18"/>
          <w:szCs w:val="18"/>
        </w:rPr>
        <w:t>重大差错责任追究制度》，并就年报信息披露重大差错责任追究做了明确规定。报告期内，公司未发生重大会计差错更正、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重大遗漏信息补充等的情况。</w:t>
      </w:r>
    </w:p>
    <w:p>
      <w:pPr>
        <w:spacing w:after="0" w:line="316" w:lineRule="auto"/>
        <w:jc w:val="both"/>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48" w:right="3664"/>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7"/>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3398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00"/>
        </w:sectPr>
      </w:pPr>
    </w:p>
    <w:p>
      <w:pPr>
        <w:spacing w:line="240" w:lineRule="auto" w:before="13"/>
        <w:rPr>
          <w:rFonts w:ascii="宋体" w:hAnsi="宋体" w:cs="宋体" w:eastAsia="宋体" w:hint="default"/>
          <w:b/>
          <w:bCs/>
          <w:sz w:val="26"/>
          <w:szCs w:val="26"/>
        </w:rPr>
      </w:pPr>
    </w:p>
    <w:p>
      <w:pPr>
        <w:pStyle w:val="Heading3"/>
        <w:spacing w:line="240" w:lineRule="auto"/>
        <w:ind w:left="114" w:right="-20"/>
        <w:jc w:val="left"/>
      </w:pPr>
      <w:r>
        <w:rPr/>
        <w:t>浙江宏磊铜业股份有限公司全体股东：</w:t>
      </w:r>
    </w:p>
    <w:p>
      <w:pPr>
        <w:spacing w:before="50"/>
        <w:ind w:left="11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1020" w:right="900"/>
          <w:cols w:num="2" w:equalWidth="0">
            <w:col w:w="4195" w:space="85"/>
            <w:col w:w="5710"/>
          </w:cols>
        </w:sectPr>
      </w:pPr>
    </w:p>
    <w:p>
      <w:pPr>
        <w:pStyle w:val="Heading3"/>
        <w:spacing w:line="312" w:lineRule="exact" w:before="28"/>
        <w:ind w:right="225" w:firstLine="480"/>
        <w:jc w:val="both"/>
      </w:pPr>
      <w:r>
        <w:rPr>
          <w:spacing w:val="-5"/>
        </w:rPr>
        <w:t>我们审计了后附的浙江宏磊铜业股份有限公司（以下简称宏磊股份）财务报表，包括</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w:t>
      </w:r>
      <w:r>
        <w:rPr>
          <w:spacing w:val="-86"/>
        </w:rPr>
        <w:t> </w:t>
      </w:r>
      <w:r>
        <w:rPr/>
        <w:t>金流量表、合并及母公司所有者权益变动表，以及财务报表附注。</w:t>
      </w:r>
    </w:p>
    <w:p>
      <w:pPr>
        <w:spacing w:line="240" w:lineRule="auto" w:before="11"/>
        <w:rPr>
          <w:rFonts w:ascii="宋体" w:hAnsi="宋体" w:cs="宋体" w:eastAsia="宋体" w:hint="default"/>
          <w:sz w:val="23"/>
          <w:szCs w:val="23"/>
        </w:rPr>
      </w:pPr>
    </w:p>
    <w:p>
      <w:pPr>
        <w:spacing w:line="312" w:lineRule="exact" w:before="0"/>
        <w:ind w:left="593" w:right="97"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）按照企业会计准则的规</w:t>
      </w:r>
    </w:p>
    <w:p>
      <w:pPr>
        <w:pStyle w:val="Heading3"/>
        <w:spacing w:line="312" w:lineRule="exact"/>
        <w:ind w:right="229"/>
        <w:jc w:val="both"/>
      </w:pPr>
      <w:r>
        <w:rPr>
          <w:spacing w:val="-3"/>
        </w:rPr>
        <w:t>定编制财务报表，并使其实现公允反映；（</w:t>
      </w:r>
      <w:r>
        <w:rPr>
          <w:rFonts w:ascii="Times New Roman" w:hAnsi="Times New Roman" w:cs="Times New Roman" w:eastAsia="Times New Roman" w:hint="default"/>
          <w:spacing w:val="-3"/>
        </w:rPr>
        <w:t>2</w:t>
      </w:r>
      <w:r>
        <w:rPr>
          <w:spacing w:val="-3"/>
        </w:rPr>
        <w:t>）设计、执行和维护必要的内部控制，以使财务</w:t>
      </w:r>
      <w:r>
        <w:rPr>
          <w:spacing w:val="-85"/>
        </w:rPr>
        <w:t> </w:t>
      </w:r>
      <w:r>
        <w:rPr>
          <w:spacing w:val="-85"/>
        </w:rPr>
      </w:r>
      <w:r>
        <w:rPr/>
        <w:t>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593" w:right="97"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267"/>
        <w:jc w:val="both"/>
      </w:pPr>
      <w:r>
        <w:rPr/>
        <w:t>计师审计准则的规定执行了审计工作。中国注册会计师审计准则要求我们遵守中国注册会计 师职业道德守则，计划和执行审计工作以对财务报表是否不存在重大错报获取合理保证。</w:t>
      </w:r>
    </w:p>
    <w:p>
      <w:pPr>
        <w:spacing w:line="312" w:lineRule="exact" w:before="0"/>
        <w:ind w:left="113" w:right="93"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审计工作涉及实施审计程序，以获取有关财务报表金额和披露的审计证据。选择的审计</w:t>
      </w:r>
      <w:r>
        <w:rPr>
          <w:rFonts w:ascii="宋体" w:hAnsi="宋体" w:cs="宋体" w:eastAsia="宋体" w:hint="default"/>
          <w:spacing w:val="1"/>
          <w:sz w:val="24"/>
          <w:szCs w:val="24"/>
        </w:rPr>
        <w:t> </w:t>
      </w:r>
      <w:r>
        <w:rPr>
          <w:rFonts w:ascii="宋体" w:hAnsi="宋体" w:cs="宋体" w:eastAsia="宋体" w:hint="default"/>
          <w:spacing w:val="-2"/>
          <w:sz w:val="24"/>
          <w:szCs w:val="24"/>
        </w:rPr>
        <w:t>程序取决于注册会计师的判断，包括对由于舞弊或错误导致的财务报表重大错报风险的评估。</w:t>
      </w:r>
      <w:r>
        <w:rPr>
          <w:rFonts w:ascii="宋体" w:hAnsi="宋体" w:cs="宋体" w:eastAsia="宋体" w:hint="default"/>
          <w:sz w:val="24"/>
          <w:szCs w:val="24"/>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spacing w:line="283" w:lineRule="exact" w:before="0"/>
        <w:ind w:left="593" w:right="97"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我们相信，我们获取的审计证据是充分、适当的，为发表保留意见提供了基础。</w:t>
      </w:r>
    </w:p>
    <w:p>
      <w:pPr>
        <w:spacing w:line="240" w:lineRule="auto" w:before="0"/>
        <w:rPr>
          <w:rFonts w:ascii="宋体" w:hAnsi="宋体" w:cs="宋体" w:eastAsia="宋体" w:hint="default"/>
          <w:sz w:val="26"/>
          <w:szCs w:val="26"/>
        </w:rPr>
      </w:pPr>
    </w:p>
    <w:p>
      <w:pPr>
        <w:spacing w:line="312" w:lineRule="exact" w:before="0"/>
        <w:ind w:left="593" w:right="97" w:firstLine="2"/>
        <w:jc w:val="left"/>
        <w:rPr>
          <w:rFonts w:ascii="宋体" w:hAnsi="宋体" w:cs="宋体" w:eastAsia="宋体" w:hint="default"/>
          <w:sz w:val="24"/>
          <w:szCs w:val="24"/>
        </w:rPr>
      </w:pPr>
      <w:r>
        <w:rPr>
          <w:rFonts w:ascii="宋体" w:hAnsi="宋体" w:cs="宋体" w:eastAsia="宋体" w:hint="default"/>
          <w:b/>
          <w:bCs/>
          <w:sz w:val="24"/>
          <w:szCs w:val="24"/>
        </w:rPr>
        <w:t>三、审计意见</w:t>
      </w:r>
      <w:r>
        <w:rPr>
          <w:rFonts w:ascii="宋体" w:hAnsi="宋体" w:cs="宋体" w:eastAsia="宋体" w:hint="default"/>
          <w:b/>
          <w:bCs/>
          <w:w w:val="99"/>
          <w:sz w:val="24"/>
          <w:szCs w:val="24"/>
        </w:rPr>
        <w:t> </w:t>
      </w:r>
      <w:r>
        <w:rPr>
          <w:rFonts w:ascii="宋体" w:hAnsi="宋体" w:cs="宋体" w:eastAsia="宋体" w:hint="default"/>
          <w:sz w:val="24"/>
          <w:szCs w:val="24"/>
        </w:rPr>
        <w:t>我们认为，宏磊股份财务报表在所有重大方面按照企业会计准则的规定编制，公允反映</w:t>
      </w:r>
    </w:p>
    <w:p>
      <w:pPr>
        <w:spacing w:line="312" w:lineRule="exact" w:before="0"/>
        <w:ind w:left="113" w:right="227" w:firstLine="0"/>
        <w:jc w:val="both"/>
        <w:rPr>
          <w:rFonts w:ascii="宋体" w:hAnsi="宋体" w:cs="宋体" w:eastAsia="宋体" w:hint="default"/>
          <w:sz w:val="24"/>
          <w:szCs w:val="24"/>
        </w:rPr>
      </w:pPr>
      <w:r>
        <w:rPr>
          <w:rFonts w:ascii="宋体" w:hAnsi="宋体" w:cs="宋体" w:eastAsia="宋体" w:hint="default"/>
          <w:sz w:val="24"/>
          <w:szCs w:val="24"/>
        </w:rPr>
        <w:t>了宏磊股份</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日的合并及母公司财务状况以及</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年度的合并及母公司经营成果</w:t>
      </w:r>
      <w:r>
        <w:rPr>
          <w:rFonts w:ascii="宋体" w:hAnsi="宋体" w:cs="宋体" w:eastAsia="宋体" w:hint="default"/>
          <w:spacing w:val="-88"/>
          <w:sz w:val="24"/>
          <w:szCs w:val="24"/>
        </w:rPr>
        <w:t> </w:t>
      </w:r>
      <w:r>
        <w:rPr>
          <w:rFonts w:ascii="宋体" w:hAnsi="宋体" w:cs="宋体" w:eastAsia="宋体" w:hint="default"/>
          <w:sz w:val="24"/>
          <w:szCs w:val="24"/>
        </w:rPr>
        <w:t>和现金流量。</w:t>
      </w:r>
    </w:p>
    <w:p>
      <w:pPr>
        <w:spacing w:line="240" w:lineRule="auto" w:before="11"/>
        <w:rPr>
          <w:rFonts w:ascii="宋体" w:hAnsi="宋体" w:cs="宋体" w:eastAsia="宋体" w:hint="default"/>
          <w:sz w:val="23"/>
          <w:szCs w:val="23"/>
        </w:rPr>
      </w:pPr>
    </w:p>
    <w:p>
      <w:pPr>
        <w:spacing w:line="312" w:lineRule="exact" w:before="0"/>
        <w:ind w:left="593" w:right="97" w:firstLine="2"/>
        <w:jc w:val="left"/>
        <w:rPr>
          <w:rFonts w:ascii="宋体" w:hAnsi="宋体" w:cs="宋体" w:eastAsia="宋体" w:hint="default"/>
          <w:sz w:val="24"/>
          <w:szCs w:val="24"/>
        </w:rPr>
      </w:pPr>
      <w:r>
        <w:rPr>
          <w:rFonts w:ascii="宋体" w:hAnsi="宋体" w:cs="宋体" w:eastAsia="宋体" w:hint="default"/>
          <w:b/>
          <w:bCs/>
          <w:sz w:val="24"/>
          <w:szCs w:val="24"/>
        </w:rPr>
        <w:t>四、强调事项</w:t>
      </w:r>
      <w:r>
        <w:rPr>
          <w:rFonts w:ascii="宋体" w:hAnsi="宋体" w:cs="宋体" w:eastAsia="宋体" w:hint="default"/>
          <w:b/>
          <w:bCs/>
          <w:w w:val="99"/>
          <w:sz w:val="24"/>
          <w:szCs w:val="24"/>
        </w:rPr>
        <w:t> </w:t>
      </w:r>
      <w:r>
        <w:rPr>
          <w:rFonts w:ascii="宋体" w:hAnsi="宋体" w:cs="宋体" w:eastAsia="宋体" w:hint="default"/>
          <w:spacing w:val="2"/>
          <w:sz w:val="24"/>
          <w:szCs w:val="24"/>
        </w:rPr>
        <w:t>我们提醒财务报表使用者关注，如财务报表附注十其他重要事项之</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一</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所述，宏磊股份</w:t>
      </w:r>
      <w:r>
        <w:rPr>
          <w:rFonts w:ascii="宋体" w:hAnsi="宋体" w:cs="宋体" w:eastAsia="宋体" w:hint="default"/>
          <w:sz w:val="24"/>
          <w:szCs w:val="24"/>
        </w:rPr>
      </w:r>
    </w:p>
    <w:p>
      <w:pPr>
        <w:spacing w:line="312" w:lineRule="exact" w:before="0"/>
        <w:ind w:left="113" w:right="231" w:firstLine="0"/>
        <w:jc w:val="both"/>
        <w:rPr>
          <w:rFonts w:ascii="宋体" w:hAnsi="宋体" w:cs="宋体" w:eastAsia="宋体" w:hint="default"/>
          <w:sz w:val="24"/>
          <w:szCs w:val="24"/>
        </w:rPr>
      </w:pPr>
      <w:r>
        <w:rPr>
          <w:rFonts w:ascii="宋体" w:hAnsi="宋体" w:cs="宋体" w:eastAsia="宋体" w:hint="default"/>
          <w:sz w:val="24"/>
          <w:szCs w:val="24"/>
        </w:rPr>
        <w:t>通过铜材交易平台从事铜材贸易业务，以票据形式进行了筹融资，宏磊股份应收票据大部分 由关联方浙江宏磊控股集团有限公司及其关联方领取使用。上述事项导致宏磊股份</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日资产负债表中其他应收款、应收账款、预付款项、存货和应付票据等相关项目期末余</w:t>
      </w:r>
    </w:p>
    <w:p>
      <w:pPr>
        <w:spacing w:after="0" w:line="312" w:lineRule="exact"/>
        <w:jc w:val="both"/>
        <w:rPr>
          <w:rFonts w:ascii="宋体" w:hAnsi="宋体" w:cs="宋体" w:eastAsia="宋体" w:hint="default"/>
          <w:sz w:val="24"/>
          <w:szCs w:val="24"/>
        </w:rPr>
        <w:sectPr>
          <w:type w:val="continuous"/>
          <w:pgSz w:w="11910" w:h="16840"/>
          <w:pgMar w:top="1060" w:bottom="1160" w:left="1020" w:right="900"/>
        </w:sectPr>
      </w:pPr>
    </w:p>
    <w:p>
      <w:pPr>
        <w:spacing w:line="240" w:lineRule="auto" w:before="9"/>
        <w:rPr>
          <w:rFonts w:ascii="宋体" w:hAnsi="宋体" w:cs="宋体" w:eastAsia="宋体" w:hint="default"/>
          <w:sz w:val="23"/>
          <w:szCs w:val="23"/>
        </w:rPr>
      </w:pPr>
    </w:p>
    <w:p>
      <w:pPr>
        <w:spacing w:before="26"/>
        <w:ind w:left="114" w:right="105" w:firstLine="0"/>
        <w:jc w:val="left"/>
        <w:rPr>
          <w:rFonts w:ascii="宋体" w:hAnsi="宋体" w:cs="宋体" w:eastAsia="宋体" w:hint="default"/>
          <w:sz w:val="24"/>
          <w:szCs w:val="24"/>
        </w:rPr>
      </w:pPr>
      <w:r>
        <w:rPr>
          <w:rFonts w:ascii="宋体" w:hAnsi="宋体" w:cs="宋体" w:eastAsia="宋体" w:hint="default"/>
          <w:sz w:val="24"/>
          <w:szCs w:val="24"/>
        </w:rPr>
        <w:t>额较期初大幅增长。本段内容不影响已发表的审计意见。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tabs>
          <w:tab w:pos="3173" w:val="left" w:leader="none"/>
          <w:tab w:pos="4313" w:val="left" w:leader="none"/>
        </w:tabs>
        <w:spacing w:line="477" w:lineRule="auto" w:before="0"/>
        <w:ind w:left="534" w:right="3628" w:hanging="42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 </w:t>
      </w:r>
      <w:r>
        <w:rPr>
          <w:rFonts w:ascii="宋体" w:hAnsi="宋体" w:cs="宋体" w:eastAsia="宋体" w:hint="default"/>
          <w:w w:val="95"/>
          <w:sz w:val="24"/>
          <w:szCs w:val="24"/>
        </w:rPr>
        <w:t>中国</w:t>
      </w:r>
      <w:r>
        <w:rPr>
          <w:rFonts w:ascii="Times New Roman" w:hAnsi="Times New Roman" w:cs="Times New Roman" w:eastAsia="Times New Roman" w:hint="default"/>
          <w:w w:val="95"/>
          <w:sz w:val="24"/>
          <w:szCs w:val="24"/>
        </w:rPr>
        <w:t>·</w:t>
      </w:r>
      <w:r>
        <w:rPr>
          <w:rFonts w:ascii="宋体" w:hAnsi="宋体" w:cs="宋体" w:eastAsia="宋体" w:hint="default"/>
          <w:w w:val="95"/>
          <w:sz w:val="24"/>
          <w:szCs w:val="24"/>
        </w:rPr>
        <w:t>杭州</w:t>
        <w:tab/>
      </w:r>
      <w:r>
        <w:rPr>
          <w:rFonts w:ascii="宋体" w:hAnsi="宋体" w:cs="宋体" w:eastAsia="宋体" w:hint="default"/>
          <w:sz w:val="24"/>
          <w:szCs w:val="24"/>
        </w:rPr>
        <w:t>中国注册会计师：</w:t>
      </w:r>
    </w:p>
    <w:p>
      <w:pPr>
        <w:spacing w:before="28"/>
        <w:ind w:left="0" w:right="268" w:firstLine="0"/>
        <w:jc w:val="right"/>
        <w:rPr>
          <w:rFonts w:ascii="宋体" w:hAnsi="宋体" w:cs="宋体" w:eastAsia="宋体" w:hint="default"/>
          <w:sz w:val="24"/>
          <w:szCs w:val="24"/>
        </w:rPr>
      </w:pPr>
      <w:r>
        <w:rPr>
          <w:rFonts w:ascii="宋体" w:hAnsi="宋体" w:cs="宋体" w:eastAsia="宋体" w:hint="default"/>
          <w:sz w:val="24"/>
          <w:szCs w:val="24"/>
        </w:rPr>
        <w:t>二〇一三年四月二十三日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26"/>
        <w:ind w:left="113" w:right="105"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412,374,213.47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808,271,139.44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1,152,849.15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162,600,227.56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486,583,905.37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336,518,993.76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351,668,385.37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157,701,652.14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578,024,713.50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1,589,553.97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379,216,186.22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335,617,145.14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1,678,588.99</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2,210,698,842.07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1,802,298,712.01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89,002,000.00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189,238,507.71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193,548,241.36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190,025,869.80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141,214,610.32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861,789.65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152,974.29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74,150,134.65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75,874,373.29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4,059,273.89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3,754,350.33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20,461,952.84</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567,799,528.54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414,544,549.59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2,778,498,370.61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2,216,843,261.60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625,499,243.25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522,600,000.00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850,166,072.00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433,230,000.00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86,853,325.31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88,047,381.32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17,210,328.59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15,515,564.94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2,552,032.91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1,759,992.31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24,289,202.51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16,094,884.74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1,141,608.67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1,105,549.70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4,777,982.44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18,673,418.92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1,612,489,795.68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1,125,026,791.93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58,714,871.42</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66,346,871.42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1,678,836,667.10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1,132,916,791.93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168,910,000.00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168,910,000.00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559,666,353.25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550,329,679.39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25,670,134.48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22,616,519.60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231,942,451.95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220,270,690.54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31"/>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986,188,939.68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962,126,889.53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113,472,763.83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121,799,580.14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1,099,661,703.51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1,083,926,469.67</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2,778,498,370.61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2,216,843,261.60</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3" w:val="left" w:leader="none"/>
        </w:tabs>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277,170,588.16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679,546,016.48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1,052,849.15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156,591,227.56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396,294,837.80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270,641,001.19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315,464,167.96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120,906,093.29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493,962,816.00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256,221,266.20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249,543,426.18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1,740,166,525.27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1,477,227,764.70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360,404,880.55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221,602,880.55</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69,837,441.94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75,515,265.48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169,019,931.78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107,160,667.62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861,789.65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152,974.29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32"/>
          <w:pgSz w:w="11910" w:h="16840"/>
          <w:pgMar w:footer="980" w:header="747" w:top="1060" w:bottom="1160" w:left="1020" w:right="102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12,483,927.95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12,793,355.03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3,261,219.19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2,892,128.44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20,461,952.84</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636,331,143.90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420,117,271.41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2,376,497,669.17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1,897,345,036.11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364,141,220.31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257,600,000.00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727,266,072.00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322,630,000.00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217,783,570.56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317,771,665.35</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12,811,873.65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12,457,952.69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1,509,378.65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1,722,260.21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23,445,022.18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16,056,693.22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684,100.69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560,643.60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4,491,535.45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16,540,945.62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1,352,132,773.49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945,340,160.69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58,714,871.42</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65,314,871.42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1,417,447,644.91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951,940,160.69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168,910,000.00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168,910,000.00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550,329,679.39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550,329,679.39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25,670,134.48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22,616,519.60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214,140,210.39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203,548,676.43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959,050,024.26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945,404,875.42</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2,376,497,669.17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1,897,345,036.11</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853" w:val="left" w:leader="none"/>
        </w:tabs>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3,759,884,467.69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4,002,127,394.59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3,759,884,467.69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4,002,127,394.59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3,709,867,323.26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3,879,855,400.05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3,577,207,747.68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3,764,459,232.84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3,075,401.52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2,886,696.56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16,622,377.06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22,809,025.26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48,147,750.79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47,217,595.60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41,628,520.41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40,271,752.92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23,185,525.80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2,211,096.87</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50,017,144.43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122,271,994.54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3,828,576.25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3,987,945.59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4,247,905.45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4,417,102.21</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1,574.89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18,014.83</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49,597,815.23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121,842,837.92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16,971,581.39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32,387,246.32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32,626,233.84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89,455,591.60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30,536,148.84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76,905,111.73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31,616,376.29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84,792,102.62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1,009,857.55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4,663,488.98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0.67</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0.67</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32,626,233.84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89,455,591.60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31,616,376.29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84,792,102.62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1,009,857.55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4,663,488.98</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30,536,148.84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23" w:val="left" w:leader="none"/>
          <w:tab w:pos="7853" w:val="left" w:leader="none"/>
        </w:tabs>
        <w:spacing w:before="127"/>
        <w:ind w:left="113"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3,145,760,105.10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3,227,743,919.83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3,017,670,439.51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3,055,530,362.64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2,084,494.28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1,927,929.20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11,175,904.27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18,783,249.24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34,245,469.64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33,630,898.34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15,100,230.72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13,194,823.33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19,578,689.10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1,551,401.46</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45,904,877.58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103,125,255.62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3,062,576.25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2,592,545.59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3,151,640.35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3,245,967.56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1,574.89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18,014.83</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45,815,813.48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102,471,833.65</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15,279,664.64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25,566,721.92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30,536,148.84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76,905,111.73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0.45</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0.45</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30,536,148.84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76,905,111.73</w:t>
            </w:r>
          </w:p>
        </w:tc>
      </w:tr>
    </w:tbl>
    <w:p>
      <w:pPr>
        <w:spacing w:line="240" w:lineRule="auto" w:before="3"/>
        <w:rPr>
          <w:rFonts w:ascii="宋体" w:hAnsi="宋体" w:cs="宋体" w:eastAsia="宋体" w:hint="default"/>
          <w:sz w:val="20"/>
          <w:szCs w:val="20"/>
        </w:rPr>
      </w:pPr>
    </w:p>
    <w:p>
      <w:pPr>
        <w:tabs>
          <w:tab w:pos="3623" w:val="left" w:leader="none"/>
          <w:tab w:pos="7853" w:val="left" w:leader="none"/>
        </w:tabs>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4,032,230,269.55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4,666,242,290.16</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673,989,132.69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70,931,176.29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4,706,219,402.24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4,737,173,466.45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4,103,400,471.81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4,271,219,737.94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44,936,235.18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47,014,894.47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50,213,640.34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73,912,739.87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1,070,917,498.82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113,936,029.86</w:t>
            </w:r>
            <w:r>
              <w:rPr>
                <w:rFonts w:ascii="Times New Roman"/>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5,269,467,846.15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4,506,083,402.14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-563,248,443.91</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231,090,064.31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760,561.45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4,183.25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28,594,604.65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760,561.45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28,598,787.90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121,682,249.40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100,547,614.70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89,002,000.00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210,684,249.40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100,547,614.70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-209,923,687.95</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-71,948,826.80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510,507,010.00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984,890,832.41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856,629,197.06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984,890,832.41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1,367,136,207.06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852,084,922.49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1,028,416,159.86</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61,555,494.06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41,639,291.36</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8,765,000.00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2,200,800.00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922,405,416.55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1,072,256,251.22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62,485,415.86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294,879,955.84</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-2,108,481.97</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-169,409.46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-712,795,197.97</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453,851,783.89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732,727,339.44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278,875,555.55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19,932,141.47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732,727,339.44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5"/>
        <w:rPr>
          <w:rFonts w:ascii="Times New Roman" w:hAnsi="Times New Roman" w:cs="Times New Roman" w:eastAsia="Times New Roman" w:hint="default"/>
          <w:sz w:val="29"/>
          <w:szCs w:val="29"/>
        </w:rPr>
      </w:pPr>
    </w:p>
    <w:p>
      <w:pPr>
        <w:tabs>
          <w:tab w:pos="3623" w:val="left" w:leader="none"/>
          <w:tab w:pos="7853" w:val="left" w:leader="none"/>
        </w:tabs>
        <w:spacing w:before="44"/>
        <w:ind w:left="113"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3,255,861,505.13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3,705,350,378.73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596,039,089.89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33,929,330.51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3,851,900,595.02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3,739,279,709.24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3,381,439,261.03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3,512,473,436.95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27,034,949.22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28,064,501.33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38,965,222.23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49,305,809.53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883,662,026.07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76,019,692.38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4,331,101,458.55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3,665,863,440.19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-479,200,863.53</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73,416,269.05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760,561.45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4,183.25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25,720,323.84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760,561.45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25,724,507.09</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117,410,059.77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91,042,263.82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89,002,000.00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49,800,000.00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256,212,059.77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91,042,263.82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-255,451,498.32</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-65,317,756.73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510,507,010.00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638,847,886.98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257,600,000.00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638,847,886.98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768,107,010.00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246,000,000.00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43,513,161.16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15,095,238.25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7,665,000.00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525,578,161.16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261,095,238.25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113,269,725.82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507,011,771.75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28,135.71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292,431.18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-621,354,500.32</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515,402,715.25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630,343,016.48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114,940,301.23</w:t>
            </w:r>
            <w:r>
              <w:rPr>
                <w:rFonts w:ascii="Times New Roman"/>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8,988,516.16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630,343,016.48</w:t>
            </w:r>
          </w:p>
        </w:tc>
      </w:tr>
    </w:tbl>
    <w:p>
      <w:pPr>
        <w:spacing w:line="240" w:lineRule="auto" w:before="4"/>
        <w:rPr>
          <w:rFonts w:ascii="宋体" w:hAnsi="宋体" w:cs="宋体" w:eastAsia="宋体" w:hint="default"/>
          <w:sz w:val="20"/>
          <w:szCs w:val="20"/>
        </w:rPr>
      </w:pPr>
    </w:p>
    <w:p>
      <w:pPr>
        <w:tabs>
          <w:tab w:pos="3623" w:val="left" w:leader="none"/>
          <w:tab w:pos="7853" w:val="left" w:leader="none"/>
        </w:tabs>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spacing w:line="360"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175" w:space="574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550,329,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679.39</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22,616,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519.60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690.54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121,799,5</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80.14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1,083,926,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469.67</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550,329,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679.39</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22,616,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519.60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690.54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121,799,5</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80.14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1,083,926,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469.67</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9,336,67</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3,053,6</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30" w:right="0"/>
              <w:jc w:val="left"/>
              <w:rPr>
                <w:rFonts w:ascii="Times New Roman" w:hAnsi="Times New Roman" w:cs="Times New Roman" w:eastAsia="Times New Roman" w:hint="default"/>
                <w:sz w:val="18"/>
                <w:szCs w:val="18"/>
              </w:rPr>
            </w:pPr>
            <w:r>
              <w:rPr>
                <w:rFonts w:ascii="Times New Roman"/>
                <w:sz w:val="18"/>
              </w:rPr>
              <w:t>11,671,7</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-8,326,81</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51" w:right="0"/>
              <w:jc w:val="left"/>
              <w:rPr>
                <w:rFonts w:ascii="Times New Roman" w:hAnsi="Times New Roman" w:cs="Times New Roman" w:eastAsia="Times New Roman" w:hint="default"/>
                <w:sz w:val="18"/>
                <w:szCs w:val="18"/>
              </w:rPr>
            </w:pPr>
            <w:r>
              <w:rPr>
                <w:rFonts w:ascii="Times New Roman"/>
                <w:sz w:val="18"/>
              </w:rPr>
              <w:t>15,735,233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338" w:right="0"/>
              <w:jc w:val="left"/>
              <w:rPr>
                <w:rFonts w:ascii="Times New Roman" w:hAnsi="Times New Roman" w:cs="Times New Roman" w:eastAsia="Times New Roman" w:hint="default"/>
                <w:sz w:val="18"/>
                <w:szCs w:val="18"/>
              </w:rPr>
            </w:pPr>
            <w:r>
              <w:rPr>
                <w:rFonts w:ascii="Times New Roman"/>
                <w:sz w:val="18"/>
              </w:rPr>
              <w:t>3.86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244" w:right="0"/>
              <w:jc w:val="left"/>
              <w:rPr>
                <w:rFonts w:ascii="Times New Roman" w:hAnsi="Times New Roman" w:cs="Times New Roman" w:eastAsia="Times New Roman" w:hint="default"/>
                <w:sz w:val="18"/>
                <w:szCs w:val="18"/>
              </w:rPr>
            </w:pPr>
            <w:r>
              <w:rPr>
                <w:rFonts w:ascii="Times New Roman"/>
                <w:sz w:val="18"/>
              </w:rPr>
              <w:t>14.88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248" w:right="0"/>
              <w:jc w:val="left"/>
              <w:rPr>
                <w:rFonts w:ascii="Times New Roman" w:hAnsi="Times New Roman" w:cs="Times New Roman" w:eastAsia="Times New Roman" w:hint="default"/>
                <w:sz w:val="18"/>
                <w:szCs w:val="18"/>
              </w:rPr>
            </w:pPr>
            <w:r>
              <w:rPr>
                <w:rFonts w:ascii="Times New Roman"/>
                <w:sz w:val="18"/>
              </w:rPr>
              <w:t>61.41</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468" w:right="0"/>
              <w:jc w:val="left"/>
              <w:rPr>
                <w:rFonts w:ascii="Times New Roman" w:hAnsi="Times New Roman" w:cs="Times New Roman" w:eastAsia="Times New Roman" w:hint="default"/>
                <w:sz w:val="18"/>
                <w:szCs w:val="18"/>
              </w:rPr>
            </w:pPr>
            <w:r>
              <w:rPr>
                <w:rFonts w:ascii="Times New Roman"/>
                <w:sz w:val="18"/>
              </w:rPr>
              <w:t>6.31</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31,616,3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76.29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32,626,233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31,616,3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76.29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32,626,233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9,336,67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-9,336,67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3.86</w:t>
            </w: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9,336,67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-9,336,67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3.86</w:t>
            </w: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3,053,6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14.88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614.88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3,053,6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14.88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-3,053,6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14.88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353.25</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25,670,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134.48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231,942,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451.95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113,472,7</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63.83</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1,099,661,</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703.51</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0.85pt;mso-position-horizontal-relative:char;mso-position-vertical-relative:line" coordorigin="0,0" coordsize="9584,417">
            <v:group style="position:absolute;left:14;top:14;width:2360;height:394" coordorigin="14,14" coordsize="2360,394">
              <v:shape style="position:absolute;left:14;top:14;width:2360;height:394" coordorigin="14,14" coordsize="2360,394" path="m14,408l2374,408,2374,14,14,14,14,408xe" filled="true" fillcolor="#d3d3d3" stroked="false">
                <v:path arrowok="t"/>
                <v:fill type="solid"/>
              </v:shape>
            </v:group>
            <v:group style="position:absolute;left:2381;top:14;width:7190;height:394" coordorigin="2381,14" coordsize="7190,394">
              <v:shape style="position:absolute;left:2381;top:14;width:7190;height:394" coordorigin="2381,14" coordsize="7190,394" path="m2381,408l9570,408,9570,14,2381,14,2381,408xe" filled="true" fillcolor="#d3d3d3" stroked="false">
                <v:path arrowok="t"/>
                <v:fill type="solid"/>
              </v:shape>
            </v:group>
            <v:group style="position:absolute;left:5;top:10;width:9574;height:2" coordorigin="5,10" coordsize="9574,2">
              <v:shape style="position:absolute;left:5;top:10;width:9574;height:2" coordorigin="5,10" coordsize="9574,0" path="m5,10l9578,10e" filled="false" stroked="true" strokeweight=".48pt" strokecolor="#010101">
                <v:path arrowok="t"/>
              </v:shape>
            </v:group>
            <v:group style="position:absolute;left:5;top:412;width:9574;height:2" coordorigin="5,412" coordsize="9574,2">
              <v:shape style="position:absolute;left:5;top:412;width:9574;height:2" coordorigin="5,412" coordsize="9574,0" path="m5,412l9578,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2377;top:5;width:2;height:402" coordorigin="2377,5" coordsize="2,402">
              <v:shape style="position:absolute;left:2377;top:5;width:2;height:402" coordorigin="2377,5" coordsize="0,402" path="m2377,5l2377,407e" filled="false" stroked="true" strokeweight=".48pt" strokecolor="#010101">
                <v:path arrowok="t"/>
              </v:shape>
            </v:group>
            <v:group style="position:absolute;left:9574;top:5;width:2;height:402" coordorigin="9574,5" coordsize="2,402">
              <v:shape style="position:absolute;left:9574;top:5;width:2;height:402" coordorigin="9574,5" coordsize="0,402" path="m9574,5l9574,407e" filled="false" stroked="true" strokeweight=".48pt" strokecolor="#010101">
                <v:path arrowok="t"/>
              </v:shape>
              <v:shape style="position:absolute;left:10;top:10;width:2368;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615;top:1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footerReference w:type="default" r:id="rId33"/>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tcBorders>
              <w:top w:val="single" w:sz="4" w:space="0" w:color="010101"/>
              <w:left w:val="single" w:sz="4" w:space="0" w:color="010101"/>
              <w:bottom w:val="nil" w:sz="6" w:space="0" w:color="auto"/>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tcBorders>
              <w:top w:val="nil" w:sz="6" w:space="0" w:color="auto"/>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126,680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88,978,3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09.39</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14,998,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944.43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143,825,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523.09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117,136,0</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91.16</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491,618,86</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8.07</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-656,42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126,680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89,707,6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69.39</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14,926,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008.43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143,169,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099.09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117,136,0</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91.16</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491,618,86</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8.07</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42,230,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460,622,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010.00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7,690,51</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1.17</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77,101,5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91.45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4,663,488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592,307,60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1.60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84,792,1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02.62</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4,663,488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89,455,591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84,792,1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02.62</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4,663,488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89,455,591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42,230,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460,622,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010.00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502,852,01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42,230,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460,622,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010.00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502,852,01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7,690,51</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1.17</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-7,690,5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11.17</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7,690,51</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1.17</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-7,690,5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11.17</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34"/>
          <w:pgSz w:w="11910" w:h="16840"/>
          <w:pgMar w:footer="980" w:header="747" w:top="1060" w:bottom="1160" w:left="1020" w:right="102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550,329,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679.39</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22,616,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519.60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690.54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121,799,5</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80.14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1,083,926,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469.67</w:t>
            </w:r>
          </w:p>
        </w:tc>
      </w:tr>
    </w:tbl>
    <w:p>
      <w:pPr>
        <w:spacing w:line="240" w:lineRule="auto" w:before="0"/>
        <w:rPr>
          <w:rFonts w:ascii="Times New Roman" w:hAnsi="Times New Roman" w:cs="Times New Roman" w:eastAsia="Times New Roman" w:hint="default"/>
          <w:sz w:val="23"/>
          <w:szCs w:val="23"/>
        </w:rPr>
      </w:pPr>
    </w:p>
    <w:p>
      <w:pPr>
        <w:tabs>
          <w:tab w:pos="3623" w:val="left" w:leader="none"/>
          <w:tab w:pos="7853" w:val="left" w:leader="none"/>
        </w:tabs>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spacing w:line="357"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175" w:space="5744"/>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402" w:hRule="exact"/>
        </w:trPr>
        <w:tc>
          <w:tcPr>
            <w:tcW w:w="247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7"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168,910,00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550,329,67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22,616,519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203,548,67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6.43</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945,404,87</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5.42</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168,910,00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550,329,67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22,616,519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203,548,67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6.43</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945,404,87</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5.42</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2"/>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10,591,533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13,645,148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30,536,148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30,536,148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30,536,148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30,536,148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060" w:bottom="1160" w:left="1020" w:right="1020"/>
        </w:sectPr>
      </w:pPr>
    </w:p>
    <w:p>
      <w:pPr>
        <w:spacing w:line="240" w:lineRule="auto" w:before="8"/>
        <w:rPr>
          <w:rFonts w:ascii="宋体" w:hAnsi="宋体" w:cs="宋体" w:eastAsia="宋体" w:hint="default"/>
          <w:sz w:val="28"/>
          <w:szCs w:val="28"/>
        </w:rPr>
      </w:pPr>
      <w:r>
        <w:rPr/>
        <w:pict>
          <v:shape style="position:absolute;margin-left:138.600296pt;margin-top:295.679993pt;width:86pt;height:19.7pt;mso-position-horizontal-relative:page;mso-position-vertical-relative:page;z-index:-834520"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296pt;margin-top:315.779999pt;width:86pt;height:19.7pt;mso-position-horizontal-relative:page;mso-position-vertical-relative:page;z-index:-834496"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20001pt;margin-top:295.679993pt;width:43.9pt;height:39.8pt;mso-position-horizontal-relative:page;mso-position-vertical-relative:page;z-index:-834472" coordorigin="3614,5914" coordsize="878,796">
            <v:group style="position:absolute;left:3614;top:5914;width:878;height:394" coordorigin="3614,5914" coordsize="878,394">
              <v:shape style="position:absolute;left:3614;top:5914;width:878;height:394" coordorigin="3614,5914" coordsize="878,394" path="m3614,6307l4492,6307,4492,5914,3614,5914,3614,6307xe" filled="true" fillcolor="#ffffff" stroked="false">
                <v:path arrowok="t"/>
                <v:fill type="solid"/>
              </v:shape>
            </v:group>
            <v:group style="position:absolute;left:3614;top:6316;width:878;height:394" coordorigin="3614,6316" coordsize="878,394">
              <v:shape style="position:absolute;left:3614;top:6316;width:878;height:394" coordorigin="3614,6316" coordsize="878,394" path="m3614,6709l4492,6709,4492,6316,3614,6316,3614,6709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-19,944,61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4.88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168,910,00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550,329,67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25,670,134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214,140,21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0.39</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959,050,02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4.26</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6"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6"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126,680,00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88,978,309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14,998,944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134,990,49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9.87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365,647,75</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6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729,360.00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-72,936.00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-656,424.0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126,680,00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89,707,669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14,926,008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134,334,07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5.87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365,647,75</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3.69</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42,230,000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460,622,01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7,690,511.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69,214,600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8" w:right="0"/>
              <w:jc w:val="left"/>
              <w:rPr>
                <w:rFonts w:ascii="Times New Roman" w:hAnsi="Times New Roman" w:cs="Times New Roman" w:eastAsia="Times New Roman" w:hint="default"/>
                <w:sz w:val="18"/>
                <w:szCs w:val="18"/>
              </w:rPr>
            </w:pPr>
            <w:r>
              <w:rPr>
                <w:rFonts w:ascii="Times New Roman"/>
                <w:sz w:val="18"/>
              </w:rPr>
              <w:t>579,757,12</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1.73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r>
        <w:rPr/>
        <w:pict>
          <v:shape style="position:absolute;margin-left:139.559708pt;margin-top:442.980011pt;width:86pt;height:19.7pt;mso-position-horizontal-relative:page;mso-position-vertical-relative:page;z-index:-834448"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9708pt;margin-top:463.079987pt;width:86pt;height:19.7pt;mso-position-horizontal-relative:page;mso-position-vertical-relative:page;z-index:-834424"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1.679993pt;margin-top:442.980011pt;width:43.9pt;height:39.8pt;mso-position-horizontal-relative:page;mso-position-vertical-relative:page;z-index:-834400" coordorigin="3634,8860" coordsize="878,796">
            <v:group style="position:absolute;left:3634;top:8860;width:878;height:394" coordorigin="3634,8860" coordsize="878,394">
              <v:shape style="position:absolute;left:3634;top:8860;width:878;height:394" coordorigin="3634,8860" coordsize="878,394" path="m3634,9253l4511,9253,4511,8860,3634,8860,3634,9253xe" filled="true" fillcolor="#ffffff" stroked="false">
                <v:path arrowok="t"/>
                <v:fill type="solid"/>
              </v:shape>
            </v:group>
            <v:group style="position:absolute;left:3634;top:9262;width:878;height:394" coordorigin="3634,9262" coordsize="878,394">
              <v:shape style="position:absolute;left:3634;top:9262;width:878;height:394" coordorigin="3634,9262" coordsize="878,394" path="m3634,9655l4511,9655,4511,9262,3634,9262,3634,9655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76,905,111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76,905,111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.73</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76,905,111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76,905,111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.73</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460,622,01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502,852,01</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460,622,01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502,852,01</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168,910,00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550,329,67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9.39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22,616,519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203,548,67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6.43</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945,404,87</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5.42</w:t>
            </w:r>
          </w:p>
        </w:tc>
      </w:tr>
    </w:tbl>
    <w:p>
      <w:pPr>
        <w:spacing w:line="240" w:lineRule="auto" w:before="4"/>
        <w:rPr>
          <w:rFonts w:ascii="宋体" w:hAnsi="宋体" w:cs="宋体" w:eastAsia="宋体" w:hint="default"/>
          <w:sz w:val="20"/>
          <w:szCs w:val="20"/>
        </w:rPr>
      </w:pPr>
    </w:p>
    <w:p>
      <w:pPr>
        <w:tabs>
          <w:tab w:pos="3623" w:val="left" w:leader="none"/>
          <w:tab w:pos="785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法定代表人：戚建萍</w:t>
        <w:tab/>
        <w:t>主管会计工作负责人：俞晓光</w:t>
        <w:tab/>
        <w:t>会计机构负责人：俞英</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left="113" w:right="108" w:firstLine="420"/>
        <w:jc w:val="both"/>
      </w:pPr>
      <w:r>
        <w:rPr/>
        <w:t>浙江宏磊铜业股份有限公司（以下简称公司或本公司）系在宏磊集团有限公司（以下简称宏磊集团） 的基础上采用整体变更方式设立的股份有限公司，于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日在浙江省工商行政管理局登记注册， 取得注册号为</w:t>
      </w:r>
      <w:r>
        <w:rPr>
          <w:rFonts w:ascii="Times New Roman" w:hAnsi="Times New Roman" w:cs="Times New Roman" w:eastAsia="Times New Roman" w:hint="default"/>
        </w:rPr>
        <w:t>330681000010590</w:t>
      </w:r>
      <w:r>
        <w:rPr/>
        <w:t>的《企业法人营业执照》。</w:t>
      </w:r>
    </w:p>
    <w:p>
      <w:pPr>
        <w:spacing w:after="0" w:line="264" w:lineRule="auto"/>
        <w:jc w:val="both"/>
        <w:sectPr>
          <w:pgSz w:w="11910" w:h="16840"/>
          <w:pgMar w:header="747" w:footer="980" w:top="1060" w:bottom="1160" w:left="1020" w:right="1000"/>
        </w:sectPr>
      </w:pPr>
    </w:p>
    <w:p>
      <w:pPr>
        <w:spacing w:line="240" w:lineRule="auto" w:before="10"/>
        <w:rPr>
          <w:rFonts w:ascii="宋体" w:hAnsi="宋体" w:cs="宋体" w:eastAsia="宋体" w:hint="default"/>
          <w:sz w:val="24"/>
          <w:szCs w:val="24"/>
        </w:rPr>
      </w:pPr>
    </w:p>
    <w:p>
      <w:pPr>
        <w:pStyle w:val="BodyText"/>
        <w:spacing w:line="310" w:lineRule="atLeast" w:before="16"/>
        <w:ind w:left="113" w:right="200" w:firstLine="420"/>
        <w:jc w:val="both"/>
        <w:rPr>
          <w:rFonts w:ascii="Times New Roman" w:hAnsi="Times New Roman" w:cs="Times New Roman" w:eastAsia="Times New Roman" w:hint="default"/>
        </w:rPr>
      </w:pPr>
      <w:r>
        <w:rPr>
          <w:spacing w:val="-1"/>
        </w:rPr>
        <w:t>经中国证券监督管理委员会（证监许可〔</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1923</w:t>
      </w:r>
      <w:r>
        <w:rPr>
          <w:spacing w:val="-1"/>
        </w:rPr>
        <w:t>号文）核准，公司获准向社会公开发行人民币普</w:t>
      </w:r>
      <w:r>
        <w:rPr/>
        <w:t> 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4,223</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日在深圳证券交易所挂牌交易，发行后 </w:t>
      </w:r>
      <w:r>
        <w:rPr>
          <w:spacing w:val="56"/>
        </w:rPr>
        <w:t>公司注册资本为</w:t>
      </w:r>
      <w:r>
        <w:rPr>
          <w:spacing w:val="-39"/>
        </w:rPr>
        <w:t> </w:t>
      </w:r>
      <w:r>
        <w:rPr>
          <w:rFonts w:ascii="Times New Roman" w:hAnsi="Times New Roman" w:cs="Times New Roman" w:eastAsia="Times New Roman" w:hint="default"/>
        </w:rPr>
        <w:t>16,891????</w:t>
      </w:r>
      <w:r>
        <w:rPr>
          <w:rFonts w:ascii="Times New Roman" w:hAnsi="Times New Roman" w:cs="Times New Roman" w:eastAsia="Times New Roman" w:hint="default"/>
          <w:spacing w:val="9"/>
        </w:rPr>
        <w:t> </w:t>
      </w:r>
      <w:r>
        <w:rPr>
          <w:spacing w:val="33"/>
        </w:rPr>
        <w:t>份总</w:t>
      </w:r>
      <w:r>
        <w:rPr>
          <w:spacing w:val="-39"/>
        </w:rPr>
        <w:t> </w:t>
      </w:r>
      <w:r>
        <w:rPr>
          <w:rFonts w:ascii="Times New Roman" w:hAnsi="Times New Roman" w:cs="Times New Roman" w:eastAsia="Times New Roman" w:hint="default"/>
        </w:rPr>
        <w:t>?16,891???</w:t>
      </w:r>
      <w:r>
        <w:rPr>
          <w:rFonts w:ascii="Times New Roman" w:hAnsi="Times New Roman" w:cs="Times New Roman" w:eastAsia="Times New Roman" w:hint="default"/>
          <w:spacing w:val="10"/>
        </w:rPr>
        <w:t> </w:t>
      </w:r>
      <w:r>
        <w:rPr/>
        <w:t>每</w:t>
      </w:r>
      <w:r>
        <w:rPr>
          <w:spacing w:val="-40"/>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值</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份</w:t>
      </w:r>
      <w:r>
        <w:rPr>
          <w:spacing w:val="-39"/>
        </w:rPr>
        <w:t> </w:t>
      </w:r>
      <w:r>
        <w:rPr>
          <w:rFonts w:ascii="Times New Roman" w:hAnsi="Times New Roman" w:cs="Times New Roman" w:eastAsia="Times New Roman" w:hint="default"/>
        </w:rPr>
        <w:t>A?10,971.92????????????</w:t>
      </w:r>
      <w:r>
        <w:rPr>
          <w:rFonts w:ascii="Times New Roman" w:hAnsi="Times New Roman" w:cs="Times New Roman" w:eastAsia="Times New Roman" w:hint="default"/>
          <w:spacing w:val="10"/>
        </w:rPr>
        <w:t> </w:t>
      </w:r>
      <w:r>
        <w:rPr/>
        <w:t>份 </w:t>
      </w:r>
      <w:r>
        <w:rPr>
          <w:rFonts w:ascii="Times New Roman" w:hAnsi="Times New Roman" w:cs="Times New Roman" w:eastAsia="Times New Roman" w:hint="default"/>
        </w:rPr>
        <w:t>A?5,919.08???</w:t>
      </w:r>
    </w:p>
    <w:p>
      <w:pPr>
        <w:pStyle w:val="BodyText"/>
        <w:spacing w:line="256" w:lineRule="auto" w:before="21"/>
        <w:ind w:left="113" w:right="206" w:firstLine="420"/>
        <w:jc w:val="both"/>
      </w:pPr>
      <w:r>
        <w:rPr>
          <w:spacing w:val="-3"/>
        </w:rPr>
        <w:t>本公司经营范围：漆包线、铜管、铜线、铜棒、铜配件、铜工艺品的生产、销售，经营进出口业务</w:t>
      </w:r>
      <w:r>
        <w:rPr>
          <w:rFonts w:ascii="Times New Roman" w:hAnsi="Times New Roman" w:cs="Times New Roman" w:eastAsia="Times New Roman" w:hint="default"/>
          <w:spacing w:val="-3"/>
        </w:rPr>
        <w:t>(</w:t>
      </w:r>
      <w:r>
        <w:rPr>
          <w:spacing w:val="-3"/>
        </w:rPr>
        <w:t>国</w:t>
      </w:r>
      <w:r>
        <w:rPr/>
        <w:t> 家法律法规限定、禁止的除外</w:t>
      </w:r>
      <w:r>
        <w:rPr>
          <w:rFonts w:ascii="Times New Roman" w:hAnsi="Times New Roman" w:cs="Times New Roman" w:eastAsia="Times New Roman" w:hint="default"/>
        </w:rPr>
        <w:t>)</w:t>
      </w:r>
      <w:r>
        <w:rPr/>
        <w:t>，铜材料的研究开发、技术成果转让。</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96" w:lineRule="auto" w:before="0"/>
        <w:ind w:left="114" w:right="4610" w:firstLine="0"/>
        <w:jc w:val="left"/>
        <w:rPr>
          <w:rFonts w:ascii="宋体" w:hAnsi="宋体" w:cs="宋体" w:eastAsia="宋体" w:hint="default"/>
          <w:sz w:val="21"/>
          <w:szCs w:val="21"/>
        </w:rPr>
      </w:pPr>
      <w:r>
        <w:rPr>
          <w:rFonts w:ascii="宋体" w:hAnsi="宋体" w:cs="宋体" w:eastAsia="宋体" w:hint="default"/>
          <w:b/>
          <w:bCs/>
          <w:w w:val="95"/>
          <w:sz w:val="24"/>
          <w:szCs w:val="24"/>
        </w:rPr>
        <w:t>四、公司主要会计政策、会计估计和前期差错</w:t>
      </w:r>
      <w:r>
        <w:rPr>
          <w:rFonts w:ascii="宋体" w:hAnsi="宋体" w:cs="宋体" w:eastAsia="宋体" w:hint="default"/>
          <w:b/>
          <w:bCs/>
          <w:spacing w:val="107"/>
          <w:w w:val="95"/>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pStyle w:val="Heading5"/>
        <w:spacing w:line="240" w:lineRule="auto" w:before="113"/>
        <w:ind w:right="102"/>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8" w:firstLine="420"/>
        <w:jc w:val="both"/>
      </w:pPr>
      <w:r>
        <w:rPr>
          <w:spacing w:val="-1"/>
        </w:rPr>
        <w:t>本公司所编制的财务报表符合企业会计准则的要求，真实、完整地反映了公司的财务状况、经营成果</w:t>
      </w:r>
      <w:r>
        <w:rPr/>
        <w:t> 和现金流量等有关信息。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113" w:right="60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5"/>
        <w:spacing w:line="240" w:lineRule="auto" w:before="105"/>
        <w:ind w:left="113"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2"/>
        <w:ind w:left="53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公司在企业合并中取得的资产和负债，按照合并日在被合并方的账面价值计量。公司取得的净资产账</w:t>
      </w:r>
    </w:p>
    <w:p>
      <w:pPr>
        <w:pStyle w:val="BodyText"/>
        <w:spacing w:line="273" w:lineRule="auto" w:before="37"/>
        <w:ind w:left="113" w:right="102"/>
        <w:jc w:val="left"/>
      </w:pPr>
      <w:r>
        <w:rPr>
          <w:spacing w:val="-3"/>
        </w:rPr>
        <w:t>面价值与支付的合并对价账面价值（或发行股份面值总额）的差额，调整资本公积；资本公积不足冲减的，</w:t>
      </w:r>
      <w:r>
        <w:rPr>
          <w:spacing w:val="-93"/>
        </w:rPr>
        <w:t> </w:t>
      </w:r>
      <w:r>
        <w:rPr>
          <w:spacing w:val="-93"/>
        </w:rPr>
      </w:r>
      <w:r>
        <w:rPr/>
        <w:t>调整留存收益。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53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4"/>
          <w:sz w:val="21"/>
          <w:szCs w:val="21"/>
        </w:rPr>
        <w:t>公司在购买日对合并成本大于合并中取得的被购买方可辨认净资产公允价值份额的差额，确认为商</w:t>
      </w:r>
      <w:r>
        <w:rPr>
          <w:rFonts w:ascii="宋体" w:hAnsi="宋体" w:cs="宋体" w:eastAsia="宋体" w:hint="default"/>
          <w:sz w:val="21"/>
          <w:szCs w:val="21"/>
        </w:rPr>
      </w:r>
    </w:p>
    <w:p>
      <w:pPr>
        <w:pStyle w:val="BodyText"/>
        <w:spacing w:line="273" w:lineRule="auto" w:before="37"/>
        <w:ind w:left="113" w:right="21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after="0" w:line="273" w:lineRule="auto"/>
        <w:jc w:val="both"/>
        <w:sectPr>
          <w:pgSz w:w="11910" w:h="16840"/>
          <w:pgMar w:header="747" w:footer="980" w:top="106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10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590" w:lineRule="atLeast" w:before="23"/>
        <w:ind w:left="534" w:right="10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73" w:lineRule="auto" w:before="37"/>
        <w:ind w:right="105"/>
        <w:jc w:val="left"/>
      </w:pPr>
      <w:r>
        <w:rPr>
          <w:spacing w:val="-1"/>
        </w:rPr>
        <w:t>务报表为基础，根据其他有关资料，按照权益法调整对子公司的长期股权投资后，由母公司按照《企业会</w:t>
      </w:r>
      <w:r>
        <w:rPr>
          <w:spacing w:val="-80"/>
        </w:rPr>
        <w:t> </w:t>
      </w:r>
      <w:r>
        <w:rPr>
          <w:spacing w:val="-80"/>
        </w:rPr>
      </w:r>
      <w:r>
        <w:rPr/>
        <w:t>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5"/>
        <w:spacing w:line="240" w:lineRule="auto"/>
        <w:ind w:left="113" w:right="105"/>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6"/>
          <w:szCs w:val="26"/>
        </w:rPr>
      </w:pPr>
    </w:p>
    <w:p>
      <w:pPr>
        <w:spacing w:line="590" w:lineRule="atLeast" w:before="0"/>
        <w:ind w:left="533" w:right="10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BodyText"/>
        <w:spacing w:line="240" w:lineRule="auto" w:before="37"/>
        <w:ind w:left="113" w:right="105"/>
        <w:jc w:val="left"/>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13" w:right="105"/>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before="0"/>
        <w:ind w:left="113"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6"/>
          <w:szCs w:val="26"/>
        </w:rPr>
      </w:pPr>
    </w:p>
    <w:p>
      <w:pPr>
        <w:spacing w:line="590" w:lineRule="atLeast" w:before="0"/>
        <w:ind w:left="533" w:right="10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外币交易在初始确认时，采用交易发生日的即期汇率折算为人民币金额。资产负债表日，外币货币性</w:t>
      </w:r>
    </w:p>
    <w:p>
      <w:pPr>
        <w:pStyle w:val="BodyText"/>
        <w:spacing w:line="273" w:lineRule="auto" w:before="37"/>
        <w:ind w:left="113" w:right="11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定日的即期汇率折算，差额计入当期损益或资本公积。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 w:right="105"/>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6"/>
          <w:szCs w:val="26"/>
        </w:rPr>
      </w:pPr>
    </w:p>
    <w:p>
      <w:pPr>
        <w:pStyle w:val="BodyText"/>
        <w:spacing w:line="590" w:lineRule="atLeast"/>
        <w:ind w:left="533" w:right="105"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金融资产在初始确认时划分为以下四类：以公允价值计量且其变动计入当期损益的金融资产（包括交</w:t>
      </w:r>
    </w:p>
    <w:p>
      <w:pPr>
        <w:pStyle w:val="BodyText"/>
        <w:spacing w:line="273" w:lineRule="auto" w:before="37"/>
        <w:ind w:left="113" w:right="105"/>
        <w:jc w:val="left"/>
      </w:pPr>
      <w:r>
        <w:rPr>
          <w:spacing w:val="-1"/>
        </w:rPr>
        <w:t>易性金融资产和指定为以公允价值计量且其变动计入当期损益的金融资产）、持有至到期投资、贷款和应</w:t>
      </w:r>
      <w:r>
        <w:rPr>
          <w:spacing w:val="-82"/>
        </w:rPr>
        <w:t> </w:t>
      </w:r>
      <w:r>
        <w:rPr>
          <w:spacing w:val="-82"/>
        </w:rPr>
      </w:r>
      <w:r>
        <w:rPr/>
        <w:t>收款项、可供出售金融资产。</w:t>
      </w:r>
    </w:p>
    <w:p>
      <w:pPr>
        <w:spacing w:after="0" w:line="273" w:lineRule="auto"/>
        <w:jc w:val="left"/>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BodyText"/>
        <w:spacing w:line="273" w:lineRule="auto" w:before="35"/>
        <w:ind w:right="131" w:firstLine="420"/>
        <w:jc w:val="both"/>
      </w:pPr>
      <w:r>
        <w:rPr>
          <w:spacing w:val="-1"/>
        </w:rPr>
        <w:t>金融负债在初始确认时划分为以下两类：以公允价值计量且其变动计入当期损益的金融负债（包括交</w:t>
      </w:r>
      <w:r>
        <w:rPr/>
        <w:t> 易性金融负债和指定为以公允价值计量且其变动计入当期损益的金融负债）、其他金融负债。</w:t>
      </w:r>
    </w:p>
    <w:p>
      <w:pPr>
        <w:spacing w:line="240" w:lineRule="auto" w:before="8"/>
        <w:rPr>
          <w:rFonts w:ascii="宋体" w:hAnsi="宋体" w:cs="宋体" w:eastAsia="宋体" w:hint="default"/>
          <w:sz w:val="24"/>
          <w:szCs w:val="24"/>
        </w:rPr>
      </w:pPr>
    </w:p>
    <w:p>
      <w:pPr>
        <w:spacing w:line="590" w:lineRule="atLeast" w:before="0"/>
        <w:ind w:left="534" w:right="9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公司成为金融工具合同的一方时，确认一项金融资产或金融负债。初始确认金融资产或金融负债时，</w:t>
      </w:r>
    </w:p>
    <w:p>
      <w:pPr>
        <w:pStyle w:val="BodyText"/>
        <w:spacing w:line="273" w:lineRule="auto" w:before="36"/>
        <w:ind w:right="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8" w:lineRule="auto" w:before="7"/>
        <w:ind w:right="108" w:firstLine="420"/>
        <w:jc w:val="both"/>
      </w:pPr>
      <w:r>
        <w:rPr/>
        <w:t>公司按照公允价值对金融资产进行后续计量，且不扣除将来处置该金融资产时可能发生的交易费用， </w:t>
      </w:r>
      <w:r>
        <w:rPr>
          <w:spacing w:val="-3"/>
        </w:rPr>
        <w:t>但下列情况除外：</w:t>
      </w:r>
      <w:r>
        <w:rPr>
          <w:rFonts w:ascii="Times New Roman" w:hAnsi="Times New Roman" w:cs="Times New Roman" w:eastAsia="Times New Roman" w:hint="default"/>
          <w:spacing w:val="-3"/>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2"/>
        <w:ind w:left="113" w:right="103"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w:t>
      </w:r>
      <w:r>
        <w:rPr>
          <w:spacing w:val="1"/>
        </w:rPr>
        <w:t> </w:t>
      </w:r>
      <w:r>
        <w:rPr/>
        <w:t>且其变动计入当期损益的金融负债，按照公允价值计量，且不扣除将来结清金融负债时可能发生的交易费</w:t>
      </w:r>
      <w:r>
        <w:rPr/>
        <w:t> 用；</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与在活跃市场中没有报价、公允价值不能可靠计量的权益工具挂钩并须通过交付该权益工具结算</w:t>
      </w:r>
      <w:r>
        <w:rPr>
          <w:spacing w:val="-93"/>
        </w:rPr>
        <w:t> </w:t>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不属于指定为以公允价值计量且其变动计入当期损益的金融负债的</w:t>
      </w:r>
      <w:r>
        <w:rPr>
          <w:spacing w:val="-94"/>
        </w:rPr>
        <w:t> </w:t>
      </w:r>
      <w:r>
        <w:rPr>
          <w:spacing w:val="4"/>
        </w:rPr>
        <w:t>财务担保合同，或没有指定为以公允价值计量且其变动计入当期损益并将以低于市场利率贷款的贷款承</w:t>
      </w:r>
      <w:r>
        <w:rPr>
          <w:spacing w:val="4"/>
        </w:rPr>
        <w:t> </w:t>
      </w:r>
      <w:r>
        <w:rPr/>
        <w:t>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 </w:t>
      </w:r>
      <w:r>
        <w:rPr>
          <w:spacing w:val="-5"/>
        </w:rPr>
        <w:t>事项》确定的金额；</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2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8" w:lineRule="auto" w:before="18"/>
        <w:ind w:left="113" w:right="129"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价值变动损益；在资产持有期间所取得的利息或现金股利，确认为投资收益；处置时，将实际收到的金额</w:t>
      </w:r>
      <w:r>
        <w:rPr>
          <w:spacing w:val="-81"/>
        </w:rPr>
        <w:t> </w:t>
      </w:r>
      <w:r>
        <w:rPr>
          <w:spacing w:val="-81"/>
        </w:rPr>
      </w:r>
      <w:r>
        <w:rPr/>
        <w:t>与初始入账金额之间的差额确认为投资收益，同时调整公允价值变动损益。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可供出售金融资产的公允 </w:t>
      </w:r>
      <w:r>
        <w:rPr>
          <w:spacing w:val="-1"/>
        </w:rPr>
        <w:t>价值变动计入资本公积；持有期间按实际利率法计算的利息，计入投资收益；可供出售权益工具投资的现</w:t>
      </w:r>
      <w:r>
        <w:rPr>
          <w:spacing w:val="-82"/>
        </w:rPr>
        <w:t> </w:t>
      </w:r>
      <w:r>
        <w:rPr>
          <w:spacing w:val="-82"/>
        </w:rPr>
      </w:r>
      <w:r>
        <w:rPr>
          <w:spacing w:val="-1"/>
        </w:rPr>
        <w:t>金股利，于被投资单位宣告发放股利时计入投资收益；处置时，将实际收到的金额与账面价值扣除原直接</w:t>
      </w:r>
      <w:r>
        <w:rPr>
          <w:spacing w:val="-83"/>
        </w:rPr>
        <w:t> </w:t>
      </w:r>
      <w:r>
        <w:rPr>
          <w:spacing w:val="-83"/>
        </w:rPr>
      </w:r>
      <w:r>
        <w:rPr/>
        <w:t>计入资本公积的公允价值变动累计额之后的差额确认为投资收益。</w:t>
      </w:r>
    </w:p>
    <w:p>
      <w:pPr>
        <w:spacing w:line="240" w:lineRule="auto" w:before="11"/>
        <w:rPr>
          <w:rFonts w:ascii="宋体" w:hAnsi="宋体" w:cs="宋体" w:eastAsia="宋体" w:hint="default"/>
          <w:sz w:val="24"/>
          <w:szCs w:val="24"/>
        </w:rPr>
      </w:pPr>
    </w:p>
    <w:p>
      <w:pPr>
        <w:spacing w:line="590" w:lineRule="atLeast" w:before="0"/>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公司已将金融资产所有权上几乎所有的风险和报酬转移给了转入方的，终止确认该金融资产；保留了</w:t>
      </w:r>
    </w:p>
    <w:p>
      <w:pPr>
        <w:pStyle w:val="BodyText"/>
        <w:spacing w:line="261" w:lineRule="auto" w:before="37"/>
        <w:ind w:left="113" w:right="126"/>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5"/>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未放弃对该金融资产控制的，按照继续涉入所转</w:t>
      </w:r>
      <w:r>
        <w:rPr>
          <w:spacing w:val="-99"/>
        </w:rPr>
        <w:t> </w:t>
      </w:r>
      <w:r>
        <w:rPr/>
        <w:t>移金融资产的程度确认有关金融资产，并相应确认有关负债。</w:t>
      </w:r>
    </w:p>
    <w:p>
      <w:pPr>
        <w:pStyle w:val="BodyText"/>
        <w:spacing w:line="261" w:lineRule="auto" w:before="18"/>
        <w:ind w:left="113" w:right="125"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所转移金融资产</w:t>
      </w:r>
      <w:r>
        <w:rPr>
          <w:spacing w:val="1"/>
        </w:rPr>
        <w:t> </w:t>
      </w:r>
      <w:r>
        <w:rPr/>
        <w:t>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因转移而收到的对价，与原直接计入所有者权益的公允价值变动累计额之和。金融资产</w:t>
      </w:r>
      <w:r>
        <w:rPr>
          <w:spacing w:val="-99"/>
        </w:rPr>
        <w:t>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终止确认部分的账</w:t>
      </w:r>
      <w:r>
        <w:rPr>
          <w:spacing w:val="-99"/>
        </w:rPr>
        <w:t> </w:t>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终止确认部分的对价，与原直接计入所有者权益的公允价值变动累计额中对应终止确认部分</w:t>
      </w:r>
      <w:r>
        <w:rPr>
          <w:spacing w:val="-99"/>
        </w:rPr>
        <w:t> </w:t>
      </w:r>
      <w:r>
        <w:rPr/>
        <w:t>的金额之和。</w:t>
      </w:r>
    </w:p>
    <w:p>
      <w:pPr>
        <w:spacing w:after="0" w:line="261" w:lineRule="auto"/>
        <w:jc w:val="both"/>
        <w:sectPr>
          <w:pgSz w:w="11910" w:h="16840"/>
          <w:pgMar w:header="747" w:footer="980" w:top="1060" w:bottom="1160" w:left="1020" w:right="1000"/>
        </w:sectPr>
      </w:pPr>
    </w:p>
    <w:p>
      <w:pPr>
        <w:spacing w:line="240" w:lineRule="auto" w:before="11"/>
        <w:rPr>
          <w:rFonts w:ascii="宋体" w:hAnsi="宋体" w:cs="宋体" w:eastAsia="宋体" w:hint="default"/>
          <w:sz w:val="24"/>
          <w:szCs w:val="24"/>
        </w:rPr>
      </w:pPr>
    </w:p>
    <w:p>
      <w:pPr>
        <w:pStyle w:val="Heading5"/>
        <w:spacing w:line="240" w:lineRule="auto" w:before="35"/>
        <w:ind w:right="102"/>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6"/>
        <w:rPr>
          <w:rFonts w:ascii="宋体" w:hAnsi="宋体" w:cs="宋体" w:eastAsia="宋体" w:hint="default"/>
          <w:b/>
          <w:bCs/>
          <w:sz w:val="24"/>
          <w:szCs w:val="24"/>
        </w:rPr>
      </w:pPr>
    </w:p>
    <w:p>
      <w:pPr>
        <w:pStyle w:val="BodyText"/>
        <w:spacing w:line="273" w:lineRule="auto"/>
        <w:ind w:right="102" w:firstLine="420"/>
        <w:jc w:val="left"/>
      </w:pPr>
      <w:r>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4"/>
        </w:rPr>
        <w:t> </w:t>
      </w:r>
      <w:r>
        <w:rPr>
          <w:spacing w:val="-84"/>
        </w:rPr>
      </w:r>
      <w:r>
        <w:rPr/>
        <w:t>部分。</w:t>
      </w:r>
    </w:p>
    <w:p>
      <w:pPr>
        <w:spacing w:line="240" w:lineRule="auto" w:before="6"/>
        <w:rPr>
          <w:rFonts w:ascii="宋体" w:hAnsi="宋体" w:cs="宋体" w:eastAsia="宋体" w:hint="default"/>
          <w:sz w:val="24"/>
          <w:szCs w:val="24"/>
        </w:rPr>
      </w:pPr>
    </w:p>
    <w:p>
      <w:pPr>
        <w:spacing w:line="590" w:lineRule="atLeast" w:before="0"/>
        <w:ind w:left="53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存在活跃市场的金融资产或金融负债，以活跃市场的报价确定其公允价值；不存在活跃市场的金融资</w:t>
      </w:r>
    </w:p>
    <w:p>
      <w:pPr>
        <w:pStyle w:val="BodyText"/>
        <w:spacing w:line="273" w:lineRule="auto" w:before="37"/>
        <w:ind w:right="188"/>
        <w:jc w:val="both"/>
      </w:pPr>
      <w:r>
        <w:rPr/>
        <w:t>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spacing w:line="240" w:lineRule="auto" w:before="8"/>
        <w:rPr>
          <w:rFonts w:ascii="宋体" w:hAnsi="宋体" w:cs="宋体" w:eastAsia="宋体" w:hint="default"/>
          <w:sz w:val="24"/>
          <w:szCs w:val="24"/>
        </w:rPr>
      </w:pPr>
    </w:p>
    <w:p>
      <w:pPr>
        <w:spacing w:line="590" w:lineRule="atLeast" w:before="0"/>
        <w:ind w:left="53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99"/>
          <w:sz w:val="21"/>
          <w:szCs w:val="21"/>
        </w:rPr>
        <w:t> </w:t>
      </w:r>
      <w:r>
        <w:rPr>
          <w:rFonts w:ascii="宋体" w:hAnsi="宋体" w:cs="宋体" w:eastAsia="宋体" w:hint="default"/>
          <w:spacing w:val="4"/>
          <w:sz w:val="21"/>
          <w:szCs w:val="21"/>
        </w:rPr>
        <w:t>资产负债表日对以公允价值计量且其变动计入当期损益的金融资产以外的金融资产的账面价值进行</w:t>
      </w:r>
      <w:r>
        <w:rPr>
          <w:rFonts w:ascii="宋体" w:hAnsi="宋体" w:cs="宋体" w:eastAsia="宋体" w:hint="default"/>
          <w:sz w:val="21"/>
          <w:szCs w:val="21"/>
        </w:rPr>
      </w:r>
    </w:p>
    <w:p>
      <w:pPr>
        <w:pStyle w:val="BodyText"/>
        <w:spacing w:line="273" w:lineRule="auto" w:before="37"/>
        <w:ind w:left="534" w:right="102" w:hanging="420"/>
        <w:jc w:val="left"/>
      </w:pPr>
      <w:r>
        <w:rPr/>
        <w:t>检查，如有客观证据表明该金融资产发生减值的，计提减值准备。 </w:t>
      </w:r>
      <w:r>
        <w:rPr>
          <w:spacing w:val="-1"/>
        </w:rPr>
        <w:t>对单项金额重大的金融资产单独进行减值测试；对单项金额不重大的金融资产，可以单独进行减值测</w:t>
      </w:r>
    </w:p>
    <w:p>
      <w:pPr>
        <w:pStyle w:val="BodyText"/>
        <w:spacing w:line="273" w:lineRule="auto" w:before="7"/>
        <w:ind w:right="101"/>
        <w:jc w:val="left"/>
      </w:pPr>
      <w:r>
        <w:rPr>
          <w:spacing w:val="-5"/>
        </w:rPr>
        <w:t>试，或包括在具有类似信用风险特征的金融资产组合中进行减值测试；单独测试未发生减值的金融资产（包</w:t>
      </w:r>
      <w:r>
        <w:rPr>
          <w:spacing w:val="-102"/>
        </w:rPr>
        <w:t> </w:t>
      </w:r>
      <w:r>
        <w:rPr>
          <w:spacing w:val="-102"/>
        </w:rPr>
      </w:r>
      <w:r>
        <w:rPr>
          <w:spacing w:val="-3"/>
        </w:rPr>
        <w:t>括单项金额重大和不重大的金融资产），包括在具有类似信用风险特征的金融资产组合中再进行减值测试。</w:t>
      </w:r>
    </w:p>
    <w:p>
      <w:pPr>
        <w:pStyle w:val="BodyText"/>
        <w:spacing w:line="273" w:lineRule="auto" w:before="7"/>
        <w:ind w:left="113" w:right="208" w:firstLine="420"/>
        <w:jc w:val="both"/>
      </w:pPr>
      <w:r>
        <w:rPr>
          <w:spacing w:val="-1"/>
        </w:rPr>
        <w:t>按摊余成本计量的金融资产，期末有客观证据表明其发生了减值的，根据其账面价值高于预计未来现</w:t>
      </w:r>
      <w:r>
        <w:rPr/>
        <w:t> </w:t>
      </w:r>
      <w:r>
        <w:rPr>
          <w:spacing w:val="-1"/>
        </w:rPr>
        <w:t>金流量现值的差额确认减值损失。在活跃市场中没有报价且其公允价值不能可靠计量的权益工具投资，或</w:t>
      </w:r>
      <w:r>
        <w:rPr>
          <w:spacing w:val="-81"/>
        </w:rPr>
        <w:t> </w:t>
      </w:r>
      <w:r>
        <w:rPr>
          <w:spacing w:val="-81"/>
        </w:rPr>
      </w:r>
      <w:r>
        <w:rPr>
          <w:spacing w:val="-1"/>
        </w:rPr>
        <w:t>与该权益工具挂钩并须通过交付该权益工具结算的衍生金融资产发生减值时，将该权益工具投资或衍生金</w:t>
      </w:r>
      <w:r>
        <w:rPr>
          <w:spacing w:val="-81"/>
        </w:rPr>
        <w:t> </w:t>
      </w:r>
      <w:r>
        <w:rPr>
          <w:spacing w:val="-81"/>
        </w:rPr>
      </w:r>
      <w:r>
        <w:rPr>
          <w:spacing w:val="-1"/>
        </w:rPr>
        <w:t>融资产的账面价值，高于按照类似金融资产当时市场收益率对未来现金流量折现确定的现值的差额，确认</w:t>
      </w:r>
      <w:r>
        <w:rPr>
          <w:spacing w:val="-81"/>
        </w:rPr>
        <w:t> </w:t>
      </w:r>
      <w:r>
        <w:rPr>
          <w:spacing w:val="-81"/>
        </w:rPr>
      </w:r>
      <w:r>
        <w:rPr>
          <w:spacing w:val="-1"/>
        </w:rPr>
        <w:t>为减值损失。可供出售金融资产的公允价值发生较大幅度下降，或在综合考虑各种相关因素后，预期这种</w:t>
      </w:r>
      <w:r>
        <w:rPr>
          <w:spacing w:val="-82"/>
        </w:rPr>
        <w:t> </w:t>
      </w:r>
      <w:r>
        <w:rPr>
          <w:spacing w:val="-82"/>
        </w:rPr>
      </w:r>
      <w:r>
        <w:rPr>
          <w:spacing w:val="-1"/>
        </w:rPr>
        <w:t>下降趋势属于非暂时性的，确认其减值损失，并将原直接计入所有者权益的公允价值累计损失一并转出计</w:t>
      </w:r>
      <w:r>
        <w:rPr>
          <w:spacing w:val="-81"/>
        </w:rPr>
        <w:t> </w:t>
      </w:r>
      <w:r>
        <w:rPr>
          <w:spacing w:val="-81"/>
        </w:rPr>
      </w:r>
      <w:r>
        <w:rPr/>
        <w:t>入减值损失。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 w:right="102"/>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spacing w:before="0"/>
        <w:ind w:left="113"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3"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6"/>
        <w:gridCol w:w="4513"/>
      </w:tblGrid>
      <w:tr>
        <w:trPr>
          <w:trHeight w:val="714"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万元以上（含）或占应收款项账面余额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413"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20"/>
        </w:sectPr>
      </w:pPr>
    </w:p>
    <w:p>
      <w:pPr>
        <w:spacing w:line="240" w:lineRule="auto" w:before="3"/>
        <w:rPr>
          <w:rFonts w:ascii="宋体" w:hAnsi="宋体" w:cs="宋体" w:eastAsia="宋体" w:hint="default"/>
          <w:b/>
          <w:bCs/>
          <w:sz w:val="28"/>
          <w:szCs w:val="28"/>
        </w:rPr>
      </w:pPr>
    </w:p>
    <w:p>
      <w:pPr>
        <w:spacing w:line="37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18.850pt;mso-position-horizontal-relative:char;mso-position-vertical-relative:line" coordorigin="0,0" coordsize="9588,377">
            <v:group style="position:absolute;left:14;top:14;width:5048;height:354" coordorigin="14,14" coordsize="5048,354">
              <v:shape style="position:absolute;left:14;top:14;width:5048;height:354" coordorigin="14,14" coordsize="5048,354" path="m14,368l5062,368,5062,14,14,14,14,36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372;width:9579;height:2" coordorigin="5,372" coordsize="9579,2">
              <v:shape style="position:absolute;left:5;top:372;width:9579;height:2" coordorigin="5,372" coordsize="9579,0" path="m5,372l9583,372e" filled="false" stroked="true" strokeweight=".48pt" strokecolor="#010101">
                <v:path arrowok="t"/>
              </v:shape>
            </v:group>
            <v:group style="position:absolute;left:10;top:5;width:2;height:363" coordorigin="10,5" coordsize="2,363">
              <v:shape style="position:absolute;left:10;top:5;width:2;height:363" coordorigin="10,5" coordsize="0,363" path="m10,5l10,367e" filled="false" stroked="true" strokeweight=".48pt" strokecolor="#010101">
                <v:path arrowok="t"/>
              </v:shape>
            </v:group>
            <v:group style="position:absolute;left:5065;top:5;width:2;height:363" coordorigin="5065,5" coordsize="2,363">
              <v:shape style="position:absolute;left:5065;top:5;width:2;height:363" coordorigin="5065,5" coordsize="0,363" path="m5065,5l5065,367e" filled="false" stroked="true" strokeweight=".48pt" strokecolor="#010101">
                <v:path arrowok="t"/>
              </v:shape>
            </v:group>
            <v:group style="position:absolute;left:9578;top:5;width:2;height:363" coordorigin="9578,5" coordsize="2,363">
              <v:shape style="position:absolute;left:9578;top:5;width:2;height:363" coordorigin="9578,5" coordsize="0,363" path="m9578,5l9578,367e" filled="false" stroked="true" strokeweight=".48pt" strokecolor="#010101">
                <v:path arrowok="t"/>
              </v:shape>
              <v:shape style="position:absolute;left:5065;top:10;width:4514;height:363" type="#_x0000_t202" filled="false" stroked="false">
                <v:textbox inset="0,0,0,0">
                  <w:txbxContent>
                    <w:p>
                      <w:pPr>
                        <w:spacing w:before="34"/>
                        <w:ind w:left="27" w:right="0" w:firstLine="0"/>
                        <w:jc w:val="left"/>
                        <w:rPr>
                          <w:rFonts w:ascii="宋体" w:hAnsi="宋体" w:cs="宋体" w:eastAsia="宋体" w:hint="default"/>
                          <w:sz w:val="18"/>
                          <w:szCs w:val="18"/>
                        </w:rPr>
                      </w:pPr>
                      <w:r>
                        <w:rPr>
                          <w:rFonts w:ascii="宋体" w:hAnsi="宋体" w:cs="宋体" w:eastAsia="宋体" w:hint="default"/>
                          <w:sz w:val="18"/>
                          <w:szCs w:val="18"/>
                        </w:rPr>
                        <w:t>价值的差额计提坏账准备。</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b/>
          <w:bCs/>
          <w:sz w:val="19"/>
          <w:szCs w:val="19"/>
        </w:rPr>
      </w:pPr>
    </w:p>
    <w:p>
      <w:pPr>
        <w:spacing w:before="35"/>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80%</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14" w:right="667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8"/>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54"/>
        <w:gridCol w:w="6215"/>
      </w:tblGrid>
      <w:tr>
        <w:trPr>
          <w:trHeight w:val="714"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4"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spacing w:before="35"/>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6" w:lineRule="auto" w:before="0"/>
        <w:ind w:left="114" w:right="105" w:firstLine="0"/>
        <w:jc w:val="left"/>
        <w:rPr>
          <w:rFonts w:ascii="宋体" w:hAnsi="宋体" w:cs="宋体" w:eastAsia="宋体" w:hint="default"/>
          <w:sz w:val="18"/>
          <w:szCs w:val="18"/>
        </w:rPr>
      </w:pPr>
      <w:r>
        <w:rPr>
          <w:rFonts w:ascii="宋体" w:hAnsi="宋体" w:cs="宋体" w:eastAsia="宋体" w:hint="default"/>
          <w:spacing w:val="-2"/>
          <w:sz w:val="18"/>
          <w:szCs w:val="18"/>
        </w:rPr>
        <w:t>存货包括在日常活动中持有以备出售的产成品或商品、处在生产过程中的在产品、在生产过程或提供劳务过程中耗用的材料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和物料等。</w:t>
      </w:r>
    </w:p>
    <w:p>
      <w:pPr>
        <w:spacing w:line="240" w:lineRule="auto" w:before="7"/>
        <w:rPr>
          <w:rFonts w:ascii="宋体" w:hAnsi="宋体" w:cs="宋体" w:eastAsia="宋体" w:hint="default"/>
          <w:sz w:val="22"/>
          <w:szCs w:val="22"/>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40" w:lineRule="auto" w:before="90"/>
        <w:ind w:right="105"/>
        <w:jc w:val="left"/>
      </w:pPr>
      <w:r>
        <w:rPr/>
        <w:t>发出存货采用月末一次加权平均法。</w:t>
      </w:r>
    </w:p>
    <w:p>
      <w:pPr>
        <w:spacing w:line="240" w:lineRule="auto" w:before="11"/>
        <w:rPr>
          <w:rFonts w:ascii="宋体" w:hAnsi="宋体" w:cs="宋体" w:eastAsia="宋体" w:hint="default"/>
          <w:sz w:val="25"/>
          <w:szCs w:val="25"/>
        </w:rPr>
      </w:pPr>
    </w:p>
    <w:p>
      <w:pPr>
        <w:spacing w:line="506" w:lineRule="auto" w:before="0"/>
        <w:ind w:left="534" w:right="10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资产负债表日，存货采用成本与可变现净值孰低计量，按照存货类别成本高于可变现净值的差额计提</w:t>
      </w:r>
    </w:p>
    <w:p>
      <w:pPr>
        <w:spacing w:after="0" w:line="506"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BodyText"/>
        <w:spacing w:line="273" w:lineRule="auto" w:before="35"/>
        <w:ind w:right="101"/>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92"/>
        <w:ind w:left="534" w:right="102"/>
        <w:jc w:val="left"/>
      </w:pPr>
      <w:r>
        <w:rPr/>
        <w:t>存货的盘存制度为永续盘存制。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spacing w:line="360" w:lineRule="auto" w:before="0"/>
        <w:ind w:left="114" w:right="8030"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ind w:left="639" w:right="102"/>
        <w:jc w:val="left"/>
      </w:pPr>
      <w:r>
        <w:rPr/>
        <w:t>低值易耗品按照一次转销法进行摊销。</w:t>
      </w:r>
    </w:p>
    <w:p>
      <w:pPr>
        <w:spacing w:line="240" w:lineRule="auto" w:before="0"/>
        <w:rPr>
          <w:rFonts w:ascii="宋体" w:hAnsi="宋体" w:cs="宋体" w:eastAsia="宋体" w:hint="default"/>
          <w:sz w:val="20"/>
          <w:szCs w:val="20"/>
        </w:rPr>
      </w:pPr>
    </w:p>
    <w:p>
      <w:pPr>
        <w:spacing w:line="360" w:lineRule="auto" w:before="152"/>
        <w:ind w:left="114" w:right="8030"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ind w:right="0"/>
        <w:jc w:val="both"/>
      </w:pPr>
      <w:r>
        <w:rPr/>
        <w:t>包装物按照一次转销法进行摊销。</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07" w:lineRule="auto" w:before="0"/>
        <w:ind w:left="113" w:right="21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同一控制下的企业合并形成的，合并方以支付现金、转让非现金资产、承担债务或发行权益性证券作为合并对价的，在 </w:t>
      </w:r>
      <w:r>
        <w:rPr>
          <w:rFonts w:ascii="宋体" w:hAnsi="宋体" w:cs="宋体" w:eastAsia="宋体" w:hint="default"/>
          <w:spacing w:val="-2"/>
          <w:sz w:val="18"/>
          <w:szCs w:val="18"/>
        </w:rPr>
        <w:t>合并日按照取得被合并方所有者权益账面价值的份额作为其初始投资成本。长期股权投资初始投资成本与支付的合并对价的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账面价值或发行股份的面值总额之间的差额调整资本公积；资本公积不足冲减的，调整留存收益。</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非同一控制下的企业 合并形成的，在购买日按照支付的合并对价的公允价值作为其初始投资成本。</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除企业合并形成以外的：以支付现金取得 </w:t>
      </w:r>
      <w:r>
        <w:rPr>
          <w:rFonts w:ascii="宋体" w:hAnsi="宋体" w:cs="宋体" w:eastAsia="宋体" w:hint="default"/>
          <w:spacing w:val="-2"/>
          <w:sz w:val="18"/>
          <w:szCs w:val="18"/>
        </w:rPr>
        <w:t>的，按照实际支付的购买价款作为其初始投资成本；以发行权益性证券取得的，按照发行权益性证券的公允价值作为其初始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投资成本；投资者投入的，按照投资合同或协议约定的价值作为其初始投资成本（合同或协议约定价值不公允的除外）。</w:t>
      </w:r>
    </w:p>
    <w:p>
      <w:pPr>
        <w:spacing w:line="240" w:lineRule="auto" w:before="1"/>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spacing w:line="316" w:lineRule="auto" w:before="0"/>
        <w:ind w:left="114" w:right="210" w:firstLine="0"/>
        <w:jc w:val="both"/>
        <w:rPr>
          <w:rFonts w:ascii="宋体" w:hAnsi="宋体" w:cs="宋体" w:eastAsia="宋体" w:hint="default"/>
          <w:sz w:val="18"/>
          <w:szCs w:val="18"/>
        </w:rPr>
      </w:pPr>
      <w:r>
        <w:rPr>
          <w:rFonts w:ascii="宋体" w:hAnsi="宋体" w:cs="宋体" w:eastAsia="宋体" w:hint="default"/>
          <w:spacing w:val="-2"/>
          <w:sz w:val="18"/>
          <w:szCs w:val="18"/>
        </w:rPr>
        <w:t>对被投资单位能够实施控制的长期股权投资采用成本法核算，在编制合并财务报表时按照权益法进行调整；对不具有共同控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制或重大影响，并且在活跃市场中没有报价、公允价值不能可靠计量的长期股权投资，采用成本法核算；对具有共同控制或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重大影响的长期股权投资，采用权益法核算。</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spacing w:line="316" w:lineRule="auto" w:before="0"/>
        <w:ind w:left="114" w:right="102" w:firstLine="0"/>
        <w:jc w:val="left"/>
        <w:rPr>
          <w:rFonts w:ascii="宋体" w:hAnsi="宋体" w:cs="宋体" w:eastAsia="宋体" w:hint="default"/>
          <w:sz w:val="18"/>
          <w:szCs w:val="18"/>
        </w:rPr>
      </w:pPr>
      <w:r>
        <w:rPr>
          <w:rFonts w:ascii="宋体" w:hAnsi="宋体" w:cs="宋体" w:eastAsia="宋体" w:hint="default"/>
          <w:spacing w:val="-2"/>
          <w:sz w:val="18"/>
          <w:szCs w:val="18"/>
        </w:rPr>
        <w:t>按照合同约定，与被投资单位相关的重要财务和经营决策需要分享控制权的投资方一致同意的，认定为共同控制；对被投资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单位的财务和经营政策有参与决策的权力，但并不能够控制或者与其他方一起共同控制这些政策的制定的，认定为重大影响。</w:t>
      </w:r>
    </w:p>
    <w:p>
      <w:pPr>
        <w:spacing w:after="0" w:line="316" w:lineRule="auto"/>
        <w:jc w:val="left"/>
        <w:rPr>
          <w:rFonts w:ascii="宋体" w:hAnsi="宋体" w:cs="宋体" w:eastAsia="宋体" w:hint="default"/>
          <w:sz w:val="18"/>
          <w:szCs w:val="18"/>
        </w:rPr>
        <w:sectPr>
          <w:footerReference w:type="default" r:id="rId35"/>
          <w:pgSz w:w="11910" w:h="16840"/>
          <w:pgMar w:footer="980" w:header="747" w:top="1060" w:bottom="1160" w:left="1020" w:right="920"/>
        </w:sectPr>
      </w:pPr>
    </w:p>
    <w:p>
      <w:pPr>
        <w:spacing w:line="240" w:lineRule="auto" w:before="11"/>
        <w:rPr>
          <w:rFonts w:ascii="宋体" w:hAnsi="宋体" w:cs="宋体" w:eastAsia="宋体" w:hint="default"/>
          <w:sz w:val="24"/>
          <w:szCs w:val="24"/>
        </w:rPr>
      </w:pPr>
    </w:p>
    <w:p>
      <w:pPr>
        <w:pStyle w:val="Heading5"/>
        <w:spacing w:line="240" w:lineRule="auto" w:before="35"/>
        <w:ind w:right="102"/>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6"/>
        <w:rPr>
          <w:rFonts w:ascii="宋体" w:hAnsi="宋体" w:cs="宋体" w:eastAsia="宋体" w:hint="default"/>
          <w:b/>
          <w:bCs/>
          <w:sz w:val="24"/>
          <w:szCs w:val="24"/>
        </w:rPr>
      </w:pPr>
    </w:p>
    <w:p>
      <w:pPr>
        <w:pStyle w:val="BodyText"/>
        <w:spacing w:line="268" w:lineRule="auto"/>
        <w:ind w:left="113" w:right="102" w:firstLine="420"/>
        <w:jc w:val="left"/>
      </w:pPr>
      <w:r>
        <w:rPr/>
        <w:t>对子公司、联营企业及合营企业的投资，在资产负债表日有客观证据表明其发生减值的，按照账面价 值高于可收回金额的差额计提相应的减值准备；对被投资单位不具有共同控制或重大影响、在活跃市场中 </w:t>
      </w:r>
      <w:r>
        <w:rPr>
          <w:spacing w:val="-3"/>
        </w:rPr>
        <w:t>没有报价、公允价值不能可靠计量的长期股权投资，按照《企业会计准则第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w:t>
      </w:r>
      <w:r>
        <w:rPr>
          <w:spacing w:val="-88"/>
        </w:rPr>
        <w:t> </w:t>
      </w:r>
      <w:r>
        <w:rPr>
          <w:spacing w:val="-88"/>
        </w:rPr>
      </w:r>
      <w:r>
        <w:rPr/>
        <w:t>的规定计提相应的减值准备。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ind w:left="113" w:right="102"/>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3"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6" w:lineRule="auto" w:before="0"/>
        <w:ind w:left="114" w:right="102"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固定资产是指为生产商品、提供劳务、出租或经营管理而持有的，使用年限超过一个会计年度的有形资产。固定资产以取得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时的实际成本入账，并从其达到预定可使用状态的次月起采用年限平均法计提折旧。</w:t>
      </w:r>
    </w:p>
    <w:p>
      <w:pPr>
        <w:spacing w:line="240" w:lineRule="auto" w:before="7"/>
        <w:rPr>
          <w:rFonts w:ascii="宋体" w:hAnsi="宋体" w:cs="宋体" w:eastAsia="宋体" w:hint="default"/>
          <w:sz w:val="22"/>
          <w:szCs w:val="22"/>
        </w:rPr>
      </w:pPr>
    </w:p>
    <w:p>
      <w:pPr>
        <w:pStyle w:val="Heading5"/>
        <w:spacing w:line="240" w:lineRule="auto"/>
        <w:ind w:right="102"/>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4"/>
          <w:szCs w:val="24"/>
        </w:rPr>
      </w:pPr>
    </w:p>
    <w:p>
      <w:pPr>
        <w:spacing w:before="0"/>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b/>
          <w:bCs/>
          <w:sz w:val="19"/>
          <w:szCs w:val="19"/>
        </w:rPr>
      </w:pPr>
    </w:p>
    <w:p>
      <w:pPr>
        <w:spacing w:before="35"/>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59" w:lineRule="auto" w:before="0"/>
        <w:ind w:left="113" w:right="102" w:firstLine="420"/>
        <w:jc w:val="left"/>
        <w:rPr>
          <w:rFonts w:ascii="宋体" w:hAnsi="宋体" w:cs="宋体" w:eastAsia="宋体" w:hint="default"/>
          <w:sz w:val="22"/>
          <w:szCs w:val="22"/>
        </w:rPr>
      </w:pPr>
      <w:r>
        <w:rPr>
          <w:rFonts w:ascii="宋体" w:hAnsi="宋体" w:cs="宋体" w:eastAsia="宋体" w:hint="default"/>
          <w:i/>
          <w:spacing w:val="-1"/>
          <w:w w:val="95"/>
          <w:sz w:val="22"/>
          <w:szCs w:val="22"/>
        </w:rPr>
        <w:t>资产负债表日，有迹象表明固定资产发生减值的，按照账面价值高于可收回金额的差额计提相应的减</w:t>
      </w:r>
      <w:r>
        <w:rPr>
          <w:rFonts w:ascii="宋体" w:hAnsi="宋体" w:cs="宋体" w:eastAsia="宋体" w:hint="default"/>
          <w:i/>
          <w:w w:val="95"/>
          <w:sz w:val="22"/>
          <w:szCs w:val="22"/>
        </w:rPr>
        <w:t> </w:t>
      </w:r>
      <w:r>
        <w:rPr>
          <w:rFonts w:ascii="宋体" w:hAnsi="宋体" w:cs="宋体" w:eastAsia="宋体" w:hint="default"/>
          <w:i/>
          <w:sz w:val="22"/>
          <w:szCs w:val="22"/>
        </w:rPr>
        <w:t>值准备。</w:t>
      </w:r>
      <w:r>
        <w:rPr>
          <w:rFonts w:ascii="宋体" w:hAnsi="宋体" w:cs="宋体" w:eastAsia="宋体" w:hint="default"/>
          <w:sz w:val="22"/>
          <w:szCs w:val="22"/>
        </w:rPr>
      </w:r>
    </w:p>
    <w:p>
      <w:pPr>
        <w:spacing w:line="240" w:lineRule="auto" w:before="0"/>
        <w:rPr>
          <w:rFonts w:ascii="宋体" w:hAnsi="宋体" w:cs="宋体" w:eastAsia="宋体" w:hint="default"/>
          <w:i/>
          <w:sz w:val="22"/>
          <w:szCs w:val="22"/>
        </w:rPr>
      </w:pPr>
    </w:p>
    <w:p>
      <w:pPr>
        <w:spacing w:line="240" w:lineRule="auto" w:before="2"/>
        <w:rPr>
          <w:rFonts w:ascii="宋体" w:hAnsi="宋体" w:cs="宋体" w:eastAsia="宋体" w:hint="default"/>
          <w:i/>
          <w:sz w:val="26"/>
          <w:szCs w:val="26"/>
        </w:rPr>
      </w:pPr>
    </w:p>
    <w:p>
      <w:pPr>
        <w:spacing w:before="0"/>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6"/>
          <w:pgSz w:w="11910" w:h="16840"/>
          <w:pgMar w:footer="980" w:header="747" w:top="1060" w:bottom="1160" w:left="1020" w:right="920"/>
          <w:pgNumType w:start="81"/>
        </w:sectPr>
      </w:pPr>
    </w:p>
    <w:p>
      <w:pPr>
        <w:spacing w:line="240" w:lineRule="auto" w:before="11"/>
        <w:rPr>
          <w:rFonts w:ascii="宋体" w:hAnsi="宋体" w:cs="宋体" w:eastAsia="宋体" w:hint="default"/>
          <w:b/>
          <w:bCs/>
          <w:sz w:val="24"/>
          <w:szCs w:val="24"/>
        </w:rPr>
      </w:pPr>
    </w:p>
    <w:p>
      <w:pPr>
        <w:spacing w:before="35"/>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在建工程同时满足经济利益很可能流入、成本能够可靠计量则予以确认。在建工程按建造该项资产达到预定可使用状态 前所发生的实际成本计量。</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spacing w:line="300" w:lineRule="auto" w:before="0"/>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6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资产负债表日，有迹象表明在建工程发生减值的，按照账面价值高于可收回金额的差额计提相应的 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公司发生的借款费用，可直接归属于符合资本化条件的资产的购建或者生产的，予以资本化，计入相关资</w:t>
      </w:r>
      <w:r>
        <w:rPr>
          <w:spacing w:val="-82"/>
        </w:rPr>
        <w:t> </w:t>
      </w:r>
      <w:r>
        <w:rPr>
          <w:spacing w:val="-82"/>
        </w:rPr>
      </w:r>
      <w:r>
        <w:rPr/>
        <w:t>产成本；其他借款费用，在发生时确认为费用，计入当期损益。</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13" w:right="163" w:firstLine="420"/>
        <w:jc w:val="both"/>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为使资产达到预定可使用或可销售状态所必要的购建或者生产活动已经开始。</w:t>
      </w:r>
    </w:p>
    <w:p>
      <w:pPr>
        <w:pStyle w:val="BodyText"/>
        <w:spacing w:line="264" w:lineRule="auto" w:before="22"/>
        <w:ind w:right="11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 暂停借款费用的资本化；中断期间发生的借款费用确认为当期费用，直至资产的购建或者生产活动重新开 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6"/>
        <w:ind w:right="0"/>
        <w:jc w:val="both"/>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当所购建或者生产符合资本化条件的资产达到预定可使用或可销售状态时，借款费用停止资本化。</w:t>
      </w:r>
    </w:p>
    <w:p>
      <w:pPr>
        <w:spacing w:line="590" w:lineRule="atLeast" w:before="23"/>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为购建或者生产符合资本化条件的资产而借入专门借款的，以专门借款当期实际发生的利息费用（包</w:t>
      </w:r>
    </w:p>
    <w:p>
      <w:pPr>
        <w:pStyle w:val="BodyText"/>
        <w:spacing w:line="273" w:lineRule="auto" w:before="37"/>
        <w:ind w:right="17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p>
    <w:p>
      <w:pPr>
        <w:spacing w:after="0" w:line="273" w:lineRule="auto"/>
        <w:jc w:val="both"/>
        <w:sectPr>
          <w:pgSz w:w="11910" w:h="16840"/>
          <w:pgMar w:header="747" w:footer="980" w:top="1060" w:bottom="1160" w:left="1020" w:right="960"/>
        </w:sectPr>
      </w:pPr>
    </w:p>
    <w:p>
      <w:pPr>
        <w:spacing w:line="240" w:lineRule="auto" w:before="10"/>
        <w:rPr>
          <w:rFonts w:ascii="宋体" w:hAnsi="宋体" w:cs="宋体" w:eastAsia="宋体" w:hint="default"/>
          <w:sz w:val="24"/>
          <w:szCs w:val="24"/>
        </w:rPr>
      </w:pPr>
    </w:p>
    <w:p>
      <w:pPr>
        <w:pStyle w:val="BodyText"/>
        <w:spacing w:line="240" w:lineRule="auto" w:before="35"/>
        <w:ind w:right="102"/>
        <w:jc w:val="left"/>
      </w:pP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02"/>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534" w:right="102" w:firstLine="0"/>
        <w:jc w:val="left"/>
        <w:rPr>
          <w:rFonts w:ascii="宋体" w:hAnsi="宋体" w:cs="宋体" w:eastAsia="宋体" w:hint="default"/>
          <w:sz w:val="22"/>
          <w:szCs w:val="22"/>
        </w:rPr>
      </w:pPr>
      <w:r>
        <w:rPr>
          <w:rFonts w:ascii="Times New Roman" w:hAnsi="Times New Roman" w:cs="Times New Roman" w:eastAsia="Times New Roman" w:hint="default"/>
          <w:i/>
          <w:w w:val="95"/>
          <w:sz w:val="21"/>
          <w:szCs w:val="21"/>
        </w:rPr>
        <w:t>1. </w:t>
      </w:r>
      <w:r>
        <w:rPr>
          <w:rFonts w:ascii="Times New Roman" w:hAnsi="Times New Roman" w:cs="Times New Roman" w:eastAsia="Times New Roman" w:hint="default"/>
          <w:i/>
          <w:spacing w:val="44"/>
          <w:w w:val="95"/>
          <w:sz w:val="21"/>
          <w:szCs w:val="21"/>
        </w:rPr>
        <w:t> </w:t>
      </w:r>
      <w:r>
        <w:rPr>
          <w:rFonts w:ascii="宋体" w:hAnsi="宋体" w:cs="宋体" w:eastAsia="宋体" w:hint="default"/>
          <w:i/>
          <w:w w:val="95"/>
          <w:sz w:val="22"/>
          <w:szCs w:val="22"/>
        </w:rPr>
        <w:t>无形资产包括土地使用权、专利权及非专利技术等，按成本进行初始计量。</w:t>
      </w:r>
      <w:r>
        <w:rPr>
          <w:rFonts w:ascii="宋体" w:hAnsi="宋体" w:cs="宋体" w:eastAsia="宋体" w:hint="default"/>
          <w:sz w:val="22"/>
          <w:szCs w:val="22"/>
        </w:rPr>
      </w:r>
    </w:p>
    <w:p>
      <w:pPr>
        <w:pStyle w:val="BodyText"/>
        <w:spacing w:line="256" w:lineRule="auto" w:before="21"/>
        <w:ind w:right="27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使用寿命有限的无形资产，在使用寿命内按照与该项无形资产有关的经济利益的预期实现方式系统 合理地摊销，无法可靠确定预期实现方式的，采用直线法摊销。具体年限如下：</w:t>
      </w:r>
    </w:p>
    <w:p>
      <w:pPr>
        <w:pStyle w:val="BodyText"/>
        <w:tabs>
          <w:tab w:pos="1113" w:val="left" w:leader="none"/>
          <w:tab w:pos="3119" w:val="left" w:leader="none"/>
          <w:tab w:pos="3819" w:val="right" w:leader="none"/>
        </w:tabs>
        <w:spacing w:line="273" w:lineRule="auto" w:before="32"/>
        <w:ind w:left="483" w:right="5652" w:firstLine="210"/>
        <w:jc w:val="left"/>
        <w:rPr>
          <w:rFonts w:ascii="Times New Roman" w:hAnsi="Times New Roman" w:cs="Times New Roman" w:eastAsia="Times New Roman" w:hint="default"/>
        </w:rPr>
      </w:pPr>
      <w:r>
        <w:rPr/>
        <w:t>项</w:t>
        <w:tab/>
        <w:t>目</w:t>
        <w:tab/>
        <w:t>摊销年限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 </w:t>
      </w:r>
      <w:r>
        <w:rPr/>
        <w:t>土地使用权</w:t>
      </w:r>
      <w:r>
        <w:rPr>
          <w:rFonts w:ascii="Times New Roman" w:hAnsi="Times New Roman" w:cs="Times New Roman" w:eastAsia="Times New Roman" w:hint="default"/>
        </w:rPr>
        <w:tab/>
        <w:tab/>
      </w:r>
      <w:r>
        <w:rPr>
          <w:rFonts w:ascii="Times New Roman" w:hAnsi="Times New Roman" w:cs="Times New Roman" w:eastAsia="Times New Roman" w:hint="default"/>
        </w:rPr>
        <w:t>50</w:t>
      </w:r>
    </w:p>
    <w:p>
      <w:pPr>
        <w:spacing w:line="590" w:lineRule="atLeast" w:before="312"/>
        <w:ind w:left="639" w:right="102"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t>使用寿命确定的无形资产，在资产负债表日有迹象表明发生减值的，按照账面价值高于可收回金额</w:t>
      </w:r>
    </w:p>
    <w:p>
      <w:pPr>
        <w:pStyle w:val="BodyText"/>
        <w:spacing w:line="273" w:lineRule="auto" w:before="37"/>
        <w:ind w:right="102"/>
        <w:jc w:val="left"/>
      </w:pPr>
      <w:r>
        <w:rPr>
          <w:spacing w:val="-1"/>
        </w:rPr>
        <w:t>的差额计提相应的减值准备；使用寿命不确定的无形资产和尚未达到可使用状态的无形资产，无论是否存</w:t>
      </w:r>
      <w:r>
        <w:rPr>
          <w:spacing w:val="-81"/>
        </w:rPr>
        <w:t> </w:t>
      </w:r>
      <w:r>
        <w:rPr>
          <w:spacing w:val="-81"/>
        </w:rPr>
      </w:r>
      <w:r>
        <w:rPr/>
        <w:t>在减值迹象，每年均进行减值测试。</w:t>
      </w: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80"/>
        <w:gridCol w:w="2215"/>
        <w:gridCol w:w="5074"/>
      </w:tblGrid>
      <w:tr>
        <w:trPr>
          <w:trHeight w:val="402" w:hRule="exact"/>
        </w:trPr>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3"/>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590" w:lineRule="atLeast" w:before="0"/>
        <w:ind w:left="53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pacing w:val="-1"/>
          <w:sz w:val="21"/>
          <w:szCs w:val="21"/>
        </w:rPr>
        <w:t>使用寿命不确定的无形资产和尚未达到可使用状态的无形资产，无论是否存在减值迹象，每年均进行</w:t>
      </w:r>
    </w:p>
    <w:p>
      <w:pPr>
        <w:pStyle w:val="BodyText"/>
        <w:spacing w:line="240" w:lineRule="auto" w:before="37"/>
        <w:ind w:right="102"/>
        <w:jc w:val="left"/>
      </w:pPr>
      <w:r>
        <w:rPr/>
        <w:t>减值测试。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02"/>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spacing w:line="590" w:lineRule="atLeast" w:before="0"/>
        <w:ind w:left="639" w:right="102"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内部研究开发项目研究阶段的支出，于发生时计入当期损益。内部研究开发项目开发阶段的支出，</w:t>
      </w:r>
    </w:p>
    <w:p>
      <w:pPr>
        <w:pStyle w:val="BodyText"/>
        <w:spacing w:line="240" w:lineRule="auto" w:before="37"/>
        <w:ind w:right="0"/>
        <w:jc w:val="left"/>
      </w:pPr>
      <w:r>
        <w:rPr>
          <w:spacing w:val="-5"/>
        </w:rPr>
        <w:t>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完成该无形资产以使其能够使用或出售在技术上具有可行性；</w:t>
      </w:r>
    </w:p>
    <w:p>
      <w:pPr>
        <w:spacing w:after="0" w:line="240" w:lineRule="auto"/>
        <w:jc w:val="left"/>
        <w:sectPr>
          <w:pgSz w:w="11910" w:h="16840"/>
          <w:pgMar w:header="747" w:footer="980" w:top="1060" w:bottom="1160" w:left="1020" w:right="920"/>
        </w:sectPr>
      </w:pPr>
    </w:p>
    <w:p>
      <w:pPr>
        <w:spacing w:line="240" w:lineRule="auto" w:before="10"/>
        <w:rPr>
          <w:rFonts w:ascii="宋体" w:hAnsi="宋体" w:cs="宋体" w:eastAsia="宋体" w:hint="default"/>
          <w:sz w:val="24"/>
          <w:szCs w:val="24"/>
        </w:rPr>
      </w:pPr>
    </w:p>
    <w:p>
      <w:pPr>
        <w:pStyle w:val="BodyText"/>
        <w:spacing w:line="256" w:lineRule="auto" w:before="35"/>
        <w:ind w:right="104" w:hanging="1"/>
        <w:jc w:val="both"/>
      </w:pPr>
      <w:r>
        <w:rPr>
          <w:rFonts w:ascii="Times New Roman" w:hAnsi="Times New Roman" w:cs="Times New Roman" w:eastAsia="Times New Roman" w:hint="default"/>
        </w:rPr>
        <w:t>(2)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9"/>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7"/>
        </w:rPr>
        <w:t> </w:t>
      </w:r>
      <w:r>
        <w:rPr/>
        <w:t>有</w:t>
      </w:r>
      <w:r>
        <w:rPr>
          <w:spacing w:val="-103"/>
        </w:rPr>
        <w:t>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3"/>
        </w:rPr>
        <w:t> </w:t>
      </w:r>
      <w:r>
        <w:rPr/>
        <w:t>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pStyle w:val="BodyText"/>
        <w:spacing w:line="590" w:lineRule="atLeast"/>
        <w:ind w:left="534" w:right="105" w:hanging="420"/>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长期待摊费用按实际发生额入账，在受益期或规定的期限内分期平均摊销。如果长期待摊的费用项目</w:t>
      </w:r>
    </w:p>
    <w:p>
      <w:pPr>
        <w:pStyle w:val="BodyText"/>
        <w:spacing w:line="240" w:lineRule="auto" w:before="37"/>
        <w:ind w:right="0"/>
        <w:jc w:val="both"/>
      </w:pPr>
      <w:r>
        <w:rPr/>
        <w:t>不能使以后会计期间受益则将尚未摊销的该项目的摊余价值全部转入当期损益。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both"/>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747" w:footer="980" w:top="1060" w:bottom="1160" w:left="1020" w:right="1020"/>
        </w:sectPr>
      </w:pPr>
    </w:p>
    <w:p>
      <w:pPr>
        <w:spacing w:line="240" w:lineRule="auto" w:before="11"/>
        <w:rPr>
          <w:rFonts w:ascii="宋体" w:hAnsi="宋体" w:cs="宋体" w:eastAsia="宋体" w:hint="default"/>
          <w:b/>
          <w:bCs/>
          <w:sz w:val="24"/>
          <w:szCs w:val="24"/>
        </w:rPr>
      </w:pPr>
    </w:p>
    <w:p>
      <w:pPr>
        <w:spacing w:before="35"/>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13" w:right="169" w:firstLine="0"/>
        <w:jc w:val="both"/>
        <w:rPr>
          <w:rFonts w:ascii="宋体" w:hAnsi="宋体" w:cs="宋体" w:eastAsia="宋体" w:hint="default"/>
          <w:sz w:val="18"/>
          <w:szCs w:val="18"/>
        </w:rPr>
      </w:pPr>
      <w:r>
        <w:rPr>
          <w:rFonts w:ascii="宋体" w:hAnsi="宋体" w:cs="宋体" w:eastAsia="宋体" w:hint="default"/>
          <w:sz w:val="18"/>
          <w:szCs w:val="18"/>
        </w:rPr>
        <w:t>销售商品收入在同时满足下列条件时予以确认：</w:t>
      </w:r>
      <w:r>
        <w:rPr>
          <w:rFonts w:ascii="Times New Roman" w:hAnsi="Times New Roman" w:cs="Times New Roman" w:eastAsia="Times New Roman" w:hint="default"/>
          <w:sz w:val="18"/>
          <w:szCs w:val="18"/>
        </w:rPr>
        <w:t>(1) </w:t>
      </w:r>
      <w:r>
        <w:rPr>
          <w:rFonts w:ascii="宋体" w:hAnsi="宋体" w:cs="宋体" w:eastAsia="宋体" w:hint="default"/>
          <w:sz w:val="18"/>
          <w:szCs w:val="18"/>
        </w:rPr>
        <w:t>将商品所有权上的主要风险和报酬转移给购货方；</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公司不再保留通 常与所有权相联系的继续管理权，也不再对已售出的商品实施有效控制；</w:t>
      </w:r>
      <w:r>
        <w:rPr>
          <w:rFonts w:ascii="Times New Roman" w:hAnsi="Times New Roman" w:cs="Times New Roman" w:eastAsia="Times New Roman" w:hint="default"/>
          <w:sz w:val="18"/>
          <w:szCs w:val="18"/>
        </w:rPr>
        <w:t>(3) </w:t>
      </w:r>
      <w:r>
        <w:rPr>
          <w:rFonts w:ascii="宋体" w:hAnsi="宋体" w:cs="宋体" w:eastAsia="宋体" w:hint="default"/>
          <w:sz w:val="18"/>
          <w:szCs w:val="18"/>
        </w:rPr>
        <w:t>收入的金额能够可靠地计量；</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相关的经济 利益很可能流入；</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相关的已发生或将发生的成本能够可靠地计量。</w:t>
      </w:r>
    </w:p>
    <w:p>
      <w:pPr>
        <w:spacing w:line="614" w:lineRule="exact" w:before="43"/>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让渡资产使用权在同时满足相关的经济利益很可能流入、收入金额能够可靠计量时，确认让渡资产使</w:t>
      </w:r>
    </w:p>
    <w:p>
      <w:pPr>
        <w:pStyle w:val="BodyText"/>
        <w:spacing w:line="219" w:lineRule="exact"/>
        <w:ind w:right="0"/>
        <w:jc w:val="both"/>
      </w:pPr>
      <w:r>
        <w:rPr/>
        <w:t>用权的收入。利息收入按照他人使用本公司货币资金的时间和实际利率计算确定；使用费收入按有关合同</w:t>
      </w:r>
    </w:p>
    <w:p>
      <w:pPr>
        <w:pStyle w:val="BodyText"/>
        <w:spacing w:line="240" w:lineRule="auto" w:before="37"/>
        <w:ind w:right="0"/>
        <w:jc w:val="both"/>
      </w:pPr>
      <w:r>
        <w:rPr/>
        <w:t>或协议约定的收费时间和方法计算确定。</w:t>
      </w:r>
    </w:p>
    <w:p>
      <w:pPr>
        <w:spacing w:line="240" w:lineRule="auto" w:before="11"/>
        <w:rPr>
          <w:rFonts w:ascii="宋体" w:hAnsi="宋体" w:cs="宋体" w:eastAsia="宋体" w:hint="default"/>
          <w:sz w:val="26"/>
          <w:szCs w:val="26"/>
        </w:rPr>
      </w:pPr>
    </w:p>
    <w:p>
      <w:pPr>
        <w:spacing w:line="590" w:lineRule="atLeast" w:before="0"/>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提供劳务交易的结果在资产负债表日能够可靠估计的（同时满足收入的金额能够可靠地计量、相关经</w:t>
      </w:r>
    </w:p>
    <w:p>
      <w:pPr>
        <w:pStyle w:val="BodyText"/>
        <w:spacing w:line="273" w:lineRule="auto" w:before="37"/>
        <w:ind w:right="108"/>
        <w:jc w:val="both"/>
      </w:pPr>
      <w:r>
        <w:rPr/>
        <w:t>济利益很可能流入、交易的完工进度能够可靠地确定、交易中已发生和将发生的成本能够可靠地计量），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政府补助包括与资产相关的政府补助和与收益相关的政府补助。</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政府补助为货币性资产的，按照收到或应收的金额计 量；政府补助为非货币性资产的，按照公允价值计量，公允价值不能可靠取得的，按照名义金额计量。</w:t>
      </w:r>
    </w:p>
    <w:p>
      <w:pPr>
        <w:pStyle w:val="BodyText"/>
        <w:spacing w:line="590" w:lineRule="atLeast" w:before="8"/>
        <w:ind w:left="639" w:right="0" w:hanging="52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w w:val="99"/>
        </w:rPr>
        <w:t> </w:t>
      </w:r>
      <w:r>
        <w:rPr/>
        <w:t>与资产相关的政府补助，确认为递延收益，在相关资产使用寿命内平均分配，计入当期损益。与收</w:t>
      </w:r>
    </w:p>
    <w:p>
      <w:pPr>
        <w:pStyle w:val="BodyText"/>
        <w:spacing w:line="273" w:lineRule="auto" w:before="37"/>
        <w:ind w:right="90"/>
        <w:jc w:val="left"/>
      </w:pPr>
      <w:r>
        <w:rPr/>
        <w:t>益相关的政府补助，用于补偿以后期间的相关费用或损失的，确认为递延收益，在确认相关费用的期间， 计入当期损益；用于补偿已发生的相关费用或损失的，直接计入当期损益。</w:t>
      </w:r>
    </w:p>
    <w:p>
      <w:pPr>
        <w:spacing w:after="0" w:line="273" w:lineRule="auto"/>
        <w:jc w:val="left"/>
        <w:sectPr>
          <w:pgSz w:w="11910" w:h="16840"/>
          <w:pgMar w:header="747" w:footer="980"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105"/>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4" w:right="100" w:firstLine="90"/>
        <w:jc w:val="left"/>
        <w:rPr>
          <w:rFonts w:ascii="宋体" w:hAnsi="宋体" w:cs="宋体" w:eastAsia="宋体" w:hint="default"/>
          <w:sz w:val="18"/>
          <w:szCs w:val="18"/>
        </w:rPr>
      </w:pPr>
      <w:r>
        <w:rPr>
          <w:rFonts w:ascii="宋体" w:hAnsi="宋体" w:cs="宋体" w:eastAsia="宋体" w:hint="default"/>
          <w:sz w:val="18"/>
          <w:szCs w:val="18"/>
        </w:rPr>
        <w:t>根据资产、的账面价值与其计税基础之间的差额（未作为资产确认的项目按照税法规定可以确定其计税基础的，该计税基 </w:t>
      </w:r>
      <w:r>
        <w:rPr>
          <w:rFonts w:ascii="宋体" w:hAnsi="宋体" w:cs="宋体" w:eastAsia="宋体" w:hint="default"/>
          <w:spacing w:val="-3"/>
          <w:sz w:val="18"/>
          <w:szCs w:val="18"/>
        </w:rPr>
        <w:t>础与其账面数之间的差额），按照预期收回该资产期间的适用税率计算确认递延所得税资产。</w:t>
      </w:r>
    </w:p>
    <w:p>
      <w:pPr>
        <w:spacing w:line="240" w:lineRule="auto" w:before="7"/>
        <w:rPr>
          <w:rFonts w:ascii="宋体" w:hAnsi="宋体" w:cs="宋体" w:eastAsia="宋体" w:hint="default"/>
          <w:sz w:val="22"/>
          <w:szCs w:val="22"/>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spacing w:line="316" w:lineRule="auto" w:before="0"/>
        <w:ind w:left="114" w:right="100" w:firstLine="90"/>
        <w:jc w:val="left"/>
        <w:rPr>
          <w:rFonts w:ascii="宋体" w:hAnsi="宋体" w:cs="宋体" w:eastAsia="宋体" w:hint="default"/>
          <w:sz w:val="18"/>
          <w:szCs w:val="18"/>
        </w:rPr>
      </w:pPr>
      <w:r>
        <w:rPr>
          <w:rFonts w:ascii="宋体" w:hAnsi="宋体" w:cs="宋体" w:eastAsia="宋体" w:hint="default"/>
          <w:sz w:val="18"/>
          <w:szCs w:val="18"/>
        </w:rPr>
        <w:t>根据负债的账面价值与其计税基础之间的差额（未作为负债确认的项目按照税法规定可以确定其计税基础的，该计税基础 </w:t>
      </w:r>
      <w:r>
        <w:rPr>
          <w:rFonts w:ascii="宋体" w:hAnsi="宋体" w:cs="宋体" w:eastAsia="宋体" w:hint="default"/>
          <w:spacing w:val="-3"/>
          <w:sz w:val="18"/>
          <w:szCs w:val="18"/>
        </w:rPr>
        <w:t>与其账面数之间的差额），按照预期清偿该负债期间的适用税率计算确认递延所得税负债。</w:t>
      </w:r>
    </w:p>
    <w:p>
      <w:pPr>
        <w:spacing w:line="240" w:lineRule="auto" w:before="7"/>
        <w:rPr>
          <w:rFonts w:ascii="宋体" w:hAnsi="宋体" w:cs="宋体" w:eastAsia="宋体" w:hint="default"/>
          <w:sz w:val="22"/>
          <w:szCs w:val="22"/>
        </w:rPr>
      </w:pPr>
    </w:p>
    <w:p>
      <w:pPr>
        <w:pStyle w:val="Heading5"/>
        <w:spacing w:line="240" w:lineRule="auto"/>
        <w:ind w:right="105"/>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40" w:lineRule="auto"/>
        <w:ind w:left="516" w:right="6738"/>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套期是指现金流量套期。</w:t>
      </w:r>
    </w:p>
    <w:p>
      <w:pPr>
        <w:spacing w:after="0" w:line="240" w:lineRule="auto"/>
        <w:jc w:val="center"/>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BodyText"/>
        <w:spacing w:line="261" w:lineRule="auto" w:before="35"/>
        <w:ind w:left="113" w:right="108" w:firstLine="420"/>
        <w:jc w:val="both"/>
      </w:pPr>
      <w:r>
        <w:rPr>
          <w:rFonts w:ascii="Times New Roman" w:hAnsi="Times New Roman" w:cs="Times New Roman" w:eastAsia="Times New Roman" w:hint="default"/>
        </w:rPr>
        <w:t>2. </w:t>
      </w:r>
      <w:r>
        <w:rPr/>
        <w:t>对于满足下列条件的套期工具，运用套期会计方法进行处理：</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在套期开始时，公司对套期关系 </w:t>
      </w:r>
      <w:r>
        <w:rPr>
          <w:rFonts w:ascii="Times New Roman" w:hAnsi="Times New Roman" w:cs="Times New Roman" w:eastAsia="Times New Roman" w:hint="default"/>
        </w:rPr>
        <w:t>(</w:t>
      </w:r>
      <w:r>
        <w:rPr/>
        <w:t>即套期工具和被套期项目之间的关系</w:t>
      </w:r>
      <w:r>
        <w:rPr>
          <w:rFonts w:ascii="Times New Roman" w:hAnsi="Times New Roman" w:cs="Times New Roman" w:eastAsia="Times New Roman" w:hint="default"/>
        </w:rPr>
        <w:t>)</w:t>
      </w:r>
      <w:r>
        <w:rPr/>
        <w:t>有正式指定，并准备了关于套期关系、风险管理目标和套期策略的 </w:t>
      </w:r>
      <w:r>
        <w:rPr>
          <w:spacing w:val="-4"/>
        </w:rPr>
        <w:t>正式书面文件；</w:t>
      </w:r>
      <w:r>
        <w:rPr>
          <w:rFonts w:ascii="Times New Roman" w:hAnsi="Times New Roman" w:cs="Times New Roman" w:eastAsia="Times New Roman" w:hint="default"/>
          <w:spacing w:val="-4"/>
        </w:rPr>
        <w:t>(2) </w:t>
      </w:r>
      <w:r>
        <w:rPr/>
        <w:t>该套期预期高度有效，且符合公司最初为该套期关系所确定的风险管理策略；</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对预 期交易的现金流量套期，预期交易很可能发生，且必须使公司面临最终将影响损益的现金流量变动风险； </w:t>
      </w:r>
      <w:r>
        <w:rPr>
          <w:rFonts w:ascii="Times New Roman" w:hAnsi="Times New Roman" w:cs="Times New Roman" w:eastAsia="Times New Roman" w:hint="default"/>
        </w:rPr>
        <w:t>(4) </w:t>
      </w:r>
      <w:r>
        <w:rPr>
          <w:spacing w:val="-3"/>
        </w:rPr>
        <w:t>套期有效性能够可靠地计量；</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13"/>
        </w:rPr>
        <w:t> </w:t>
      </w:r>
      <w:r>
        <w:rPr/>
        <w:t>持续地对套期有效性进行评价，并确保该套期在套期关系被指定的会 计期间内高度有效。</w:t>
      </w:r>
    </w:p>
    <w:p>
      <w:pPr>
        <w:pStyle w:val="BodyText"/>
        <w:spacing w:line="256" w:lineRule="auto" w:before="18"/>
        <w:ind w:right="179" w:firstLine="420"/>
        <w:jc w:val="both"/>
      </w:pPr>
      <w:r>
        <w:rPr/>
        <w:t>套期同时满足下列条件时，公司认定其高度有效：</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在套期开始及以后期间，该项套期预期会高度 有效地抵销套期指定期间被套期风险引起的公允价值或现金流量变动；</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该套期的实际抵销结果在</w:t>
      </w:r>
      <w:r>
        <w:rPr>
          <w:rFonts w:ascii="Times New Roman" w:hAnsi="Times New Roman" w:cs="Times New Roman" w:eastAsia="Times New Roman" w:hint="default"/>
        </w:rPr>
        <w:t>80% </w:t>
      </w:r>
      <w:r>
        <w:rPr/>
        <w:t>至</w:t>
      </w:r>
      <w:r>
        <w:rPr>
          <w:rFonts w:ascii="Times New Roman" w:hAnsi="Times New Roman" w:cs="Times New Roman" w:eastAsia="Times New Roman" w:hint="default"/>
        </w:rPr>
        <w:t>125%</w:t>
      </w:r>
      <w:r>
        <w:rPr/>
        <w:t>的范围内。</w:t>
      </w:r>
    </w:p>
    <w:p>
      <w:pPr>
        <w:pStyle w:val="BodyText"/>
        <w:spacing w:line="240" w:lineRule="auto" w:before="5"/>
        <w:ind w:left="53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现金流量套期会计处理</w:t>
      </w:r>
    </w:p>
    <w:p>
      <w:pPr>
        <w:pStyle w:val="BodyText"/>
        <w:spacing w:line="240" w:lineRule="auto" w:before="21"/>
        <w:ind w:left="5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套期工具利得或损失中属于有效套期的部分，直接确认为所有者权益，无效部分计入当期损益。</w:t>
      </w:r>
    </w:p>
    <w:p>
      <w:pPr>
        <w:spacing w:line="247" w:lineRule="auto" w:before="9"/>
        <w:ind w:left="114" w:right="179" w:firstLine="420"/>
        <w:jc w:val="both"/>
        <w:rPr>
          <w:rFonts w:ascii="宋体" w:hAnsi="宋体" w:cs="宋体" w:eastAsia="宋体" w:hint="default"/>
          <w:sz w:val="22"/>
          <w:szCs w:val="22"/>
        </w:rPr>
      </w:pPr>
      <w:r>
        <w:rPr>
          <w:rFonts w:ascii="Times New Roman" w:hAnsi="Times New Roman" w:cs="Times New Roman" w:eastAsia="Times New Roman" w:hint="default"/>
          <w:i/>
          <w:w w:val="95"/>
          <w:sz w:val="21"/>
          <w:szCs w:val="21"/>
        </w:rPr>
        <w:t>(2)</w:t>
      </w:r>
      <w:r>
        <w:rPr>
          <w:rFonts w:ascii="Times New Roman" w:hAnsi="Times New Roman" w:cs="Times New Roman" w:eastAsia="Times New Roman" w:hint="default"/>
          <w:i/>
          <w:spacing w:val="4"/>
          <w:w w:val="95"/>
          <w:sz w:val="21"/>
          <w:szCs w:val="21"/>
        </w:rPr>
        <w:t> </w:t>
      </w:r>
      <w:r>
        <w:rPr>
          <w:rFonts w:ascii="宋体" w:hAnsi="宋体" w:cs="宋体" w:eastAsia="宋体" w:hint="default"/>
          <w:i/>
          <w:w w:val="95"/>
          <w:sz w:val="22"/>
          <w:szCs w:val="22"/>
        </w:rPr>
        <w:t>被套期项目为预期交易，且该预期交易使公司随后确认一项资产或负债的，原直接确认为所有者</w:t>
      </w:r>
      <w:r>
        <w:rPr>
          <w:rFonts w:ascii="宋体" w:hAnsi="宋体" w:cs="宋体" w:eastAsia="宋体" w:hint="default"/>
          <w:i/>
          <w:w w:val="95"/>
          <w:sz w:val="22"/>
          <w:szCs w:val="22"/>
        </w:rPr>
        <w:t> </w:t>
      </w:r>
      <w:r>
        <w:rPr>
          <w:rFonts w:ascii="宋体" w:hAnsi="宋体" w:cs="宋体" w:eastAsia="宋体" w:hint="default"/>
          <w:i/>
          <w:sz w:val="22"/>
          <w:szCs w:val="22"/>
        </w:rPr>
        <w:t>权益的相关利得或损失，在该资产或负债影响企业损益的相同期间转出，计入当期损益。</w:t>
      </w:r>
      <w:r>
        <w:rPr>
          <w:rFonts w:ascii="宋体" w:hAnsi="宋体" w:cs="宋体" w:eastAsia="宋体" w:hint="default"/>
          <w:sz w:val="22"/>
          <w:szCs w:val="22"/>
        </w:rPr>
      </w:r>
    </w:p>
    <w:p>
      <w:pPr>
        <w:pStyle w:val="BodyText"/>
        <w:spacing w:line="273" w:lineRule="auto" w:before="29"/>
        <w:ind w:right="131" w:firstLine="420"/>
        <w:jc w:val="both"/>
      </w:pPr>
      <w:r>
        <w:rPr>
          <w:spacing w:val="-1"/>
        </w:rPr>
        <w:t>其他现金流量套期，原直接计入所有者权益的套期工具利得或损失，在被套期预期交易影响损益的相</w:t>
      </w:r>
      <w:r>
        <w:rPr/>
        <w:t> 同期间转出，计入当期损益。</w:t>
      </w:r>
    </w:p>
    <w:p>
      <w:pPr>
        <w:pStyle w:val="BodyText"/>
        <w:spacing w:line="240" w:lineRule="auto" w:before="7"/>
        <w:ind w:left="53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本公司采用比率分析法对该套期的有效性进行评价。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38" w:lineRule="auto" w:before="116"/>
        <w:ind w:left="114" w:right="88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无</w:t>
      </w:r>
    </w:p>
    <w:p>
      <w:pPr>
        <w:spacing w:after="0" w:line="338" w:lineRule="auto"/>
        <w:jc w:val="left"/>
        <w:rPr>
          <w:rFonts w:ascii="宋体" w:hAnsi="宋体" w:cs="宋体" w:eastAsia="宋体" w:hint="default"/>
          <w:sz w:val="18"/>
          <w:szCs w:val="18"/>
        </w:rPr>
        <w:sectPr>
          <w:pgSz w:w="11910" w:h="16840"/>
          <w:pgMar w:header="747" w:footer="980" w:top="1060" w:bottom="1160" w:left="1020" w:right="100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14" w:right="105" w:firstLine="0"/>
        <w:jc w:val="left"/>
        <w:rPr>
          <w:rFonts w:ascii="宋体" w:hAnsi="宋体" w:cs="宋体" w:eastAsia="宋体" w:hint="default"/>
          <w:sz w:val="18"/>
          <w:szCs w:val="18"/>
        </w:rPr>
      </w:pPr>
      <w:r>
        <w:rPr>
          <w:rFonts w:ascii="宋体" w:hAnsi="宋体" w:cs="宋体" w:eastAsia="宋体" w:hint="default"/>
          <w:sz w:val="18"/>
          <w:szCs w:val="18"/>
        </w:rPr>
        <w:t>□ 是 √ 否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14" w:right="105" w:firstLine="0"/>
        <w:jc w:val="left"/>
        <w:rPr>
          <w:rFonts w:ascii="宋体" w:hAnsi="宋体" w:cs="宋体" w:eastAsia="宋体" w:hint="default"/>
          <w:sz w:val="18"/>
          <w:szCs w:val="18"/>
        </w:rPr>
      </w:pPr>
      <w:r>
        <w:rPr>
          <w:rFonts w:ascii="宋体" w:hAnsi="宋体" w:cs="宋体" w:eastAsia="宋体" w:hint="default"/>
          <w:sz w:val="18"/>
          <w:szCs w:val="18"/>
        </w:rPr>
        <w:t>□ 是 √ 否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5"/>
        <w:spacing w:line="240" w:lineRule="auto"/>
        <w:ind w:right="105"/>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5"/>
          <w:szCs w:val="25"/>
        </w:rPr>
      </w:pPr>
    </w:p>
    <w:p>
      <w:pPr>
        <w:spacing w:before="0"/>
        <w:ind w:left="114" w:right="105"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9" w:firstLine="0"/>
        <w:jc w:val="right"/>
        <w:rPr>
          <w:rFonts w:ascii="宋体" w:hAnsi="宋体" w:cs="宋体" w:eastAsia="宋体" w:hint="default"/>
          <w:sz w:val="18"/>
          <w:szCs w:val="18"/>
        </w:rPr>
      </w:pPr>
      <w:r>
        <w:rPr/>
        <w:pict>
          <v:shape style="position:absolute;margin-left:56.459999pt;margin-top:-20.827993pt;width:479.1pt;height:223.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113"/>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的税率计缴；出口货物实行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免</w:t>
                        </w:r>
                        <w:r>
                          <w:rPr>
                            <w:rFonts w:ascii="宋体" w:hAnsi="宋体" w:cs="宋体" w:eastAsia="宋体" w:hint="default"/>
                            <w:spacing w:val="-88"/>
                            <w:sz w:val="18"/>
                            <w:szCs w:val="18"/>
                          </w:rPr>
                          <w:t> </w:t>
                        </w:r>
                        <w:r>
                          <w:rPr>
                            <w:rFonts w:ascii="宋体" w:hAnsi="宋体" w:cs="宋体" w:eastAsia="宋体" w:hint="default"/>
                            <w:sz w:val="18"/>
                            <w:szCs w:val="18"/>
                          </w:rPr>
                          <w:t>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税政策，退税率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；子公司江西宏磊铜业有限公司按 应缴流转税税额的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1" w:right="20"/>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spacing w:line="487" w:lineRule="auto" w:before="0"/>
        <w:ind w:left="114" w:right="6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b/>
          <w:bCs/>
          <w:w w:val="95"/>
          <w:sz w:val="24"/>
          <w:szCs w:val="24"/>
        </w:rPr>
        <w:t>六、企业合并及合并财务报表</w:t>
      </w:r>
      <w:r>
        <w:rPr>
          <w:rFonts w:ascii="宋体" w:hAnsi="宋体" w:cs="宋体" w:eastAsia="宋体" w:hint="default"/>
          <w:b/>
          <w:bCs/>
          <w:spacing w:val="29"/>
          <w:w w:val="95"/>
          <w:sz w:val="24"/>
          <w:szCs w:val="24"/>
        </w:rPr>
        <w:t> </w:t>
      </w:r>
      <w:r>
        <w:rPr>
          <w:rFonts w:ascii="宋体" w:hAnsi="宋体" w:cs="宋体" w:eastAsia="宋体" w:hint="default"/>
          <w:b/>
          <w:bCs/>
          <w:spacing w:val="2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5"/>
        <w:spacing w:line="240" w:lineRule="auto" w:before="84"/>
        <w:ind w:right="105"/>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225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47"/>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w:t>
            </w:r>
          </w:p>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47"/>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w:t>
            </w:r>
          </w:p>
          <w:p>
            <w:pPr>
              <w:pStyle w:val="TableParagraph"/>
              <w:spacing w:line="240" w:lineRule="auto" w:before="17"/>
              <w:ind w:left="156" w:right="0"/>
              <w:jc w:val="both"/>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司所有 者权益 冲减子 公司少 数股东 分担的 本期亏</w:t>
            </w:r>
          </w:p>
        </w:tc>
      </w:tr>
      <w:tr>
        <w:trPr>
          <w:trHeight w:val="244"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24"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17" w:hRule="exact"/>
        </w:trPr>
        <w:tc>
          <w:tcPr>
            <w:tcW w:w="685"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4"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4"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vMerge w:val="restart"/>
            <w:tcBorders>
              <w:top w:val="single" w:sz="4" w:space="0" w:color="010101"/>
              <w:left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8" w:hRule="exact"/>
        </w:trPr>
        <w:tc>
          <w:tcPr>
            <w:tcW w:w="685"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vMerge/>
            <w:tcBorders>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7"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1"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3"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销售高</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124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浙江宏 天铜业 有限公 司</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浙江省 诸暨市</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2" w:lineRule="auto"/>
              <w:ind w:left="22" w:right="108"/>
              <w:jc w:val="left"/>
              <w:rPr>
                <w:rFonts w:ascii="Times New Roman" w:hAnsi="Times New Roman" w:cs="Times New Roman" w:eastAsia="Times New Roman" w:hint="default"/>
                <w:sz w:val="18"/>
                <w:szCs w:val="18"/>
              </w:rPr>
            </w:pPr>
            <w:r>
              <w:rPr>
                <w:rFonts w:ascii="Times New Roman"/>
                <w:sz w:val="18"/>
              </w:rPr>
              <w:t>USD</w:t>
            </w:r>
            <w:r>
              <w:rPr>
                <w:rFonts w:ascii="Times New Roman"/>
                <w:spacing w:val="-1"/>
                <w:sz w:val="18"/>
              </w:rPr>
              <w:t> </w:t>
            </w:r>
            <w:r>
              <w:rPr>
                <w:rFonts w:ascii="Times New Roman"/>
                <w:sz w:val="18"/>
              </w:rPr>
              <w:t>4,093.0</w:t>
            </w: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齿翅片 铜管、 铜管 材、铜</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4" w:right="0"/>
              <w:jc w:val="left"/>
              <w:rPr>
                <w:rFonts w:ascii="Times New Roman" w:hAnsi="Times New Roman" w:cs="Times New Roman" w:eastAsia="Times New Roman" w:hint="default"/>
                <w:sz w:val="18"/>
                <w:szCs w:val="18"/>
              </w:rPr>
            </w:pPr>
            <w:r>
              <w:rPr>
                <w:rFonts w:ascii="Times New Roman"/>
                <w:sz w:val="18"/>
              </w:rPr>
              <w:t>219,536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,849.36</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114,173,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357.67</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线、漆</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包线</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66"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江西宏</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623"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10"/>
              <w:jc w:val="left"/>
              <w:rPr>
                <w:rFonts w:ascii="宋体" w:hAnsi="宋体" w:cs="宋体" w:eastAsia="宋体" w:hint="default"/>
                <w:sz w:val="18"/>
                <w:szCs w:val="18"/>
              </w:rPr>
            </w:pPr>
            <w:r>
              <w:rPr>
                <w:rFonts w:ascii="宋体" w:hAnsi="宋体" w:cs="宋体" w:eastAsia="宋体" w:hint="default"/>
                <w:sz w:val="18"/>
                <w:szCs w:val="18"/>
              </w:rPr>
              <w:t>磊铜业 有限公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09"/>
              <w:jc w:val="left"/>
              <w:rPr>
                <w:rFonts w:ascii="宋体" w:hAnsi="宋体" w:cs="宋体" w:eastAsia="宋体" w:hint="default"/>
                <w:sz w:val="18"/>
                <w:szCs w:val="18"/>
              </w:rPr>
            </w:pPr>
            <w:r>
              <w:rPr>
                <w:rFonts w:ascii="宋体" w:hAnsi="宋体" w:cs="宋体" w:eastAsia="宋体" w:hint="default"/>
                <w:sz w:val="18"/>
                <w:szCs w:val="18"/>
              </w:rPr>
              <w:t>江西省 鹰潭市</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销售漆 包线、</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left="110" w:right="0"/>
              <w:jc w:val="left"/>
              <w:rPr>
                <w:rFonts w:ascii="Times New Roman" w:hAnsi="Times New Roman" w:cs="Times New Roman" w:eastAsia="Times New Roman" w:hint="default"/>
                <w:sz w:val="18"/>
                <w:szCs w:val="18"/>
              </w:rPr>
            </w:pPr>
            <w:r>
              <w:rPr>
                <w:rFonts w:ascii="Times New Roman"/>
                <w:sz w:val="18"/>
              </w:rPr>
              <w:t>51,866,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031.19</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铜线、</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spacing w:after="0"/>
        <w:sectPr>
          <w:footerReference w:type="default" r:id="rId37"/>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1298" w:hRule="exact"/>
        </w:trPr>
        <w:tc>
          <w:tcPr>
            <w:tcW w:w="68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29"/>
              <w:ind w:left="22" w:right="108"/>
              <w:jc w:val="left"/>
              <w:rPr>
                <w:rFonts w:ascii="宋体" w:hAnsi="宋体" w:cs="宋体" w:eastAsia="宋体" w:hint="default"/>
                <w:sz w:val="18"/>
                <w:szCs w:val="18"/>
              </w:rPr>
            </w:pPr>
            <w:r>
              <w:rPr>
                <w:rFonts w:ascii="宋体" w:hAnsi="宋体" w:cs="宋体" w:eastAsia="宋体" w:hint="default"/>
                <w:sz w:val="18"/>
                <w:szCs w:val="18"/>
              </w:rPr>
              <w:t>铜棒、 铜配 件、铜 工艺品</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89"/>
        <w:gridCol w:w="2382"/>
        <w:gridCol w:w="4699"/>
      </w:tblGrid>
      <w:tr>
        <w:trPr>
          <w:trHeight w:val="402" w:hRule="exact"/>
        </w:trPr>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5"/>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7"/>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0"/>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94"/>
        <w:gridCol w:w="1555"/>
        <w:gridCol w:w="1555"/>
        <w:gridCol w:w="1555"/>
        <w:gridCol w:w="1555"/>
        <w:gridCol w:w="1555"/>
      </w:tblGrid>
      <w:tr>
        <w:trPr>
          <w:trHeight w:val="714" w:hRule="exact"/>
        </w:trPr>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11" w:right="53"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1" w:right="53"/>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77"/>
        <w:gridCol w:w="3031"/>
        <w:gridCol w:w="3860"/>
      </w:tblGrid>
      <w:tr>
        <w:trPr>
          <w:trHeight w:val="402" w:hRule="exact"/>
        </w:trPr>
        <w:tc>
          <w:tcPr>
            <w:tcW w:w="26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after="0"/>
        <w:jc w:val="left"/>
        <w:rPr>
          <w:rFonts w:ascii="宋体" w:hAnsi="宋体" w:cs="宋体" w:eastAsia="宋体" w:hint="default"/>
          <w:sz w:val="18"/>
          <w:szCs w:val="18"/>
        </w:rPr>
        <w:sectPr>
          <w:footerReference w:type="default" r:id="rId38"/>
          <w:pgSz w:w="11910" w:h="16840"/>
          <w:pgMar w:footer="980" w:header="747" w:top="1060" w:bottom="1160" w:left="1020" w:right="1020"/>
          <w:pgNumType w:start="91"/>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85"/>
        <w:gridCol w:w="2489"/>
        <w:gridCol w:w="3095"/>
      </w:tblGrid>
      <w:tr>
        <w:trPr>
          <w:trHeight w:val="402" w:hRule="exact"/>
        </w:trPr>
        <w:tc>
          <w:tcPr>
            <w:tcW w:w="39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00"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1"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42"/>
        <w:gridCol w:w="1481"/>
        <w:gridCol w:w="1482"/>
        <w:gridCol w:w="1482"/>
        <w:gridCol w:w="1482"/>
      </w:tblGrid>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12"/>
        <w:rPr>
          <w:rFonts w:ascii="宋体" w:hAnsi="宋体" w:cs="宋体" w:eastAsia="宋体" w:hint="default"/>
          <w:sz w:val="26"/>
          <w:szCs w:val="26"/>
        </w:rPr>
      </w:pPr>
    </w:p>
    <w:p>
      <w:pPr>
        <w:spacing w:line="487" w:lineRule="auto" w:before="0"/>
        <w:ind w:left="114" w:right="577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10</w:t>
      </w:r>
      <w:r>
        <w:rPr>
          <w:rFonts w:ascii="宋体" w:hAnsi="宋体" w:cs="宋体" w:eastAsia="宋体" w:hint="default"/>
          <w:b/>
          <w:bCs/>
          <w:w w:val="95"/>
          <w:sz w:val="21"/>
          <w:szCs w:val="21"/>
        </w:rPr>
        <w:t>、境外经营实体主要报表项目的折算汇率</w:t>
      </w:r>
      <w:r>
        <w:rPr>
          <w:rFonts w:ascii="宋体" w:hAnsi="宋体" w:cs="宋体" w:eastAsia="宋体" w:hint="default"/>
          <w:b/>
          <w:bCs/>
          <w:spacing w:val="84"/>
          <w:w w:val="95"/>
          <w:sz w:val="21"/>
          <w:szCs w:val="21"/>
        </w:rPr>
        <w:t> </w:t>
      </w:r>
      <w:r>
        <w:rPr>
          <w:rFonts w:ascii="宋体" w:hAnsi="宋体" w:cs="宋体" w:eastAsia="宋体" w:hint="default"/>
          <w:b/>
          <w:bCs/>
          <w:spacing w:val="84"/>
          <w:w w:val="95"/>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10101"/>
              <w:bottom w:val="single" w:sz="4" w:space="0" w:color="010101"/>
              <w:right w:val="single" w:sz="4" w:space="0" w:color="010101"/>
            </w:tcBorders>
            <w:shd w:val="clear" w:color="auto" w:fill="D3D3D3"/>
          </w:tcPr>
          <w:p>
            <w:pP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118,647.40</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136,747.17</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118,647.40</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136,747.17</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44,089,185.55</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522,841,569.17</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44,016,566.15</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514,309,593.89</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11,551.92</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72,609.59</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1,354,088.35</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8,531,975.28</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9.81</w:t>
            </w:r>
          </w:p>
        </w:tc>
        <w:tc>
          <w:tcPr>
            <w:tcW w:w="1327"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368,166,380.52</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285,292,823.10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368,166,380.52</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285,292,823.10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412,374,213.47</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808,271,139.44</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6"/>
        <w:gridCol w:w="2656"/>
        <w:gridCol w:w="2657"/>
      </w:tblGrid>
      <w:tr>
        <w:trPr>
          <w:trHeight w:val="402" w:hRule="exact"/>
        </w:trPr>
        <w:tc>
          <w:tcPr>
            <w:tcW w:w="42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0"/>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3852"/>
        <w:gridCol w:w="2177"/>
      </w:tblGrid>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81"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1"/>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spacing w:before="0"/>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1,152,849.15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162,600,227.56</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1,152,849.15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162,600,227.56</w:t>
            </w:r>
          </w:p>
        </w:tc>
      </w:tr>
    </w:tbl>
    <w:p>
      <w:pPr>
        <w:spacing w:line="240" w:lineRule="auto" w:before="1"/>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53"/>
        </w:rPr>
        <w:t> </w:t>
      </w:r>
      <w:r>
        <w:rPr/>
        <w:t>情况</w:t>
      </w:r>
      <w:r>
        <w:rPr>
          <w:b w:val="0"/>
          <w:bCs w:val="0"/>
        </w:rPr>
      </w:r>
    </w:p>
    <w:p>
      <w:pPr>
        <w:spacing w:line="240" w:lineRule="auto" w:before="12"/>
        <w:rPr>
          <w:rFonts w:ascii="宋体" w:hAnsi="宋体" w:cs="宋体" w:eastAsia="宋体" w:hint="default"/>
          <w:b/>
          <w:bCs/>
          <w:sz w:val="22"/>
          <w:szCs w:val="22"/>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w:t>
      </w:r>
    </w:p>
    <w:p>
      <w:pPr>
        <w:spacing w:before="116"/>
        <w:ind w:left="0" w:right="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0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加西贝拉压缩机有限公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3,635,500.00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浙江京惠机电有限公司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南通长江电器实业有限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浙江京惠机电有限公司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福建省神通机械有限公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14,165,500.00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717" w:lineRule="auto" w:before="50"/>
        <w:ind w:left="114" w:right="6850"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5"/>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ind w:right="105"/>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10101"/>
              <w:right w:val="single" w:sz="4" w:space="0" w:color="010101"/>
            </w:tcBorders>
            <w:shd w:val="clear" w:color="auto" w:fill="D3D3D3"/>
          </w:tcPr>
          <w:p>
            <w:pPr/>
          </w:p>
        </w:tc>
        <w:tc>
          <w:tcPr>
            <w:tcW w:w="18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10101"/>
              <w:bottom w:val="single" w:sz="4" w:space="0" w:color="010101"/>
              <w:right w:val="single" w:sz="4" w:space="0" w:color="010101"/>
            </w:tcBorders>
            <w:shd w:val="clear" w:color="auto" w:fill="D3D3D3"/>
          </w:tcPr>
          <w:p>
            <w:pP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502,821,00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0.96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16,237,095.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347,398,4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55.08</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10,879,461.3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502,821,00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0.96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16,237,095.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347,398,4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55.08</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10,879,461.3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502,821,00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0.96</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16,237,095.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347,398,4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55.08</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10,879,461.3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80" w:top="1060" w:bottom="1160" w:left="1020" w:right="1020"/>
        </w:sectPr>
      </w:pPr>
    </w:p>
    <w:p>
      <w:pPr>
        <w:spacing w:line="240" w:lineRule="auto" w:before="10"/>
        <w:rPr>
          <w:rFonts w:ascii="宋体" w:hAnsi="宋体" w:cs="宋体" w:eastAsia="宋体" w:hint="default"/>
          <w:sz w:val="15"/>
          <w:szCs w:val="15"/>
        </w:rPr>
      </w:pPr>
    </w:p>
    <w:p>
      <w:pPr>
        <w:spacing w:before="0"/>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1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10101"/>
              <w:right w:val="single" w:sz="4" w:space="0" w:color="010101"/>
            </w:tcBorders>
            <w:shd w:val="clear" w:color="auto" w:fill="D3D3D3"/>
          </w:tcPr>
          <w:p>
            <w:pPr/>
          </w:p>
        </w:tc>
        <w:tc>
          <w:tcPr>
            <w:tcW w:w="252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8"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496,750,710.64</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14,902,521.32</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345,277,891.40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10,358,336.74</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496,750,710.64</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14,902,521.32</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345,277,891.40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10,358,336.74</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3,982,886.65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398,288.67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1,467,633.95</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146,763.39</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1,467,274.68</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440,182.41</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295,965.20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88,789.57</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620,128.99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496,103.19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356,964.53</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285,571.62</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502,821,000.96</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16,237,095.59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347,398,455.08</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10,879,461.32</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6"/>
        <w:ind w:left="114" w:right="595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after="0" w:line="357"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line="360" w:lineRule="auto" w:before="44"/>
        <w:ind w:left="113" w:right="5411"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期末单项金额虽不重大但单项计提坏账准备的应收账款</w:t>
      </w:r>
    </w:p>
    <w:p>
      <w:pPr>
        <w:spacing w:before="26"/>
        <w:ind w:left="113"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5"/>
        <w:gridCol w:w="1710"/>
        <w:gridCol w:w="1861"/>
        <w:gridCol w:w="1919"/>
        <w:gridCol w:w="1884"/>
      </w:tblGrid>
      <w:tr>
        <w:trPr>
          <w:trHeight w:val="714"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595"/>
        <w:gridCol w:w="1861"/>
        <w:gridCol w:w="1726"/>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79,435,301.59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59,648,892.96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11.86%</w:t>
            </w:r>
            <w:r>
              <w:rPr>
                <w:rFonts w:ascii="Times New Roman"/>
                <w:sz w:val="18"/>
              </w:rPr>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50,062,789.91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49,469,240.15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43,473,616.65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282,089,841.26</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1225" w:lineRule="exact"/>
        <w:ind w:left="10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4pt;height:61.3pt;mso-position-horizontal-relative:char;mso-position-vertical-relative:line" coordorigin="0,0" coordsize="9588,1226">
            <v:group style="position:absolute;left:14;top:13;width:3848;height:395" coordorigin="14,13" coordsize="3848,395">
              <v:shape style="position:absolute;left:14;top:13;width:3848;height:395" coordorigin="14,13" coordsize="3848,395" path="m14,408l3862,408,3862,13,14,13,14,408xe" filled="true" fillcolor="#d3d3d3" stroked="false">
                <v:path arrowok="t"/>
                <v:fill type="solid"/>
              </v:shape>
            </v:group>
            <v:group style="position:absolute;left:3870;top:13;width:5704;height:395" coordorigin="3870,13" coordsize="5704,395">
              <v:shape style="position:absolute;left:3870;top:13;width:5704;height:395" coordorigin="3870,13" coordsize="5704,395" path="m3870,408l9574,408,9574,13,3870,13,3870,408xe" filled="true" fillcolor="#d3d3d3" stroked="false">
                <v:path arrowok="t"/>
                <v:fill type="solid"/>
              </v:shape>
            </v:group>
            <v:group style="position:absolute;left:14;top:415;width:9560;height:395" coordorigin="14,415" coordsize="9560,395">
              <v:shape style="position:absolute;left:14;top:415;width:9560;height:395" coordorigin="14,415" coordsize="9560,395" path="m14,810l9574,810,9574,415,14,415,14,810xe" filled="true" fillcolor="#d3d3d3" stroked="false">
                <v:path arrowok="t"/>
                <v:fill type="solid"/>
              </v:shape>
            </v:group>
            <v:group style="position:absolute;left:14;top:817;width:9560;height:395" coordorigin="14,817" coordsize="9560,395">
              <v:shape style="position:absolute;left:14;top:817;width:9560;height:395" coordorigin="14,817" coordsize="9560,395" path="m14,1212l9574,1212,9574,817,14,817,14,12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5;top:814;width:9579;height:2" coordorigin="5,814" coordsize="9579,2">
              <v:shape style="position:absolute;left:5;top:814;width:9579;height:2" coordorigin="5,814" coordsize="9579,0" path="m5,814l9583,814e" filled="false" stroked="true" strokeweight=".48pt" strokecolor="#010101">
                <v:path arrowok="t"/>
              </v:shape>
            </v:group>
            <v:group style="position:absolute;left:5;top:1216;width:9579;height:2" coordorigin="5,1216" coordsize="9579,2">
              <v:shape style="position:absolute;left:5;top:1216;width:9579;height:2" coordorigin="5,1216" coordsize="9579,0" path="m5,1216l9583,1216e" filled="false" stroked="true" strokeweight=".48pt" strokecolor="#010101">
                <v:path arrowok="t"/>
              </v:shape>
            </v:group>
            <v:group style="position:absolute;left:10;top:5;width:2;height:1216" coordorigin="10,5" coordsize="2,1216">
              <v:shape style="position:absolute;left:10;top:5;width:2;height:1216" coordorigin="10,5" coordsize="0,1216" path="m10,5l10,1220e" filled="false" stroked="true" strokeweight=".48pt" strokecolor="#010101">
                <v:path arrowok="t"/>
              </v:shape>
            </v:group>
            <v:group style="position:absolute;left:3866;top:5;width:2;height:402" coordorigin="3866,5" coordsize="2,402">
              <v:shape style="position:absolute;left:3866;top:5;width:2;height:402" coordorigin="3866,5" coordsize="0,402" path="m3866,5l3866,407e" filled="false" stroked="true" strokeweight=".48pt" strokecolor="#010101">
                <v:path arrowok="t"/>
              </v:shape>
            </v:group>
            <v:group style="position:absolute;left:9578;top:14;width:2;height:1206" coordorigin="9578,14" coordsize="2,1206">
              <v:shape style="position:absolute;left:9578;top:14;width:2;height:1206" coordorigin="9578,14" coordsize="0,1206" path="m9578,14l9578,1220e" filled="false" stroked="true" strokeweight=".48pt" strokecolor="#010101">
                <v:path arrowok="t"/>
              </v:shape>
              <v:shape style="position:absolute;left:1758;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0"/>
        <w:rPr>
          <w:rFonts w:ascii="宋体" w:hAnsi="宋体" w:cs="宋体" w:eastAsia="宋体" w:hint="default"/>
          <w:sz w:val="18"/>
          <w:szCs w:val="18"/>
        </w:rPr>
      </w:pPr>
    </w:p>
    <w:p>
      <w:pPr>
        <w:pStyle w:val="Heading5"/>
        <w:spacing w:line="240" w:lineRule="auto" w:before="35"/>
        <w:ind w:right="105"/>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10101"/>
              <w:right w:val="single" w:sz="4" w:space="0" w:color="010101"/>
            </w:tcBorders>
            <w:shd w:val="clear" w:color="auto" w:fill="D3D3D3"/>
          </w:tcPr>
          <w:p>
            <w:pP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10101"/>
              <w:bottom w:val="single" w:sz="4" w:space="0" w:color="010101"/>
              <w:right w:val="single" w:sz="4" w:space="0" w:color="010101"/>
            </w:tcBorders>
            <w:shd w:val="clear" w:color="auto" w:fill="D3D3D3"/>
          </w:tcPr>
          <w:p>
            <w:pP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595,901,766.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17,877,052.9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1,638,715.43</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49,161.46</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595,901,766.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17,877,052.9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1,638,715.43</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49,161.46</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595,901,766.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17,877,052.9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1,638,715.43</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49,161.46</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0"/>
        <w:ind w:left="114" w:right="559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60" w:lineRule="auto" w:before="28"/>
        <w:ind w:left="114" w:right="559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组合中，采用账龄分析法计提坏账准备的其他应收款</w:t>
      </w:r>
    </w:p>
    <w:p>
      <w:pPr>
        <w:spacing w:before="2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8"/>
        <w:gridCol w:w="1841"/>
        <w:gridCol w:w="658"/>
        <w:gridCol w:w="1448"/>
        <w:gridCol w:w="1448"/>
        <w:gridCol w:w="658"/>
        <w:gridCol w:w="1668"/>
      </w:tblGrid>
      <w:tr>
        <w:trPr>
          <w:trHeight w:val="402" w:hRule="exact"/>
        </w:trPr>
        <w:tc>
          <w:tcPr>
            <w:tcW w:w="18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10101"/>
              <w:right w:val="single" w:sz="4" w:space="0" w:color="010101"/>
            </w:tcBorders>
            <w:shd w:val="clear" w:color="auto" w:fill="D3D3D3"/>
          </w:tcPr>
          <w:p>
            <w:pPr/>
          </w:p>
        </w:tc>
        <w:tc>
          <w:tcPr>
            <w:tcW w:w="249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10101"/>
              <w:bottom w:val="single" w:sz="4" w:space="0" w:color="010101"/>
              <w:right w:val="single" w:sz="4" w:space="0" w:color="010101"/>
            </w:tcBorders>
            <w:shd w:val="clear" w:color="auto" w:fill="D3D3D3"/>
          </w:tcPr>
          <w:p>
            <w:pP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6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595,901,766.49</w:t>
            </w:r>
            <w:r>
              <w:rPr>
                <w:rFonts w:ascii="Times New Roman"/>
                <w:sz w:val="18"/>
              </w:rPr>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17,877,052.99</w:t>
            </w:r>
            <w:r>
              <w:rPr>
                <w:rFonts w:ascii="Times New Roman"/>
                <w:sz w:val="18"/>
              </w:rPr>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70" w:right="0"/>
              <w:jc w:val="left"/>
              <w:rPr>
                <w:rFonts w:ascii="Times New Roman" w:hAnsi="Times New Roman" w:cs="Times New Roman" w:eastAsia="Times New Roman" w:hint="default"/>
                <w:sz w:val="18"/>
                <w:szCs w:val="18"/>
              </w:rPr>
            </w:pPr>
            <w:r>
              <w:rPr>
                <w:rFonts w:ascii="Times New Roman"/>
                <w:sz w:val="18"/>
              </w:rPr>
              <w:t>1,638,715.43</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49,161.46</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595,901,766.49</w:t>
            </w:r>
            <w:r>
              <w:rPr>
                <w:rFonts w:ascii="Times New Roman"/>
                <w:sz w:val="18"/>
              </w:rPr>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17,877,052.99</w:t>
            </w:r>
            <w:r>
              <w:rPr>
                <w:rFonts w:ascii="Times New Roman"/>
                <w:sz w:val="18"/>
              </w:rPr>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70" w:right="0"/>
              <w:jc w:val="left"/>
              <w:rPr>
                <w:rFonts w:ascii="Times New Roman" w:hAnsi="Times New Roman" w:cs="Times New Roman" w:eastAsia="Times New Roman" w:hint="default"/>
                <w:sz w:val="18"/>
                <w:szCs w:val="18"/>
              </w:rPr>
            </w:pPr>
            <w:r>
              <w:rPr>
                <w:rFonts w:ascii="Times New Roman"/>
                <w:sz w:val="18"/>
              </w:rPr>
              <w:t>1,638,715.43</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49,161.46</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595,901,766.49</w:t>
            </w:r>
            <w:r>
              <w:rPr>
                <w:rFonts w:ascii="Times New Roman"/>
                <w:sz w:val="18"/>
              </w:rPr>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17,877,052.99</w:t>
            </w:r>
            <w:r>
              <w:rPr>
                <w:rFonts w:ascii="Times New Roman"/>
                <w:sz w:val="18"/>
              </w:rPr>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1,638,715.43</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49,161.46</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14" w:right="577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60" w:lineRule="auto" w:before="28"/>
        <w:ind w:left="114" w:right="5230"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期末单项金额虽不重大但单项计提坏账准备的其他应收款</w:t>
      </w:r>
    </w:p>
    <w:p>
      <w:pPr>
        <w:spacing w:before="26"/>
        <w:ind w:left="114"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2"/>
        <w:gridCol w:w="1711"/>
        <w:gridCol w:w="1862"/>
        <w:gridCol w:w="1919"/>
        <w:gridCol w:w="1884"/>
      </w:tblGrid>
      <w:tr>
        <w:trPr>
          <w:trHeight w:val="714"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860"/>
        <w:gridCol w:w="1594"/>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1914"/>
        <w:gridCol w:w="2870"/>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浙江宏磊控股集团有限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474,421,933.16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79.61%</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浙江科鑫机械制造有限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74,029,333.33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12.42%</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浙江中兴金属材料有限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46,392,500.00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新天地（投资）控股有 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王全兵</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595,523,766.49</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99.93%</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60"/>
              <w:jc w:val="center"/>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474,421,933.16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w:t>
            </w:r>
            <w:r>
              <w:rPr>
                <w:rFonts w:ascii="Times New Roman"/>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474,421,933.16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w:t>
            </w:r>
            <w:r>
              <w:rPr>
                <w:rFonts w:ascii="Times New Roman"/>
                <w:sz w:val="18"/>
              </w:rPr>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3714;height:395" coordorigin="14,13" coordsize="3714,395">
              <v:shape style="position:absolute;left:14;top:13;width:3714;height:395" coordorigin="14,13" coordsize="3714,395" path="m14,408l3728,408,3728,13,14,13,14,408xe" filled="true" fillcolor="#d3d3d3" stroked="false">
                <v:path arrowok="t"/>
                <v:fill type="solid"/>
              </v:shape>
            </v:group>
            <v:group style="position:absolute;left:3736;top:13;width:5838;height:395" coordorigin="3736,13" coordsize="5838,395">
              <v:shape style="position:absolute;left:3736;top:13;width:5838;height:395" coordorigin="3736,13" coordsize="5838,395" path="m3736,408l9574,408,9574,13,3736,13,3736,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3732;top:5;width:2;height:402" coordorigin="3732,5" coordsize="2,402">
              <v:shape style="position:absolute;left:3732;top:5;width:2;height:402" coordorigin="3732,5" coordsize="0,402" path="m3732,5l3732,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69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3"/>
        <w:rPr>
          <w:rFonts w:ascii="宋体" w:hAnsi="宋体" w:cs="宋体" w:eastAsia="宋体" w:hint="default"/>
          <w:sz w:val="28"/>
          <w:szCs w:val="28"/>
        </w:rPr>
      </w:pPr>
    </w:p>
    <w:p>
      <w:pPr>
        <w:spacing w:line="818"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4pt;height:40.950pt;mso-position-horizontal-relative:char;mso-position-vertical-relative:line" coordorigin="0,0" coordsize="9588,819">
            <v:group style="position:absolute;left:14;top:14;width:9560;height:394" coordorigin="14,14" coordsize="9560,394">
              <v:shape style="position:absolute;left:14;top:14;width:9560;height:394" coordorigin="14,14" coordsize="9560,394" path="m14,408l9574,408,9574,14,14,14,14,408xe" filled="true" fillcolor="#d3d3d3" stroked="false">
                <v:path arrowok="t"/>
                <v:fill type="solid"/>
              </v:shape>
            </v:group>
            <v:group style="position:absolute;left:14;top:416;width:9560;height:394" coordorigin="14,416" coordsize="9560,394">
              <v:shape style="position:absolute;left:14;top:416;width:9560;height:394" coordorigin="14,416" coordsize="9560,394" path="m14,810l9574,810,9574,416,14,416,14,810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5;top:814;width:9579;height:2" coordorigin="5,814" coordsize="9579,2">
              <v:shape style="position:absolute;left:5;top:814;width:9579;height:2" coordorigin="5,814" coordsize="9579,0" path="m5,814l9583,814e" filled="false" stroked="true" strokeweight=".48pt" strokecolor="#010101">
                <v:path arrowok="t"/>
              </v:shape>
            </v:group>
            <v:group style="position:absolute;left:10;top:5;width:2;height:804" coordorigin="10,5" coordsize="2,804">
              <v:shape style="position:absolute;left:10;top:5;width:2;height:804" coordorigin="10,5" coordsize="0,804" path="m10,5l10,809e" filled="false" stroked="true" strokeweight=".48pt" strokecolor="#010101">
                <v:path arrowok="t"/>
              </v:shape>
            </v:group>
            <v:group style="position:absolute;left:9578;top:5;width:2;height:804" coordorigin="9578,5" coordsize="2,804">
              <v:shape style="position:absolute;left:9578;top:5;width:2;height:804" coordorigin="9578,5" coordsize="0,804" path="m9578,5l9578,809e" filled="false" stroked="true" strokeweight=".48pt" strokecolor="#010101">
                <v:path arrowok="t"/>
              </v:shape>
              <v:shape style="position:absolute;left:37;top:1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15"/>
          <w:sz w:val="20"/>
          <w:szCs w:val="20"/>
        </w:rPr>
      </w:r>
    </w:p>
    <w:p>
      <w:pPr>
        <w:spacing w:line="240" w:lineRule="auto" w:before="3"/>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10101"/>
              <w:bottom w:val="single" w:sz="4" w:space="0" w:color="010101"/>
              <w:right w:val="single" w:sz="4" w:space="0" w:color="010101"/>
            </w:tcBorders>
            <w:shd w:val="clear" w:color="auto" w:fill="D3D3D3"/>
          </w:tcPr>
          <w:p>
            <w:pP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350,908,906.91</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99.79%</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149,101,435.72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94.55%</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576,882.04</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8,600,216.42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182,596.42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305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351,668,385.37</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157,701,652.14</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99,227,771.10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铜材未到</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65,890,513.37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铜材未到</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47,520,195.97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铜材未到</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44,314,852.01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铜材未到</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27,000,000.00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铜材未到</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283,953,332.45</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727"/>
        <w:gridCol w:w="1726"/>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footerReference w:type="default" r:id="rId39"/>
          <w:pgSz w:w="11910" w:h="16840"/>
          <w:pgMar w:footer="980" w:header="747"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142,397,294.41</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142,397,294.41</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35,561,826.86</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35,561,826.86</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80,104,066.98</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80,104,066.98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91,502,161.52</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1,027,223.98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90,474,937.54</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146,746,188.06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146,746,188.06</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205,742,776.20</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3,111,295.18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202,631,481.02</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8,969,112.81</w:t>
            </w:r>
            <w:r>
              <w:rPr>
                <w:rFonts w:ascii="Times New Roman"/>
                <w:sz w:val="18"/>
              </w:rPr>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8,969,112.81</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6,948,899.72</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6,948,899.72</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999,523.96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999,523.96</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379,216,186.22</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379,216,186.22</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339,755,664.30</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4,138,519.16</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335,617,145.14</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614"/>
        <w:gridCol w:w="1414"/>
        <w:gridCol w:w="1430"/>
        <w:gridCol w:w="1757"/>
      </w:tblGrid>
      <w:tr>
        <w:trPr>
          <w:trHeight w:val="402" w:hRule="exact"/>
        </w:trPr>
        <w:tc>
          <w:tcPr>
            <w:tcW w:w="173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9" w:type="dxa"/>
            <w:vMerge/>
            <w:tcBorders>
              <w:left w:val="single" w:sz="4" w:space="0" w:color="010101"/>
              <w:bottom w:val="single" w:sz="4" w:space="0" w:color="010101"/>
              <w:right w:val="single" w:sz="4" w:space="0" w:color="010101"/>
            </w:tcBorders>
            <w:shd w:val="clear" w:color="auto" w:fill="D3D3D3"/>
          </w:tcPr>
          <w:p>
            <w:pPr/>
          </w:p>
        </w:tc>
        <w:tc>
          <w:tcPr>
            <w:tcW w:w="1615" w:type="dxa"/>
            <w:vMerge/>
            <w:tcBorders>
              <w:left w:val="single" w:sz="4" w:space="0" w:color="010101"/>
              <w:bottom w:val="single" w:sz="4" w:space="0" w:color="010101"/>
              <w:right w:val="single" w:sz="4" w:space="0" w:color="010101"/>
            </w:tcBorders>
            <w:shd w:val="clear" w:color="auto" w:fill="D3D3D3"/>
          </w:tcPr>
          <w:p>
            <w:pPr/>
          </w:p>
        </w:tc>
        <w:tc>
          <w:tcPr>
            <w:tcW w:w="1614" w:type="dxa"/>
            <w:vMerge/>
            <w:tcBorders>
              <w:left w:val="single" w:sz="4" w:space="0" w:color="010101"/>
              <w:bottom w:val="single" w:sz="4" w:space="0" w:color="010101"/>
              <w:right w:val="single" w:sz="4" w:space="0" w:color="010101"/>
            </w:tcBorders>
            <w:shd w:val="clear" w:color="auto" w:fill="D3D3D3"/>
          </w:tcPr>
          <w:p>
            <w:pPr/>
          </w:p>
        </w:tc>
        <w:tc>
          <w:tcPr>
            <w:tcW w:w="14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1,027,223.98</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1,027,223.98</w:t>
            </w: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3,111,295.18</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3,111,295.18</w:t>
            </w: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4,138,519.16</w:t>
            </w: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4,138,519.16</w:t>
            </w:r>
          </w:p>
        </w:tc>
        <w:tc>
          <w:tcPr>
            <w:tcW w:w="175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96" w:right="109" w:hanging="28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pStyle w:val="BodyText"/>
        <w:spacing w:line="240" w:lineRule="auto" w:before="92"/>
        <w:ind w:right="105"/>
        <w:jc w:val="left"/>
      </w:pPr>
      <w:r>
        <w:rPr/>
        <w:t>期末，已有账面价值</w:t>
      </w:r>
      <w:r>
        <w:rPr>
          <w:rFonts w:ascii="Times New Roman" w:hAnsi="Times New Roman" w:cs="Times New Roman" w:eastAsia="Times New Roman" w:hint="default"/>
        </w:rPr>
        <w:t>4,300.01</w:t>
      </w:r>
      <w:r>
        <w:rPr/>
        <w:t>万元的存货用于担保。</w:t>
      </w:r>
    </w:p>
    <w:p>
      <w:pPr>
        <w:spacing w:line="240" w:lineRule="auto" w:before="8"/>
        <w:rPr>
          <w:rFonts w:ascii="宋体" w:hAnsi="宋体" w:cs="宋体" w:eastAsia="宋体" w:hint="default"/>
          <w:sz w:val="24"/>
          <w:szCs w:val="24"/>
        </w:rPr>
      </w:pPr>
    </w:p>
    <w:p>
      <w:pPr>
        <w:pStyle w:val="Heading5"/>
        <w:spacing w:line="240" w:lineRule="auto"/>
        <w:ind w:left="113" w:right="105"/>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57"/>
        <w:gridCol w:w="2922"/>
        <w:gridCol w:w="3190"/>
      </w:tblGrid>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1,678,588.99</w:t>
            </w: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1,678,588.99</w:t>
            </w:r>
          </w:p>
        </w:tc>
        <w:tc>
          <w:tcPr>
            <w:tcW w:w="3190"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40"/>
          <w:pgSz w:w="11910" w:h="16840"/>
          <w:pgMar w:footer="980" w:header="747" w:top="1060" w:bottom="1160" w:left="1020" w:right="1020"/>
          <w:pgNumType w:start="101"/>
        </w:sectPr>
      </w:pPr>
    </w:p>
    <w:p>
      <w:pPr>
        <w:spacing w:line="240" w:lineRule="auto" w:before="12"/>
        <w:rPr>
          <w:rFonts w:ascii="宋体" w:hAnsi="宋体" w:cs="宋体" w:eastAsia="宋体" w:hint="default"/>
          <w:sz w:val="25"/>
          <w:szCs w:val="25"/>
        </w:rPr>
      </w:pPr>
    </w:p>
    <w:p>
      <w:pPr>
        <w:spacing w:before="44"/>
        <w:ind w:left="113" w:right="179"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12"/>
        <w:rPr>
          <w:rFonts w:ascii="宋体" w:hAnsi="宋体" w:cs="宋体" w:eastAsia="宋体" w:hint="default"/>
          <w:sz w:val="26"/>
          <w:szCs w:val="26"/>
        </w:rPr>
      </w:pPr>
    </w:p>
    <w:p>
      <w:pPr>
        <w:pStyle w:val="Heading5"/>
        <w:spacing w:line="240" w:lineRule="auto"/>
        <w:ind w:right="179"/>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14" w:right="17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57" w:lineRule="auto" w:before="50"/>
        <w:ind w:left="113" w:right="108"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可供出售金融资产的说明</w:t>
      </w:r>
    </w:p>
    <w:p>
      <w:pPr>
        <w:spacing w:line="240" w:lineRule="auto" w:before="3"/>
        <w:rPr>
          <w:rFonts w:ascii="宋体" w:hAnsi="宋体" w:cs="宋体" w:eastAsia="宋体" w:hint="default"/>
          <w:sz w:val="20"/>
          <w:szCs w:val="20"/>
        </w:rPr>
      </w:pPr>
    </w:p>
    <w:p>
      <w:pPr>
        <w:pStyle w:val="Heading5"/>
        <w:spacing w:line="240" w:lineRule="auto"/>
        <w:ind w:right="179"/>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5"/>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4"/>
        <w:gridCol w:w="1062"/>
        <w:gridCol w:w="1063"/>
        <w:gridCol w:w="1062"/>
        <w:gridCol w:w="1064"/>
        <w:gridCol w:w="1062"/>
        <w:gridCol w:w="1064"/>
      </w:tblGrid>
      <w:tr>
        <w:trPr>
          <w:trHeight w:val="714"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4" w:right="179"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12"/>
        <w:rPr>
          <w:rFonts w:ascii="宋体" w:hAnsi="宋体" w:cs="宋体" w:eastAsia="宋体" w:hint="default"/>
          <w:sz w:val="26"/>
          <w:szCs w:val="26"/>
        </w:rPr>
      </w:pPr>
    </w:p>
    <w:p>
      <w:pPr>
        <w:pStyle w:val="Heading5"/>
        <w:spacing w:line="240" w:lineRule="auto"/>
        <w:ind w:right="179"/>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14" w:right="17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4"/>
        <w:gridCol w:w="3188"/>
      </w:tblGrid>
      <w:tr>
        <w:trPr>
          <w:trHeight w:val="402" w:hRule="exact"/>
        </w:trPr>
        <w:tc>
          <w:tcPr>
            <w:tcW w:w="33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0"/>
        <w:ind w:left="114" w:right="179"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12"/>
        <w:rPr>
          <w:rFonts w:ascii="宋体" w:hAnsi="宋体" w:cs="宋体" w:eastAsia="宋体" w:hint="default"/>
          <w:sz w:val="26"/>
          <w:szCs w:val="26"/>
        </w:rPr>
      </w:pPr>
    </w:p>
    <w:p>
      <w:pPr>
        <w:pStyle w:val="Heading5"/>
        <w:spacing w:line="240" w:lineRule="auto"/>
        <w:ind w:right="179"/>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7"/>
        <w:gridCol w:w="2790"/>
        <w:gridCol w:w="3982"/>
      </w:tblGrid>
      <w:tr>
        <w:trPr>
          <w:trHeight w:val="402" w:hRule="exact"/>
        </w:trPr>
        <w:tc>
          <w:tcPr>
            <w:tcW w:w="2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0"/>
        <w:ind w:left="114" w:right="179"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12"/>
        <w:rPr>
          <w:rFonts w:ascii="宋体" w:hAnsi="宋体" w:cs="宋体" w:eastAsia="宋体" w:hint="default"/>
          <w:sz w:val="26"/>
          <w:szCs w:val="26"/>
        </w:rPr>
      </w:pPr>
    </w:p>
    <w:p>
      <w:pPr>
        <w:pStyle w:val="Heading5"/>
        <w:spacing w:line="240" w:lineRule="auto"/>
        <w:ind w:right="179"/>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3322"/>
        <w:gridCol w:w="3455"/>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pStyle w:val="Heading5"/>
        <w:spacing w:line="240" w:lineRule="auto" w:before="35"/>
        <w:ind w:right="179"/>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6"/>
        <w:gridCol w:w="1194"/>
        <w:gridCol w:w="1198"/>
        <w:gridCol w:w="1194"/>
        <w:gridCol w:w="1196"/>
        <w:gridCol w:w="1198"/>
      </w:tblGrid>
      <w:tr>
        <w:trPr>
          <w:trHeight w:val="674"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被投资单位名</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本企业持股比</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left"/>
              <w:rPr>
                <w:rFonts w:ascii="宋体" w:hAnsi="宋体" w:cs="宋体" w:eastAsia="宋体" w:hint="default"/>
                <w:sz w:val="18"/>
                <w:szCs w:val="18"/>
              </w:rPr>
            </w:pPr>
            <w:r>
              <w:rPr>
                <w:rFonts w:ascii="宋体" w:hAnsi="宋体" w:cs="宋体" w:eastAsia="宋体" w:hint="default"/>
                <w:sz w:val="18"/>
                <w:szCs w:val="18"/>
              </w:rPr>
              <w:t>本企业在被投 资单位表决权</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期末净资产总</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6"/>
        <w:gridCol w:w="1194"/>
        <w:gridCol w:w="1198"/>
        <w:gridCol w:w="1194"/>
        <w:gridCol w:w="1196"/>
        <w:gridCol w:w="1198"/>
      </w:tblGrid>
      <w:tr>
        <w:trPr>
          <w:trHeight w:val="362"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26" w:lineRule="exact"/>
              <w:ind w:left="3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left="2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诸暨市宏 润小额贷 款有限公 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714"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0"/>
        <w:gridCol w:w="1993"/>
        <w:gridCol w:w="1861"/>
        <w:gridCol w:w="1860"/>
        <w:gridCol w:w="2125"/>
      </w:tblGrid>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351;height:395" coordorigin="14,13" coordsize="5351,395">
              <v:shape style="position:absolute;left:14;top:13;width:5351;height:395" coordorigin="14,13" coordsize="5351,395" path="m14,408l5365,408,5365,13,14,13,14,408xe" filled="true" fillcolor="#d3d3d3" stroked="false">
                <v:path arrowok="t"/>
                <v:fill type="solid"/>
              </v:shape>
            </v:group>
            <v:group style="position:absolute;left:5374;top:13;width:4200;height:395" coordorigin="5374,13" coordsize="4200,395">
              <v:shape style="position:absolute;left:5374;top:13;width:4200;height:395" coordorigin="5374,13" coordsize="4200,395" path="m5374,408l9574,408,9574,13,5374,13,5374,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369;top:5;width:2;height:402" coordorigin="5369,5" coordsize="2,402">
              <v:shape style="position:absolute;left:5369;top:5;width:2;height:402" coordorigin="5369,5" coordsize="0,402" path="m5369,5l5369,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729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45"/>
        <w:gridCol w:w="1010"/>
        <w:gridCol w:w="1010"/>
        <w:gridCol w:w="1009"/>
        <w:gridCol w:w="1010"/>
        <w:gridCol w:w="1010"/>
        <w:gridCol w:w="1019"/>
        <w:gridCol w:w="955"/>
      </w:tblGrid>
      <w:tr>
        <w:trPr>
          <w:trHeight w:val="402" w:hRule="exact"/>
        </w:trPr>
        <w:tc>
          <w:tcPr>
            <w:tcW w:w="254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0" w:right="48"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1" w:right="112"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10101"/>
              <w:bottom w:val="single" w:sz="4" w:space="0" w:color="010101"/>
              <w:right w:val="single" w:sz="4" w:space="0" w:color="010101"/>
            </w:tcBorders>
            <w:shd w:val="clear" w:color="auto" w:fill="D3D3D3"/>
          </w:tcPr>
          <w:p>
            <w:pPr/>
          </w:p>
        </w:tc>
        <w:tc>
          <w:tcPr>
            <w:tcW w:w="1010" w:type="dxa"/>
            <w:vMerge/>
            <w:tcBorders>
              <w:left w:val="single" w:sz="4" w:space="0" w:color="010101"/>
              <w:bottom w:val="single" w:sz="4" w:space="0" w:color="010101"/>
              <w:right w:val="single" w:sz="4" w:space="0" w:color="010101"/>
            </w:tcBorders>
            <w:shd w:val="clear" w:color="auto" w:fill="D3D3D3"/>
          </w:tcPr>
          <w:p>
            <w:pP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9"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2" w:right="54"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10101"/>
              <w:bottom w:val="single" w:sz="4" w:space="0" w:color="010101"/>
              <w:right w:val="single" w:sz="4" w:space="0" w:color="010101"/>
            </w:tcBorders>
            <w:shd w:val="clear" w:color="auto" w:fill="D3D3D3"/>
          </w:tcPr>
          <w:p>
            <w:pPr/>
          </w:p>
        </w:tc>
      </w:tr>
    </w:tbl>
    <w:p>
      <w:pPr>
        <w:spacing w:line="316" w:lineRule="auto" w:before="49"/>
        <w:ind w:left="113" w:right="105"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7"/>
        <w:rPr>
          <w:rFonts w:ascii="宋体" w:hAnsi="宋体" w:cs="宋体" w:eastAsia="宋体" w:hint="default"/>
          <w:sz w:val="22"/>
          <w:szCs w:val="22"/>
        </w:rPr>
      </w:pPr>
    </w:p>
    <w:p>
      <w:pPr>
        <w:pStyle w:val="Heading5"/>
        <w:spacing w:line="240" w:lineRule="auto"/>
        <w:ind w:right="105"/>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300,483,206.99</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20,017,102.02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7,395,984.00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313,104,325.01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90,412,454.61</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14,411,745.34</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104,824,199.95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185,679,187.61</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3,252,041.18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4,193,471.27</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184,737,757.52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8,787,086.34</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380,631.25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1,023,400.24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8,144,317.35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12,247,414.38</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1,572,205.19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2,179,112.49</w:t>
            </w:r>
            <w:r>
              <w:rPr>
                <w:rFonts w:ascii="Times New Roman"/>
                <w:sz w:val="18"/>
              </w:rPr>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11,640,507.08</w:t>
            </w:r>
            <w:r>
              <w:rPr>
                <w:rFonts w:ascii="Times New Roman"/>
                <w:sz w:val="18"/>
              </w:rPr>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3,357,064.05</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400,479.06</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3,757,543.11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106,934,965.63</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23,565,595.58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6,634,743.91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123,865,817.30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18,175,566.09</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4,462,240.63</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22,637,806.72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68,551,385.31</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17,734,013.82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360,687.75</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82,678,528.38</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7,751,974.53</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281,725.94</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972,230.23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7,061,470.24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9,883,536.28</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755,037.27</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2,055,642.93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8,582,930.62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2,572,503.42</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332,577.92</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2,905,081.34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193,548,241.36</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189,238,507.71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72,236,888.52</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82,186,393.23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117,127,802.30</w:t>
            </w:r>
            <w:r>
              <w:rPr>
                <w:rFonts w:ascii="Times New Roman"/>
                <w:sz w:val="18"/>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102,059,229.14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1,035,111.81</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1,082,847.11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2,363,878.10</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3,057,576.46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784,560.63</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85,461.77</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0" w:type="dxa"/>
            <w:tcBorders>
              <w:top w:val="single" w:sz="4" w:space="0" w:color="010101"/>
              <w:left w:val="single" w:sz="4" w:space="0" w:color="010101"/>
              <w:bottom w:val="single" w:sz="4" w:space="0" w:color="010101"/>
              <w:right w:val="single" w:sz="4" w:space="0" w:color="010101"/>
            </w:tcBorders>
          </w:tcPr>
          <w:p>
            <w:pP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60" w:type="dxa"/>
            <w:tcBorders>
              <w:top w:val="single" w:sz="4" w:space="0" w:color="010101"/>
              <w:left w:val="single" w:sz="4" w:space="0" w:color="010101"/>
              <w:bottom w:val="single" w:sz="4" w:space="0" w:color="010101"/>
              <w:right w:val="single" w:sz="4" w:space="0" w:color="010101"/>
            </w:tcBorders>
          </w:tcPr>
          <w:p>
            <w:pP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4516"/>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193,548,241.36</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189,238,507.71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72,236,888.52</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82,186,393.23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117,127,802.30</w:t>
            </w:r>
            <w:r>
              <w:rPr>
                <w:rFonts w:ascii="Times New Roman"/>
                <w:sz w:val="18"/>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102,059,229.14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1,035,111.81</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1,082,847.11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2,363,878.10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3,057,576.46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784,560.63</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852,461.77</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23,565,595.58 </w:t>
      </w:r>
      <w:r>
        <w:rPr>
          <w:rFonts w:ascii="宋体" w:hAnsi="宋体" w:cs="宋体" w:eastAsia="宋体" w:hint="default"/>
          <w:sz w:val="18"/>
          <w:szCs w:val="18"/>
        </w:rPr>
        <w:t>元；本期由在建工程转入固定资产原价为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18,097,784.69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4778;height:394" coordorigin="14,14" coordsize="4778,394">
              <v:shape style="position:absolute;left:14;top:14;width:4778;height:394" coordorigin="14,14" coordsize="4778,394" path="m14,408l4792,408,4792,14,14,14,14,408xe" filled="true" fillcolor="#d3d3d3" stroked="false">
                <v:path arrowok="t"/>
                <v:fill type="solid"/>
              </v:shape>
            </v:group>
            <v:group style="position:absolute;left:4799;top:14;width:4775;height:394" coordorigin="4799,14" coordsize="4775,394">
              <v:shape style="position:absolute;left:4799;top:14;width:4775;height:394" coordorigin="4799,14" coordsize="4775,394" path="m4799,408l9574,408,9574,14,4799,14,4799,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4795;top:5;width:2;height:402" coordorigin="4795,5" coordsize="2,402">
              <v:shape style="position:absolute;left:4795;top:5;width:2;height:402" coordorigin="4795,5" coordsize="0,402" path="m4795,5l4795,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2" w:hRule="exact"/>
        </w:trPr>
        <w:tc>
          <w:tcPr>
            <w:tcW w:w="22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pStyle w:val="BodyText"/>
        <w:spacing w:line="256" w:lineRule="auto" w:before="92"/>
        <w:ind w:left="219" w:right="1331" w:hanging="1"/>
        <w:jc w:val="left"/>
      </w:pPr>
      <w:r>
        <w:rPr/>
        <w:t>期末，已有账面价值</w:t>
      </w:r>
      <w:r>
        <w:rPr>
          <w:rFonts w:ascii="Times New Roman" w:hAnsi="Times New Roman" w:cs="Times New Roman" w:eastAsia="Times New Roman" w:hint="default"/>
        </w:rPr>
        <w:t>67,503,551.51</w:t>
      </w:r>
      <w:r>
        <w:rPr/>
        <w:t>元（账面原值</w:t>
      </w:r>
      <w:r>
        <w:rPr>
          <w:rFonts w:ascii="Times New Roman" w:hAnsi="Times New Roman" w:cs="Times New Roman" w:eastAsia="Times New Roman" w:hint="default"/>
        </w:rPr>
        <w:t>87,359,610.64</w:t>
      </w:r>
      <w:r>
        <w:rPr/>
        <w:t>元）的房屋建筑物用于担保。 期末，账面价值为</w:t>
      </w:r>
      <w:r>
        <w:rPr>
          <w:rFonts w:ascii="Times New Roman" w:hAnsi="Times New Roman" w:cs="Times New Roman" w:eastAsia="Times New Roman" w:hint="default"/>
        </w:rPr>
        <w:t>7,828,385.00</w:t>
      </w:r>
      <w:r>
        <w:rPr/>
        <w:t>的房屋建筑物未办妥房产证书。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105"/>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宏天办公、宿舍楼工程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21,005,938.02</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21,005,938.02</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27,511,608.00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27,511,608.00</w:t>
            </w: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万吨高性能铜及铜合金杆 材项目</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108,494,492.75</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108,494,492.75</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95,861,560.55</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95,861,560.55</w:t>
            </w: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万吨节能环保型特种漆包 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56,807,529.98</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56,807,529.98</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8,362,888.06</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8,362,888.06</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3,717,909.05</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3,717,909.05</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9,478,553.71</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9,478,553.71</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190,025,869.80</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190,025,869.80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141,214,610.32</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141,214,610.32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1338"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3" w:right="92"/>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宏天办 </w:t>
            </w:r>
            <w:r>
              <w:rPr>
                <w:rFonts w:ascii="宋体" w:hAnsi="宋体" w:cs="宋体" w:eastAsia="宋体" w:hint="default"/>
                <w:spacing w:val="-11"/>
                <w:sz w:val="18"/>
                <w:szCs w:val="18"/>
              </w:rPr>
              <w:t>公、宿舍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楼工程</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27,511,6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08.00</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1,322,71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5.02</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7,828,38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96.11%</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w w:val="95"/>
                <w:sz w:val="18"/>
              </w:rPr>
              <w:t>98.00</w:t>
            </w:r>
            <w:r>
              <w:rPr>
                <w:rFonts w:ascii="Times New Roman"/>
                <w:w w:val="95"/>
                <w:sz w:val="18"/>
              </w:rPr>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21,005,9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38.02</w:t>
            </w:r>
          </w:p>
        </w:tc>
      </w:tr>
      <w:tr>
        <w:trPr>
          <w:trHeight w:val="360" w:hRule="exact"/>
        </w:trPr>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万吨</w:t>
            </w: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4" w:type="dxa"/>
            <w:vMerge w:val="restart"/>
            <w:tcBorders>
              <w:top w:val="single" w:sz="4" w:space="0" w:color="010101"/>
              <w:left w:val="single" w:sz="4" w:space="0" w:color="010101"/>
              <w:right w:val="single" w:sz="4" w:space="0" w:color="010101"/>
            </w:tcBorders>
          </w:tcPr>
          <w:p>
            <w:pPr/>
          </w:p>
        </w:tc>
        <w:tc>
          <w:tcPr>
            <w:tcW w:w="738"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7"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7" w:type="dxa"/>
            <w:tcBorders>
              <w:top w:val="single" w:sz="4" w:space="0" w:color="010101"/>
              <w:left w:val="single" w:sz="4" w:space="0" w:color="010101"/>
              <w:bottom w:val="nil" w:sz="6" w:space="0" w:color="auto"/>
              <w:right w:val="single" w:sz="4" w:space="0" w:color="010101"/>
            </w:tcBorders>
          </w:tcPr>
          <w:p>
            <w:pPr/>
          </w:p>
        </w:tc>
      </w:tr>
      <w:tr>
        <w:trPr>
          <w:trHeight w:val="932" w:hRule="exact"/>
        </w:trPr>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5"/>
              <w:ind w:left="22" w:right="161"/>
              <w:jc w:val="both"/>
              <w:rPr>
                <w:rFonts w:ascii="宋体" w:hAnsi="宋体" w:cs="宋体" w:eastAsia="宋体" w:hint="default"/>
                <w:sz w:val="18"/>
                <w:szCs w:val="18"/>
              </w:rPr>
            </w:pPr>
            <w:r>
              <w:rPr>
                <w:rFonts w:ascii="宋体" w:hAnsi="宋体" w:cs="宋体" w:eastAsia="宋体" w:hint="default"/>
                <w:sz w:val="18"/>
                <w:szCs w:val="18"/>
              </w:rPr>
              <w:t>高性能 铜及铜 合金杆</w:t>
            </w: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95,861,5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60.55</w:t>
            </w: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16,271,2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79.21</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3,638,34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7.01</w:t>
            </w:r>
          </w:p>
        </w:tc>
        <w:tc>
          <w:tcPr>
            <w:tcW w:w="734" w:type="dxa"/>
            <w:vMerge/>
            <w:tcBorders>
              <w:left w:val="single" w:sz="4" w:space="0" w:color="010101"/>
              <w:right w:val="single" w:sz="4" w:space="0" w:color="010101"/>
            </w:tcBorders>
          </w:tcPr>
          <w:p>
            <w:pPr/>
          </w:p>
        </w:tc>
        <w:tc>
          <w:tcPr>
            <w:tcW w:w="73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83.69%</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6"/>
              <w:jc w:val="right"/>
              <w:rPr>
                <w:rFonts w:ascii="Times New Roman" w:hAnsi="Times New Roman" w:cs="Times New Roman" w:eastAsia="Times New Roman" w:hint="default"/>
                <w:sz w:val="18"/>
                <w:szCs w:val="18"/>
              </w:rPr>
            </w:pPr>
            <w:r>
              <w:rPr>
                <w:rFonts w:ascii="Times New Roman"/>
                <w:spacing w:val="-1"/>
                <w:w w:val="95"/>
                <w:sz w:val="18"/>
              </w:rPr>
              <w:t>95.00</w:t>
            </w:r>
            <w:r>
              <w:rPr>
                <w:rFonts w:ascii="Times New Roman"/>
                <w:w w:val="95"/>
                <w:sz w:val="18"/>
              </w:rPr>
            </w:r>
          </w:p>
        </w:tc>
        <w:tc>
          <w:tcPr>
            <w:tcW w:w="736" w:type="dxa"/>
            <w:vMerge/>
            <w:tcBorders>
              <w:left w:val="single" w:sz="4" w:space="0" w:color="010101"/>
              <w:right w:val="single" w:sz="4" w:space="0" w:color="010101"/>
            </w:tcBorders>
          </w:tcPr>
          <w:p>
            <w:pPr/>
          </w:p>
        </w:tc>
        <w:tc>
          <w:tcPr>
            <w:tcW w:w="737" w:type="dxa"/>
            <w:vMerge/>
            <w:tcBorders>
              <w:left w:val="single" w:sz="4" w:space="0" w:color="010101"/>
              <w:right w:val="single" w:sz="4" w:space="0" w:color="010101"/>
            </w:tcBorders>
          </w:tcPr>
          <w:p>
            <w:pPr/>
          </w:p>
        </w:tc>
        <w:tc>
          <w:tcPr>
            <w:tcW w:w="736" w:type="dxa"/>
            <w:vMerge/>
            <w:tcBorders>
              <w:left w:val="single" w:sz="4" w:space="0" w:color="010101"/>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161"/>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108,494,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492.75</w:t>
            </w:r>
          </w:p>
        </w:tc>
      </w:tr>
      <w:tr>
        <w:trPr>
          <w:trHeight w:val="358" w:hRule="exact"/>
        </w:trPr>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材项目</w:t>
            </w: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4" w:type="dxa"/>
            <w:vMerge/>
            <w:tcBorders>
              <w:left w:val="single" w:sz="4" w:space="0" w:color="010101"/>
              <w:bottom w:val="single" w:sz="4" w:space="0" w:color="010101"/>
              <w:right w:val="single" w:sz="4" w:space="0" w:color="010101"/>
            </w:tcBorders>
          </w:tcPr>
          <w:p>
            <w:pPr/>
          </w:p>
        </w:tc>
        <w:tc>
          <w:tcPr>
            <w:tcW w:w="738"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7"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7" w:type="dxa"/>
            <w:tcBorders>
              <w:top w:val="nil" w:sz="6" w:space="0" w:color="auto"/>
              <w:left w:val="single" w:sz="4" w:space="0" w:color="010101"/>
              <w:bottom w:val="single" w:sz="4" w:space="0" w:color="010101"/>
              <w:right w:val="single" w:sz="4" w:space="0" w:color="010101"/>
            </w:tcBorders>
          </w:tcPr>
          <w:p>
            <w:pPr/>
          </w:p>
        </w:tc>
      </w:tr>
      <w:tr>
        <w:trPr>
          <w:trHeight w:val="361" w:hRule="exact"/>
        </w:trPr>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万吨节</w:t>
            </w: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4" w:type="dxa"/>
            <w:vMerge w:val="restart"/>
            <w:tcBorders>
              <w:top w:val="single" w:sz="4" w:space="0" w:color="010101"/>
              <w:left w:val="single" w:sz="4" w:space="0" w:color="010101"/>
              <w:right w:val="single" w:sz="4" w:space="0" w:color="010101"/>
            </w:tcBorders>
          </w:tcPr>
          <w:p>
            <w:pPr/>
          </w:p>
        </w:tc>
        <w:tc>
          <w:tcPr>
            <w:tcW w:w="738"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7"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7"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能环保 型特种</w:t>
            </w: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13,032.0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71" w:right="0"/>
              <w:jc w:val="left"/>
              <w:rPr>
                <w:rFonts w:ascii="Times New Roman" w:hAnsi="Times New Roman" w:cs="Times New Roman" w:eastAsia="Times New Roman" w:hint="default"/>
                <w:sz w:val="18"/>
                <w:szCs w:val="18"/>
              </w:rPr>
            </w:pPr>
            <w:r>
              <w:rPr>
                <w:rFonts w:ascii="Times New Roman"/>
                <w:sz w:val="18"/>
              </w:rPr>
              <w:t>8,362,88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8.06</w:t>
            </w: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71" w:right="0"/>
              <w:jc w:val="left"/>
              <w:rPr>
                <w:rFonts w:ascii="Times New Roman" w:hAnsi="Times New Roman" w:cs="Times New Roman" w:eastAsia="Times New Roman" w:hint="default"/>
                <w:sz w:val="18"/>
                <w:szCs w:val="18"/>
              </w:rPr>
            </w:pPr>
            <w:r>
              <w:rPr>
                <w:rFonts w:ascii="Times New Roman"/>
                <w:sz w:val="18"/>
              </w:rPr>
              <w:t>48,444,6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41.92</w:t>
            </w:r>
          </w:p>
        </w:tc>
        <w:tc>
          <w:tcPr>
            <w:tcW w:w="736" w:type="dxa"/>
            <w:vMerge/>
            <w:tcBorders>
              <w:left w:val="single" w:sz="4" w:space="0" w:color="010101"/>
              <w:right w:val="single" w:sz="4" w:space="0" w:color="010101"/>
            </w:tcBorders>
          </w:tcPr>
          <w:p>
            <w:pPr/>
          </w:p>
        </w:tc>
        <w:tc>
          <w:tcPr>
            <w:tcW w:w="734" w:type="dxa"/>
            <w:vMerge/>
            <w:tcBorders>
              <w:left w:val="single" w:sz="4" w:space="0" w:color="010101"/>
              <w:right w:val="single" w:sz="4" w:space="0" w:color="010101"/>
            </w:tcBorders>
          </w:tcPr>
          <w:p>
            <w:pPr/>
          </w:p>
        </w:tc>
        <w:tc>
          <w:tcPr>
            <w:tcW w:w="73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43.59%</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w w:val="95"/>
                <w:sz w:val="18"/>
              </w:rPr>
              <w:t>50.00</w:t>
            </w:r>
            <w:r>
              <w:rPr>
                <w:rFonts w:ascii="Times New Roman"/>
                <w:w w:val="95"/>
                <w:sz w:val="18"/>
              </w:rPr>
            </w:r>
          </w:p>
        </w:tc>
        <w:tc>
          <w:tcPr>
            <w:tcW w:w="736" w:type="dxa"/>
            <w:vMerge/>
            <w:tcBorders>
              <w:left w:val="single" w:sz="4" w:space="0" w:color="010101"/>
              <w:right w:val="single" w:sz="4" w:space="0" w:color="010101"/>
            </w:tcBorders>
          </w:tcPr>
          <w:p>
            <w:pPr/>
          </w:p>
        </w:tc>
        <w:tc>
          <w:tcPr>
            <w:tcW w:w="737" w:type="dxa"/>
            <w:vMerge/>
            <w:tcBorders>
              <w:left w:val="single" w:sz="4" w:space="0" w:color="010101"/>
              <w:right w:val="single" w:sz="4" w:space="0" w:color="010101"/>
            </w:tcBorders>
          </w:tcPr>
          <w:p>
            <w:pPr/>
          </w:p>
        </w:tc>
        <w:tc>
          <w:tcPr>
            <w:tcW w:w="736" w:type="dxa"/>
            <w:vMerge/>
            <w:tcBorders>
              <w:left w:val="single" w:sz="4" w:space="0" w:color="010101"/>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74" w:right="0"/>
              <w:jc w:val="left"/>
              <w:rPr>
                <w:rFonts w:ascii="Times New Roman" w:hAnsi="Times New Roman" w:cs="Times New Roman" w:eastAsia="Times New Roman" w:hint="default"/>
                <w:sz w:val="18"/>
                <w:szCs w:val="18"/>
              </w:rPr>
            </w:pPr>
            <w:r>
              <w:rPr>
                <w:rFonts w:ascii="Times New Roman"/>
                <w:sz w:val="18"/>
              </w:rPr>
              <w:t>56,807,5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29.98</w:t>
            </w:r>
          </w:p>
        </w:tc>
      </w:tr>
      <w:tr>
        <w:trPr>
          <w:trHeight w:val="353" w:hRule="exact"/>
        </w:trPr>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4" w:type="dxa"/>
            <w:vMerge/>
            <w:tcBorders>
              <w:left w:val="single" w:sz="4" w:space="0" w:color="010101"/>
              <w:bottom w:val="single" w:sz="4" w:space="0" w:color="010101"/>
              <w:right w:val="single" w:sz="4" w:space="0" w:color="010101"/>
            </w:tcBorders>
          </w:tcPr>
          <w:p>
            <w:pPr/>
          </w:p>
        </w:tc>
        <w:tc>
          <w:tcPr>
            <w:tcW w:w="738"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7"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7" w:type="dxa"/>
            <w:tcBorders>
              <w:top w:val="nil" w:sz="6" w:space="0" w:color="auto"/>
              <w:left w:val="single" w:sz="4" w:space="0" w:color="010101"/>
              <w:bottom w:val="single" w:sz="4" w:space="0" w:color="010101"/>
              <w:right w:val="single" w:sz="4" w:space="0" w:color="010101"/>
            </w:tcBorders>
          </w:tcPr>
          <w:p>
            <w:pPr/>
          </w:p>
        </w:tc>
      </w:tr>
      <w:tr>
        <w:trPr>
          <w:trHeight w:val="714"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9,478,55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3.71</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6,631,05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2.68</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3,717,90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9.05</w:t>
            </w:r>
          </w:p>
        </w:tc>
      </w:tr>
      <w:tr>
        <w:trPr>
          <w:trHeight w:val="714"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141,214,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610.32</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66,909,0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44.17</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18,097,7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84.69</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190,025,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869.80</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5"/>
        <w:gridCol w:w="1592"/>
        <w:gridCol w:w="1595"/>
        <w:gridCol w:w="1592"/>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88"/>
        <w:gridCol w:w="3192"/>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万吨高性能铜及铜合金杆材项目</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95.00</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募投项目</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万吨节能环保型特种漆包线</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募投项目</w:t>
            </w:r>
          </w:p>
        </w:tc>
      </w:tr>
    </w:tbl>
    <w:p>
      <w:pPr>
        <w:spacing w:line="240" w:lineRule="auto" w:before="2"/>
        <w:rPr>
          <w:rFonts w:ascii="宋体" w:hAnsi="宋体" w:cs="宋体" w:eastAsia="宋体" w:hint="default"/>
          <w:b/>
          <w:bCs/>
          <w:sz w:val="19"/>
          <w:szCs w:val="19"/>
        </w:rPr>
      </w:pPr>
    </w:p>
    <w:p>
      <w:pPr>
        <w:spacing w:line="506" w:lineRule="auto" w:before="35"/>
        <w:ind w:left="114" w:right="358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w w:val="99"/>
          <w:sz w:val="21"/>
          <w:szCs w:val="21"/>
        </w:rPr>
        <w:t> </w:t>
      </w:r>
      <w:r>
        <w:rPr>
          <w:rFonts w:ascii="宋体" w:hAnsi="宋体" w:cs="宋体" w:eastAsia="宋体" w:hint="default"/>
          <w:sz w:val="21"/>
          <w:szCs w:val="21"/>
        </w:rPr>
        <w:t>期末，已有账面价值为</w:t>
      </w:r>
      <w:r>
        <w:rPr>
          <w:rFonts w:ascii="Times New Roman" w:hAnsi="Times New Roman" w:cs="Times New Roman" w:eastAsia="Times New Roman" w:hint="default"/>
          <w:sz w:val="21"/>
          <w:szCs w:val="21"/>
        </w:rPr>
        <w:t>111,474,014.55</w:t>
      </w:r>
      <w:r>
        <w:rPr>
          <w:rFonts w:ascii="宋体" w:hAnsi="宋体" w:cs="宋体" w:eastAsia="宋体" w:hint="default"/>
          <w:sz w:val="21"/>
          <w:szCs w:val="21"/>
        </w:rPr>
        <w:t>元的在建工程用于抵押担保。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before="8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0"/>
        <w:gridCol w:w="1595"/>
        <w:gridCol w:w="1860"/>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152,974.29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1,441,148.48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732,333.12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861,789.65</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152,974.29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1,441,148.48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732,333.12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861,789.65</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2126"/>
        <w:gridCol w:w="2524"/>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70"/>
      </w:tblGrid>
      <w:tr>
        <w:trPr>
          <w:trHeight w:val="402" w:hRule="exact"/>
        </w:trPr>
        <w:tc>
          <w:tcPr>
            <w:tcW w:w="95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75"/>
        <w:gridCol w:w="1709"/>
        <w:gridCol w:w="1841"/>
        <w:gridCol w:w="2104"/>
        <w:gridCol w:w="1842"/>
      </w:tblGrid>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85,490,892.29</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85,490,892.29</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85,490,892.29</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85,490,892.29</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9,616,519.00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1,724,238.64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11,340,757.64</w:t>
            </w:r>
            <w:r>
              <w:rPr>
                <w:rFonts w:ascii="Times New Roman"/>
                <w:sz w:val="18"/>
              </w:rPr>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9,616,519.00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1,724,238.64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11,340,757.64</w:t>
            </w:r>
            <w:r>
              <w:rPr>
                <w:rFonts w:ascii="Times New Roman"/>
                <w:sz w:val="18"/>
              </w:rPr>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75,874,373.29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-1,724,238.64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74,150,134.65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75,874,373.29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-1,724,238.64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74,150,134.65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75,874,373.29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-1,724,238.64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74,150,134.65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1,724,238.64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596"/>
        <w:gridCol w:w="1594"/>
        <w:gridCol w:w="1592"/>
        <w:gridCol w:w="1594"/>
        <w:gridCol w:w="1592"/>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596" w:type="dxa"/>
            <w:vMerge/>
            <w:tcBorders>
              <w:left w:val="single" w:sz="4" w:space="0" w:color="010101"/>
              <w:bottom w:val="single" w:sz="4" w:space="0" w:color="010101"/>
              <w:right w:val="single" w:sz="4" w:space="0" w:color="010101"/>
            </w:tcBorders>
            <w:shd w:val="clear" w:color="auto" w:fill="D3D3D3"/>
          </w:tcPr>
          <w:p>
            <w:pPr/>
          </w:p>
        </w:tc>
        <w:tc>
          <w:tcPr>
            <w:tcW w:w="1594" w:type="dxa"/>
            <w:vMerge/>
            <w:tcBorders>
              <w:left w:val="single" w:sz="4" w:space="0" w:color="010101"/>
              <w:bottom w:val="single" w:sz="4" w:space="0" w:color="010101"/>
              <w:right w:val="single" w:sz="4" w:space="0" w:color="010101"/>
            </w:tcBorders>
            <w:shd w:val="clear" w:color="auto" w:fill="D3D3D3"/>
          </w:tcPr>
          <w:p>
            <w:pP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2" w:type="dxa"/>
            <w:vMerge/>
            <w:tcBorders>
              <w:left w:val="single" w:sz="4" w:space="0" w:color="010101"/>
              <w:bottom w:val="single" w:sz="4" w:space="0" w:color="010101"/>
              <w:right w:val="single" w:sz="4" w:space="0" w:color="010101"/>
            </w:tcBorders>
            <w:shd w:val="clear" w:color="auto" w:fill="D3D3D3"/>
          </w:tcPr>
          <w:p>
            <w:pPr/>
          </w:p>
        </w:tc>
      </w:tr>
    </w:tbl>
    <w:p>
      <w:pPr>
        <w:spacing w:line="360" w:lineRule="auto" w:before="49"/>
        <w:ind w:left="114" w:right="433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6"/>
        <w:ind w:left="11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万元以上且以评估值为入账依据的，应披露评估机构名称、评估方法</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8"/>
        <w:gridCol w:w="1460"/>
        <w:gridCol w:w="1459"/>
        <w:gridCol w:w="1460"/>
        <w:gridCol w:w="1462"/>
        <w:gridCol w:w="1198"/>
      </w:tblGrid>
      <w:tr>
        <w:trPr>
          <w:trHeight w:val="714"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1,559,926.38</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1,559,926.38</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1,559,926.38</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1,559,926.38</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1,559,926.38</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1,559,926.38</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4,059,273.89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3,754,350.33</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4,059,273.89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3,754,350.33</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10101"/>
              <w:bottom w:val="single" w:sz="4" w:space="0" w:color="010101"/>
              <w:right w:val="single" w:sz="4" w:space="0" w:color="010101"/>
            </w:tcBorders>
            <w:shd w:val="clear" w:color="auto" w:fill="D3D3D3"/>
          </w:tcPr>
          <w:p>
            <w:pPr/>
          </w:p>
        </w:tc>
        <w:tc>
          <w:tcPr>
            <w:tcW w:w="2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0"/>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1026"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4,059,273.89</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sz w:val="18"/>
              </w:rPr>
              <w:t>3,754,350.33</w:t>
            </w:r>
          </w:p>
        </w:tc>
        <w:tc>
          <w:tcPr>
            <w:tcW w:w="1627"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3848;height:394" coordorigin="14,14" coordsize="3848,394">
              <v:shape style="position:absolute;left:14;top:14;width:3848;height:394" coordorigin="14,14" coordsize="3848,394" path="m14,408l3862,408,3862,14,14,14,14,408xe" filled="true" fillcolor="#d3d3d3" stroked="false">
                <v:path arrowok="t"/>
                <v:fill type="solid"/>
              </v:shape>
            </v:group>
            <v:group style="position:absolute;left:3870;top:14;width:5704;height:394" coordorigin="3870,14" coordsize="5704,394">
              <v:shape style="position:absolute;left:3870;top:14;width:5704;height:394" coordorigin="3870,14" coordsize="5704,394" path="m3870,408l9574,408,9574,14,3870,14,3870,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3866;top:5;width:2;height:402" coordorigin="3866,5" coordsize="2,402">
              <v:shape style="position:absolute;left:3866;top:5;width:2;height:402" coordorigin="3866,5" coordsize="0,402" path="m3866,5l3866,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758;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528" w:type="dxa"/>
            <w:vMerge/>
            <w:tcBorders>
              <w:left w:val="single" w:sz="4" w:space="0" w:color="010101"/>
              <w:bottom w:val="single" w:sz="4" w:space="0" w:color="010101"/>
              <w:right w:val="single" w:sz="4" w:space="0" w:color="010101"/>
            </w:tcBorders>
            <w:shd w:val="clear" w:color="auto" w:fill="D3D3D3"/>
          </w:tcPr>
          <w:p>
            <w:pPr/>
          </w:p>
        </w:tc>
        <w:tc>
          <w:tcPr>
            <w:tcW w:w="1529" w:type="dxa"/>
            <w:vMerge/>
            <w:tcBorders>
              <w:left w:val="single" w:sz="4" w:space="0" w:color="010101"/>
              <w:bottom w:val="single" w:sz="4" w:space="0" w:color="010101"/>
              <w:right w:val="single" w:sz="4" w:space="0" w:color="010101"/>
            </w:tcBorders>
            <w:shd w:val="clear" w:color="auto" w:fill="D3D3D3"/>
          </w:tcPr>
          <w:p>
            <w:pP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10,928,622.78</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5,340,212.81</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16,268,835.59</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4,138,519.16</w:t>
            </w: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4,138,519.16</w:t>
            </w: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1,559,926.38</w:t>
            </w: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1,559,926.38</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16,627,068.32</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5,340,212.81</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4,138,519.16</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17,828,761.97</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20,461,952.84</w:t>
            </w: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20,461,952.84</w:t>
            </w: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15,000,000.00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987" w:right="0"/>
              <w:jc w:val="left"/>
              <w:rPr>
                <w:rFonts w:ascii="Times New Roman" w:hAnsi="Times New Roman" w:cs="Times New Roman" w:eastAsia="Times New Roman" w:hint="default"/>
                <w:sz w:val="18"/>
                <w:szCs w:val="18"/>
              </w:rPr>
            </w:pPr>
            <w:r>
              <w:rPr>
                <w:rFonts w:ascii="Times New Roman"/>
                <w:sz w:val="18"/>
              </w:rPr>
              <w:t>50,000,000.00</w:t>
            </w:r>
          </w:p>
        </w:tc>
      </w:tr>
    </w:tbl>
    <w:p>
      <w:pPr>
        <w:spacing w:after="0" w:line="240" w:lineRule="auto"/>
        <w:jc w:val="left"/>
        <w:rPr>
          <w:rFonts w:ascii="Times New Roman" w:hAnsi="Times New Roman" w:cs="Times New Roman" w:eastAsia="Times New Roman" w:hint="default"/>
          <w:sz w:val="18"/>
          <w:szCs w:val="18"/>
        </w:rPr>
        <w:sectPr>
          <w:footerReference w:type="default" r:id="rId41"/>
          <w:pgSz w:w="11910" w:h="16840"/>
          <w:pgMar w:footer="980" w:header="747" w:top="1060" w:bottom="1160" w:left="1020" w:right="1020"/>
          <w:pgNumType w:start="11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227,600,000.00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337,499,243.25</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245,000,000.00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625,499,243.25</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522,600,000.00</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8"/>
        <w:gridCol w:w="1283"/>
        <w:gridCol w:w="1278"/>
        <w:gridCol w:w="1654"/>
        <w:gridCol w:w="1753"/>
        <w:gridCol w:w="1993"/>
      </w:tblGrid>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38" w:lineRule="auto" w:before="50"/>
        <w:ind w:left="113" w:right="361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129,879,411.80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短期借款的说明，包括已到期短期借款获展期的，说明展期条件、新的到期日</w:t>
      </w:r>
    </w:p>
    <w:p>
      <w:pPr>
        <w:spacing w:line="240" w:lineRule="auto" w:before="4"/>
        <w:rPr>
          <w:rFonts w:ascii="宋体" w:hAnsi="宋体" w:cs="宋体" w:eastAsia="宋体" w:hint="default"/>
          <w:sz w:val="21"/>
          <w:szCs w:val="21"/>
        </w:rPr>
      </w:pPr>
    </w:p>
    <w:p>
      <w:pPr>
        <w:pStyle w:val="Heading5"/>
        <w:spacing w:line="240" w:lineRule="auto"/>
        <w:ind w:right="105"/>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3"/>
        <w:gridCol w:w="2921"/>
        <w:gridCol w:w="3054"/>
      </w:tblGrid>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850,166,072.00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433,230,000.00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850,166,072.00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433,230,000.00</w:t>
            </w:r>
          </w:p>
        </w:tc>
      </w:tr>
    </w:tbl>
    <w:p>
      <w:pPr>
        <w:spacing w:line="338" w:lineRule="auto" w:before="50"/>
        <w:ind w:left="113" w:right="600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557,999,900.00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 应付票据的说明</w:t>
      </w:r>
    </w:p>
    <w:p>
      <w:pPr>
        <w:spacing w:line="240" w:lineRule="auto" w:before="4"/>
        <w:rPr>
          <w:rFonts w:ascii="宋体" w:hAnsi="宋体" w:cs="宋体" w:eastAsia="宋体" w:hint="default"/>
          <w:sz w:val="21"/>
          <w:szCs w:val="21"/>
        </w:rPr>
      </w:pPr>
    </w:p>
    <w:p>
      <w:pPr>
        <w:pStyle w:val="Heading5"/>
        <w:spacing w:line="240" w:lineRule="auto"/>
        <w:ind w:right="105"/>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86,853,325.31</w:t>
            </w: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88,047,381.32</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86,853,325.31</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88,047,381.32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spacing w:line="506" w:lineRule="auto" w:before="35"/>
        <w:ind w:left="534" w:right="3611"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）账龄超过一年的大额应付账款情况的说明</w:t>
      </w:r>
      <w:r>
        <w:rPr>
          <w:rFonts w:ascii="宋体" w:hAnsi="宋体" w:cs="宋体" w:eastAsia="宋体" w:hint="default"/>
          <w:b/>
          <w:bCs/>
          <w:spacing w:val="100"/>
          <w:w w:val="95"/>
          <w:sz w:val="21"/>
          <w:szCs w:val="21"/>
        </w:rPr>
        <w:t> </w:t>
      </w:r>
      <w:r>
        <w:rPr>
          <w:rFonts w:ascii="宋体" w:hAnsi="宋体" w:cs="宋体" w:eastAsia="宋体" w:hint="default"/>
          <w:b/>
          <w:bCs/>
          <w:spacing w:val="100"/>
          <w:w w:val="95"/>
          <w:sz w:val="21"/>
          <w:szCs w:val="21"/>
        </w:rPr>
      </w:r>
      <w:r>
        <w:rPr>
          <w:rFonts w:ascii="宋体" w:hAnsi="宋体" w:cs="宋体" w:eastAsia="宋体" w:hint="default"/>
          <w:sz w:val="21"/>
          <w:szCs w:val="21"/>
        </w:rPr>
        <w:t>无账龄超过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年的大额应付账款。</w:t>
      </w:r>
    </w:p>
    <w:p>
      <w:pPr>
        <w:spacing w:line="240" w:lineRule="auto" w:before="10"/>
        <w:rPr>
          <w:rFonts w:ascii="宋体" w:hAnsi="宋体" w:cs="宋体" w:eastAsia="宋体" w:hint="default"/>
          <w:sz w:val="28"/>
          <w:szCs w:val="28"/>
        </w:rPr>
      </w:pPr>
    </w:p>
    <w:p>
      <w:pPr>
        <w:pStyle w:val="Heading5"/>
        <w:spacing w:line="240" w:lineRule="auto"/>
        <w:ind w:left="113" w:right="105"/>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spacing w:before="0"/>
        <w:ind w:left="113"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17,210,328.59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15,515,564.94</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17,210,328.59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15,515,564.94</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BodyText"/>
        <w:spacing w:line="240" w:lineRule="auto"/>
        <w:ind w:right="105"/>
        <w:jc w:val="left"/>
      </w:pPr>
      <w:r>
        <w:rPr/>
        <w:t>无账龄超过</w:t>
      </w:r>
      <w:r>
        <w:rPr>
          <w:rFonts w:ascii="Times New Roman" w:hAnsi="Times New Roman" w:cs="Times New Roman" w:eastAsia="Times New Roman" w:hint="default"/>
        </w:rPr>
        <w:t>1</w:t>
      </w:r>
      <w:r>
        <w:rPr/>
        <w:t>年的大额预收款项。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贴和补贴</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1,205,633.52</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40,386,391.99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39,505,648.21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2,086,377.30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426,906.80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426,906.80</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4,637,723.21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4,637,723.21</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1,540,880.21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1,540,880.21</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2,274,395.13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2,274,395.13</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371,634.66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371,634.66</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301,391.46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301,391.46</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149,421.75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149,421.75</w:t>
            </w:r>
          </w:p>
        </w:tc>
        <w:tc>
          <w:tcPr>
            <w:tcW w:w="186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1,397,415.00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1,397,415.00</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554,358.79</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470,884.61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559,587.79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465,655.61</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103,148.79</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5,229.00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108,377.79</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451,210.00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465,655.61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451,210.00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465,655.61</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1,759,992.31</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47,319,321.61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46,527,281.01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2,552,032.91</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2"/>
        <w:ind w:left="113" w:right="1992"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465,655.61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元，非货币性福利金额元，因解除劳动关系给予补偿元。 应付职工薪酬预计发放时间、金额等安排</w:t>
      </w:r>
    </w:p>
    <w:p>
      <w:pPr>
        <w:spacing w:before="40"/>
        <w:ind w:left="113" w:right="105" w:firstLine="0"/>
        <w:jc w:val="left"/>
        <w:rPr>
          <w:rFonts w:ascii="宋体" w:hAnsi="宋体" w:cs="宋体" w:eastAsia="宋体" w:hint="default"/>
          <w:sz w:val="18"/>
          <w:szCs w:val="18"/>
        </w:rPr>
      </w:pPr>
      <w:r>
        <w:rPr>
          <w:rFonts w:ascii="宋体" w:hAnsi="宋体" w:cs="宋体" w:eastAsia="宋体" w:hint="default"/>
          <w:sz w:val="18"/>
          <w:szCs w:val="18"/>
        </w:rPr>
        <w:t>次月发放</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13,334,204.97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599,333.49</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129,499.60</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4,662,382.38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12,314,010.38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1,610,370.75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19,324.92</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993,290.57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57,853.92</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938,373.86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972,286.55</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1,171,066.00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1,305,683.76</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179,853.20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202,542.91</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595,974.34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33,158.36</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397,316.23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22,105.57</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406,370.21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439,085.28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24,289,202.51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16,094,884.74</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43,555.56</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1,141,608.67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1,061,994.14</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1,141,608.67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1,105,549.70</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993"/>
        <w:gridCol w:w="2126"/>
        <w:gridCol w:w="2657"/>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2"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11,969.50</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34,969.50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4,447,808.23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10,610,675.98</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058"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7,655,000.00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318,204.71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372,773.44</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4,777,982.44</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18,673,418.92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7"/>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spacing w:line="506" w:lineRule="auto" w:before="35"/>
        <w:ind w:left="114" w:right="3611"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）账龄超过一年的大额其他应付款情况的说明</w:t>
      </w:r>
      <w:r>
        <w:rPr>
          <w:rFonts w:ascii="宋体" w:hAnsi="宋体" w:cs="宋体" w:eastAsia="宋体" w:hint="default"/>
          <w:b/>
          <w:bCs/>
          <w:spacing w:val="9"/>
          <w:w w:val="95"/>
          <w:sz w:val="21"/>
          <w:szCs w:val="21"/>
        </w:rPr>
        <w:t> </w:t>
      </w:r>
      <w:r>
        <w:rPr>
          <w:rFonts w:ascii="宋体" w:hAnsi="宋体" w:cs="宋体" w:eastAsia="宋体" w:hint="default"/>
          <w:b/>
          <w:bCs/>
          <w:spacing w:val="9"/>
          <w:w w:val="95"/>
          <w:sz w:val="21"/>
          <w:szCs w:val="21"/>
        </w:rPr>
      </w:r>
      <w:r>
        <w:rPr>
          <w:rFonts w:ascii="宋体" w:hAnsi="宋体" w:cs="宋体" w:eastAsia="宋体" w:hint="default"/>
          <w:sz w:val="21"/>
          <w:szCs w:val="21"/>
        </w:rPr>
        <w:t>无账龄超过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年的大额其他应付款</w:t>
      </w:r>
    </w:p>
    <w:p>
      <w:pPr>
        <w:pStyle w:val="Heading5"/>
        <w:spacing w:line="240" w:lineRule="auto" w:before="64"/>
        <w:ind w:right="105"/>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860"/>
        <w:gridCol w:w="1861"/>
        <w:gridCol w:w="1860"/>
        <w:gridCol w:w="1992"/>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年内到期的长期借款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28,000,000.00</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357" w:lineRule="auto"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795" w:space="403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6"/>
        <w:gridCol w:w="1063"/>
        <w:gridCol w:w="1062"/>
        <w:gridCol w:w="1062"/>
        <w:gridCol w:w="1062"/>
        <w:gridCol w:w="1064"/>
        <w:gridCol w:w="1064"/>
        <w:gridCol w:w="1062"/>
      </w:tblGrid>
      <w:tr>
        <w:trPr>
          <w:trHeight w:val="402" w:hRule="exact"/>
        </w:trPr>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4" w:hRule="exact"/>
        </w:trPr>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农行大唐支 行</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5.59%</w:t>
            </w: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8"/>
        <w:gridCol w:w="1367"/>
        <w:gridCol w:w="1367"/>
        <w:gridCol w:w="1368"/>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57" w:lineRule="auto" w:before="50"/>
        <w:ind w:left="114" w:right="7030"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2"/>
        <w:rPr>
          <w:rFonts w:ascii="宋体" w:hAnsi="宋体" w:cs="宋体" w:eastAsia="宋体" w:hint="default"/>
          <w:sz w:val="20"/>
          <w:szCs w:val="20"/>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9"/>
        <w:gridCol w:w="1367"/>
        <w:gridCol w:w="1367"/>
        <w:gridCol w:w="1369"/>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莱茵达国际租赁 有限公司</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57,792,000.00</w:t>
            </w:r>
          </w:p>
        </w:tc>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2" w:right="0"/>
              <w:jc w:val="left"/>
              <w:rPr>
                <w:rFonts w:ascii="Times New Roman" w:hAnsi="Times New Roman" w:cs="Times New Roman" w:eastAsia="Times New Roman" w:hint="default"/>
                <w:sz w:val="18"/>
                <w:szCs w:val="18"/>
              </w:rPr>
            </w:pPr>
            <w:r>
              <w:rPr>
                <w:rFonts w:ascii="Times New Roman"/>
                <w:sz w:val="18"/>
              </w:rPr>
              <w:t>7.38%</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58,714,871.42</w:t>
            </w:r>
          </w:p>
        </w:tc>
        <w:tc>
          <w:tcPr>
            <w:tcW w:w="1369"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BodyText"/>
        <w:spacing w:line="256" w:lineRule="auto" w:before="35"/>
        <w:ind w:left="113" w:right="105"/>
        <w:jc w:val="left"/>
      </w:pPr>
      <w:r>
        <w:rPr>
          <w:spacing w:val="-2"/>
        </w:rPr>
        <w:t>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日，公司与莱茵达国际租赁有限公司签订合同，约定</w:t>
      </w:r>
      <w:r>
        <w:rPr>
          <w:rFonts w:ascii="Times New Roman" w:hAnsi="Times New Roman" w:cs="Times New Roman" w:eastAsia="Times New Roman" w:hint="default"/>
          <w:spacing w:val="-2"/>
        </w:rPr>
        <w:t>15</w:t>
      </w:r>
      <w:r>
        <w:rPr>
          <w:spacing w:val="-2"/>
        </w:rPr>
        <w:t>万吨高性能铜及铜合金杆材项目</w:t>
      </w:r>
      <w:r>
        <w:rPr>
          <w:spacing w:val="-101"/>
        </w:rPr>
        <w:t> </w:t>
      </w:r>
      <w:r>
        <w:rPr/>
        <w:t>部分设备价值作价</w:t>
      </w:r>
      <w:r>
        <w:rPr>
          <w:rFonts w:ascii="Times New Roman" w:hAnsi="Times New Roman" w:cs="Times New Roman" w:eastAsia="Times New Roman" w:hint="default"/>
        </w:rPr>
        <w:t>6,880</w:t>
      </w:r>
      <w:r>
        <w:rPr/>
        <w:t>万元</w:t>
      </w:r>
      <w:r>
        <w:rPr>
          <w:rFonts w:ascii="Times New Roman" w:hAnsi="Times New Roman" w:cs="Times New Roman" w:eastAsia="Times New Roman" w:hint="default"/>
        </w:rPr>
        <w:t>,</w:t>
      </w:r>
      <w:r>
        <w:rPr/>
        <w:t>扣除保证金及手续费</w:t>
      </w:r>
      <w:r>
        <w:rPr>
          <w:rFonts w:ascii="Times New Roman" w:hAnsi="Times New Roman" w:cs="Times New Roman" w:eastAsia="Times New Roman" w:hint="default"/>
        </w:rPr>
        <w:t>688</w:t>
      </w:r>
      <w:r>
        <w:rPr/>
        <w:t>万元和</w:t>
      </w:r>
      <w:r>
        <w:rPr>
          <w:rFonts w:ascii="Times New Roman" w:hAnsi="Times New Roman" w:cs="Times New Roman" w:eastAsia="Times New Roman" w:hint="default"/>
        </w:rPr>
        <w:t>412.80</w:t>
      </w:r>
      <w:r>
        <w:rPr/>
        <w:t>万元后</w:t>
      </w:r>
      <w:r>
        <w:rPr>
          <w:rFonts w:ascii="Times New Roman" w:hAnsi="Times New Roman" w:cs="Times New Roman" w:eastAsia="Times New Roman" w:hint="default"/>
        </w:rPr>
        <w:t>,</w:t>
      </w:r>
      <w:r>
        <w:rPr/>
        <w:t>公司实际收到款项</w:t>
      </w:r>
      <w:r>
        <w:rPr>
          <w:rFonts w:ascii="Times New Roman" w:hAnsi="Times New Roman" w:cs="Times New Roman" w:eastAsia="Times New Roman" w:hint="default"/>
        </w:rPr>
        <w:t>5,779.20</w:t>
      </w:r>
      <w:r>
        <w:rPr/>
        <w:t>万 元，本期按照实际利率法摊销融资费用</w:t>
      </w:r>
      <w:r>
        <w:rPr>
          <w:rFonts w:ascii="Times New Roman" w:hAnsi="Times New Roman" w:cs="Times New Roman" w:eastAsia="Times New Roman" w:hint="default"/>
        </w:rPr>
        <w:t>922,871.42</w:t>
      </w:r>
      <w:r>
        <w:rPr/>
        <w:t>元。</w:t>
      </w:r>
    </w:p>
    <w:p>
      <w:pPr>
        <w:spacing w:line="240" w:lineRule="auto" w:before="5"/>
        <w:rPr>
          <w:rFonts w:ascii="宋体" w:hAnsi="宋体" w:cs="宋体" w:eastAsia="宋体" w:hint="default"/>
          <w:sz w:val="23"/>
          <w:szCs w:val="23"/>
        </w:rPr>
      </w:pPr>
    </w:p>
    <w:p>
      <w:pPr>
        <w:pStyle w:val="Heading5"/>
        <w:spacing w:line="240" w:lineRule="auto"/>
        <w:ind w:left="113" w:right="105"/>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5"/>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6"/>
        <w:gridCol w:w="1063"/>
        <w:gridCol w:w="1064"/>
        <w:gridCol w:w="1064"/>
        <w:gridCol w:w="1063"/>
        <w:gridCol w:w="1064"/>
        <w:gridCol w:w="1064"/>
        <w:gridCol w:w="1057"/>
      </w:tblGrid>
      <w:tr>
        <w:trPr>
          <w:trHeight w:val="402" w:hRule="exact"/>
        </w:trPr>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27"/>
        <w:gridCol w:w="1727"/>
        <w:gridCol w:w="1726"/>
        <w:gridCol w:w="1595"/>
        <w:gridCol w:w="1594"/>
      </w:tblGrid>
      <w:tr>
        <w:trPr>
          <w:trHeight w:val="402" w:hRule="exact"/>
        </w:trPr>
        <w:tc>
          <w:tcPr>
            <w:tcW w:w="29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02" w:hRule="exact"/>
        </w:trPr>
        <w:tc>
          <w:tcPr>
            <w:tcW w:w="2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莱茵达国际租赁有限公司</w:t>
            </w: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58,714,871.42</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57,792,000.00</w:t>
            </w:r>
          </w:p>
        </w:tc>
      </w:tr>
      <w:tr>
        <w:trPr>
          <w:trHeight w:val="402" w:hRule="exact"/>
        </w:trPr>
        <w:tc>
          <w:tcPr>
            <w:tcW w:w="29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58,714,871.42</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57,792,000.00</w:t>
            </w:r>
          </w:p>
        </w:tc>
      </w:tr>
    </w:tbl>
    <w:p>
      <w:pPr>
        <w:spacing w:line="357" w:lineRule="auto" w:before="50"/>
        <w:ind w:left="114" w:right="5870"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5"/>
        <w:spacing w:line="240" w:lineRule="auto"/>
        <w:ind w:right="102"/>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327"/>
        <w:gridCol w:w="1330"/>
        <w:gridCol w:w="1195"/>
        <w:gridCol w:w="1328"/>
        <w:gridCol w:w="1994"/>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49"/>
        <w:ind w:left="114" w:right="102"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2"/>
        <w:rPr>
          <w:rFonts w:ascii="宋体" w:hAnsi="宋体" w:cs="宋体" w:eastAsia="宋体" w:hint="default"/>
          <w:sz w:val="26"/>
          <w:szCs w:val="26"/>
        </w:rPr>
      </w:pPr>
    </w:p>
    <w:p>
      <w:pPr>
        <w:pStyle w:val="Heading5"/>
        <w:spacing w:line="240" w:lineRule="auto"/>
        <w:ind w:right="102"/>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万吨废杂铜连铸连轧低氧铜杆资源综合利用 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耐冷媒漆包线项目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7,890,000.00</w:t>
            </w:r>
          </w:p>
        </w:tc>
      </w:tr>
    </w:tbl>
    <w:p>
      <w:pPr>
        <w:spacing w:before="50"/>
        <w:ind w:left="114" w:right="102"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56" w:lineRule="auto" w:before="92"/>
        <w:ind w:right="102" w:firstLine="419"/>
        <w:jc w:val="left"/>
      </w:pPr>
      <w:r>
        <w:rPr>
          <w:rFonts w:ascii="Times New Roman" w:hAnsi="Times New Roman" w:cs="Times New Roman" w:eastAsia="Times New Roman" w:hint="default"/>
          <w:spacing w:val="-1"/>
        </w:rPr>
        <w:t>1</w:t>
      </w:r>
      <w:r>
        <w:rPr>
          <w:spacing w:val="-1"/>
        </w:rPr>
        <w:t>）根据浙江省经济贸易委员会浙经贸资源〔</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405</w:t>
      </w:r>
      <w:r>
        <w:rPr>
          <w:spacing w:val="-1"/>
        </w:rPr>
        <w:t>号文，公司于</w:t>
      </w:r>
      <w:r>
        <w:rPr>
          <w:rFonts w:ascii="Times New Roman" w:hAnsi="Times New Roman" w:cs="Times New Roman" w:eastAsia="Times New Roman" w:hint="default"/>
          <w:spacing w:val="-1"/>
        </w:rPr>
        <w:t>2009</w:t>
      </w:r>
      <w:r>
        <w:rPr>
          <w:spacing w:val="-1"/>
        </w:rPr>
        <w:t>年收到连铸连轧低氧铜杆综</w:t>
      </w:r>
      <w:r>
        <w:rPr/>
        <w:t> 合利用项目专项补助</w:t>
      </w:r>
      <w:r>
        <w:rPr>
          <w:rFonts w:ascii="Times New Roman" w:hAnsi="Times New Roman" w:cs="Times New Roman" w:eastAsia="Times New Roman" w:hint="default"/>
        </w:rPr>
        <w:t>660</w:t>
      </w:r>
      <w:r>
        <w:rPr/>
        <w:t>万元。</w:t>
      </w:r>
    </w:p>
    <w:p>
      <w:pPr>
        <w:pStyle w:val="BodyText"/>
        <w:spacing w:line="256" w:lineRule="auto" w:before="5"/>
        <w:ind w:right="102" w:firstLine="419"/>
        <w:jc w:val="left"/>
      </w:pPr>
      <w:r>
        <w:rPr>
          <w:rFonts w:ascii="Times New Roman" w:hAnsi="Times New Roman" w:cs="Times New Roman" w:eastAsia="Times New Roman" w:hint="default"/>
        </w:rPr>
        <w:t>2</w:t>
      </w:r>
      <w:r>
        <w:rPr/>
        <w:t>）根据江西鹰潭市发改委及市经贸委鹰发改工字〔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74</w:t>
      </w:r>
      <w:r>
        <w:rPr/>
        <w:t>号文和江西省财政厅赣财企〔</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179 </w:t>
      </w:r>
      <w:r>
        <w:rPr>
          <w:spacing w:val="-1"/>
        </w:rPr>
        <w:t>号文，子公司江西宏磊铜业有限公司于</w:t>
      </w:r>
      <w:r>
        <w:rPr>
          <w:rFonts w:ascii="Times New Roman" w:hAnsi="Times New Roman" w:cs="Times New Roman" w:eastAsia="Times New Roman" w:hint="default"/>
          <w:spacing w:val="-1"/>
        </w:rPr>
        <w:t>2009</w:t>
      </w:r>
      <w:r>
        <w:rPr>
          <w:spacing w:val="-1"/>
        </w:rPr>
        <w:t>年收到耐冷媒漆包线项目补助</w:t>
      </w:r>
      <w:r>
        <w:rPr>
          <w:rFonts w:ascii="Times New Roman" w:hAnsi="Times New Roman" w:cs="Times New Roman" w:eastAsia="Times New Roman" w:hint="default"/>
          <w:spacing w:val="-1"/>
        </w:rPr>
        <w:t>129</w:t>
      </w:r>
      <w:r>
        <w:rPr>
          <w:spacing w:val="-1"/>
        </w:rPr>
        <w:t>万元，本期该项目完成验收，</w:t>
      </w:r>
      <w:r>
        <w:rPr>
          <w:spacing w:val="-81"/>
        </w:rPr>
        <w:t> </w:t>
      </w:r>
      <w:r>
        <w:rPr>
          <w:spacing w:val="-81"/>
        </w:rPr>
      </w:r>
      <w:r>
        <w:rPr/>
        <w:t>补助款确认为与资产相关的政府补助并按资产剩余使用年限</w:t>
      </w:r>
      <w:r>
        <w:rPr>
          <w:rFonts w:ascii="Times New Roman" w:hAnsi="Times New Roman" w:cs="Times New Roman" w:eastAsia="Times New Roman" w:hint="default"/>
        </w:rPr>
        <w:t>5</w:t>
      </w:r>
      <w:r>
        <w:rPr/>
        <w:t>年平均分摊转入当期损益。</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102"/>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5"/>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402" w:hRule="exact"/>
        </w:trPr>
        <w:tc>
          <w:tcPr>
            <w:tcW w:w="1196" w:type="dxa"/>
            <w:vMerge w:val="restart"/>
            <w:tcBorders>
              <w:top w:val="single" w:sz="4" w:space="0" w:color="010101"/>
              <w:left w:val="single" w:sz="4" w:space="0" w:color="010101"/>
              <w:right w:val="single" w:sz="4" w:space="0" w:color="010101"/>
            </w:tcBorders>
            <w:shd w:val="clear" w:color="auto" w:fill="D3D3D3"/>
          </w:tcPr>
          <w:p>
            <w:pP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10101"/>
              <w:bottom w:val="single" w:sz="4" w:space="0" w:color="010101"/>
              <w:right w:val="single" w:sz="4" w:space="0" w:color="010101"/>
            </w:tcBorders>
            <w:shd w:val="clear" w:color="auto" w:fill="D3D3D3"/>
          </w:tcPr>
          <w:p>
            <w:pPr/>
          </w:p>
        </w:tc>
        <w:tc>
          <w:tcPr>
            <w:tcW w:w="1196" w:type="dxa"/>
            <w:vMerge/>
            <w:tcBorders>
              <w:left w:val="single" w:sz="4" w:space="0" w:color="010101"/>
              <w:bottom w:val="single" w:sz="4" w:space="0" w:color="010101"/>
              <w:right w:val="single" w:sz="4" w:space="0" w:color="010101"/>
            </w:tcBorders>
            <w:shd w:val="clear" w:color="auto" w:fill="D3D3D3"/>
          </w:tcPr>
          <w:p>
            <w:pP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168,910,000.00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168,910,000.00</w:t>
            </w:r>
          </w:p>
        </w:tc>
      </w:tr>
    </w:tbl>
    <w:p>
      <w:pPr>
        <w:spacing w:before="49"/>
        <w:ind w:left="114" w:right="10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spacing w:before="63"/>
        <w:ind w:left="114" w:right="102"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after="0"/>
        <w:jc w:val="left"/>
        <w:rPr>
          <w:rFonts w:ascii="宋体" w:hAnsi="宋体" w:cs="宋体" w:eastAsia="宋体" w:hint="default"/>
          <w:sz w:val="18"/>
          <w:szCs w:val="18"/>
        </w:rPr>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5"/>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550,329,679.39</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9,336,673.86</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559,666,353.25</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550,329,679.39</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9,336,673.86</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559,666,353.25</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73" w:lineRule="auto" w:before="92"/>
        <w:ind w:right="105" w:firstLine="420"/>
        <w:jc w:val="left"/>
      </w:pPr>
      <w:r>
        <w:rPr>
          <w:spacing w:val="-1"/>
        </w:rPr>
        <w:t>本期公司对子公司浙江宏天铜业有限公司单方增资，股权投资成本与按照新增持股权比例计算享有子</w:t>
      </w:r>
      <w:r>
        <w:rPr/>
        <w:t> 公司自合并日开始持续计算的可辨认净资产份额的差额增加资本公积。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22,616,519.60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3,053,614.88</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25,670,134.48</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22,616,519.60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3,053,614.88</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25,670,134.48</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220,270,690.54</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31,616,376.29</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3,053,614.88</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16,891,000.00</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231,942,451.95</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spacing w:before="44"/>
        <w:ind w:left="113" w:right="105"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24" w:lineRule="auto" w:before="102"/>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3"/>
        <w:rPr>
          <w:rFonts w:ascii="宋体" w:hAnsi="宋体" w:cs="宋体" w:eastAsia="宋体" w:hint="default"/>
          <w:sz w:val="22"/>
          <w:szCs w:val="22"/>
        </w:rPr>
      </w:pPr>
    </w:p>
    <w:p>
      <w:pPr>
        <w:pStyle w:val="Heading5"/>
        <w:spacing w:line="240" w:lineRule="auto"/>
        <w:ind w:right="105"/>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3,759,093,820.70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4,002,123,734.59</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790,646.99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3,660.00</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3,577,207,747.68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3,764,459,232.84</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变压器类</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117,531,965.26</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111,211,469.58</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269,623,461.49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255,876,143.78</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电动工具类</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191,287,582.63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179,734,154.62</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244,017,106.33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229,986,122.72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电机类</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1,250,179,937.27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1,174,225,820.13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1,983,881,002.03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1,863,940,338.25</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电器类</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299,913,730.89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283,241,021.29</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433,799,457.72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408,422,189.44</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1,456,345,755.37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1,412,433,177.86</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239,167,071.73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227,328,301.68</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443,834,849.28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415,973,974.37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831,635,635.29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778,906,136.97</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3,759,093,820.70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3,576,819,617.85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4,002,123,734.59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3,764,459,232.84</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2,023,513,462.38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1,900,931,004.87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3,170,488,099.30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2,985,553,095.87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443,834,849.29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415,973,974.37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831,635,635.29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778,906,136.97</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铜线、坯管等</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1,291,745,509.03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1,259,914,638.61</w:t>
            </w:r>
          </w:p>
        </w:tc>
        <w:tc>
          <w:tcPr>
            <w:tcW w:w="1728"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3,759,093,820.70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3,576,819,617.85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4,002,123,734.59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3,764,459,232.84</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3,629,415,048.09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3,456,177,932.09</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3,719,851,374.44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3,501,621,556.09</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129,678,772.61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120,641,685.76</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282,272,360.15</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262,837,676.75</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3,759,093,820.70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3,576,819,617.85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4,002,123,734.59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3,764,459,232.84</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上海宝锦贸易有限公司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235,916,087.89</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上海晋金实业有限公司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172,231,274.48</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中国兵工物资华东有限公司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162,284,088.40</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宁波百道尔投资有限公司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91,484,422.97</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上海辽筠贸易有限公司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84,751,487.31</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746,667,361.05</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5"/>
        <w:gridCol w:w="1592"/>
        <w:gridCol w:w="1594"/>
        <w:gridCol w:w="1595"/>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bl>
    <w:p>
      <w:pPr>
        <w:spacing w:after="0" w:line="240" w:lineRule="auto"/>
        <w:jc w:val="center"/>
        <w:rPr>
          <w:rFonts w:ascii="宋体" w:hAnsi="宋体" w:cs="宋体" w:eastAsia="宋体" w:hint="default"/>
          <w:sz w:val="18"/>
          <w:szCs w:val="18"/>
        </w:rPr>
        <w:sectPr>
          <w:footerReference w:type="default" r:id="rId42"/>
          <w:pgSz w:w="11910" w:h="16840"/>
          <w:pgMar w:footer="980" w:header="747" w:top="1060" w:bottom="1160" w:left="1020" w:right="1020"/>
          <w:pgNumType w:start="1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4,260.24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144,319.84</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1,547,986.76</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1,412,893.47</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1,523,154.52</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1,329,483.25</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3,075,401.52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2,886,696.56</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10,188,200.63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15,047,877.95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2,919,201.89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3,025,763.41</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1,054,010.85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1,255,801.35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548,806.15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367,800.00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181,840.00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1,544,357.54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3,255,742.55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16,622,377.06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22,809,025.26</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16,441,947.97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18,520,726.93</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6,236,647.55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6,153,273.90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5,686,598.45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6,554,429.89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2,178,143.04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3,437,875.87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3,573,799.68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6,258,515.71</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1,724,238.64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1,724,562.64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2,726,008.12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1,372,831.44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9,580,367.34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3,195,379.22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48,147,750.79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47,217,595.60</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46,608,757.78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41,733,607.42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-20,873,477.99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-9,754,604.65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2,108,481.97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169,409.46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13,784,758.65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8,123,340.69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41,628,520.41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40,271,752.92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23,185,525.80</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-1,927,422.29</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4,138,519.16</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23,185,525.80</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2,211,096.87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714"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93" w:right="84"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896.25</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3,825,580.00</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3,770,300.00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3,770,300.00</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2,100.00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217,645.59</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217,645.59</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3,828,576.25</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3,987,945.59</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3,987,945.59</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经济类奖励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2,727,880.00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132,000.00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科技类奖励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659,600.00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3,185,400.00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人才引进类奖励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328,100.00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环保节能类奖励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3,825,580.00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3,770,300.00</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714"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1,574.89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18,014.83</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1,574.89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18,014.83</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1,574.89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18,014.83</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4,246,030.55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4,399,087.38</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300.01</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4,247,905.45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4,417,102.21</w:t>
            </w:r>
          </w:p>
        </w:tc>
        <w:tc>
          <w:tcPr>
            <w:tcW w:w="1914"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656"/>
        <w:gridCol w:w="2522"/>
        <w:gridCol w:w="2390"/>
      </w:tblGrid>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17,276,504.95</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32,935,871.22</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-304,923.56</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-548,624.90</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16,971,581.39</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32,387,246.32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4"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基本每股收益的计算过程</w:t>
      </w: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320"/>
        <w:gridCol w:w="1440"/>
        <w:gridCol w:w="2178"/>
      </w:tblGrid>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19"/>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A</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187"/>
              <w:jc w:val="right"/>
              <w:rPr>
                <w:rFonts w:ascii="Times New Roman" w:hAnsi="Times New Roman" w:cs="Times New Roman" w:eastAsia="Times New Roman" w:hint="default"/>
                <w:sz w:val="18"/>
                <w:szCs w:val="18"/>
              </w:rPr>
            </w:pPr>
            <w:r>
              <w:rPr>
                <w:rFonts w:ascii="Times New Roman"/>
                <w:sz w:val="18"/>
              </w:rPr>
              <w:t>31,616,376.29</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187"/>
              <w:jc w:val="right"/>
              <w:rPr>
                <w:rFonts w:ascii="Times New Roman" w:hAnsi="Times New Roman" w:cs="Times New Roman" w:eastAsia="Times New Roman" w:hint="default"/>
                <w:sz w:val="18"/>
                <w:szCs w:val="18"/>
              </w:rPr>
            </w:pPr>
            <w:r>
              <w:rPr>
                <w:rFonts w:ascii="Times New Roman"/>
                <w:sz w:val="18"/>
              </w:rPr>
              <w:t>12,062,606.80</w:t>
            </w:r>
          </w:p>
        </w:tc>
      </w:tr>
      <w:tr>
        <w:trPr>
          <w:trHeight w:val="659"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161"/>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 润</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C=A-B</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187"/>
              <w:jc w:val="right"/>
              <w:rPr>
                <w:rFonts w:ascii="Times New Roman" w:hAnsi="Times New Roman" w:cs="Times New Roman" w:eastAsia="Times New Roman" w:hint="default"/>
                <w:sz w:val="18"/>
                <w:szCs w:val="18"/>
              </w:rPr>
            </w:pPr>
            <w:r>
              <w:rPr>
                <w:rFonts w:ascii="Times New Roman"/>
                <w:sz w:val="18"/>
              </w:rPr>
              <w:t>19,553,769.49</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187"/>
              <w:jc w:val="right"/>
              <w:rPr>
                <w:rFonts w:ascii="Times New Roman" w:hAnsi="Times New Roman" w:cs="Times New Roman" w:eastAsia="Times New Roman" w:hint="default"/>
                <w:sz w:val="18"/>
                <w:szCs w:val="18"/>
              </w:rPr>
            </w:pPr>
            <w:r>
              <w:rPr>
                <w:rFonts w:ascii="Times New Roman"/>
                <w:sz w:val="18"/>
              </w:rPr>
              <w:t>168,910,000.00</w:t>
            </w:r>
          </w:p>
        </w:tc>
      </w:tr>
      <w:tr>
        <w:trPr>
          <w:trHeight w:val="348"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E</w:t>
            </w:r>
          </w:p>
        </w:tc>
        <w:tc>
          <w:tcPr>
            <w:tcW w:w="2178" w:type="dxa"/>
            <w:tcBorders>
              <w:top w:val="single" w:sz="6" w:space="0" w:color="010101"/>
              <w:left w:val="single" w:sz="6" w:space="0" w:color="010101"/>
              <w:bottom w:val="single" w:sz="6" w:space="0" w:color="010101"/>
              <w:right w:val="nil" w:sz="6" w:space="0" w:color="auto"/>
            </w:tcBorders>
          </w:tcPr>
          <w:p>
            <w:pP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F</w:t>
            </w:r>
          </w:p>
        </w:tc>
        <w:tc>
          <w:tcPr>
            <w:tcW w:w="2178" w:type="dxa"/>
            <w:tcBorders>
              <w:top w:val="single" w:sz="6" w:space="0" w:color="010101"/>
              <w:left w:val="single" w:sz="6" w:space="0" w:color="010101"/>
              <w:bottom w:val="single" w:sz="6" w:space="0" w:color="010101"/>
              <w:right w:val="nil" w:sz="6" w:space="0" w:color="auto"/>
            </w:tcBorders>
          </w:tcPr>
          <w:p>
            <w:pP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G</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H</w:t>
            </w:r>
          </w:p>
        </w:tc>
        <w:tc>
          <w:tcPr>
            <w:tcW w:w="2178" w:type="dxa"/>
            <w:tcBorders>
              <w:top w:val="single" w:sz="6" w:space="0" w:color="010101"/>
              <w:left w:val="single" w:sz="6" w:space="0" w:color="010101"/>
              <w:bottom w:val="single" w:sz="6" w:space="0" w:color="010101"/>
              <w:right w:val="nil" w:sz="6" w:space="0" w:color="auto"/>
            </w:tcBorders>
          </w:tcPr>
          <w:p>
            <w:pP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I</w:t>
            </w:r>
          </w:p>
        </w:tc>
        <w:tc>
          <w:tcPr>
            <w:tcW w:w="2178" w:type="dxa"/>
            <w:tcBorders>
              <w:top w:val="single" w:sz="6" w:space="0" w:color="010101"/>
              <w:left w:val="single" w:sz="6" w:space="0" w:color="010101"/>
              <w:bottom w:val="single" w:sz="6" w:space="0" w:color="010101"/>
              <w:right w:val="nil" w:sz="6" w:space="0" w:color="auto"/>
            </w:tcBorders>
          </w:tcPr>
          <w:p>
            <w:pP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J</w:t>
            </w:r>
          </w:p>
        </w:tc>
        <w:tc>
          <w:tcPr>
            <w:tcW w:w="2178" w:type="dxa"/>
            <w:tcBorders>
              <w:top w:val="single" w:sz="6" w:space="0" w:color="010101"/>
              <w:left w:val="single" w:sz="6" w:space="0" w:color="010101"/>
              <w:bottom w:val="single" w:sz="6" w:space="0" w:color="010101"/>
              <w:right w:val="nil" w:sz="6" w:space="0" w:color="auto"/>
            </w:tcBorders>
          </w:tcPr>
          <w:p>
            <w:pPr/>
          </w:p>
        </w:tc>
      </w:tr>
      <w:tr>
        <w:trPr>
          <w:trHeight w:val="348"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K</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12</w:t>
            </w:r>
          </w:p>
        </w:tc>
      </w:tr>
      <w:tr>
        <w:trPr>
          <w:trHeight w:val="659"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L=D+E+F×G/K-H</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×I/K-J</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0"/>
              <w:ind w:right="187"/>
              <w:jc w:val="right"/>
              <w:rPr>
                <w:rFonts w:ascii="Times New Roman" w:hAnsi="Times New Roman" w:cs="Times New Roman" w:eastAsia="Times New Roman" w:hint="default"/>
                <w:sz w:val="18"/>
                <w:szCs w:val="18"/>
              </w:rPr>
            </w:pPr>
            <w:r>
              <w:rPr>
                <w:rFonts w:ascii="Times New Roman"/>
                <w:sz w:val="18"/>
              </w:rPr>
              <w:t>168,910,000.00</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M=A/L</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0.19</w:t>
            </w:r>
          </w:p>
        </w:tc>
      </w:tr>
      <w:tr>
        <w:trPr>
          <w:trHeight w:val="347" w:hRule="exact"/>
        </w:trPr>
        <w:tc>
          <w:tcPr>
            <w:tcW w:w="432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N=C/L</w:t>
            </w:r>
          </w:p>
        </w:tc>
        <w:tc>
          <w:tcPr>
            <w:tcW w:w="2178" w:type="dxa"/>
            <w:tcBorders>
              <w:top w:val="single" w:sz="6" w:space="0" w:color="010101"/>
              <w:left w:val="single" w:sz="6" w:space="0" w:color="010101"/>
              <w:bottom w:val="single" w:sz="6" w:space="0" w:color="010101"/>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0.12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105"/>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2"/>
        <w:gridCol w:w="2524"/>
        <w:gridCol w:w="2393"/>
      </w:tblGrid>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5"/>
        <w:spacing w:line="240" w:lineRule="auto" w:before="118"/>
        <w:ind w:right="105"/>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收到诸暨市逸景园林工程有限公司等大额往来款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586,500,000.00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承兑汇票、信用证保证金收回</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75,543,800.00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8,345,362.04</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3,567,580.00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32,390.65</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673,989,132.69</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支付诸暨市逸景园林工程有限公司等大额往来款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586,500,000.00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承兑汇票、信用证保证金支出</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392,442,072.00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支付浙江中兴金属材料有限公司大额往来款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45,500,000.00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10,188,200.63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公司经费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5,840,049.21</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13,784,758.65</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16,662,418.33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1,070,917,498.82</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5576;height:394" coordorigin="14,14" coordsize="5576,394">
              <v:shape style="position:absolute;left:14;top:14;width:5576;height:394" coordorigin="14,14" coordsize="5576,394" path="m14,408l5590,408,5590,14,14,14,14,408xe" filled="true" fillcolor="#d3d3d3" stroked="false">
                <v:path arrowok="t"/>
                <v:fill type="solid"/>
              </v:shape>
            </v:group>
            <v:group style="position:absolute;left:5598;top:14;width:3976;height:394" coordorigin="5598,14" coordsize="3976,394">
              <v:shape style="position:absolute;left:5598;top:14;width:3976;height:394" coordorigin="5598,14" coordsize="3976,394" path="m5598,408l9574,408,9574,14,5598,14,5598,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576;height:395" coordorigin="14,13" coordsize="5576,395">
              <v:shape style="position:absolute;left:14;top:13;width:5576;height:395" coordorigin="14,13" coordsize="5576,395" path="m14,408l5590,408,5590,13,14,13,14,408xe" filled="true" fillcolor="#d3d3d3" stroked="false">
                <v:path arrowok="t"/>
                <v:fill type="solid"/>
              </v:shape>
            </v:group>
            <v:group style="position:absolute;left:5598;top:13;width:3976;height:395" coordorigin="5598,13" coordsize="3976,395">
              <v:shape style="position:absolute;left:5598;top:13;width:3976;height:395" coordorigin="5598,13" coordsize="3976,395" path="m5598,408l9574,408,9574,13,5598,13,5598,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576;height:394" coordorigin="14,13" coordsize="5576,394">
              <v:shape style="position:absolute;left:14;top:13;width:5576;height:394" coordorigin="14,13" coordsize="5576,394" path="m14,407l5590,407,5590,13,14,13,14,407xe" filled="true" fillcolor="#d3d3d3" stroked="false">
                <v:path arrowok="t"/>
                <v:fill type="solid"/>
              </v:shape>
            </v:group>
            <v:group style="position:absolute;left:5598;top:13;width:3976;height:394" coordorigin="5598,13" coordsize="3976,394">
              <v:shape style="position:absolute;left:5598;top:13;width:3976;height:394" coordorigin="5598,13" coordsize="3976,394" path="m5598,407l9574,407,9574,13,5598,13,5598,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支付的上市发行费用</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7,665,000.00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支付的融资顾问费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1,100,000.00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8,765,000.00</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32,626,233.84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89,455,591.60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23,185,525.80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2,211,096.87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23,565,595.58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23,646,059.98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1,724,238.64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1,724,562.64</w:t>
            </w:r>
          </w:p>
        </w:tc>
      </w:tr>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678.64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18,014.83</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48,717,239.75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32,148,412.23</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-304,923.56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-548,624.90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-43,599,041.08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8,115,763.05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-1,112,712,909.84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-95,948,043.77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463,548,918.32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170,267,231.78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-563,248,443.91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231,090,064.31</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19,932,141.47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732,727,339.44</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732,727,339.44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278,875,555.55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-712,795,197.97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453,851,783.89</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19,932,141.47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732,727,339.44</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118,647.40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136,747.17</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19,273,113.55</w:t>
            </w:r>
            <w:r>
              <w:rPr>
                <w:rFonts w:ascii="Times New Roman"/>
                <w:sz w:val="18"/>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522,841,569.17</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540,380.52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209,749,023.10</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19,932,141.47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732,727,339.44</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pStyle w:val="BodyText"/>
        <w:spacing w:line="256" w:lineRule="auto" w:before="90"/>
        <w:ind w:left="113" w:right="105" w:firstLine="420"/>
        <w:jc w:val="left"/>
      </w:pPr>
      <w:r>
        <w:rPr>
          <w:spacing w:val="-2"/>
        </w:rPr>
        <w:t>期末货币资金余额中包括银行承兑汇票保证金、信用证保证金及已质押的定期存款共计</w:t>
      </w:r>
      <w:r>
        <w:rPr>
          <w:rFonts w:ascii="Times New Roman" w:hAnsi="Times New Roman" w:cs="Times New Roman" w:eastAsia="Times New Roman" w:hint="default"/>
          <w:spacing w:val="-2"/>
        </w:rPr>
        <w:t>392,442,072.00</w:t>
      </w:r>
      <w:r>
        <w:rPr>
          <w:rFonts w:ascii="Times New Roman" w:hAnsi="Times New Roman" w:cs="Times New Roman" w:eastAsia="Times New Roman" w:hint="default"/>
        </w:rPr>
        <w:t> </w:t>
      </w:r>
      <w:r>
        <w:rPr/>
        <w:t>元，不属于现金及现金等价物。</w:t>
      </w:r>
    </w:p>
    <w:p>
      <w:pPr>
        <w:pStyle w:val="BodyText"/>
        <w:spacing w:line="256" w:lineRule="auto" w:before="22"/>
        <w:ind w:left="113" w:right="123" w:firstLine="420"/>
        <w:jc w:val="left"/>
      </w:pPr>
      <w:r>
        <w:rPr/>
        <w:t>期初货币资金余额中包括银行承兑汇票保证金及信用证保证金共计</w:t>
      </w:r>
      <w:r>
        <w:rPr>
          <w:rFonts w:ascii="Times New Roman" w:hAnsi="Times New Roman" w:cs="Times New Roman" w:eastAsia="Times New Roman" w:hint="default"/>
        </w:rPr>
        <w:t>75,543,800.00</w:t>
      </w:r>
      <w:r>
        <w:rPr/>
        <w:t>元，不属于现金及现 金等价物。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 w:right="105"/>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说明对上年年末余额进行调整的“其他”项目名称及调整金额、由同一控制下企业合并产生的追溯调整等事项</w:t>
      </w:r>
    </w:p>
    <w:p>
      <w:pPr>
        <w:spacing w:line="240" w:lineRule="auto" w:before="1"/>
        <w:rPr>
          <w:rFonts w:ascii="宋体" w:hAnsi="宋体" w:cs="宋体" w:eastAsia="宋体" w:hint="default"/>
          <w:sz w:val="25"/>
          <w:szCs w:val="25"/>
        </w:rPr>
      </w:pPr>
    </w:p>
    <w:p>
      <w:pPr>
        <w:pStyle w:val="Heading2"/>
        <w:spacing w:line="240" w:lineRule="auto" w:before="0"/>
        <w:ind w:right="105"/>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ind w:right="105"/>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735" w:hRule="exact"/>
        </w:trPr>
        <w:tc>
          <w:tcPr>
            <w:tcW w:w="87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0" w:lineRule="atLeast" w:before="1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0" w:lineRule="atLeast" w:before="1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母公司对 本企业的</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母公司对 本企业的</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0" w:lineRule="atLeast" w:before="1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0" w:lineRule="atLeast" w:before="1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56" w:hRule="exact"/>
        </w:trPr>
        <w:tc>
          <w:tcPr>
            <w:tcW w:w="874"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178" w:lineRule="exact"/>
              <w:ind w:left="6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178" w:lineRule="exact"/>
              <w:ind w:left="69" w:right="0"/>
              <w:jc w:val="left"/>
              <w:rPr>
                <w:rFonts w:ascii="宋体" w:hAnsi="宋体" w:cs="宋体" w:eastAsia="宋体" w:hint="default"/>
                <w:sz w:val="18"/>
                <w:szCs w:val="18"/>
              </w:rPr>
            </w:pPr>
            <w:r>
              <w:rPr>
                <w:rFonts w:ascii="宋体" w:hAnsi="宋体" w:cs="宋体" w:eastAsia="宋体" w:hint="default"/>
                <w:sz w:val="18"/>
                <w:szCs w:val="18"/>
              </w:rPr>
              <w:t>表决权比</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62" w:hRule="exact"/>
        </w:trPr>
        <w:tc>
          <w:tcPr>
            <w:tcW w:w="87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left="2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60" w:type="dxa"/>
            <w:tcBorders>
              <w:top w:val="single" w:sz="4" w:space="0" w:color="010101"/>
              <w:left w:val="single" w:sz="4" w:space="0" w:color="010101"/>
              <w:bottom w:val="single" w:sz="4" w:space="0" w:color="010101"/>
              <w:right w:val="single" w:sz="4" w:space="0" w:color="010101"/>
            </w:tcBorders>
            <w:shd w:val="clear" w:color="auto" w:fill="D3D3D3"/>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714" w:hRule="exact"/>
        </w:trPr>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57" w:hRule="exact"/>
        </w:trPr>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5"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6"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33"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02" w:right="109"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1"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9" w:hRule="exact"/>
        </w:trPr>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5"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实际控制人之妹</w:t>
            </w:r>
          </w:p>
        </w:tc>
        <w:tc>
          <w:tcPr>
            <w:tcW w:w="31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实际控制人之弟</w:t>
            </w:r>
          </w:p>
        </w:tc>
        <w:tc>
          <w:tcPr>
            <w:tcW w:w="31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实际控制人之女</w:t>
            </w:r>
          </w:p>
        </w:tc>
        <w:tc>
          <w:tcPr>
            <w:tcW w:w="31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实际控制人之子</w:t>
            </w:r>
          </w:p>
        </w:tc>
        <w:tc>
          <w:tcPr>
            <w:tcW w:w="31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受戚建萍控制</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66711901-8</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浙江宏磊控股集团有限公司之子公司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75907691-6</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遵义宏磊房地产开发有限公司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浙江宏磊控股集团有限公司之子公司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69750815-3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诸暨市耀圣工贸有限公司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受金敏燕控制</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76866482-4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浙江宏森园林建设有限公司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受戚建华控制</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78182166-0</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浙江诸暨东都房地产开发有限公司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受戚建生控制</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68997985-2</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0" w:right="119" w:firstLine="0"/>
        <w:jc w:val="right"/>
        <w:rPr>
          <w:rFonts w:ascii="宋体" w:hAnsi="宋体" w:cs="宋体" w:eastAsia="宋体" w:hint="default"/>
          <w:sz w:val="18"/>
          <w:szCs w:val="18"/>
        </w:rPr>
      </w:pPr>
      <w:r>
        <w:rPr/>
        <w:pict>
          <v:shape style="position:absolute;margin-left:409.6203pt;margin-top:-31.507353pt;width:85.4pt;height:50.9pt;mso-position-horizontal-relative:page;mso-position-vertical-relative:paragraph;z-index:-833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87353pt;width:479.1pt;height:71.9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tcBorders>
                          <w:top w:val="single" w:sz="4" w:space="0" w:color="010101"/>
                          <w:left w:val="single" w:sz="4" w:space="0" w:color="010101"/>
                          <w:bottom w:val="nil" w:sz="6" w:space="0" w:color="auto"/>
                          <w:right w:val="single" w:sz="4" w:space="0" w:color="010101"/>
                        </w:tcBorders>
                        <w:shd w:val="clear" w:color="auto" w:fill="D3D3D3"/>
                      </w:tcPr>
                      <w:p>
                        <w:pPr/>
                      </w:p>
                    </w:tc>
                    <w:tc>
                      <w:tcPr>
                        <w:tcW w:w="1727"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9"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7" w:hRule="exact"/>
                    </w:trPr>
                    <w:tc>
                      <w:tcPr>
                        <w:tcW w:w="1597" w:type="dxa"/>
                        <w:tcBorders>
                          <w:top w:val="nil" w:sz="6" w:space="0" w:color="auto"/>
                          <w:left w:val="single" w:sz="4" w:space="0" w:color="010101"/>
                          <w:bottom w:val="single" w:sz="4" w:space="0" w:color="010101"/>
                          <w:right w:val="single" w:sz="4" w:space="0" w:color="010101"/>
                        </w:tcBorders>
                        <w:shd w:val="clear" w:color="auto" w:fill="D3D3D3"/>
                      </w:tcPr>
                      <w:p>
                        <w:pPr/>
                      </w:p>
                    </w:tc>
                    <w:tc>
                      <w:tcPr>
                        <w:tcW w:w="1727"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5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9" w:firstLine="0"/>
        <w:jc w:val="right"/>
        <w:rPr>
          <w:rFonts w:ascii="宋体" w:hAnsi="宋体" w:cs="宋体" w:eastAsia="宋体" w:hint="default"/>
          <w:sz w:val="18"/>
          <w:szCs w:val="18"/>
        </w:rPr>
      </w:pPr>
      <w:r>
        <w:rPr/>
        <w:pict>
          <v:shape style="position:absolute;margin-left:409.6203pt;margin-top:-31.50737pt;width:85.4pt;height:50.95pt;mso-position-horizontal-relative:page;mso-position-vertical-relative:paragraph;z-index:-833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2737pt;width:479.1pt;height:71.9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tcBorders>
                          <w:top w:val="single" w:sz="4" w:space="0" w:color="010101"/>
                          <w:left w:val="single" w:sz="4" w:space="0" w:color="010101"/>
                          <w:bottom w:val="nil" w:sz="6" w:space="0" w:color="auto"/>
                          <w:right w:val="single" w:sz="4" w:space="0" w:color="010101"/>
                        </w:tcBorders>
                        <w:shd w:val="clear" w:color="auto" w:fill="D3D3D3"/>
                      </w:tcPr>
                      <w:p>
                        <w:pPr/>
                      </w:p>
                    </w:tc>
                    <w:tc>
                      <w:tcPr>
                        <w:tcW w:w="1727"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7"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9" w:hRule="exact"/>
                    </w:trPr>
                    <w:tc>
                      <w:tcPr>
                        <w:tcW w:w="1597" w:type="dxa"/>
                        <w:tcBorders>
                          <w:top w:val="nil" w:sz="6" w:space="0" w:color="auto"/>
                          <w:left w:val="single" w:sz="4" w:space="0" w:color="010101"/>
                          <w:bottom w:val="single" w:sz="4" w:space="0" w:color="010101"/>
                          <w:right w:val="single" w:sz="4" w:space="0" w:color="010101"/>
                        </w:tcBorders>
                        <w:shd w:val="clear" w:color="auto" w:fill="D3D3D3"/>
                      </w:tcPr>
                      <w:p>
                        <w:pPr/>
                      </w:p>
                    </w:tc>
                    <w:tc>
                      <w:tcPr>
                        <w:tcW w:w="1727"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5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28"/>
          <w:szCs w:val="28"/>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1026"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0"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9" w:lineRule="auto" w:before="49"/>
              <w:ind w:left="43" w:right="43"/>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2"/>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714"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410"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08" w:right="43"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13"/>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714"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9"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15"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3"/>
        <w:gridCol w:w="1370"/>
        <w:gridCol w:w="1374"/>
        <w:gridCol w:w="1368"/>
        <w:gridCol w:w="1368"/>
        <w:gridCol w:w="1368"/>
        <w:gridCol w:w="1349"/>
      </w:tblGrid>
      <w:tr>
        <w:trPr>
          <w:trHeight w:val="714" w:hRule="exact"/>
        </w:trPr>
        <w:tc>
          <w:tcPr>
            <w:tcW w:w="13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70" w:right="0"/>
              <w:jc w:val="left"/>
              <w:rPr>
                <w:rFonts w:ascii="宋体" w:hAnsi="宋体" w:cs="宋体" w:eastAsia="宋体" w:hint="default"/>
                <w:sz w:val="18"/>
                <w:szCs w:val="18"/>
              </w:rPr>
            </w:pPr>
            <w:r>
              <w:rPr>
                <w:rFonts w:ascii="宋体" w:hAnsi="宋体" w:cs="宋体" w:eastAsia="宋体" w:hint="default"/>
                <w:sz w:val="18"/>
                <w:szCs w:val="18"/>
              </w:rPr>
              <w:t>担保是否已经履行</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6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完毕</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2,150.00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1,026.38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2,348.00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3"/>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1,576.95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1,044.21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浙江宏磊东南房地 产开发有限公司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浙江宏磊东南房地 产开发有限公司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2,680.00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734.12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2,606.13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江西宏磊铜业有限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江西宏磊铜业有限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2,223.00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1,475.00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1,495.91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4"/>
          <w:pgSz w:w="11910" w:h="16840"/>
          <w:pgMar w:footer="980" w:header="747" w:top="1060" w:bottom="1160" w:left="1020" w:right="1020"/>
          <w:pgNumType w:start="13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6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3,417.50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846.31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金磊，戚建萍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金磊</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浙江宏磊东南房地 产开发有限公司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浙江宏磊东南房地 产开发有限公司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2,850.00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诸暨市耀圣工贸有 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2,125.00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1,125.00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浙江宏磊铜业股份 有限公司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2,140.00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遵义宏磊房地产开 发有限公司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6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6" w:lineRule="auto" w:before="90"/>
        <w:ind w:left="533" w:right="105"/>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：同时由浙江洁丽雅毛巾有限公司提供最高额保证担保。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：同时由公司拥有的房屋建筑物和土地使用权提供抵押担保。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：同时由子公司浙江宏天铜业有限公司以其拥有的房屋建筑物和土地使用权提供最高额抵押担</w:t>
      </w:r>
      <w:r>
        <w:rPr/>
      </w:r>
    </w:p>
    <w:p>
      <w:pPr>
        <w:pStyle w:val="BodyText"/>
        <w:spacing w:line="240" w:lineRule="auto" w:before="5"/>
        <w:ind w:left="219" w:right="105"/>
        <w:jc w:val="left"/>
      </w:pPr>
      <w:r>
        <w:rPr/>
        <w:t>保。</w:t>
      </w:r>
    </w:p>
    <w:p>
      <w:pPr>
        <w:pStyle w:val="BodyText"/>
        <w:spacing w:line="256" w:lineRule="auto" w:before="37"/>
        <w:ind w:left="533" w:right="45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：同时由子公司江西宏磊铜业有限公司、浙江洁丽雅毛巾有限公司提供连带责任保证担保。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5]</w:t>
      </w:r>
      <w:r>
        <w:rPr/>
        <w:t>：同时由浙江大东南集团有限公司提供最高额保证担保。</w:t>
      </w:r>
    </w:p>
    <w:p>
      <w:pPr>
        <w:pStyle w:val="BodyText"/>
        <w:spacing w:line="256" w:lineRule="auto" w:before="5"/>
        <w:ind w:left="533" w:right="105" w:hanging="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w:t>
      </w:r>
      <w:r>
        <w:rPr>
          <w:spacing w:val="-1"/>
        </w:rPr>
        <w:t> </w:t>
      </w:r>
      <w:r>
        <w:rPr/>
        <w:t>同时由子公司浙江宏天铜业有限公司以其拥有的土地使用权提供最高额抵押担保。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：同时由浙江洁丽雅纺织集团有限公司提供最高额保证担保。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8]</w:t>
      </w:r>
      <w:r>
        <w:rPr>
          <w:spacing w:val="-2"/>
        </w:rPr>
        <w:t>：同时由公司以其拥有的铜制品提供质押担保，并由浙江洁丽雅毛巾有限公司、子公司江西宏磊</w:t>
      </w:r>
    </w:p>
    <w:p>
      <w:pPr>
        <w:pStyle w:val="BodyText"/>
        <w:spacing w:line="240" w:lineRule="auto" w:before="5"/>
        <w:ind w:left="219" w:right="105"/>
        <w:jc w:val="left"/>
      </w:pPr>
      <w:r>
        <w:rPr/>
        <w:t>铜业有限公司提供连带责任保证担保。</w:t>
      </w:r>
    </w:p>
    <w:p>
      <w:pPr>
        <w:pStyle w:val="BodyText"/>
        <w:spacing w:line="240" w:lineRule="auto" w:before="37"/>
        <w:ind w:left="533" w:right="105"/>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9]</w:t>
      </w:r>
      <w:r>
        <w:rPr/>
        <w:t>：</w:t>
      </w:r>
      <w:r>
        <w:rPr>
          <w:spacing w:val="-3"/>
        </w:rPr>
        <w:t> </w:t>
      </w:r>
      <w:r>
        <w:rPr/>
        <w:t>同时由浙江东方环保设备有限公司提供最高额保证担保。</w:t>
      </w:r>
    </w:p>
    <w:p>
      <w:pPr>
        <w:pStyle w:val="BodyText"/>
        <w:spacing w:line="240" w:lineRule="auto" w:before="21"/>
        <w:ind w:left="533" w:right="105"/>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10]??</w:t>
      </w:r>
      <w:r>
        <w:rPr/>
        <w:t>时</w:t>
      </w:r>
      <w:r>
        <w:rPr>
          <w:rFonts w:ascii="Times New Roman" w:hAnsi="Times New Roman" w:cs="Times New Roman" w:eastAsia="Times New Roman" w:hint="default"/>
        </w:rPr>
        <w:t>????</w:t>
      </w:r>
      <w:r>
        <w:rPr/>
        <w:t>团</w:t>
      </w:r>
      <w:r>
        <w:rPr>
          <w:rFonts w:ascii="Times New Roman" w:hAnsi="Times New Roman" w:cs="Times New Roman" w:eastAsia="Times New Roman" w:hint="default"/>
        </w:rPr>
        <w:t>????????</w:t>
      </w:r>
      <w:r>
        <w:rPr/>
        <w:t>额</w:t>
      </w:r>
      <w:r>
        <w:rPr>
          <w:rFonts w:ascii="Times New Roman" w:hAnsi="Times New Roman" w:cs="Times New Roman" w:eastAsia="Times New Roman" w:hint="default"/>
        </w:rPr>
        <w:t>?</w:t>
      </w:r>
      <w:r>
        <w:rPr/>
        <w:t>证</w:t>
      </w:r>
      <w:r>
        <w:rPr>
          <w:rFonts w:ascii="Times New Roman" w:hAnsi="Times New Roman" w:cs="Times New Roman" w:eastAsia="Times New Roman" w:hint="default"/>
        </w:rPr>
        <w:t>???</w:t>
      </w:r>
    </w:p>
    <w:p>
      <w:pPr>
        <w:pStyle w:val="BodyText"/>
        <w:spacing w:line="256" w:lineRule="auto" w:before="21"/>
        <w:ind w:left="533" w:right="105"/>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11]</w:t>
      </w:r>
      <w:r>
        <w:rPr/>
        <w:t>：同时由浙江新兴针织服饰有限公司提供最高额保证担保。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12]</w:t>
      </w:r>
      <w:r>
        <w:rPr/>
        <w:t>：同时由浙江洁达环保集团有限公司提供最高额保证担保。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13]</w:t>
      </w:r>
      <w:r>
        <w:rPr/>
        <w:t>：同时由浙江瑞远机床有限公司、浙江洁丽雅纺织集团有限公司提供最高额保证担保。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14]</w:t>
      </w:r>
      <w:r>
        <w:rPr/>
        <w:t>：同时由浙江友谊特种钢有限公司和章巍峰提供最高额保证担保。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15]</w:t>
      </w:r>
      <w:r>
        <w:rPr/>
        <w:t>：同时由浙江瑞远机床有限公司提供最高额保证担保。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16]</w:t>
      </w:r>
      <w:r>
        <w:rPr/>
        <w:t>：同时由浙江友谊光电缆有限公司提供最高额保证担保。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17]</w:t>
      </w:r>
      <w:r>
        <w:rPr/>
        <w:t>：同时由浙江宏森园林建设有限公司提供最高额保证担保。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18]</w:t>
      </w:r>
      <w:r>
        <w:rPr/>
        <w:t>：同时由海汛集团有限公司提供最高额保证担保。</w:t>
      </w:r>
    </w:p>
    <w:p>
      <w:pPr>
        <w:pStyle w:val="BodyText"/>
        <w:spacing w:line="256" w:lineRule="auto" w:before="5"/>
        <w:ind w:left="113" w:right="106"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金磊、戚建萍分别与中国银行诸暨市支行签订《最高额抵押合同》，以其拥</w:t>
      </w:r>
      <w:r>
        <w:rPr>
          <w:spacing w:val="2"/>
        </w:rPr>
        <w:t> </w:t>
      </w:r>
      <w:r>
        <w:rPr/>
        <w:t>有的房地产为公司在该行取得的最高额不超过</w:t>
      </w:r>
      <w:r>
        <w:rPr>
          <w:rFonts w:ascii="Times New Roman" w:hAnsi="Times New Roman" w:cs="Times New Roman" w:eastAsia="Times New Roman" w:hint="default"/>
        </w:rPr>
        <w:t>1,318</w:t>
      </w:r>
      <w:r>
        <w:rPr/>
        <w:t>万元、</w:t>
      </w:r>
      <w:r>
        <w:rPr>
          <w:rFonts w:ascii="Times New Roman" w:hAnsi="Times New Roman" w:cs="Times New Roman" w:eastAsia="Times New Roman" w:hint="default"/>
        </w:rPr>
        <w:t>515</w:t>
      </w:r>
      <w:r>
        <w:rPr/>
        <w:t>万元的债务提供抵押担保，担保期限为</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公司在该合同项下的银行借款余额为</w:t>
      </w:r>
      <w:r>
        <w:rPr>
          <w:rFonts w:ascii="Times New Roman" w:hAnsi="Times New Roman" w:cs="Times New Roman" w:eastAsia="Times New Roman" w:hint="default"/>
        </w:rPr>
        <w:t>1,200</w:t>
      </w:r>
      <w:r>
        <w:rPr/>
        <w:t>万元，该笔</w:t>
      </w:r>
      <w:r>
        <w:rPr>
          <w:spacing w:val="-46"/>
        </w:rPr>
        <w:t> </w:t>
      </w:r>
      <w:r>
        <w:rPr>
          <w:spacing w:val="-46"/>
        </w:rPr>
      </w:r>
      <w:r>
        <w:rPr/>
        <w:t>借款同时由戚建萍提供</w:t>
      </w:r>
      <w:r>
        <w:rPr>
          <w:rFonts w:ascii="Times New Roman" w:hAnsi="Times New Roman" w:cs="Times New Roman" w:eastAsia="Times New Roman" w:hint="default"/>
        </w:rPr>
        <w:t>17</w:t>
      </w:r>
      <w:r>
        <w:rPr/>
        <w:t>，</w:t>
      </w:r>
      <w:r>
        <w:rPr>
          <w:rFonts w:ascii="Times New Roman" w:hAnsi="Times New Roman" w:cs="Times New Roman" w:eastAsia="Times New Roman" w:hint="default"/>
        </w:rPr>
        <w:t>000</w:t>
      </w:r>
      <w:r>
        <w:rPr/>
        <w:t>万最高额保证担保。</w:t>
      </w:r>
    </w:p>
    <w:p>
      <w:pPr>
        <w:pStyle w:val="BodyText"/>
        <w:spacing w:line="256" w:lineRule="auto" w:before="5"/>
        <w:ind w:left="113" w:right="110" w:firstLine="525"/>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金磊与中国农业银行诸暨支行签订《最高额抵押合同》，以其拥有的房地产 为公司在该行取得的最高额不超过</w:t>
      </w:r>
      <w:r>
        <w:rPr>
          <w:rFonts w:ascii="Times New Roman" w:hAnsi="Times New Roman" w:cs="Times New Roman" w:eastAsia="Times New Roman" w:hint="default"/>
        </w:rPr>
        <w:t>2,900</w:t>
      </w:r>
      <w:r>
        <w:rPr/>
        <w:t>万元的债务提供抵押担保，担保期限为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12</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公司在该合同项下的银行借款余额为</w:t>
      </w:r>
      <w:r>
        <w:rPr>
          <w:rFonts w:ascii="Times New Roman" w:hAnsi="Times New Roman" w:cs="Times New Roman" w:eastAsia="Times New Roman" w:hint="default"/>
        </w:rPr>
        <w:t>2,000</w:t>
      </w:r>
      <w:r>
        <w:rPr/>
        <w:t>万元，该笔借款同时由浙江宏磊</w:t>
      </w:r>
      <w:r>
        <w:rPr>
          <w:spacing w:val="-48"/>
        </w:rPr>
        <w:t> </w:t>
      </w:r>
      <w:r>
        <w:rPr>
          <w:spacing w:val="-48"/>
        </w:rPr>
      </w:r>
      <w:r>
        <w:rPr/>
        <w:t>控股集团有限公司提供保证担保。</w:t>
      </w:r>
    </w:p>
    <w:p>
      <w:pPr>
        <w:pStyle w:val="BodyText"/>
        <w:spacing w:line="256" w:lineRule="auto" w:before="22"/>
        <w:ind w:left="113" w:right="106"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浙江宏磊东南房地产开发有限公司与交通银行诸暨市支行签订《最高额抵押</w:t>
      </w:r>
      <w:r>
        <w:rPr>
          <w:spacing w:val="2"/>
        </w:rPr>
        <w:t> </w:t>
      </w:r>
      <w:r>
        <w:rPr>
          <w:spacing w:val="-2"/>
        </w:rPr>
        <w:t>合同》，以其拥有的土地使用权为公司在该行取得的最高额不超过</w:t>
      </w:r>
      <w:r>
        <w:rPr>
          <w:rFonts w:ascii="Times New Roman" w:hAnsi="Times New Roman" w:cs="Times New Roman" w:eastAsia="Times New Roman" w:hint="default"/>
          <w:spacing w:val="-2"/>
        </w:rPr>
        <w:t>9,810</w:t>
      </w:r>
      <w:r>
        <w:rPr>
          <w:spacing w:val="-2"/>
        </w:rPr>
        <w:t>万元的债务提供抵押担保，担保期</w:t>
      </w:r>
      <w:r>
        <w:rPr>
          <w:spacing w:val="-86"/>
        </w:rPr>
        <w:t> </w:t>
      </w:r>
      <w:r>
        <w:rPr>
          <w:spacing w:val="-86"/>
        </w:rPr>
      </w:r>
      <w:r>
        <w:rPr/>
        <w:t>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公司在该合同项下的银行借款余额为</w:t>
      </w:r>
      <w:r>
        <w:rPr>
          <w:rFonts w:ascii="Times New Roman" w:hAnsi="Times New Roman" w:cs="Times New Roman" w:eastAsia="Times New Roman" w:hint="default"/>
        </w:rPr>
        <w:t>2,800</w:t>
      </w:r>
      <w:r>
        <w:rPr/>
        <w:t>万</w:t>
      </w:r>
      <w:r>
        <w:rPr>
          <w:spacing w:val="-49"/>
        </w:rPr>
        <w:t> </w:t>
      </w:r>
      <w:r>
        <w:rPr/>
        <w:t>元，尚未支付的银行承兑汇票为</w:t>
      </w:r>
      <w:r>
        <w:rPr>
          <w:rFonts w:ascii="Times New Roman" w:hAnsi="Times New Roman" w:cs="Times New Roman" w:eastAsia="Times New Roman" w:hint="default"/>
        </w:rPr>
        <w:t>2,850</w:t>
      </w:r>
      <w:r>
        <w:rPr/>
        <w:t>万元，该等融资均同时由戚建萍提供最高额保证担保。</w:t>
      </w:r>
    </w:p>
    <w:p>
      <w:pPr>
        <w:pStyle w:val="BodyText"/>
        <w:spacing w:line="256" w:lineRule="auto" w:before="5"/>
        <w:ind w:left="113" w:right="110" w:firstLine="525"/>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诸暨市耀圣工贸有限公司与中国进出口银行签订《最高额抵押合同》，以其 </w:t>
      </w:r>
      <w:r>
        <w:rPr>
          <w:spacing w:val="-1"/>
        </w:rPr>
        <w:t>拥有的土地使用权为公司在该行取得的最高额不超过</w:t>
      </w:r>
      <w:r>
        <w:rPr>
          <w:rFonts w:ascii="Times New Roman" w:hAnsi="Times New Roman" w:cs="Times New Roman" w:eastAsia="Times New Roman" w:hint="default"/>
          <w:spacing w:val="-1"/>
        </w:rPr>
        <w:t>10,025.50</w:t>
      </w:r>
      <w:r>
        <w:rPr>
          <w:spacing w:val="-1"/>
        </w:rPr>
        <w:t>万元的债务提供抵押担保，担保期限为</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公司在该合同项下的银行借款余额为</w:t>
      </w:r>
      <w:r>
        <w:rPr>
          <w:rFonts w:ascii="Times New Roman" w:hAnsi="Times New Roman" w:cs="Times New Roman" w:eastAsia="Times New Roman" w:hint="default"/>
        </w:rPr>
        <w:t>5,000</w:t>
      </w:r>
      <w:r>
        <w:rPr/>
        <w:t>万元，该笔</w:t>
      </w:r>
      <w:r>
        <w:rPr>
          <w:spacing w:val="-46"/>
        </w:rPr>
        <w:t> </w:t>
      </w:r>
      <w:r>
        <w:rPr>
          <w:spacing w:val="-46"/>
        </w:rPr>
      </w:r>
      <w:r>
        <w:rPr/>
        <w:t>借款同时由戚建萍提供</w:t>
      </w:r>
      <w:r>
        <w:rPr>
          <w:rFonts w:ascii="Times New Roman" w:hAnsi="Times New Roman" w:cs="Times New Roman" w:eastAsia="Times New Roman" w:hint="default"/>
        </w:rPr>
        <w:t>15,000</w:t>
      </w:r>
      <w:r>
        <w:rPr/>
        <w:t>万元最高额保证担保。</w:t>
      </w:r>
    </w:p>
    <w:p>
      <w:pPr>
        <w:pStyle w:val="BodyText"/>
        <w:spacing w:line="256" w:lineRule="auto" w:before="5"/>
        <w:ind w:left="113" w:right="105" w:firstLine="42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2"/>
        </w:rPr>
        <w:t> </w:t>
      </w:r>
      <w:r>
        <w:rPr/>
        <w:t>遵义宏磊房地产开发有限公司与中信银行绍兴分行签订《最高额抵押合同》，以其 </w:t>
      </w:r>
      <w:r>
        <w:rPr>
          <w:spacing w:val="2"/>
        </w:rPr>
        <w:t>拥有的土地使用权为公司及子公司浙江宏天铜业有限公司在该行取得的最高额不超过</w:t>
      </w:r>
      <w:r>
        <w:rPr>
          <w:rFonts w:ascii="Times New Roman" w:hAnsi="Times New Roman" w:cs="Times New Roman" w:eastAsia="Times New Roman" w:hint="default"/>
          <w:spacing w:val="2"/>
        </w:rPr>
        <w:t>8,682</w:t>
      </w:r>
      <w:r>
        <w:rPr>
          <w:spacing w:val="2"/>
        </w:rPr>
        <w:t>万元的债务提</w:t>
      </w:r>
      <w:r>
        <w:rPr>
          <w:spacing w:val="-89"/>
        </w:rPr>
        <w:t> </w:t>
      </w:r>
      <w:r>
        <w:rPr>
          <w:spacing w:val="-2"/>
        </w:rPr>
        <w:t>供抵押担保，担保期限为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公司及子公司浙江宏天铜业有限公</w:t>
      </w:r>
      <w:r>
        <w:rPr>
          <w:spacing w:val="-78"/>
        </w:rPr>
        <w:t> </w:t>
      </w:r>
      <w:r>
        <w:rPr>
          <w:spacing w:val="-1"/>
        </w:rPr>
        <w:t>司在该合同项下尚未支付的银行承兑汇票余额为</w:t>
      </w:r>
      <w:r>
        <w:rPr>
          <w:rFonts w:ascii="Times New Roman" w:hAnsi="Times New Roman" w:cs="Times New Roman" w:eastAsia="Times New Roman" w:hint="default"/>
          <w:spacing w:val="-1"/>
        </w:rPr>
        <w:t>10,440</w:t>
      </w:r>
      <w:r>
        <w:rPr>
          <w:spacing w:val="-1"/>
        </w:rPr>
        <w:t>万元、尚未到期的信用证</w:t>
      </w:r>
      <w:r>
        <w:rPr>
          <w:rFonts w:ascii="Times New Roman" w:hAnsi="Times New Roman" w:cs="Times New Roman" w:eastAsia="Times New Roman" w:hint="default"/>
          <w:spacing w:val="-1"/>
        </w:rPr>
        <w:t>2,000</w:t>
      </w:r>
      <w:r>
        <w:rPr>
          <w:spacing w:val="-1"/>
        </w:rPr>
        <w:t>万元，该等融资均同</w:t>
      </w:r>
      <w:r>
        <w:rPr>
          <w:spacing w:val="-81"/>
        </w:rPr>
        <w:t> </w:t>
      </w:r>
      <w:r>
        <w:rPr>
          <w:spacing w:val="-81"/>
        </w:rPr>
      </w:r>
      <w:r>
        <w:rPr/>
        <w:t>时由戚建萍提供</w:t>
      </w:r>
      <w:r>
        <w:rPr>
          <w:rFonts w:ascii="Times New Roman" w:hAnsi="Times New Roman" w:cs="Times New Roman" w:eastAsia="Times New Roman" w:hint="default"/>
        </w:rPr>
        <w:t>8,800</w:t>
      </w:r>
      <w:r>
        <w:rPr/>
        <w:t>万元最高额保证担保。</w:t>
      </w:r>
    </w:p>
    <w:p>
      <w:pPr>
        <w:pStyle w:val="BodyText"/>
        <w:spacing w:line="240" w:lineRule="auto" w:before="5"/>
        <w:ind w:left="533"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3"/>
        </w:rPr>
        <w:t>戚建萍与中国农业银行诸暨市支行签订《最高额抵押合同》，以其拥有的房地</w:t>
      </w:r>
    </w:p>
    <w:p>
      <w:pPr>
        <w:spacing w:after="0" w:line="240" w:lineRule="auto"/>
        <w:jc w:val="left"/>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BodyText"/>
        <w:spacing w:line="256" w:lineRule="auto" w:before="35"/>
        <w:ind w:left="113" w:right="105"/>
        <w:jc w:val="left"/>
      </w:pPr>
      <w:r>
        <w:rPr>
          <w:spacing w:val="-2"/>
        </w:rPr>
        <w:t>产为子公司宏天铜业有限公司在该行取得的最高额不超过</w:t>
      </w:r>
      <w:r>
        <w:rPr>
          <w:rFonts w:ascii="Times New Roman" w:hAnsi="Times New Roman" w:cs="Times New Roman" w:eastAsia="Times New Roman" w:hint="default"/>
          <w:spacing w:val="-2"/>
        </w:rPr>
        <w:t>4,000</w:t>
      </w:r>
      <w:r>
        <w:rPr>
          <w:spacing w:val="-2"/>
        </w:rPr>
        <w:t>万元的债务提供抵押担保，担保期限为</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公司在该合同项下银行借款余额为</w:t>
      </w:r>
      <w:r>
        <w:rPr>
          <w:rFonts w:ascii="Times New Roman" w:hAnsi="Times New Roman" w:cs="Times New Roman" w:eastAsia="Times New Roman" w:hint="default"/>
        </w:rPr>
        <w:t>2,800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5"/>
        <w:spacing w:line="240" w:lineRule="auto"/>
        <w:ind w:left="113" w:right="105"/>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5"/>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8" w:firstLine="0"/>
        <w:jc w:val="right"/>
        <w:rPr>
          <w:rFonts w:ascii="宋体" w:hAnsi="宋体" w:cs="宋体" w:eastAsia="宋体" w:hint="default"/>
          <w:sz w:val="18"/>
          <w:szCs w:val="18"/>
        </w:rPr>
      </w:pPr>
      <w:r>
        <w:rPr/>
        <w:pict>
          <v:shape style="position:absolute;margin-left:416.279999pt;margin-top:-31.507385pt;width:78.8pt;height:50.9pt;mso-position-horizontal-relative:page;mso-position-vertical-relative:paragraph;z-index:-8335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87387pt;width:479.2pt;height:71.9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2"/>
                    <w:gridCol w:w="797"/>
                  </w:tblGrid>
                  <w:tr>
                    <w:trPr>
                      <w:trHeight w:val="402" w:hRule="exact"/>
                    </w:trPr>
                    <w:tc>
                      <w:tcPr>
                        <w:tcW w:w="1333" w:type="dxa"/>
                        <w:tcBorders>
                          <w:top w:val="single" w:sz="4" w:space="0" w:color="010101"/>
                          <w:left w:val="single" w:sz="4" w:space="0" w:color="010101"/>
                          <w:bottom w:val="nil" w:sz="6" w:space="0" w:color="auto"/>
                          <w:right w:val="single" w:sz="4" w:space="0" w:color="010101"/>
                        </w:tcBorders>
                        <w:shd w:val="clear" w:color="auto" w:fill="D3D3D3"/>
                      </w:tcPr>
                      <w:p>
                        <w:pPr/>
                      </w:p>
                    </w:tc>
                    <w:tc>
                      <w:tcPr>
                        <w:tcW w:w="929"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1328" w:type="dxa"/>
                        <w:tcBorders>
                          <w:top w:val="single" w:sz="4" w:space="0" w:color="010101"/>
                          <w:left w:val="single" w:sz="4" w:space="0" w:color="010101"/>
                          <w:bottom w:val="nil" w:sz="6" w:space="0" w:color="auto"/>
                          <w:right w:val="single" w:sz="4" w:space="0" w:color="010101"/>
                        </w:tcBorders>
                        <w:shd w:val="clear" w:color="auto" w:fill="D3D3D3"/>
                      </w:tcPr>
                      <w:p>
                        <w:pP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9" w:hRule="exact"/>
                    </w:trPr>
                    <w:tc>
                      <w:tcPr>
                        <w:tcW w:w="133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279" w:right="9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7" w:hRule="exact"/>
                    </w:trPr>
                    <w:tc>
                      <w:tcPr>
                        <w:tcW w:w="1333" w:type="dxa"/>
                        <w:tcBorders>
                          <w:top w:val="nil" w:sz="6" w:space="0" w:color="auto"/>
                          <w:left w:val="single" w:sz="4" w:space="0" w:color="010101"/>
                          <w:bottom w:val="single" w:sz="4" w:space="0" w:color="010101"/>
                          <w:right w:val="single" w:sz="4" w:space="0" w:color="010101"/>
                        </w:tcBorders>
                        <w:shd w:val="clear" w:color="auto" w:fill="D3D3D3"/>
                      </w:tcPr>
                      <w:p>
                        <w:pPr/>
                      </w:p>
                    </w:tc>
                    <w:tc>
                      <w:tcPr>
                        <w:tcW w:w="929"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328"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402" w:hRule="exact"/>
        </w:trPr>
        <w:tc>
          <w:tcPr>
            <w:tcW w:w="205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10101"/>
              <w:bottom w:val="single" w:sz="4" w:space="0" w:color="010101"/>
              <w:right w:val="single" w:sz="4" w:space="0" w:color="010101"/>
            </w:tcBorders>
            <w:shd w:val="clear" w:color="auto" w:fill="D3D3D3"/>
          </w:tcPr>
          <w:p>
            <w:pPr/>
          </w:p>
        </w:tc>
        <w:tc>
          <w:tcPr>
            <w:tcW w:w="1668"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3"/>
              <w:jc w:val="left"/>
              <w:rPr>
                <w:rFonts w:ascii="宋体" w:hAnsi="宋体" w:cs="宋体" w:eastAsia="宋体" w:hint="default"/>
                <w:sz w:val="18"/>
                <w:szCs w:val="18"/>
              </w:rPr>
            </w:pPr>
            <w:r>
              <w:rPr>
                <w:rFonts w:ascii="宋体" w:hAnsi="宋体" w:cs="宋体" w:eastAsia="宋体" w:hint="default"/>
                <w:sz w:val="18"/>
                <w:szCs w:val="18"/>
              </w:rPr>
              <w:t>浙江宏磊控股集团 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474,421,933.16</w:t>
            </w:r>
          </w:p>
        </w:tc>
        <w:tc>
          <w:tcPr>
            <w:tcW w:w="1462" w:type="dxa"/>
            <w:tcBorders>
              <w:top w:val="single" w:sz="4" w:space="0" w:color="010101"/>
              <w:left w:val="single" w:sz="4" w:space="0" w:color="010101"/>
              <w:bottom w:val="single" w:sz="4" w:space="0" w:color="010101"/>
              <w:right w:val="single" w:sz="4" w:space="0" w:color="010101"/>
            </w:tcBorders>
          </w:tcPr>
          <w:p>
            <w:pP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5"/>
        <w:gridCol w:w="2257"/>
        <w:gridCol w:w="2258"/>
        <w:gridCol w:w="2258"/>
      </w:tblGrid>
      <w:tr>
        <w:trPr>
          <w:trHeight w:val="402" w:hRule="exact"/>
        </w:trPr>
        <w:tc>
          <w:tcPr>
            <w:tcW w:w="27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ind w:right="105"/>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before="116"/>
        <w:ind w:left="113" w:right="105"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spacing w:line="240" w:lineRule="auto" w:before="0"/>
        <w:rPr>
          <w:rFonts w:ascii="宋体" w:hAnsi="宋体" w:cs="宋体" w:eastAsia="宋体" w:hint="default"/>
          <w:b/>
          <w:bCs/>
          <w:sz w:val="18"/>
          <w:szCs w:val="18"/>
        </w:rPr>
      </w:pPr>
    </w:p>
    <w:p>
      <w:pPr>
        <w:spacing w:before="161"/>
        <w:ind w:left="113" w:right="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w w:val="95"/>
        </w:rPr>
        <w:t>3</w:t>
      </w:r>
      <w:r>
        <w:rPr>
          <w:w w:val="95"/>
        </w:rPr>
        <w:t>、以现金结算的股份支付情况</w:t>
      </w:r>
      <w:r>
        <w:rPr>
          <w:b w:val="0"/>
          <w:bCs w:val="0"/>
        </w:rPr>
      </w:r>
    </w:p>
    <w:p>
      <w:pPr>
        <w:spacing w:before="44"/>
        <w:ind w:left="11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951" w:space="5877"/>
            <w:col w:w="1042"/>
          </w:cols>
        </w:sectPr>
      </w:pP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before="161"/>
        <w:ind w:left="113" w:right="-19"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12"/>
        <w:rPr>
          <w:rFonts w:ascii="宋体" w:hAnsi="宋体" w:cs="宋体" w:eastAsia="宋体" w:hint="default"/>
          <w:sz w:val="26"/>
          <w:szCs w:val="26"/>
        </w:rPr>
      </w:pPr>
    </w:p>
    <w:p>
      <w:pPr>
        <w:pStyle w:val="Heading5"/>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1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454" w:space="6374"/>
            <w:col w:w="1042"/>
          </w:cols>
        </w:sectPr>
      </w:pPr>
    </w:p>
    <w:p>
      <w:pPr>
        <w:spacing w:line="240" w:lineRule="auto" w:before="1"/>
        <w:rPr>
          <w:rFonts w:ascii="宋体" w:hAnsi="宋体" w:cs="宋体" w:eastAsia="宋体" w:hint="default"/>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24"/>
          <w:szCs w:val="24"/>
        </w:rPr>
      </w:pPr>
    </w:p>
    <w:p>
      <w:pPr>
        <w:pStyle w:val="Heading5"/>
        <w:spacing w:line="487" w:lineRule="auto" w:before="35"/>
        <w:ind w:right="5231"/>
        <w:jc w:val="left"/>
        <w:rPr>
          <w:b w:val="0"/>
          <w:bCs w:val="0"/>
        </w:rPr>
      </w:pPr>
      <w:r>
        <w:rPr>
          <w:rFonts w:ascii="Times New Roman" w:hAnsi="Times New Roman" w:cs="Times New Roman" w:eastAsia="Times New Roman" w:hint="default"/>
        </w:rPr>
        <w:t>5</w:t>
      </w:r>
      <w:r>
        <w:rPr/>
        <w:t>、股份支付的修改、终止情况</w:t>
      </w:r>
      <w:r>
        <w:rPr>
          <w:w w:val="99"/>
        </w:rPr>
        <w:t> </w:t>
      </w:r>
      <w:r>
        <w:rPr>
          <w:sz w:val="24"/>
          <w:szCs w:val="24"/>
        </w:rPr>
        <w:t>十一、或有事项</w:t>
      </w:r>
      <w:r>
        <w:rPr>
          <w:w w:val="99"/>
          <w:sz w:val="24"/>
          <w:szCs w:val="24"/>
        </w:rPr>
        <w:t> </w:t>
      </w:r>
      <w:r>
        <w:rPr>
          <w:rFonts w:ascii="Times New Roman" w:hAnsi="Times New Roman" w:cs="Times New Roman" w:eastAsia="Times New Roman" w:hint="default"/>
          <w:w w:val="95"/>
        </w:rPr>
        <w:t>1</w:t>
      </w:r>
      <w:r>
        <w:rPr>
          <w:w w:val="95"/>
        </w:rPr>
        <w:t>、未决诉讼或仲裁形成的或有负债及其财务影响</w:t>
      </w:r>
      <w:r>
        <w:rPr>
          <w:b w:val="0"/>
          <w:bCs w:val="0"/>
        </w:rPr>
      </w:r>
    </w:p>
    <w:p>
      <w:pPr>
        <w:spacing w:before="83"/>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2"/>
        <w:rPr>
          <w:rFonts w:ascii="宋体" w:hAnsi="宋体" w:cs="宋体" w:eastAsia="宋体" w:hint="default"/>
          <w:sz w:val="25"/>
          <w:szCs w:val="25"/>
        </w:rPr>
      </w:pPr>
    </w:p>
    <w:p>
      <w:pPr>
        <w:pStyle w:val="Heading2"/>
        <w:spacing w:line="240" w:lineRule="auto" w:before="0"/>
        <w:ind w:right="105"/>
        <w:jc w:val="left"/>
        <w:rPr>
          <w:b w:val="0"/>
          <w:bCs w:val="0"/>
        </w:rPr>
      </w:pPr>
      <w:r>
        <w:rPr/>
        <w:t>十二、承诺事项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6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、重要的资产负债表日后事项说明</w:t>
      </w:r>
      <w:r>
        <w:rPr>
          <w:rFonts w:ascii="宋体" w:hAnsi="宋体" w:cs="宋体" w:eastAsia="宋体" w:hint="default"/>
          <w:sz w:val="21"/>
          <w:szCs w:val="21"/>
        </w:rPr>
      </w:r>
    </w:p>
    <w:p>
      <w:pPr>
        <w:spacing w:before="10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宋体" w:hAnsi="宋体" w:cs="宋体" w:eastAsia="宋体" w:hint="default"/>
          <w:b/>
          <w:bCs/>
          <w:sz w:val="24"/>
          <w:szCs w:val="24"/>
        </w:rPr>
      </w:pPr>
    </w:p>
    <w:p>
      <w:pPr>
        <w:pStyle w:val="BodyText"/>
        <w:spacing w:line="256" w:lineRule="auto"/>
        <w:ind w:left="113" w:right="108" w:firstLine="420"/>
        <w:jc w:val="both"/>
      </w:pPr>
      <w:r>
        <w:rPr>
          <w:spacing w:val="-1"/>
        </w:rPr>
        <w:t>根据</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日《诸暨市人民政府关于对大唐镇路西新村部分区域实施房屋征收的决定》（诸政发</w:t>
      </w:r>
      <w:r>
        <w:rPr/>
        <w:t> </w:t>
      </w:r>
      <w:r>
        <w:rPr>
          <w:rFonts w:ascii="Times New Roman" w:hAnsi="Times New Roman" w:cs="Times New Roman" w:eastAsia="Times New Roman" w:hint="default"/>
          <w:spacing w:val="-2"/>
        </w:rPr>
        <w:t>[2013]26</w:t>
      </w:r>
      <w:r>
        <w:rPr>
          <w:spacing w:val="-2"/>
        </w:rPr>
        <w:t>号），诸暨市人民政府决定对子公司浙江宏天铜业有限公司坐落于大唐镇路西新村的</w:t>
      </w:r>
      <w:r>
        <w:rPr>
          <w:rFonts w:ascii="Times New Roman" w:hAnsi="Times New Roman" w:cs="Times New Roman" w:eastAsia="Times New Roman" w:hint="default"/>
          <w:spacing w:val="-2"/>
        </w:rPr>
        <w:t>341</w:t>
      </w:r>
      <w:r>
        <w:rPr>
          <w:spacing w:val="-2"/>
        </w:rPr>
        <w:t>亩工业用</w:t>
      </w:r>
      <w:r>
        <w:rPr>
          <w:spacing w:val="-63"/>
        </w:rPr>
        <w:t> </w:t>
      </w:r>
      <w:r>
        <w:rPr/>
        <w:t>地及地上建筑物实施征收，征收实施时间为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日。截至本财务报告批准报出之</w:t>
      </w:r>
      <w:r>
        <w:rPr>
          <w:spacing w:val="-46"/>
        </w:rPr>
        <w:t> </w:t>
      </w:r>
      <w:r>
        <w:rPr>
          <w:spacing w:val="-46"/>
        </w:rPr>
      </w:r>
      <w:r>
        <w:rPr/>
        <w:t>日，公司已收到拆迁补偿款项合计</w:t>
      </w:r>
      <w:r>
        <w:rPr>
          <w:rFonts w:ascii="Times New Roman" w:hAnsi="Times New Roman" w:cs="Times New Roman" w:eastAsia="Times New Roman" w:hint="default"/>
        </w:rPr>
        <w:t>21,600</w:t>
      </w:r>
      <w:r>
        <w:rPr/>
        <w:t>万元，具体的拆迁补偿协议仍在进一步商订之中。</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3"/>
          <w:szCs w:val="23"/>
        </w:rPr>
      </w:pPr>
    </w:p>
    <w:p>
      <w:pPr>
        <w:pStyle w:val="Heading2"/>
        <w:spacing w:line="240" w:lineRule="auto" w:before="0"/>
        <w:ind w:right="105"/>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62"/>
        <w:gridCol w:w="1519"/>
        <w:gridCol w:w="1523"/>
        <w:gridCol w:w="1522"/>
        <w:gridCol w:w="1522"/>
        <w:gridCol w:w="1523"/>
      </w:tblGrid>
      <w:tr>
        <w:trPr>
          <w:trHeight w:val="714"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76"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04"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70"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1517"/>
        <w:gridCol w:w="1518"/>
        <w:gridCol w:w="1517"/>
        <w:gridCol w:w="1517"/>
        <w:gridCol w:w="1517"/>
      </w:tblGrid>
      <w:tr>
        <w:trPr>
          <w:trHeight w:val="714"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73" w:right="32"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2" w:right="32"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34,957,700.20</w:t>
            </w: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62,690.56</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8" w:right="0"/>
              <w:jc w:val="left"/>
              <w:rPr>
                <w:rFonts w:ascii="Times New Roman" w:hAnsi="Times New Roman" w:cs="Times New Roman" w:eastAsia="Times New Roman" w:hint="default"/>
                <w:sz w:val="18"/>
                <w:szCs w:val="18"/>
              </w:rPr>
            </w:pPr>
            <w:r>
              <w:rPr>
                <w:rFonts w:ascii="Times New Roman"/>
                <w:sz w:val="18"/>
              </w:rPr>
              <w:t>18,457,008.92</w:t>
            </w: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34,957,700.20</w:t>
            </w: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62,690.56</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8" w:right="0"/>
              <w:jc w:val="left"/>
              <w:rPr>
                <w:rFonts w:ascii="Times New Roman" w:hAnsi="Times New Roman" w:cs="Times New Roman" w:eastAsia="Times New Roman" w:hint="default"/>
                <w:sz w:val="18"/>
                <w:szCs w:val="18"/>
              </w:rPr>
            </w:pPr>
            <w:r>
              <w:rPr>
                <w:rFonts w:ascii="Times New Roman"/>
                <w:sz w:val="18"/>
              </w:rPr>
              <w:t>18,457,008.92</w:t>
            </w: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5,213,140.52</w:t>
            </w: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8" w:right="0"/>
              <w:jc w:val="left"/>
              <w:rPr>
                <w:rFonts w:ascii="Times New Roman" w:hAnsi="Times New Roman" w:cs="Times New Roman" w:eastAsia="Times New Roman" w:hint="default"/>
                <w:sz w:val="18"/>
                <w:szCs w:val="18"/>
              </w:rPr>
            </w:pPr>
            <w:r>
              <w:rPr>
                <w:rFonts w:ascii="Times New Roman"/>
                <w:sz w:val="18"/>
              </w:rPr>
              <w:t>98,830,562.94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4"/>
          <w:szCs w:val="24"/>
        </w:rPr>
      </w:pPr>
    </w:p>
    <w:p>
      <w:pPr>
        <w:spacing w:line="487" w:lineRule="auto" w:before="0"/>
        <w:ind w:left="114" w:right="57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4"/>
        <w:ind w:right="105"/>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10101"/>
              <w:right w:val="single" w:sz="4" w:space="0" w:color="010101"/>
            </w:tcBorders>
            <w:shd w:val="clear" w:color="auto" w:fill="D3D3D3"/>
          </w:tcPr>
          <w:p>
            <w:pP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10101"/>
              <w:bottom w:val="single" w:sz="4" w:space="0" w:color="010101"/>
              <w:right w:val="single" w:sz="4" w:space="0" w:color="010101"/>
            </w:tcBorders>
            <w:shd w:val="clear" w:color="auto" w:fill="D3D3D3"/>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409,339,714.57</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13,044,876.77</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279,384,389.35</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8,743,388.16</w:t>
            </w:r>
          </w:p>
        </w:tc>
        <w:tc>
          <w:tcPr>
            <w:tcW w:w="66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409,339,714.57</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13,044,876.77</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3.19%</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279,384,389.35</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8,743,388.16</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67" w:right="0"/>
              <w:jc w:val="lef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409,339,714.57</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13,044,876.77</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279,384,389.35</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8,743,388.16</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360" w:lineRule="auto" w:before="49"/>
        <w:ind w:left="114"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组合中，采用账龄分析法计提坏账准备的应收账款</w:t>
      </w:r>
    </w:p>
    <w:p>
      <w:pPr>
        <w:spacing w:before="43"/>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10101"/>
              <w:right w:val="single" w:sz="4" w:space="0" w:color="010101"/>
            </w:tcBorders>
            <w:shd w:val="clear" w:color="auto" w:fill="D3D3D3"/>
          </w:tcPr>
          <w:p>
            <w:pPr/>
          </w:p>
        </w:tc>
        <w:tc>
          <w:tcPr>
            <w:tcW w:w="26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10101"/>
              <w:bottom w:val="single" w:sz="4" w:space="0" w:color="010101"/>
              <w:right w:val="single" w:sz="4" w:space="0" w:color="010101"/>
            </w:tcBorders>
            <w:shd w:val="clear" w:color="auto" w:fill="D3D3D3"/>
          </w:tcPr>
          <w:p>
            <w:pP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5"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405,002,522.88</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98.94%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12,150,075.69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278,357,240.15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8,350,717.20</w:t>
            </w:r>
          </w:p>
        </w:tc>
      </w:tr>
      <w:tr>
        <w:trPr>
          <w:trHeight w:val="714"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 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405,002,522.88</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98.94%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12,150,075.69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278,357,240.15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8,350,717.20</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3,343,202.50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334,320.25</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469,780.32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46,978.03</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469,421.05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140,826.32</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200,404.35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60,121.31</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524,568.14</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419,654.51</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356,964.53</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285,571.62</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409,339,714.57</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13,044,876.77</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279,384,389.35</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8,743,388.16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before="44"/>
        <w:ind w:left="113" w:right="10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 w:right="59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340" w:lineRule="auto" w:before="42"/>
        <w:ind w:left="113" w:right="5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13"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3"/>
        <w:gridCol w:w="1934"/>
        <w:gridCol w:w="1933"/>
        <w:gridCol w:w="1933"/>
        <w:gridCol w:w="1834"/>
      </w:tblGrid>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594"/>
        <w:gridCol w:w="1861"/>
        <w:gridCol w:w="1860"/>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79,435,301.59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59,648,892.96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50,062,789.91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38,344,591.14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28,751,019.39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256,242,594.99</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1"/>
        <w:gridCol w:w="1453"/>
        <w:gridCol w:w="528"/>
        <w:gridCol w:w="1321"/>
        <w:gridCol w:w="528"/>
        <w:gridCol w:w="1322"/>
        <w:gridCol w:w="528"/>
        <w:gridCol w:w="1189"/>
        <w:gridCol w:w="527"/>
      </w:tblGrid>
      <w:tr>
        <w:trPr>
          <w:trHeight w:val="402" w:hRule="exact"/>
        </w:trPr>
        <w:tc>
          <w:tcPr>
            <w:tcW w:w="21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1" w:type="dxa"/>
            <w:vMerge/>
            <w:tcBorders>
              <w:left w:val="single" w:sz="4" w:space="0" w:color="010101"/>
              <w:right w:val="single" w:sz="4" w:space="0" w:color="010101"/>
            </w:tcBorders>
            <w:shd w:val="clear" w:color="auto" w:fill="D3D3D3"/>
          </w:tcPr>
          <w:p>
            <w:pP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1" w:type="dxa"/>
            <w:vMerge/>
            <w:tcBorders>
              <w:left w:val="single" w:sz="4" w:space="0" w:color="010101"/>
              <w:bottom w:val="single" w:sz="4" w:space="0" w:color="010101"/>
              <w:right w:val="single" w:sz="4" w:space="0" w:color="010101"/>
            </w:tcBorders>
            <w:shd w:val="clear" w:color="auto" w:fill="D3D3D3"/>
          </w:tcPr>
          <w:p>
            <w:pPr/>
          </w:p>
        </w:tc>
        <w:tc>
          <w:tcPr>
            <w:tcW w:w="14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509,240,016.49</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10101"/>
              <w:left w:val="single" w:sz="4" w:space="0" w:color="010101"/>
              <w:bottom w:val="single" w:sz="4" w:space="0" w:color="010101"/>
              <w:right w:val="single" w:sz="4" w:space="0" w:color="010101"/>
            </w:tcBorders>
          </w:tcPr>
          <w:p>
            <w:pPr/>
          </w:p>
        </w:tc>
        <w:tc>
          <w:tcPr>
            <w:tcW w:w="528" w:type="dxa"/>
            <w:tcBorders>
              <w:top w:val="single" w:sz="4" w:space="0" w:color="010101"/>
              <w:left w:val="single" w:sz="4" w:space="0" w:color="010101"/>
              <w:bottom w:val="single" w:sz="4" w:space="0" w:color="010101"/>
              <w:right w:val="single" w:sz="4" w:space="0" w:color="010101"/>
            </w:tcBorders>
          </w:tcPr>
          <w:p>
            <w:pPr/>
          </w:p>
        </w:tc>
        <w:tc>
          <w:tcPr>
            <w:tcW w:w="1189" w:type="dxa"/>
            <w:tcBorders>
              <w:top w:val="single" w:sz="4" w:space="0" w:color="010101"/>
              <w:left w:val="single" w:sz="4" w:space="0" w:color="010101"/>
              <w:bottom w:val="single" w:sz="4" w:space="0" w:color="010101"/>
              <w:right w:val="single" w:sz="4" w:space="0" w:color="010101"/>
            </w:tcBorders>
          </w:tcPr>
          <w:p>
            <w:pPr/>
          </w:p>
        </w:tc>
        <w:tc>
          <w:tcPr>
            <w:tcW w:w="5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509,240,016.49</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10101"/>
              <w:left w:val="single" w:sz="4" w:space="0" w:color="010101"/>
              <w:bottom w:val="single" w:sz="4" w:space="0" w:color="010101"/>
              <w:right w:val="single" w:sz="4" w:space="0" w:color="010101"/>
            </w:tcBorders>
          </w:tcPr>
          <w:p>
            <w:pPr/>
          </w:p>
        </w:tc>
        <w:tc>
          <w:tcPr>
            <w:tcW w:w="528" w:type="dxa"/>
            <w:tcBorders>
              <w:top w:val="single" w:sz="4" w:space="0" w:color="010101"/>
              <w:left w:val="single" w:sz="4" w:space="0" w:color="010101"/>
              <w:bottom w:val="single" w:sz="4" w:space="0" w:color="010101"/>
              <w:right w:val="single" w:sz="4" w:space="0" w:color="010101"/>
            </w:tcBorders>
          </w:tcPr>
          <w:p>
            <w:pPr/>
          </w:p>
        </w:tc>
        <w:tc>
          <w:tcPr>
            <w:tcW w:w="1189" w:type="dxa"/>
            <w:tcBorders>
              <w:top w:val="single" w:sz="4" w:space="0" w:color="010101"/>
              <w:left w:val="single" w:sz="4" w:space="0" w:color="010101"/>
              <w:bottom w:val="single" w:sz="4" w:space="0" w:color="010101"/>
              <w:right w:val="single" w:sz="4" w:space="0" w:color="010101"/>
            </w:tcBorders>
          </w:tcPr>
          <w:p>
            <w:pPr/>
          </w:p>
        </w:tc>
        <w:tc>
          <w:tcPr>
            <w:tcW w:w="5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509,240,016.49</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tcPr>
          <w:p>
            <w:pP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360" w:lineRule="auto" w:before="49"/>
        <w:ind w:left="114"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组合中，采用账龄分析法计提坏账准备的其他应收款</w:t>
      </w:r>
    </w:p>
    <w:p>
      <w:pPr>
        <w:spacing w:before="43"/>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10101"/>
              <w:right w:val="single" w:sz="4" w:space="0" w:color="010101"/>
            </w:tcBorders>
            <w:shd w:val="clear" w:color="auto" w:fill="D3D3D3"/>
          </w:tcPr>
          <w:p>
            <w:pPr/>
          </w:p>
        </w:tc>
        <w:tc>
          <w:tcPr>
            <w:tcW w:w="24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10101"/>
              <w:bottom w:val="single" w:sz="4" w:space="0" w:color="010101"/>
              <w:right w:val="single" w:sz="4" w:space="0" w:color="010101"/>
            </w:tcBorders>
            <w:shd w:val="clear" w:color="auto" w:fill="D3D3D3"/>
          </w:tcPr>
          <w:p>
            <w:pP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10101"/>
              <w:bottom w:val="single" w:sz="4" w:space="0" w:color="010101"/>
              <w:right w:val="single" w:sz="4" w:space="0" w:color="010101"/>
            </w:tcBorders>
            <w:shd w:val="clear" w:color="auto" w:fill="D3D3D3"/>
          </w:tcPr>
          <w:p>
            <w:pP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509,240,016.49</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509,240,016.49</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509,240,016.49</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15,277,200.49</w:t>
            </w: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4" w:right="5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14" w:right="5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14"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footerReference w:type="default" r:id="rId45"/>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浙江宏磊控股集团有限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388,423,183.16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76.28%</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浙江科鑫机械制造有限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74,029,333.33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14.54%</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浙江中兴金属材料有限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46,392,500.00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王全兵</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傅国庆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508,980,016.49</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99.96%</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60"/>
              <w:jc w:val="center"/>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388,423,183.16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w:t>
            </w:r>
            <w:r>
              <w:rPr>
                <w:rFonts w:ascii="Times New Roman"/>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388,423,183.16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w:t>
            </w:r>
            <w:r>
              <w:rPr>
                <w:rFonts w:ascii="Times New Roman"/>
                <w:sz w:val="18"/>
              </w:rPr>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7"/>
        <w:rPr>
          <w:rFonts w:ascii="宋体" w:hAnsi="宋体" w:cs="宋体" w:eastAsia="宋体" w:hint="default"/>
          <w:b/>
          <w:bCs/>
          <w:sz w:val="26"/>
          <w:szCs w:val="26"/>
        </w:rPr>
      </w:pPr>
    </w:p>
    <w:p>
      <w:pPr>
        <w:spacing w:before="0"/>
        <w:ind w:left="114" w:right="10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1252" w:hRule="exact"/>
        </w:trPr>
        <w:tc>
          <w:tcPr>
            <w:tcW w:w="7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江西宏磊 铜业有限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51,866,03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51,866,03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51,866,03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浙江宏天 铜业有限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219,536,8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49.36</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169,736,8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49.36</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49,800,00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219,536,8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49.36</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68.24%</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68.24%</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98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诸暨市宏 润小额贷 款有限公</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89,002,00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46"/>
          <w:pgSz w:w="11910" w:h="16840"/>
          <w:pgMar w:footer="980" w:header="747" w:top="1060" w:bottom="1160" w:left="1020" w:right="1020"/>
          <w:pgNumType w:start="141"/>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360,404,8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80.55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221,602,8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80.55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138,802,0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360,404,8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80.55</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3,144,705,080.10</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3,225,033,564.99</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1,055,025.00</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2,710,354.84</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3,145,760,105.10</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3,227,743,919.83</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3,017,670,439.51</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3,055,530,362.64</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74,295,517.92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70,555,535.45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269,623,461.49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255,876,143.78</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电动工具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187,281,194.79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177,558,391.37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244,017,106.33</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231,986,122.72</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电机</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1,160,580,028.96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1,094,781,497.83</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1,983,881,002.03</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1,866,940,338.20</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电器类</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233,716,905.37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218,055,176.37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433,799,457.72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409,422,189.44</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1,488,831,433.06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1,456,361,655.37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293,712,537.42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288,543,508.05</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3,144,705,080.10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3,017,312,256.39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3,225,033,564.99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3,052,768,302.19</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1,814,414,248.76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1,712,107,031.32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3,170,481,553.98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2,999,231,173.75</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铜线等</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1,330,290,831.34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1,305,205,225.07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54,552,011.01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53,537,128.44</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3,144,705,080.10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3,017,312,256.39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3,225,033,564.99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3,052,768,302.19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3,144,705,080.10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3,017,312,256.39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3,225,033,564.99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3,052,768,302.19</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0"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3,144,705,080.10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3,017,312,256.39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3,225,033,564.99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3,052,768,302.19</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714"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13" w:right="25"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172,231,274.48</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162,284,088.40</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153,775,438.74</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91,484,422.97</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78,325,422.09</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658,100,646.68</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2"/>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14"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23"/>
        <w:gridCol w:w="2522"/>
        <w:gridCol w:w="2524"/>
      </w:tblGrid>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14" w:right="105"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after="0"/>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5"/>
        <w:spacing w:line="240" w:lineRule="auto" w:before="35"/>
        <w:ind w:right="105"/>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30,536,148.84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76,905,111.73</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19,578,689.10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1,551,401.46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9,450,736.98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10,532,721.47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309,427.08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309,427.08</w:t>
            </w:r>
          </w:p>
        </w:tc>
      </w:tr>
      <w:tr>
        <w:trPr>
          <w:trHeight w:val="714"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678.64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18,014.83</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27,525,687.29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10,717,186.52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-369,090.75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-395,234.80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-6,677,840.02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16,880,634.77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-909,025,207.06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-109,214,037.12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349,469,906.37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66,111,043.11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-479,200,863.53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73,416,269.05</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8,988,516.16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630,343,016.48</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630,343,016.48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114,940,301.23</w:t>
            </w:r>
            <w:r>
              <w:rPr>
                <w:rFonts w:ascii="Times New Roman"/>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-621,354,500.32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515,402,715.25</w:t>
            </w:r>
          </w:p>
        </w:tc>
      </w:tr>
    </w:tbl>
    <w:p>
      <w:pPr>
        <w:spacing w:line="240" w:lineRule="auto" w:before="1"/>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
        <w:rPr>
          <w:rFonts w:ascii="宋体" w:hAnsi="宋体" w:cs="宋体" w:eastAsia="宋体" w:hint="default"/>
          <w:b/>
          <w:bCs/>
          <w:sz w:val="23"/>
          <w:szCs w:val="23"/>
        </w:rPr>
      </w:pPr>
    </w:p>
    <w:p>
      <w:pPr>
        <w:spacing w:before="44"/>
        <w:ind w:left="114" w:right="105"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0"/>
        <w:ind w:left="114" w:right="105"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2"/>
        <w:rPr>
          <w:rFonts w:ascii="宋体" w:hAnsi="宋体" w:cs="宋体" w:eastAsia="宋体" w:hint="default"/>
          <w:sz w:val="17"/>
          <w:szCs w:val="17"/>
        </w:rPr>
      </w:pPr>
    </w:p>
    <w:p>
      <w:pPr>
        <w:pStyle w:val="Heading2"/>
        <w:spacing w:line="240" w:lineRule="auto"/>
        <w:ind w:right="105"/>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0" w:type="dxa"/>
            <w:vMerge/>
            <w:tcBorders>
              <w:left w:val="single" w:sz="4" w:space="0" w:color="010101"/>
              <w:bottom w:val="single" w:sz="4" w:space="0" w:color="010101"/>
              <w:right w:val="single" w:sz="4" w:space="0" w:color="010101"/>
            </w:tcBorders>
            <w:shd w:val="clear" w:color="auto" w:fill="D3D3D3"/>
          </w:tcPr>
          <w:p>
            <w:pPr/>
          </w:p>
        </w:tc>
        <w:tc>
          <w:tcPr>
            <w:tcW w:w="2178" w:type="dxa"/>
            <w:vMerge/>
            <w:tcBorders>
              <w:left w:val="single" w:sz="4" w:space="0" w:color="010101"/>
              <w:bottom w:val="single" w:sz="4" w:space="0" w:color="010101"/>
              <w:right w:val="single" w:sz="4" w:space="0" w:color="010101"/>
            </w:tcBorders>
            <w:shd w:val="clear" w:color="auto" w:fill="D3D3D3"/>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0.23</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0.23</w:t>
            </w:r>
          </w:p>
        </w:tc>
      </w:tr>
      <w:tr>
        <w:trPr>
          <w:trHeight w:val="714"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0.22</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2"/>
        <w:rPr>
          <w:rFonts w:ascii="宋体" w:hAnsi="宋体" w:cs="宋体" w:eastAsia="宋体" w:hint="default"/>
          <w:sz w:val="19"/>
          <w:szCs w:val="19"/>
        </w:rPr>
      </w:pPr>
    </w:p>
    <w:p>
      <w:pPr>
        <w:pStyle w:val="Heading5"/>
        <w:spacing w:line="240" w:lineRule="auto" w:before="35"/>
        <w:ind w:right="105"/>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0" w:top="1060" w:bottom="1160" w:left="1020" w:right="1020"/>
        </w:sectPr>
      </w:pPr>
    </w:p>
    <w:p>
      <w:pPr>
        <w:pStyle w:val="BodyText"/>
        <w:spacing w:line="240" w:lineRule="auto" w:before="35"/>
        <w:ind w:left="534" w:right="-1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公司主要财务报表项目的异常情况及原因说明</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533"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188" w:space="1006"/>
            <w:col w:w="3676"/>
          </w:cols>
        </w:sectPr>
      </w:pPr>
    </w:p>
    <w:p>
      <w:pPr>
        <w:spacing w:line="240" w:lineRule="auto" w:before="3"/>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7.1pt;height:.75pt;mso-position-horizontal-relative:char;mso-position-vertical-relative:line" coordorigin="0,0" coordsize="8942,15">
            <v:group style="position:absolute;left:7;top:7;width:8927;height:2" coordorigin="7,7" coordsize="8927,2">
              <v:shape style="position:absolute;left:7;top:7;width:8927;height:2" coordorigin="7,7" coordsize="8927,0" path="m7,7l8934,7e" filled="false" stroked="true" strokeweight=".72pt" strokecolor="#010101">
                <v:path arrowok="t"/>
              </v:shape>
            </v:group>
          </v:group>
        </w:pict>
      </w:r>
      <w:r>
        <w:rPr>
          <w:rFonts w:ascii="宋体" w:hAnsi="宋体" w:cs="宋体" w:eastAsia="宋体" w:hint="default"/>
          <w:sz w:val="2"/>
          <w:szCs w:val="2"/>
        </w:rPr>
      </w:r>
    </w:p>
    <w:p>
      <w:pPr>
        <w:tabs>
          <w:tab w:pos="2033" w:val="left" w:leader="none"/>
          <w:tab w:pos="3496" w:val="left" w:leader="none"/>
          <w:tab w:pos="4507" w:val="left" w:leader="none"/>
          <w:tab w:pos="6872" w:val="left" w:leader="none"/>
        </w:tabs>
        <w:spacing w:before="13"/>
        <w:ind w:left="469" w:right="105" w:firstLine="0"/>
        <w:jc w:val="left"/>
        <w:rPr>
          <w:rFonts w:ascii="宋体" w:hAnsi="宋体" w:cs="宋体" w:eastAsia="宋体" w:hint="default"/>
          <w:sz w:val="18"/>
          <w:szCs w:val="18"/>
        </w:rPr>
      </w:pPr>
      <w:r>
        <w:rPr>
          <w:rFonts w:ascii="宋体" w:hAnsi="宋体" w:cs="宋体" w:eastAsia="宋体" w:hint="default"/>
          <w:sz w:val="18"/>
          <w:szCs w:val="18"/>
        </w:rPr>
        <w:t>资产负债表</w:t>
        <w:tab/>
        <w:t>期末数</w:t>
        <w:tab/>
        <w:t>期初数</w:t>
        <w:tab/>
      </w:r>
      <w:r>
        <w:rPr>
          <w:rFonts w:ascii="宋体" w:hAnsi="宋体" w:cs="宋体" w:eastAsia="宋体" w:hint="default"/>
          <w:spacing w:val="-1"/>
          <w:sz w:val="18"/>
          <w:szCs w:val="18"/>
        </w:rPr>
        <w:t>变动幅度（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变动原因说明</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88"/>
        <w:gridCol w:w="1580"/>
        <w:gridCol w:w="1197"/>
        <w:gridCol w:w="4562"/>
      </w:tblGrid>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41,237.42</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80,827.11</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8"/>
                <w:sz w:val="18"/>
                <w:szCs w:val="18"/>
              </w:rPr>
              <w:t> </w:t>
            </w:r>
            <w:r>
              <w:rPr>
                <w:rFonts w:ascii="宋体" w:hAnsi="宋体" w:cs="宋体" w:eastAsia="宋体" w:hint="default"/>
                <w:spacing w:val="10"/>
                <w:sz w:val="18"/>
                <w:szCs w:val="18"/>
              </w:rPr>
              <w:t>主要系本期用于募投项目工程投入及期</w:t>
            </w:r>
            <w:r>
              <w:rPr>
                <w:rFonts w:ascii="宋体" w:hAnsi="宋体" w:cs="宋体" w:eastAsia="宋体" w:hint="default"/>
                <w:sz w:val="18"/>
                <w:szCs w:val="18"/>
              </w:rPr>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58,346.85</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16,260.02</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259.00</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主要系本期以票据结算方式的销售增加</w:t>
            </w:r>
            <w:r>
              <w:rPr>
                <w:rFonts w:ascii="宋体" w:hAnsi="宋体" w:cs="宋体" w:eastAsia="宋体" w:hint="default"/>
                <w:sz w:val="18"/>
                <w:szCs w:val="18"/>
              </w:rPr>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48,658.39</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33,651.90</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主要系期末铜材、铜产品销售增加。</w:t>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35,166.84</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15,770.17</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8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主要系本期预付铜材采购款增加所致。</w:t>
            </w:r>
          </w:p>
        </w:tc>
      </w:tr>
      <w:tr>
        <w:trPr>
          <w:trHeight w:val="348"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19,002.59</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14,121.46</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5"/>
                <w:sz w:val="18"/>
                <w:szCs w:val="18"/>
              </w:rPr>
              <w:t> </w:t>
            </w:r>
            <w:r>
              <w:rPr>
                <w:rFonts w:ascii="宋体" w:hAnsi="宋体" w:cs="宋体" w:eastAsia="宋体" w:hint="default"/>
                <w:spacing w:val="9"/>
                <w:sz w:val="18"/>
                <w:szCs w:val="18"/>
              </w:rPr>
              <w:t>主要系募投项目年产</w:t>
            </w: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万吨高性能铜及</w:t>
            </w:r>
            <w:r>
              <w:rPr>
                <w:rFonts w:ascii="宋体" w:hAnsi="宋体" w:cs="宋体" w:eastAsia="宋体" w:hint="default"/>
                <w:sz w:val="18"/>
                <w:szCs w:val="18"/>
              </w:rPr>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19"/>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85,016.61</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43,323.00</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19"/>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主要系货款以票据结算方式增加所致。</w:t>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19"/>
              <w:ind w:left="355"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19"/>
              <w:ind w:left="33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19"/>
              <w:ind w:left="214"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4562" w:type="dxa"/>
            <w:tcBorders>
              <w:top w:val="single" w:sz="6" w:space="0" w:color="010101"/>
              <w:left w:val="nil" w:sz="6" w:space="0" w:color="auto"/>
              <w:bottom w:val="single" w:sz="6" w:space="0" w:color="010101"/>
              <w:right w:val="nil" w:sz="6" w:space="0" w:color="auto"/>
            </w:tcBorders>
          </w:tcPr>
          <w:p>
            <w:pPr>
              <w:pStyle w:val="TableParagraph"/>
              <w:tabs>
                <w:tab w:pos="2393" w:val="left" w:leader="none"/>
              </w:tabs>
              <w:spacing w:line="240" w:lineRule="auto" w:before="19"/>
              <w:ind w:left="28" w:right="0"/>
              <w:jc w:val="left"/>
              <w:rPr>
                <w:rFonts w:ascii="宋体" w:hAnsi="宋体" w:cs="宋体" w:eastAsia="宋体" w:hint="default"/>
                <w:sz w:val="18"/>
                <w:szCs w:val="18"/>
              </w:rPr>
            </w:pPr>
            <w:r>
              <w:rPr>
                <w:rFonts w:ascii="宋体" w:hAnsi="宋体" w:cs="宋体" w:eastAsia="宋体" w:hint="default"/>
                <w:spacing w:val="-1"/>
                <w:sz w:val="18"/>
                <w:szCs w:val="18"/>
              </w:rPr>
              <w:t>变动幅度（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变动原因说明</w:t>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375,988.45</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400,212.74</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本期受宏观经济不景气的影响，加之铜价</w:t>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357,720.77</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376,445.92</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65" w:lineRule="exact"/>
              <w:ind w:left="922" w:right="0"/>
              <w:jc w:val="left"/>
              <w:rPr>
                <w:rFonts w:ascii="宋体" w:hAnsi="宋体" w:cs="宋体" w:eastAsia="宋体" w:hint="default"/>
                <w:sz w:val="18"/>
                <w:szCs w:val="18"/>
              </w:rPr>
            </w:pPr>
            <w:r>
              <w:rPr>
                <w:rFonts w:ascii="Times New Roman" w:hAnsi="Times New Roman" w:cs="Times New Roman" w:eastAsia="Times New Roman" w:hint="default"/>
                <w:position w:val="-2"/>
                <w:sz w:val="18"/>
                <w:szCs w:val="18"/>
              </w:rPr>
              <w:t>-5.00</w:t>
            </w:r>
            <w:r>
              <w:rPr>
                <w:rFonts w:ascii="Times New Roman" w:hAnsi="Times New Roman" w:cs="Times New Roman" w:eastAsia="Times New Roman" w:hint="default"/>
                <w:spacing w:val="-28"/>
                <w:position w:val="-2"/>
                <w:sz w:val="18"/>
                <w:szCs w:val="18"/>
              </w:rPr>
              <w:t> </w:t>
            </w:r>
            <w:r>
              <w:rPr>
                <w:rFonts w:ascii="宋体" w:hAnsi="宋体" w:cs="宋体" w:eastAsia="宋体" w:hint="default"/>
                <w:sz w:val="18"/>
                <w:szCs w:val="18"/>
              </w:rPr>
              <w:t>较上年显著下降，内销及外销均有减少</w:t>
            </w:r>
          </w:p>
        </w:tc>
      </w:tr>
      <w:tr>
        <w:trPr>
          <w:trHeight w:val="347"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8"/>
                <w:szCs w:val="18"/>
              </w:rPr>
            </w:pPr>
            <w:r>
              <w:rPr>
                <w:rFonts w:ascii="Times New Roman"/>
                <w:sz w:val="18"/>
              </w:rPr>
              <w:t>534.02</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221.11</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142.00</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主要系本期转销上期计提存货跌价准备</w:t>
            </w:r>
            <w:r>
              <w:rPr>
                <w:rFonts w:ascii="宋体" w:hAnsi="宋体" w:cs="宋体" w:eastAsia="宋体" w:hint="default"/>
                <w:sz w:val="18"/>
                <w:szCs w:val="18"/>
              </w:rPr>
            </w:r>
          </w:p>
        </w:tc>
      </w:tr>
      <w:tr>
        <w:trPr>
          <w:trHeight w:val="348" w:hRule="exact"/>
        </w:trPr>
        <w:tc>
          <w:tcPr>
            <w:tcW w:w="1588"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0"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5,415.66</w:t>
            </w:r>
          </w:p>
        </w:tc>
        <w:tc>
          <w:tcPr>
            <w:tcW w:w="1197" w:type="dxa"/>
            <w:tcBorders>
              <w:top w:val="single" w:sz="6" w:space="0" w:color="010101"/>
              <w:left w:val="nil" w:sz="6" w:space="0" w:color="auto"/>
              <w:bottom w:val="single" w:sz="6" w:space="0" w:color="010101"/>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4,027.18</w:t>
            </w:r>
          </w:p>
        </w:tc>
        <w:tc>
          <w:tcPr>
            <w:tcW w:w="4562" w:type="dxa"/>
            <w:tcBorders>
              <w:top w:val="single" w:sz="6" w:space="0" w:color="010101"/>
              <w:left w:val="nil" w:sz="6" w:space="0" w:color="auto"/>
              <w:bottom w:val="single" w:sz="6" w:space="0" w:color="010101"/>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主要系本期融资规模扩大导致利息支出</w:t>
            </w:r>
            <w:r>
              <w:rPr>
                <w:rFonts w:ascii="宋体" w:hAnsi="宋体" w:cs="宋体" w:eastAsia="宋体" w:hint="default"/>
                <w:sz w:val="18"/>
                <w:szCs w:val="18"/>
              </w:rPr>
            </w:r>
          </w:p>
        </w:tc>
      </w:tr>
      <w:tr>
        <w:trPr>
          <w:trHeight w:val="354" w:hRule="exact"/>
        </w:trPr>
        <w:tc>
          <w:tcPr>
            <w:tcW w:w="1588" w:type="dxa"/>
            <w:tcBorders>
              <w:top w:val="single" w:sz="6" w:space="0" w:color="010101"/>
              <w:left w:val="nil" w:sz="6" w:space="0" w:color="auto"/>
              <w:bottom w:val="nil" w:sz="6" w:space="0" w:color="auto"/>
              <w:right w:val="nil" w:sz="6" w:space="0" w:color="auto"/>
            </w:tcBorders>
          </w:tcPr>
          <w:p>
            <w:pPr>
              <w:pStyle w:val="TableParagraph"/>
              <w:spacing w:line="240" w:lineRule="auto" w:before="19"/>
              <w:ind w:left="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80" w:type="dxa"/>
            <w:tcBorders>
              <w:top w:val="single" w:sz="6" w:space="0" w:color="010101"/>
              <w:left w:val="nil" w:sz="6" w:space="0" w:color="auto"/>
              <w:bottom w:val="nil" w:sz="6" w:space="0" w:color="auto"/>
              <w:right w:val="nil" w:sz="6" w:space="0" w:color="auto"/>
            </w:tcBorders>
          </w:tcPr>
          <w:p>
            <w:pPr>
              <w:pStyle w:val="TableParagraph"/>
              <w:spacing w:line="240" w:lineRule="auto" w:before="60"/>
              <w:ind w:right="213"/>
              <w:jc w:val="right"/>
              <w:rPr>
                <w:rFonts w:ascii="Times New Roman" w:hAnsi="Times New Roman" w:cs="Times New Roman" w:eastAsia="Times New Roman" w:hint="default"/>
                <w:sz w:val="18"/>
                <w:szCs w:val="18"/>
              </w:rPr>
            </w:pPr>
            <w:r>
              <w:rPr>
                <w:rFonts w:ascii="Times New Roman"/>
                <w:sz w:val="18"/>
              </w:rPr>
              <w:t>1,383.96</w:t>
            </w:r>
          </w:p>
        </w:tc>
        <w:tc>
          <w:tcPr>
            <w:tcW w:w="1197" w:type="dxa"/>
            <w:tcBorders>
              <w:top w:val="single" w:sz="6" w:space="0" w:color="010101"/>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z w:val="18"/>
              </w:rPr>
              <w:t>3,238.72</w:t>
            </w:r>
          </w:p>
        </w:tc>
        <w:tc>
          <w:tcPr>
            <w:tcW w:w="4562" w:type="dxa"/>
            <w:tcBorders>
              <w:top w:val="single" w:sz="6" w:space="0" w:color="010101"/>
              <w:left w:val="nil" w:sz="6" w:space="0" w:color="auto"/>
              <w:bottom w:val="nil" w:sz="6" w:space="0" w:color="auto"/>
              <w:right w:val="nil" w:sz="6" w:space="0" w:color="auto"/>
            </w:tcBorders>
          </w:tcPr>
          <w:p>
            <w:pPr>
              <w:pStyle w:val="TableParagraph"/>
              <w:spacing w:line="240" w:lineRule="auto" w:before="19"/>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-57.29</w:t>
            </w:r>
            <w:r>
              <w:rPr>
                <w:rFonts w:ascii="Times New Roman" w:hAnsi="Times New Roman" w:cs="Times New Roman" w:eastAsia="Times New Roman" w:hint="default"/>
                <w:spacing w:val="-28"/>
                <w:sz w:val="18"/>
                <w:szCs w:val="18"/>
              </w:rPr>
              <w:t> </w:t>
            </w:r>
            <w:r>
              <w:rPr>
                <w:rFonts w:ascii="宋体" w:hAnsi="宋体" w:cs="宋体" w:eastAsia="宋体" w:hint="default"/>
                <w:spacing w:val="10"/>
                <w:sz w:val="18"/>
                <w:szCs w:val="18"/>
              </w:rPr>
              <w:t>主要系本期利润总额和应纳税所得额减</w:t>
            </w:r>
            <w:r>
              <w:rPr>
                <w:rFonts w:ascii="宋体" w:hAnsi="宋体" w:cs="宋体" w:eastAsia="宋体" w:hint="default"/>
                <w:sz w:val="18"/>
                <w:szCs w:val="18"/>
              </w:rPr>
            </w:r>
          </w:p>
        </w:tc>
      </w:tr>
    </w:tbl>
    <w:p>
      <w:pPr>
        <w:spacing w:line="220" w:lineRule="exact" w:before="0"/>
        <w:ind w:left="5793" w:right="105" w:firstLine="0"/>
        <w:jc w:val="left"/>
        <w:rPr>
          <w:rFonts w:ascii="宋体" w:hAnsi="宋体" w:cs="宋体" w:eastAsia="宋体" w:hint="default"/>
          <w:sz w:val="18"/>
          <w:szCs w:val="18"/>
        </w:rPr>
      </w:pPr>
      <w:r>
        <w:rPr>
          <w:rFonts w:ascii="宋体" w:hAnsi="宋体" w:cs="宋体" w:eastAsia="宋体" w:hint="default"/>
          <w:sz w:val="18"/>
          <w:szCs w:val="18"/>
        </w:rPr>
        <w:t>少，以致本期所得税减幅较大</w:t>
      </w:r>
    </w:p>
    <w:p>
      <w:pPr>
        <w:spacing w:line="240" w:lineRule="auto" w:before="12"/>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7.1pt;height:.75pt;mso-position-horizontal-relative:char;mso-position-vertical-relative:line" coordorigin="0,0" coordsize="8942,15">
            <v:group style="position:absolute;left:7;top:7;width:8927;height:2" coordorigin="7,7" coordsize="8927,2">
              <v:shape style="position:absolute;left:7;top:7;width:8927;height:2" coordorigin="7,7" coordsize="8927,0" path="m7,7l8934,7e" filled="false" stroked="true" strokeweight=".72pt" strokecolor="#010101">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248" w:right="105"/>
        <w:jc w:val="left"/>
        <w:rPr>
          <w:b w:val="0"/>
          <w:bCs w:val="0"/>
        </w:rPr>
      </w:pPr>
      <w:r>
        <w:rPr/>
        <w:t>第十一节</w:t>
      </w:r>
      <w:r>
        <w:rPr>
          <w:spacing w:val="-2"/>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66" w:lineRule="auto"/>
        <w:ind w:left="533" w:right="911"/>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三、报告期内在中国证监会指定报纸上公开披露过的所有公司文件的正本及公告原稿； 四、载有董事长签名的</w:t>
      </w:r>
      <w:r>
        <w:rPr>
          <w:rFonts w:ascii="Times New Roman" w:hAnsi="Times New Roman" w:cs="Times New Roman" w:eastAsia="Times New Roman" w:hint="default"/>
        </w:rPr>
        <w:t>2012</w:t>
      </w:r>
      <w:r>
        <w:rPr/>
        <w:t>年度报告文本原件； 五、浙江宏磊铜业股份有限公司董事、高级管理人员关于</w:t>
      </w:r>
      <w:r>
        <w:rPr>
          <w:rFonts w:ascii="Times New Roman" w:hAnsi="Times New Roman" w:cs="Times New Roman" w:eastAsia="Times New Roman" w:hint="default"/>
        </w:rPr>
        <w:t>2012</w:t>
      </w:r>
      <w:r>
        <w:rPr/>
        <w:t>年年度报告的书面确认意见； 六、以上文件的备置地点：董事会办公室</w:t>
      </w:r>
    </w:p>
    <w:sectPr>
      <w:pgSz w:w="11910" w:h="16840"/>
      <w:pgMar w:header="747" w:footer="980"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577637pt;width:6.5pt;height:11pt;mso-position-horizontal-relative:page;mso-position-vertical-relative:page;z-index:-835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1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4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73pt;margin-top:782.017639pt;width:8.5pt;height:11pt;mso-position-horizontal-relative:page;mso-position-vertical-relative:page;z-index:-835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4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834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834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17639pt;width:17.2pt;height:11pt;mso-position-horizontal-relative:page;mso-position-vertical-relative:page;z-index:-83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834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834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83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834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834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835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835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19995pt;margin-top:36.325325pt;width:186.5pt;height:11.45pt;mso-position-horizontal-relative:page;mso-position-vertical-relative:page;z-index:-835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4"/>
    </w:pPr>
    <w:rPr>
      <w:rFonts w:ascii="宋体" w:hAnsi="宋体" w:eastAsia="宋体"/>
      <w:sz w:val="21"/>
      <w:szCs w:val="21"/>
    </w:rPr>
  </w:style>
  <w:style w:styleId="Heading1" w:type="paragraph">
    <w:name w:val="Heading 1"/>
    <w:basedOn w:val="Normal"/>
    <w:uiPriority w:val="1"/>
    <w:qFormat/>
    <w:pPr>
      <w:spacing w:before="1"/>
      <w:ind w:left="516"/>
      <w:outlineLvl w:val="1"/>
    </w:pPr>
    <w:rPr>
      <w:rFonts w:ascii="宋体" w:hAnsi="宋体" w:eastAsia="宋体"/>
      <w:b/>
      <w:bCs/>
      <w:sz w:val="32"/>
      <w:szCs w:val="32"/>
    </w:rPr>
  </w:style>
  <w:style w:styleId="Heading2" w:type="paragraph">
    <w:name w:val="Heading 2"/>
    <w:basedOn w:val="Normal"/>
    <w:uiPriority w:val="1"/>
    <w:qFormat/>
    <w:pPr>
      <w:spacing w:before="26"/>
      <w:ind w:left="114"/>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sz w:val="24"/>
      <w:szCs w:val="24"/>
    </w:rPr>
  </w:style>
  <w:style w:styleId="Heading4" w:type="paragraph">
    <w:name w:val="Heading 4"/>
    <w:basedOn w:val="Normal"/>
    <w:uiPriority w:val="1"/>
    <w:qFormat/>
    <w:pPr>
      <w:ind w:left="113" w:firstLine="420"/>
      <w:outlineLvl w:val="4"/>
    </w:pPr>
    <w:rPr>
      <w:rFonts w:ascii="宋体" w:hAnsi="宋体" w:eastAsia="宋体"/>
      <w:i/>
      <w:sz w:val="22"/>
      <w:szCs w:val="22"/>
    </w:rPr>
  </w:style>
  <w:style w:styleId="Heading5" w:type="paragraph">
    <w:name w:val="Heading 5"/>
    <w:basedOn w:val="Normal"/>
    <w:uiPriority w:val="1"/>
    <w:qFormat/>
    <w:pPr>
      <w:ind w:left="11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inahonglei.com/" TargetMode="External"/><Relationship Id="rId10" Type="http://schemas.openxmlformats.org/officeDocument/2006/relationships/hyperlink" Target="mailto:honglei@chinahonglei.com" TargetMode="External"/><Relationship Id="rId11" Type="http://schemas.openxmlformats.org/officeDocument/2006/relationships/hyperlink" Target="mailto:honglei1998@126.com" TargetMode="External"/><Relationship Id="rId12" Type="http://schemas.openxmlformats.org/officeDocument/2006/relationships/hyperlink" Target="mailto:yk75118@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yperlink" Target="http://ww/" TargetMode="Externa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yperlink" Target="http://www.cninfo.com.cn&#19978;&#21002;&#30331;&#20102;&#20197;&#19979;&#20844;&#21578;/" TargetMode="External"/><Relationship Id="rId24" Type="http://schemas.openxmlformats.org/officeDocument/2006/relationships/footer" Target="footer9.xml"/><Relationship Id="rId25" Type="http://schemas.openxmlformats.org/officeDocument/2006/relationships/image" Target="media/image4.png"/><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yangkaibiao</dc:creator>
  <dc:title>C:\Documents and Settings\yangkaibiao\桌面\AR2012002647b定期报告全文(Word中文版).doc</dc:title>
  <dcterms:created xsi:type="dcterms:W3CDTF">2020-05-04T01:25:52Z</dcterms:created>
  <dcterms:modified xsi:type="dcterms:W3CDTF">2020-05-04T01:25:52Z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2013-04-26T00:00:00Z</vt:filetime>
  </property>
  <property fmtid="{D5CDD505-2E9C-101B-9397-08002B2CF9AE}" pid="3" name="Creator">
    <vt:lpwstr>PScript5.dll Version 5.2.2</vt:lpwstr>
  </property>
  <property fmtid="{D5CDD505-2E9C-101B-9397-08002B2CF9AE}" pid="4" name="LastSaved">
    <vt:filetime>2020-05-03T00:00:00Z</vt:filetime>
  </property>
</Properties>
</file>